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534670</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346075</wp:posOffset>
            </wp:positionV>
            <wp:extent cx="72377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17145"/>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212090</wp:posOffset>
            </wp:positionV>
            <wp:extent cx="23926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319" w:lineRule="exact"/>
        <w:rPr>
          <w:sz w:val="24"/>
          <w:szCs w:val="24"/>
          <w:color w:val="auto"/>
        </w:rPr>
      </w:pPr>
    </w:p>
    <w:p>
      <w:pPr>
        <w:ind w:left="1620" w:hanging="369"/>
        <w:spacing w:after="0"/>
        <w:tabs>
          <w:tab w:leader="none" w:pos="16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September 30, 2019</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63" w:lineRule="exact"/>
        <w:rPr>
          <w:sz w:val="24"/>
          <w:szCs w:val="24"/>
          <w:color w:val="auto"/>
        </w:rPr>
      </w:pPr>
    </w:p>
    <w:p>
      <w:pPr>
        <w:ind w:left="1620" w:hanging="369"/>
        <w:spacing w:after="0"/>
        <w:tabs>
          <w:tab w:leader="none" w:pos="162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0"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For the transition period from ___ to ___</w:t>
      </w:r>
    </w:p>
    <w:p>
      <w:pPr>
        <w:spacing w:after="0" w:line="109" w:lineRule="exact"/>
        <w:rPr>
          <w:sz w:val="24"/>
          <w:szCs w:val="24"/>
          <w:color w:val="auto"/>
        </w:rPr>
      </w:pPr>
    </w:p>
    <w:p>
      <w:pPr>
        <w:ind w:left="4580"/>
        <w:spacing w:after="0"/>
        <w:rPr>
          <w:sz w:val="20"/>
          <w:szCs w:val="20"/>
          <w:color w:val="auto"/>
        </w:rPr>
      </w:pPr>
      <w:r>
        <w:rPr>
          <w:rFonts w:ascii="Arial" w:cs="Arial" w:eastAsia="Arial" w:hAnsi="Arial"/>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246380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323850</wp:posOffset>
            </wp:positionV>
            <wp:extent cx="2212340"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1234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Brighthouse Financial, Inc.</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86" w:lineRule="exact"/>
        <w:rPr>
          <w:sz w:val="24"/>
          <w:szCs w:val="24"/>
          <w:color w:val="auto"/>
        </w:rPr>
      </w:pPr>
    </w:p>
    <w:tbl>
      <w:tblPr>
        <w:tblLayout w:type="fixed"/>
        <w:tblInd w:w="112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2700" w:type="dxa"/>
            <w:vAlign w:val="bottom"/>
            <w:gridSpan w:val="2"/>
          </w:tcPr>
          <w:p>
            <w:pPr>
              <w:jc w:val="center"/>
              <w:ind w:right="1337"/>
              <w:spacing w:after="0"/>
              <w:rPr>
                <w:sz w:val="20"/>
                <w:szCs w:val="20"/>
                <w:color w:val="auto"/>
              </w:rPr>
            </w:pPr>
            <w:r>
              <w:rPr>
                <w:rFonts w:ascii="Arial" w:cs="Arial" w:eastAsia="Arial" w:hAnsi="Arial"/>
                <w:sz w:val="14"/>
                <w:szCs w:val="14"/>
                <w:b w:val="1"/>
                <w:bCs w:val="1"/>
                <w:color w:val="auto"/>
                <w:w w:val="94"/>
              </w:rPr>
              <w:t>Delaware</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20" w:type="dxa"/>
            <w:vAlign w:val="bottom"/>
          </w:tcPr>
          <w:p>
            <w:pPr>
              <w:jc w:val="right"/>
              <w:ind w:right="1413"/>
              <w:spacing w:after="0"/>
              <w:rPr>
                <w:sz w:val="20"/>
                <w:szCs w:val="20"/>
                <w:color w:val="auto"/>
              </w:rPr>
            </w:pPr>
            <w:r>
              <w:rPr>
                <w:rFonts w:ascii="Arial" w:cs="Arial" w:eastAsia="Arial" w:hAnsi="Arial"/>
                <w:sz w:val="14"/>
                <w:szCs w:val="14"/>
                <w:b w:val="1"/>
                <w:bCs w:val="1"/>
                <w:color w:val="auto"/>
                <w:w w:val="96"/>
              </w:rPr>
              <w:t>81-3846992</w:t>
            </w:r>
          </w:p>
        </w:tc>
      </w:tr>
      <w:tr>
        <w:trPr>
          <w:trHeight w:val="203"/>
        </w:trPr>
        <w:tc>
          <w:tcPr>
            <w:tcW w:w="4140" w:type="dxa"/>
            <w:vAlign w:val="bottom"/>
            <w:gridSpan w:val="3"/>
          </w:tcPr>
          <w:p>
            <w:pPr>
              <w:jc w:val="center"/>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340" w:type="dxa"/>
            <w:vAlign w:val="bottom"/>
            <w:gridSpan w:val="2"/>
          </w:tcPr>
          <w:p>
            <w:pPr>
              <w:jc w:val="center"/>
              <w:ind w:right="253"/>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324"/>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w w:val="96"/>
              </w:rPr>
              <w:t>11225 North Community House Road,  Charlotte,  North Carolina</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20" w:type="dxa"/>
            <w:vAlign w:val="bottom"/>
          </w:tcPr>
          <w:p>
            <w:pPr>
              <w:jc w:val="right"/>
              <w:ind w:right="1573"/>
              <w:spacing w:after="0"/>
              <w:rPr>
                <w:sz w:val="20"/>
                <w:szCs w:val="20"/>
                <w:color w:val="auto"/>
              </w:rPr>
            </w:pPr>
            <w:r>
              <w:rPr>
                <w:rFonts w:ascii="Arial" w:cs="Arial" w:eastAsia="Arial" w:hAnsi="Arial"/>
                <w:sz w:val="14"/>
                <w:szCs w:val="14"/>
                <w:b w:val="1"/>
                <w:bCs w:val="1"/>
                <w:color w:val="auto"/>
              </w:rPr>
              <w:t>28277</w:t>
            </w:r>
          </w:p>
        </w:tc>
      </w:tr>
      <w:tr>
        <w:trPr>
          <w:trHeight w:val="203"/>
        </w:trPr>
        <w:tc>
          <w:tcPr>
            <w:tcW w:w="4140" w:type="dxa"/>
            <w:vAlign w:val="bottom"/>
            <w:gridSpan w:val="3"/>
          </w:tcPr>
          <w:p>
            <w:pPr>
              <w:jc w:val="center"/>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20" w:type="dxa"/>
            <w:vAlign w:val="bottom"/>
          </w:tcPr>
          <w:p>
            <w:pPr>
              <w:jc w:val="center"/>
              <w:ind w:right="1373"/>
              <w:spacing w:after="0"/>
              <w:rPr>
                <w:sz w:val="20"/>
                <w:szCs w:val="20"/>
                <w:color w:val="auto"/>
              </w:rPr>
            </w:pPr>
            <w:r>
              <w:rPr>
                <w:rFonts w:ascii="Arial" w:cs="Arial" w:eastAsia="Arial" w:hAnsi="Arial"/>
                <w:sz w:val="14"/>
                <w:szCs w:val="14"/>
                <w:i w:val="1"/>
                <w:iCs w:val="1"/>
                <w:color w:val="auto"/>
                <w:w w:val="93"/>
              </w:rPr>
              <w:t>(Zip Code)</w:t>
            </w:r>
          </w:p>
        </w:tc>
      </w:tr>
      <w:tr>
        <w:trPr>
          <w:trHeight w:val="268"/>
        </w:trPr>
        <w:tc>
          <w:tcPr>
            <w:tcW w:w="1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00" w:type="dxa"/>
            <w:vAlign w:val="bottom"/>
            <w:gridSpan w:val="2"/>
          </w:tcPr>
          <w:p>
            <w:pPr>
              <w:jc w:val="center"/>
              <w:ind w:right="337"/>
              <w:spacing w:after="0"/>
              <w:rPr>
                <w:sz w:val="20"/>
                <w:szCs w:val="20"/>
                <w:color w:val="auto"/>
              </w:rPr>
            </w:pPr>
            <w:r>
              <w:rPr>
                <w:rFonts w:ascii="Arial" w:cs="Arial" w:eastAsia="Arial" w:hAnsi="Arial"/>
                <w:sz w:val="14"/>
                <w:szCs w:val="14"/>
                <w:b w:val="1"/>
                <w:bCs w:val="1"/>
                <w:color w:val="auto"/>
                <w:w w:val="93"/>
              </w:rPr>
              <w:t>(980) 365-7100</w:t>
            </w:r>
          </w:p>
        </w:tc>
        <w:tc>
          <w:tcPr>
            <w:tcW w:w="112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160"/>
        </w:trPr>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20" w:type="dxa"/>
            <w:vAlign w:val="bottom"/>
            <w:gridSpan w:val="4"/>
          </w:tcPr>
          <w:p>
            <w:pPr>
              <w:jc w:val="center"/>
              <w:ind w:left="237"/>
              <w:spacing w:after="0"/>
              <w:rPr>
                <w:sz w:val="20"/>
                <w:szCs w:val="20"/>
                <w:color w:val="auto"/>
              </w:rPr>
            </w:pPr>
            <w:r>
              <w:rPr>
                <w:rFonts w:ascii="Arial" w:cs="Arial" w:eastAsia="Arial" w:hAnsi="Arial"/>
                <w:sz w:val="13"/>
                <w:szCs w:val="13"/>
                <w:i w:val="1"/>
                <w:iCs w:val="1"/>
                <w:color w:val="auto"/>
                <w:w w:val="87"/>
              </w:rPr>
              <w:t>(Registrant’s telephone number, including area code)</w:t>
            </w:r>
          </w:p>
        </w:tc>
        <w:tc>
          <w:tcPr>
            <w:tcW w:w="2220" w:type="dxa"/>
            <w:vAlign w:val="bottom"/>
          </w:tcPr>
          <w:p>
            <w:pPr>
              <w:spacing w:after="0"/>
              <w:rPr>
                <w:sz w:val="13"/>
                <w:szCs w:val="13"/>
                <w:color w:val="auto"/>
              </w:rPr>
            </w:pPr>
          </w:p>
        </w:tc>
      </w:tr>
      <w:tr>
        <w:trPr>
          <w:trHeight w:val="297"/>
        </w:trPr>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20" w:type="dxa"/>
            <w:vAlign w:val="bottom"/>
            <w:gridSpan w:val="4"/>
          </w:tcPr>
          <w:p>
            <w:pPr>
              <w:jc w:val="center"/>
              <w:ind w:left="217"/>
              <w:spacing w:after="0"/>
              <w:rPr>
                <w:sz w:val="20"/>
                <w:szCs w:val="20"/>
                <w:color w:val="auto"/>
              </w:rPr>
            </w:pPr>
            <w:r>
              <w:rPr>
                <w:rFonts w:ascii="Arial" w:cs="Arial" w:eastAsia="Arial" w:hAnsi="Arial"/>
                <w:sz w:val="13"/>
                <w:szCs w:val="13"/>
                <w:color w:val="auto"/>
                <w:w w:val="87"/>
              </w:rPr>
              <w:t>Securities registered pursuant to Section 12(b) of the Act:</w:t>
            </w:r>
          </w:p>
        </w:tc>
        <w:tc>
          <w:tcPr>
            <w:tcW w:w="2220" w:type="dxa"/>
            <w:vAlign w:val="bottom"/>
          </w:tcPr>
          <w:p>
            <w:pPr>
              <w:spacing w:after="0"/>
              <w:rPr>
                <w:sz w:val="24"/>
                <w:szCs w:val="24"/>
                <w:color w:val="auto"/>
              </w:rPr>
            </w:pPr>
          </w:p>
        </w:tc>
      </w:tr>
      <w:tr>
        <w:trPr>
          <w:trHeight w:val="313"/>
        </w:trPr>
        <w:tc>
          <w:tcPr>
            <w:tcW w:w="1440" w:type="dxa"/>
            <w:vAlign w:val="bottom"/>
          </w:tcPr>
          <w:p>
            <w:pPr>
              <w:spacing w:after="0"/>
              <w:rPr>
                <w:sz w:val="24"/>
                <w:szCs w:val="24"/>
                <w:color w:val="auto"/>
              </w:rPr>
            </w:pPr>
          </w:p>
        </w:tc>
        <w:tc>
          <w:tcPr>
            <w:tcW w:w="2700" w:type="dxa"/>
            <w:vAlign w:val="bottom"/>
            <w:gridSpan w:val="2"/>
          </w:tcPr>
          <w:p>
            <w:pPr>
              <w:jc w:val="center"/>
              <w:ind w:right="1737"/>
              <w:spacing w:after="0"/>
              <w:rPr>
                <w:sz w:val="20"/>
                <w:szCs w:val="20"/>
                <w:color w:val="auto"/>
              </w:rPr>
            </w:pPr>
            <w:r>
              <w:rPr>
                <w:rFonts w:ascii="Arial" w:cs="Arial" w:eastAsia="Arial" w:hAnsi="Arial"/>
                <w:sz w:val="13"/>
                <w:szCs w:val="13"/>
                <w:color w:val="auto"/>
                <w:w w:val="86"/>
              </w:rPr>
              <w:t>Title of each class</w:t>
            </w:r>
          </w:p>
        </w:tc>
        <w:tc>
          <w:tcPr>
            <w:tcW w:w="2420" w:type="dxa"/>
            <w:vAlign w:val="bottom"/>
            <w:gridSpan w:val="3"/>
          </w:tcPr>
          <w:p>
            <w:pPr>
              <w:jc w:val="center"/>
              <w:ind w:right="688"/>
              <w:spacing w:after="0"/>
              <w:rPr>
                <w:sz w:val="20"/>
                <w:szCs w:val="20"/>
                <w:color w:val="auto"/>
              </w:rPr>
            </w:pPr>
            <w:r>
              <w:rPr>
                <w:rFonts w:ascii="Arial" w:cs="Arial" w:eastAsia="Arial" w:hAnsi="Arial"/>
                <w:sz w:val="13"/>
                <w:szCs w:val="13"/>
                <w:color w:val="auto"/>
                <w:w w:val="90"/>
              </w:rPr>
              <w:t>Trading symbol(s)</w:t>
            </w:r>
          </w:p>
        </w:tc>
        <w:tc>
          <w:tcPr>
            <w:tcW w:w="2220" w:type="dxa"/>
            <w:vAlign w:val="bottom"/>
          </w:tcPr>
          <w:p>
            <w:pPr>
              <w:jc w:val="center"/>
              <w:spacing w:after="0"/>
              <w:rPr>
                <w:sz w:val="20"/>
                <w:szCs w:val="20"/>
                <w:color w:val="auto"/>
              </w:rPr>
            </w:pPr>
            <w:r>
              <w:rPr>
                <w:rFonts w:ascii="Arial" w:cs="Arial" w:eastAsia="Arial" w:hAnsi="Arial"/>
                <w:sz w:val="13"/>
                <w:szCs w:val="13"/>
                <w:color w:val="auto"/>
                <w:w w:val="86"/>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r>
      <w:tr>
        <w:trPr>
          <w:trHeight w:val="194"/>
        </w:trPr>
        <w:tc>
          <w:tcPr>
            <w:tcW w:w="4140" w:type="dxa"/>
            <w:vAlign w:val="bottom"/>
            <w:gridSpan w:val="3"/>
          </w:tcPr>
          <w:p>
            <w:pPr>
              <w:jc w:val="center"/>
              <w:ind w:right="297"/>
              <w:spacing w:after="0"/>
              <w:rPr>
                <w:sz w:val="20"/>
                <w:szCs w:val="20"/>
                <w:color w:val="auto"/>
              </w:rPr>
            </w:pPr>
            <w:r>
              <w:rPr>
                <w:rFonts w:ascii="Arial" w:cs="Arial" w:eastAsia="Arial" w:hAnsi="Arial"/>
                <w:sz w:val="13"/>
                <w:szCs w:val="13"/>
                <w:b w:val="1"/>
                <w:bCs w:val="1"/>
                <w:color w:val="auto"/>
                <w:w w:val="87"/>
              </w:rPr>
              <w:t>Common Stock, par value $0.01 per share</w:t>
            </w:r>
          </w:p>
        </w:tc>
        <w:tc>
          <w:tcPr>
            <w:tcW w:w="360" w:type="dxa"/>
            <w:vAlign w:val="bottom"/>
          </w:tcPr>
          <w:p>
            <w:pPr>
              <w:spacing w:after="0"/>
              <w:rPr>
                <w:sz w:val="16"/>
                <w:szCs w:val="16"/>
                <w:color w:val="auto"/>
              </w:rPr>
            </w:pPr>
          </w:p>
        </w:tc>
        <w:tc>
          <w:tcPr>
            <w:tcW w:w="2060" w:type="dxa"/>
            <w:vAlign w:val="bottom"/>
            <w:gridSpan w:val="2"/>
          </w:tcPr>
          <w:p>
            <w:pPr>
              <w:jc w:val="center"/>
              <w:ind w:right="1048"/>
              <w:spacing w:after="0"/>
              <w:rPr>
                <w:sz w:val="20"/>
                <w:szCs w:val="20"/>
                <w:color w:val="auto"/>
              </w:rPr>
            </w:pPr>
            <w:r>
              <w:rPr>
                <w:rFonts w:ascii="Arial" w:cs="Arial" w:eastAsia="Arial" w:hAnsi="Arial"/>
                <w:sz w:val="13"/>
                <w:szCs w:val="13"/>
                <w:b w:val="1"/>
                <w:bCs w:val="1"/>
                <w:color w:val="auto"/>
                <w:w w:val="97"/>
              </w:rPr>
              <w:t>BHF</w:t>
            </w:r>
          </w:p>
        </w:tc>
        <w:tc>
          <w:tcPr>
            <w:tcW w:w="2220" w:type="dxa"/>
            <w:vAlign w:val="bottom"/>
          </w:tcPr>
          <w:p>
            <w:pPr>
              <w:jc w:val="center"/>
              <w:spacing w:after="0"/>
              <w:rPr>
                <w:sz w:val="20"/>
                <w:szCs w:val="20"/>
                <w:color w:val="auto"/>
              </w:rPr>
            </w:pPr>
            <w:r>
              <w:rPr>
                <w:rFonts w:ascii="Arial" w:cs="Arial" w:eastAsia="Arial" w:hAnsi="Arial"/>
                <w:sz w:val="13"/>
                <w:szCs w:val="13"/>
                <w:b w:val="1"/>
                <w:bCs w:val="1"/>
                <w:color w:val="auto"/>
                <w:w w:val="90"/>
              </w:rPr>
              <w:t>The Nasdaq Stock Market LLC</w:t>
            </w:r>
          </w:p>
        </w:tc>
      </w:tr>
      <w:tr>
        <w:trPr>
          <w:trHeight w:val="189"/>
        </w:trPr>
        <w:tc>
          <w:tcPr>
            <w:tcW w:w="4140" w:type="dxa"/>
            <w:vAlign w:val="bottom"/>
            <w:gridSpan w:val="3"/>
          </w:tcPr>
          <w:p>
            <w:pPr>
              <w:jc w:val="center"/>
              <w:ind w:right="277"/>
              <w:spacing w:after="0"/>
              <w:rPr>
                <w:sz w:val="20"/>
                <w:szCs w:val="20"/>
                <w:color w:val="auto"/>
              </w:rPr>
            </w:pPr>
            <w:r>
              <w:rPr>
                <w:rFonts w:ascii="Arial" w:cs="Arial" w:eastAsia="Arial" w:hAnsi="Arial"/>
                <w:sz w:val="13"/>
                <w:szCs w:val="13"/>
                <w:b w:val="1"/>
                <w:bCs w:val="1"/>
                <w:color w:val="auto"/>
                <w:w w:val="86"/>
              </w:rPr>
              <w:t>Depositary Shares, each representing a 1/1,000th interest in a share</w:t>
            </w:r>
          </w:p>
        </w:tc>
        <w:tc>
          <w:tcPr>
            <w:tcW w:w="360" w:type="dxa"/>
            <w:vAlign w:val="bottom"/>
          </w:tcPr>
          <w:p>
            <w:pPr>
              <w:spacing w:after="0"/>
              <w:rPr>
                <w:sz w:val="16"/>
                <w:szCs w:val="16"/>
                <w:color w:val="auto"/>
              </w:rPr>
            </w:pPr>
          </w:p>
        </w:tc>
        <w:tc>
          <w:tcPr>
            <w:tcW w:w="2060" w:type="dxa"/>
            <w:vAlign w:val="bottom"/>
            <w:gridSpan w:val="2"/>
          </w:tcPr>
          <w:p>
            <w:pPr>
              <w:jc w:val="center"/>
              <w:ind w:right="1048"/>
              <w:spacing w:after="0"/>
              <w:rPr>
                <w:sz w:val="20"/>
                <w:szCs w:val="20"/>
                <w:color w:val="auto"/>
              </w:rPr>
            </w:pPr>
            <w:r>
              <w:rPr>
                <w:rFonts w:ascii="Arial" w:cs="Arial" w:eastAsia="Arial" w:hAnsi="Arial"/>
                <w:sz w:val="13"/>
                <w:szCs w:val="13"/>
                <w:b w:val="1"/>
                <w:bCs w:val="1"/>
                <w:color w:val="auto"/>
                <w:w w:val="93"/>
              </w:rPr>
              <w:t>BHFAP</w:t>
            </w:r>
          </w:p>
        </w:tc>
        <w:tc>
          <w:tcPr>
            <w:tcW w:w="2220" w:type="dxa"/>
            <w:vAlign w:val="bottom"/>
          </w:tcPr>
          <w:p>
            <w:pPr>
              <w:jc w:val="center"/>
              <w:spacing w:after="0"/>
              <w:rPr>
                <w:sz w:val="20"/>
                <w:szCs w:val="20"/>
                <w:color w:val="auto"/>
              </w:rPr>
            </w:pPr>
            <w:r>
              <w:rPr>
                <w:rFonts w:ascii="Arial" w:cs="Arial" w:eastAsia="Arial" w:hAnsi="Arial"/>
                <w:sz w:val="13"/>
                <w:szCs w:val="13"/>
                <w:b w:val="1"/>
                <w:bCs w:val="1"/>
                <w:color w:val="auto"/>
                <w:w w:val="90"/>
              </w:rPr>
              <w:t>The Nasdaq Stock Market LLC</w:t>
            </w:r>
          </w:p>
        </w:tc>
      </w:tr>
      <w:tr>
        <w:trPr>
          <w:trHeight w:val="189"/>
        </w:trPr>
        <w:tc>
          <w:tcPr>
            <w:tcW w:w="4140" w:type="dxa"/>
            <w:vAlign w:val="bottom"/>
            <w:gridSpan w:val="3"/>
          </w:tcPr>
          <w:p>
            <w:pPr>
              <w:jc w:val="center"/>
              <w:ind w:right="297"/>
              <w:spacing w:after="0"/>
              <w:rPr>
                <w:sz w:val="20"/>
                <w:szCs w:val="20"/>
                <w:color w:val="auto"/>
              </w:rPr>
            </w:pPr>
            <w:r>
              <w:rPr>
                <w:rFonts w:ascii="Arial" w:cs="Arial" w:eastAsia="Arial" w:hAnsi="Arial"/>
                <w:sz w:val="13"/>
                <w:szCs w:val="13"/>
                <w:b w:val="1"/>
                <w:bCs w:val="1"/>
                <w:color w:val="auto"/>
                <w:w w:val="88"/>
              </w:rPr>
              <w:t>of 6.600% Non-Cumulative Preferred Stock, Series A</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89"/>
        </w:trPr>
        <w:tc>
          <w:tcPr>
            <w:tcW w:w="4140" w:type="dxa"/>
            <w:vAlign w:val="bottom"/>
            <w:gridSpan w:val="3"/>
          </w:tcPr>
          <w:p>
            <w:pPr>
              <w:jc w:val="center"/>
              <w:ind w:right="277"/>
              <w:spacing w:after="0"/>
              <w:rPr>
                <w:sz w:val="20"/>
                <w:szCs w:val="20"/>
                <w:color w:val="auto"/>
              </w:rPr>
            </w:pPr>
            <w:r>
              <w:rPr>
                <w:rFonts w:ascii="Arial" w:cs="Arial" w:eastAsia="Arial" w:hAnsi="Arial"/>
                <w:sz w:val="13"/>
                <w:szCs w:val="13"/>
                <w:b w:val="1"/>
                <w:bCs w:val="1"/>
                <w:color w:val="auto"/>
                <w:w w:val="87"/>
              </w:rPr>
              <w:t>6.250% Junior Subordinated Debentures due 2058</w:t>
            </w:r>
          </w:p>
        </w:tc>
        <w:tc>
          <w:tcPr>
            <w:tcW w:w="360" w:type="dxa"/>
            <w:vAlign w:val="bottom"/>
          </w:tcPr>
          <w:p>
            <w:pPr>
              <w:spacing w:after="0"/>
              <w:rPr>
                <w:sz w:val="16"/>
                <w:szCs w:val="16"/>
                <w:color w:val="auto"/>
              </w:rPr>
            </w:pPr>
          </w:p>
        </w:tc>
        <w:tc>
          <w:tcPr>
            <w:tcW w:w="2060" w:type="dxa"/>
            <w:vAlign w:val="bottom"/>
            <w:gridSpan w:val="2"/>
          </w:tcPr>
          <w:p>
            <w:pPr>
              <w:jc w:val="center"/>
              <w:ind w:right="1048"/>
              <w:spacing w:after="0"/>
              <w:rPr>
                <w:sz w:val="20"/>
                <w:szCs w:val="20"/>
                <w:color w:val="auto"/>
              </w:rPr>
            </w:pPr>
            <w:r>
              <w:rPr>
                <w:rFonts w:ascii="Arial" w:cs="Arial" w:eastAsia="Arial" w:hAnsi="Arial"/>
                <w:sz w:val="13"/>
                <w:szCs w:val="13"/>
                <w:b w:val="1"/>
                <w:bCs w:val="1"/>
                <w:color w:val="auto"/>
                <w:w w:val="95"/>
              </w:rPr>
              <w:t>BHFAL</w:t>
            </w:r>
          </w:p>
        </w:tc>
        <w:tc>
          <w:tcPr>
            <w:tcW w:w="2220" w:type="dxa"/>
            <w:vAlign w:val="bottom"/>
          </w:tcPr>
          <w:p>
            <w:pPr>
              <w:jc w:val="center"/>
              <w:spacing w:after="0"/>
              <w:rPr>
                <w:sz w:val="20"/>
                <w:szCs w:val="20"/>
                <w:color w:val="auto"/>
              </w:rPr>
            </w:pPr>
            <w:r>
              <w:rPr>
                <w:rFonts w:ascii="Arial" w:cs="Arial" w:eastAsia="Arial" w:hAnsi="Arial"/>
                <w:sz w:val="13"/>
                <w:szCs w:val="13"/>
                <w:b w:val="1"/>
                <w:bCs w:val="1"/>
                <w:color w:val="auto"/>
                <w:w w:val="90"/>
              </w:rPr>
              <w:t>The Nasdaq Stock Market LLC</w:t>
            </w:r>
          </w:p>
        </w:tc>
      </w:tr>
    </w:tbl>
    <w:p>
      <w:pPr>
        <w:spacing w:after="0" w:line="110"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2" w:lineRule="exact"/>
        <w:rPr>
          <w:sz w:val="24"/>
          <w:szCs w:val="24"/>
          <w:color w:val="auto"/>
        </w:rPr>
      </w:pPr>
    </w:p>
    <w:tbl>
      <w:tblPr>
        <w:tblLayout w:type="fixed"/>
        <w:tblInd w:w="1120" w:type="dxa"/>
        <w:tblCellMar>
          <w:top w:w="0" w:type="dxa"/>
          <w:left w:w="0" w:type="dxa"/>
          <w:bottom w:w="0" w:type="dxa"/>
          <w:right w:w="0" w:type="dxa"/>
        </w:tblCellMar>
      </w:tblPr>
      <w:tr>
        <w:trPr>
          <w:trHeight w:val="199"/>
        </w:trPr>
        <w:tc>
          <w:tcPr>
            <w:tcW w:w="1180" w:type="dxa"/>
            <w:vAlign w:val="bottom"/>
          </w:tcPr>
          <w:p>
            <w:pPr>
              <w:spacing w:after="0"/>
              <w:rPr>
                <w:sz w:val="20"/>
                <w:szCs w:val="20"/>
                <w:color w:val="auto"/>
              </w:rPr>
            </w:pPr>
            <w:r>
              <w:rPr>
                <w:rFonts w:ascii="Arial" w:cs="Arial" w:eastAsia="Arial" w:hAnsi="Arial"/>
                <w:sz w:val="13"/>
                <w:szCs w:val="13"/>
                <w:color w:val="auto"/>
                <w:w w:val="90"/>
              </w:rPr>
              <w:t>Large accelerated filer</w:t>
            </w:r>
          </w:p>
        </w:tc>
        <w:tc>
          <w:tcPr>
            <w:tcW w:w="310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820" w:type="dxa"/>
            <w:vAlign w:val="bottom"/>
          </w:tcPr>
          <w:p>
            <w:pPr>
              <w:ind w:left="2920"/>
              <w:spacing w:after="0"/>
              <w:rPr>
                <w:sz w:val="20"/>
                <w:szCs w:val="20"/>
                <w:color w:val="auto"/>
              </w:rPr>
            </w:pPr>
            <w:r>
              <w:rPr>
                <w:rFonts w:ascii="Arial" w:cs="Arial" w:eastAsia="Arial" w:hAnsi="Arial"/>
                <w:sz w:val="13"/>
                <w:szCs w:val="13"/>
                <w:color w:val="auto"/>
                <w:w w:val="94"/>
              </w:rPr>
              <w:t>Accelerated filer</w:t>
            </w:r>
          </w:p>
        </w:tc>
        <w:tc>
          <w:tcPr>
            <w:tcW w:w="540" w:type="dxa"/>
            <w:vAlign w:val="bottom"/>
            <w:vMerge w:val="restart"/>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180" w:type="dxa"/>
            <w:vAlign w:val="bottom"/>
          </w:tcPr>
          <w:p>
            <w:pPr>
              <w:spacing w:after="0"/>
              <w:rPr>
                <w:sz w:val="20"/>
                <w:szCs w:val="20"/>
                <w:color w:val="auto"/>
              </w:rPr>
            </w:pPr>
            <w:r>
              <w:rPr>
                <w:rFonts w:ascii="Arial" w:cs="Arial" w:eastAsia="Arial" w:hAnsi="Arial"/>
                <w:sz w:val="13"/>
                <w:szCs w:val="13"/>
                <w:color w:val="auto"/>
                <w:w w:val="96"/>
              </w:rPr>
              <w:t>Non-accelerated filer</w:t>
            </w:r>
          </w:p>
        </w:tc>
        <w:tc>
          <w:tcPr>
            <w:tcW w:w="310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4360" w:type="dxa"/>
            <w:vAlign w:val="bottom"/>
            <w:gridSpan w:val="2"/>
          </w:tcPr>
          <w:p>
            <w:pPr>
              <w:ind w:left="2920"/>
              <w:spacing w:after="0"/>
              <w:rPr>
                <w:sz w:val="20"/>
                <w:szCs w:val="20"/>
                <w:color w:val="auto"/>
              </w:rPr>
            </w:pPr>
            <w:r>
              <w:rPr>
                <w:rFonts w:ascii="Arial" w:cs="Arial" w:eastAsia="Arial" w:hAnsi="Arial"/>
                <w:sz w:val="13"/>
                <w:szCs w:val="13"/>
                <w:color w:val="auto"/>
                <w:w w:val="91"/>
              </w:rPr>
              <w:t>Smaller reporting company</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360" w:type="dxa"/>
            <w:vAlign w:val="bottom"/>
            <w:gridSpan w:val="2"/>
          </w:tcPr>
          <w:p>
            <w:pPr>
              <w:ind w:left="2920"/>
              <w:spacing w:after="0"/>
              <w:rPr>
                <w:sz w:val="20"/>
                <w:szCs w:val="20"/>
                <w:color w:val="auto"/>
              </w:rPr>
            </w:pPr>
            <w:r>
              <w:rPr>
                <w:rFonts w:ascii="Arial" w:cs="Arial" w:eastAsia="Arial" w:hAnsi="Arial"/>
                <w:sz w:val="13"/>
                <w:szCs w:val="13"/>
                <w:color w:val="auto"/>
                <w:w w:val="91"/>
              </w:rPr>
              <w:t>Emerging growth company</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130"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8" w:lineRule="exact"/>
        <w:rPr>
          <w:sz w:val="24"/>
          <w:szCs w:val="24"/>
          <w:color w:val="auto"/>
        </w:rPr>
      </w:pPr>
    </w:p>
    <w:p>
      <w:pPr>
        <w:ind w:right="4920"/>
        <w:spacing w:after="0" w:line="22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As of November 1, 2019, 107,943,076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20" w:type="dxa"/>
            <w:vAlign w:val="bottom"/>
            <w:gridSpan w:val="10"/>
          </w:tcPr>
          <w:p>
            <w:pPr>
              <w:ind w:left="400"/>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50"/>
        </w:trPr>
        <w:tc>
          <w:tcPr>
            <w:tcW w:w="10680" w:type="dxa"/>
            <w:vAlign w:val="bottom"/>
            <w:gridSpan w:val="2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9640" w:type="dxa"/>
            <w:vAlign w:val="bottom"/>
            <w:gridSpan w:val="26"/>
          </w:tcPr>
          <w:p>
            <w:pPr>
              <w:spacing w:after="0"/>
              <w:rPr>
                <w:sz w:val="20"/>
                <w:szCs w:val="20"/>
                <w:color w:val="auto"/>
              </w:rPr>
            </w:pPr>
            <w:r>
              <w:rPr>
                <w:rFonts w:ascii="Arial" w:cs="Arial" w:eastAsia="Arial" w:hAnsi="Arial"/>
                <w:sz w:val="18"/>
                <w:szCs w:val="18"/>
                <w:color w:val="auto"/>
                <w:w w:val="91"/>
              </w:rPr>
              <w:t>Consolidated Financial Statements (at September 30, 2019 (Unaudited) and December 31, 2018 and for the Three Months and Nine</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40" w:type="dxa"/>
            <w:vAlign w:val="bottom"/>
            <w:gridSpan w:val="26"/>
          </w:tcPr>
          <w:p>
            <w:pPr>
              <w:ind w:left="160"/>
              <w:spacing w:after="0"/>
              <w:rPr>
                <w:sz w:val="20"/>
                <w:szCs w:val="20"/>
                <w:color w:val="auto"/>
              </w:rPr>
            </w:pPr>
            <w:r>
              <w:rPr>
                <w:rFonts w:ascii="Arial" w:cs="Arial" w:eastAsia="Arial" w:hAnsi="Arial"/>
                <w:sz w:val="18"/>
                <w:szCs w:val="18"/>
                <w:color w:val="auto"/>
              </w:rPr>
              <w:t>Months Ended September 30, 2019 and 2018 (Unaudited)):</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Interim Condensed Consolidated Balance Sheets</w:t>
              </w:r>
            </w:hyperlink>
          </w:p>
        </w:tc>
        <w:tc>
          <w:tcPr>
            <w:tcW w:w="5920" w:type="dxa"/>
            <w:vAlign w:val="bottom"/>
            <w:gridSpan w:val="10"/>
          </w:tcPr>
          <w:p>
            <w:pPr>
              <w:spacing w:after="0"/>
              <w:rPr>
                <w:sz w:val="19"/>
                <w:szCs w:val="19"/>
                <w:color w:val="auto"/>
              </w:rPr>
            </w:pPr>
          </w:p>
        </w:tc>
        <w:tc>
          <w:tcPr>
            <w:tcW w:w="58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4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Interim Condensed Consolidated Statements of Operations and Comprehensive Income (Loss)</w:t>
              </w:r>
            </w:hyperlink>
          </w:p>
        </w:tc>
        <w:tc>
          <w:tcPr>
            <w:tcW w:w="68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0" w:type="dxa"/>
            <w:vAlign w:val="bottom"/>
            <w:tcBorders>
              <w:top w:val="single" w:sz="8" w:color="0000EE"/>
            </w:tcBorders>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Interim Condensed Consolidated Statements of Equity</w:t>
              </w:r>
            </w:hyperlink>
          </w:p>
        </w:tc>
        <w:tc>
          <w:tcPr>
            <w:tcW w:w="264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3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Interim Condensed Consolidated Statements of Cash Flows</w:t>
              </w:r>
            </w:hyperlink>
          </w:p>
        </w:tc>
        <w:tc>
          <w:tcPr>
            <w:tcW w:w="5140" w:type="dxa"/>
            <w:vAlign w:val="bottom"/>
            <w:gridSpan w:val="7"/>
          </w:tcPr>
          <w:p>
            <w:pPr>
              <w:spacing w:after="0"/>
              <w:rPr>
                <w:sz w:val="21"/>
                <w:szCs w:val="21"/>
                <w:color w:val="auto"/>
              </w:rPr>
            </w:pPr>
          </w:p>
        </w:tc>
        <w:tc>
          <w:tcPr>
            <w:tcW w:w="5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40" w:type="dxa"/>
            <w:vAlign w:val="bottom"/>
            <w:gridSpan w:val="2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Interim Condensed Consolidated Financial Statements (Unaudited):</w:t>
              </w:r>
            </w:hyperlink>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20" w:type="dxa"/>
            <w:vAlign w:val="bottom"/>
            <w:gridSpan w:val="24"/>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 1 — Business, Basis of Presentation and Summary of Significant Accounting Policies</w:t>
              </w:r>
            </w:hyperlink>
          </w:p>
        </w:tc>
        <w:tc>
          <w:tcPr>
            <w:tcW w:w="68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580" w:type="dxa"/>
            <w:vAlign w:val="bottom"/>
            <w:tcBorders>
              <w:top w:val="single" w:sz="8" w:color="0000FF"/>
            </w:tcBorders>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 2 — Segment Information</w:t>
              </w:r>
            </w:hyperlink>
          </w:p>
        </w:tc>
        <w:tc>
          <w:tcPr>
            <w:tcW w:w="2740" w:type="dxa"/>
            <w:vAlign w:val="bottom"/>
            <w:gridSpan w:val="2"/>
          </w:tcPr>
          <w:p>
            <w:pPr>
              <w:spacing w:after="0"/>
              <w:rPr>
                <w:sz w:val="21"/>
                <w:szCs w:val="21"/>
                <w:color w:val="auto"/>
              </w:rPr>
            </w:pPr>
          </w:p>
        </w:tc>
        <w:tc>
          <w:tcPr>
            <w:tcW w:w="5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7"/>
          </w:tcPr>
          <w:p>
            <w:pPr>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Note 3 — Insurance</w:t>
              </w:r>
            </w:hyperlink>
          </w:p>
        </w:tc>
        <w:tc>
          <w:tcPr>
            <w:tcW w:w="820" w:type="dxa"/>
            <w:vAlign w:val="bottom"/>
            <w:gridSpan w:val="4"/>
          </w:tcPr>
          <w:p>
            <w:pPr>
              <w:spacing w:after="0"/>
              <w:rPr>
                <w:sz w:val="21"/>
                <w:szCs w:val="21"/>
                <w:color w:val="auto"/>
              </w:rPr>
            </w:pPr>
          </w:p>
        </w:tc>
        <w:tc>
          <w:tcPr>
            <w:tcW w:w="7040" w:type="dxa"/>
            <w:vAlign w:val="bottom"/>
            <w:gridSpan w:val="13"/>
          </w:tcPr>
          <w:p>
            <w:pPr>
              <w:spacing w:after="0"/>
              <w:rPr>
                <w:sz w:val="21"/>
                <w:szCs w:val="21"/>
                <w:color w:val="auto"/>
              </w:rPr>
            </w:pPr>
          </w:p>
        </w:tc>
        <w:tc>
          <w:tcPr>
            <w:tcW w:w="68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20" w:type="dxa"/>
            <w:vAlign w:val="bottom"/>
            <w:gridSpan w:val="2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Note 4 — Investments</w:t>
              </w:r>
            </w:hyperlink>
          </w:p>
        </w:tc>
        <w:tc>
          <w:tcPr>
            <w:tcW w:w="68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9"/>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Note 5 — Derivatives</w:t>
              </w:r>
            </w:hyperlink>
          </w:p>
        </w:tc>
        <w:tc>
          <w:tcPr>
            <w:tcW w:w="7740" w:type="dxa"/>
            <w:vAlign w:val="bottom"/>
            <w:gridSpan w:val="15"/>
          </w:tcPr>
          <w:p>
            <w:pPr>
              <w:spacing w:after="0"/>
              <w:rPr>
                <w:sz w:val="21"/>
                <w:szCs w:val="21"/>
                <w:color w:val="auto"/>
              </w:rPr>
            </w:pPr>
          </w:p>
        </w:tc>
        <w:tc>
          <w:tcPr>
            <w:tcW w:w="68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8"/>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Note 6 — Fair Value</w:t>
              </w:r>
            </w:hyperlink>
          </w:p>
        </w:tc>
        <w:tc>
          <w:tcPr>
            <w:tcW w:w="80" w:type="dxa"/>
            <w:vAlign w:val="bottom"/>
          </w:tcPr>
          <w:p>
            <w:pPr>
              <w:spacing w:after="0"/>
              <w:rPr>
                <w:sz w:val="21"/>
                <w:szCs w:val="21"/>
                <w:color w:val="auto"/>
              </w:rPr>
            </w:pPr>
          </w:p>
        </w:tc>
        <w:tc>
          <w:tcPr>
            <w:tcW w:w="7740" w:type="dxa"/>
            <w:vAlign w:val="bottom"/>
            <w:gridSpan w:val="15"/>
          </w:tcPr>
          <w:p>
            <w:pPr>
              <w:spacing w:after="0"/>
              <w:rPr>
                <w:sz w:val="21"/>
                <w:szCs w:val="21"/>
                <w:color w:val="auto"/>
              </w:rPr>
            </w:pPr>
          </w:p>
        </w:tc>
        <w:tc>
          <w:tcPr>
            <w:tcW w:w="68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10"/>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Note 7 — Long-term Debt</w:t>
              </w:r>
            </w:hyperlink>
          </w:p>
        </w:tc>
        <w:tc>
          <w:tcPr>
            <w:tcW w:w="7400" w:type="dxa"/>
            <w:vAlign w:val="bottom"/>
            <w:gridSpan w:val="14"/>
          </w:tcPr>
          <w:p>
            <w:pPr>
              <w:spacing w:after="0"/>
              <w:rPr>
                <w:sz w:val="21"/>
                <w:szCs w:val="21"/>
                <w:color w:val="auto"/>
              </w:rPr>
            </w:pPr>
          </w:p>
        </w:tc>
        <w:tc>
          <w:tcPr>
            <w:tcW w:w="68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6"/>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Note 8 — Equity</w:t>
              </w:r>
            </w:hyperlink>
          </w:p>
        </w:tc>
        <w:tc>
          <w:tcPr>
            <w:tcW w:w="680" w:type="dxa"/>
            <w:vAlign w:val="bottom"/>
            <w:gridSpan w:val="4"/>
          </w:tcPr>
          <w:p>
            <w:pPr>
              <w:spacing w:after="0"/>
              <w:rPr>
                <w:sz w:val="21"/>
                <w:szCs w:val="21"/>
                <w:color w:val="auto"/>
              </w:rPr>
            </w:pPr>
          </w:p>
        </w:tc>
        <w:tc>
          <w:tcPr>
            <w:tcW w:w="7400" w:type="dxa"/>
            <w:vAlign w:val="bottom"/>
            <w:gridSpan w:val="14"/>
          </w:tcPr>
          <w:p>
            <w:pPr>
              <w:spacing w:after="0"/>
              <w:rPr>
                <w:sz w:val="21"/>
                <w:szCs w:val="21"/>
                <w:color w:val="auto"/>
              </w:rPr>
            </w:pPr>
          </w:p>
        </w:tc>
        <w:tc>
          <w:tcPr>
            <w:tcW w:w="68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14"/>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Note 9 — Other Revenues and Other Expenses</w:t>
              </w:r>
            </w:hyperlink>
          </w:p>
        </w:tc>
        <w:tc>
          <w:tcPr>
            <w:tcW w:w="5920" w:type="dxa"/>
            <w:vAlign w:val="bottom"/>
            <w:gridSpan w:val="10"/>
          </w:tcPr>
          <w:p>
            <w:pPr>
              <w:spacing w:after="0"/>
              <w:rPr>
                <w:sz w:val="21"/>
                <w:szCs w:val="21"/>
                <w:color w:val="auto"/>
              </w:rPr>
            </w:pPr>
          </w:p>
        </w:tc>
        <w:tc>
          <w:tcPr>
            <w:tcW w:w="68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gridSpan w:val="13"/>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Note 10 — Earnings Per Common Share</w:t>
              </w:r>
            </w:hyperlink>
          </w:p>
        </w:tc>
        <w:tc>
          <w:tcPr>
            <w:tcW w:w="460" w:type="dxa"/>
            <w:vAlign w:val="bottom"/>
          </w:tcPr>
          <w:p>
            <w:pPr>
              <w:spacing w:after="0"/>
              <w:rPr>
                <w:sz w:val="21"/>
                <w:szCs w:val="21"/>
                <w:color w:val="auto"/>
              </w:rPr>
            </w:pPr>
          </w:p>
        </w:tc>
        <w:tc>
          <w:tcPr>
            <w:tcW w:w="5920" w:type="dxa"/>
            <w:vAlign w:val="bottom"/>
            <w:gridSpan w:val="10"/>
          </w:tcPr>
          <w:p>
            <w:pPr>
              <w:spacing w:after="0"/>
              <w:rPr>
                <w:sz w:val="21"/>
                <w:szCs w:val="21"/>
                <w:color w:val="auto"/>
              </w:rPr>
            </w:pPr>
          </w:p>
        </w:tc>
        <w:tc>
          <w:tcPr>
            <w:tcW w:w="68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40" w:type="dxa"/>
            <w:vAlign w:val="bottom"/>
            <w:gridSpan w:val="16"/>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Note 11 — Contingencies, Commitments and Guarantees</w:t>
              </w:r>
            </w:hyperlink>
          </w:p>
        </w:tc>
        <w:tc>
          <w:tcPr>
            <w:tcW w:w="5180" w:type="dxa"/>
            <w:vAlign w:val="bottom"/>
            <w:gridSpan w:val="8"/>
          </w:tcPr>
          <w:p>
            <w:pPr>
              <w:spacing w:after="0"/>
              <w:rPr>
                <w:sz w:val="21"/>
                <w:szCs w:val="21"/>
                <w:color w:val="auto"/>
              </w:rPr>
            </w:pPr>
          </w:p>
        </w:tc>
        <w:tc>
          <w:tcPr>
            <w:tcW w:w="68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gridSpan w:val="12"/>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Note 12 — Related Party Transactions</w:t>
              </w:r>
            </w:hyperlink>
          </w:p>
        </w:tc>
        <w:tc>
          <w:tcPr>
            <w:tcW w:w="1360" w:type="dxa"/>
            <w:vAlign w:val="bottom"/>
            <w:gridSpan w:val="4"/>
          </w:tcPr>
          <w:p>
            <w:pPr>
              <w:spacing w:after="0"/>
              <w:rPr>
                <w:sz w:val="21"/>
                <w:szCs w:val="21"/>
                <w:color w:val="auto"/>
              </w:rPr>
            </w:pPr>
          </w:p>
        </w:tc>
        <w:tc>
          <w:tcPr>
            <w:tcW w:w="5180" w:type="dxa"/>
            <w:vAlign w:val="bottom"/>
            <w:gridSpan w:val="8"/>
          </w:tcPr>
          <w:p>
            <w:pPr>
              <w:spacing w:after="0"/>
              <w:rPr>
                <w:sz w:val="21"/>
                <w:szCs w:val="21"/>
                <w:color w:val="auto"/>
              </w:rPr>
            </w:pPr>
          </w:p>
        </w:tc>
        <w:tc>
          <w:tcPr>
            <w:tcW w:w="68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0" w:type="dxa"/>
            <w:vAlign w:val="bottom"/>
            <w:tcBorders>
              <w:left w:val="single" w:sz="8" w:color="0000EE"/>
            </w:tcBorders>
            <w:gridSpan w:val="3"/>
            <w:shd w:val="clear" w:color="auto" w:fill="0000EE"/>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2.</w:t>
            </w:r>
          </w:p>
        </w:tc>
        <w:tc>
          <w:tcPr>
            <w:tcW w:w="9640" w:type="dxa"/>
            <w:vAlign w:val="bottom"/>
            <w:gridSpan w:val="26"/>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Management’s Discussion and Analysis of Financial Condition and Results of Operations</w:t>
              </w:r>
            </w:hyperlink>
          </w:p>
        </w:tc>
        <w:tc>
          <w:tcPr>
            <w:tcW w:w="68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660" w:type="dxa"/>
            <w:vAlign w:val="bottom"/>
            <w:tcBorders>
              <w:left w:val="single" w:sz="8" w:color="0000EE"/>
            </w:tcBorders>
            <w:gridSpan w:val="9"/>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23"/>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Quantitative and Qualitative Disclosures About Market Risk</w:t>
              </w:r>
            </w:hyperlink>
          </w:p>
        </w:tc>
        <w:tc>
          <w:tcPr>
            <w:tcW w:w="2820" w:type="dxa"/>
            <w:vAlign w:val="bottom"/>
            <w:gridSpan w:val="3"/>
          </w:tcPr>
          <w:p>
            <w:pPr>
              <w:spacing w:after="0"/>
              <w:rPr>
                <w:sz w:val="21"/>
                <w:szCs w:val="21"/>
                <w:color w:val="auto"/>
              </w:rPr>
            </w:pPr>
          </w:p>
        </w:tc>
        <w:tc>
          <w:tcPr>
            <w:tcW w:w="680" w:type="dxa"/>
            <w:vAlign w:val="bottom"/>
            <w:gridSpan w:val="3"/>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87</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660" w:type="dxa"/>
            <w:vAlign w:val="bottom"/>
            <w:tcBorders>
              <w:left w:val="single" w:sz="8" w:color="0000EE"/>
            </w:tcBorders>
            <w:gridSpan w:val="9"/>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21"/>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Controls and Procedures</w:t>
              </w:r>
            </w:hyperlink>
          </w:p>
        </w:tc>
        <w:tc>
          <w:tcPr>
            <w:tcW w:w="4980" w:type="dxa"/>
            <w:vAlign w:val="bottom"/>
            <w:gridSpan w:val="5"/>
          </w:tcPr>
          <w:p>
            <w:pPr>
              <w:spacing w:after="0"/>
              <w:rPr>
                <w:sz w:val="21"/>
                <w:szCs w:val="21"/>
                <w:color w:val="auto"/>
              </w:rPr>
            </w:pPr>
          </w:p>
        </w:tc>
        <w:tc>
          <w:tcPr>
            <w:tcW w:w="680" w:type="dxa"/>
            <w:vAlign w:val="bottom"/>
            <w:gridSpan w:val="3"/>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88</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240" w:type="dxa"/>
            <w:vAlign w:val="bottom"/>
            <w:tcBorders>
              <w:bottom w:val="single" w:sz="8" w:color="0000EE"/>
            </w:tcBorders>
            <w:gridSpan w:val="7"/>
          </w:tcPr>
          <w:p>
            <w:pPr>
              <w:spacing w:after="0"/>
              <w:rPr>
                <w:rFonts w:ascii="Arial" w:cs="Arial" w:eastAsia="Arial" w:hAnsi="Arial"/>
                <w:sz w:val="18"/>
                <w:szCs w:val="18"/>
                <w:b w:val="1"/>
                <w:bCs w:val="1"/>
                <w:color w:val="0000EE"/>
                <w:w w:val="96"/>
              </w:rPr>
            </w:pPr>
            <w:hyperlink w:anchor="page90">
              <w:r>
                <w:rPr>
                  <w:rFonts w:ascii="Arial" w:cs="Arial" w:eastAsia="Arial" w:hAnsi="Arial"/>
                  <w:sz w:val="18"/>
                  <w:szCs w:val="18"/>
                  <w:b w:val="1"/>
                  <w:bCs w:val="1"/>
                  <w:color w:val="0000EE"/>
                  <w:w w:val="96"/>
                </w:rPr>
                <w:t>Part II — Other Information</w:t>
              </w:r>
            </w:hyperlink>
          </w:p>
        </w:tc>
        <w:tc>
          <w:tcPr>
            <w:tcW w:w="8440" w:type="dxa"/>
            <w:vAlign w:val="bottom"/>
            <w:gridSpan w:val="21"/>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7"/>
          </w:tcPr>
          <w:p>
            <w:pPr>
              <w:spacing w:after="0"/>
              <w:rPr>
                <w:rFonts w:ascii="Arial" w:cs="Arial" w:eastAsia="Arial" w:hAnsi="Arial"/>
                <w:sz w:val="18"/>
                <w:szCs w:val="18"/>
                <w:b w:val="1"/>
                <w:bCs w:val="1"/>
                <w:color w:val="0000EE"/>
                <w:w w:val="86"/>
              </w:rPr>
            </w:pPr>
            <w:hyperlink w:anchor="page90">
              <w:r>
                <w:rPr>
                  <w:rFonts w:ascii="Arial" w:cs="Arial" w:eastAsia="Arial" w:hAnsi="Arial"/>
                  <w:sz w:val="18"/>
                  <w:szCs w:val="18"/>
                  <w:b w:val="1"/>
                  <w:bCs w:val="1"/>
                  <w:color w:val="0000EE"/>
                  <w:w w:val="86"/>
                </w:rPr>
                <w:t>Legal Proceedings</w:t>
              </w:r>
            </w:hyperlink>
          </w:p>
        </w:tc>
        <w:tc>
          <w:tcPr>
            <w:tcW w:w="8240" w:type="dxa"/>
            <w:vAlign w:val="bottom"/>
            <w:gridSpan w:val="19"/>
          </w:tcPr>
          <w:p>
            <w:pPr>
              <w:spacing w:after="0"/>
              <w:rPr>
                <w:sz w:val="21"/>
                <w:szCs w:val="21"/>
                <w:color w:val="auto"/>
              </w:rPr>
            </w:pPr>
          </w:p>
        </w:tc>
        <w:tc>
          <w:tcPr>
            <w:tcW w:w="680" w:type="dxa"/>
            <w:vAlign w:val="bottom"/>
            <w:gridSpan w:val="3"/>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160" w:type="dxa"/>
            <w:vAlign w:val="bottom"/>
            <w:gridSpan w:val="13"/>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7"/>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Risk Factors</w:t>
              </w:r>
            </w:hyperlink>
          </w:p>
        </w:tc>
        <w:tc>
          <w:tcPr>
            <w:tcW w:w="8240" w:type="dxa"/>
            <w:vAlign w:val="bottom"/>
            <w:gridSpan w:val="19"/>
          </w:tcPr>
          <w:p>
            <w:pPr>
              <w:spacing w:after="0"/>
              <w:rPr>
                <w:sz w:val="21"/>
                <w:szCs w:val="21"/>
                <w:color w:val="auto"/>
              </w:rPr>
            </w:pPr>
          </w:p>
        </w:tc>
        <w:tc>
          <w:tcPr>
            <w:tcW w:w="680" w:type="dxa"/>
            <w:vAlign w:val="bottom"/>
            <w:gridSpan w:val="3"/>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0" w:type="dxa"/>
            <w:vAlign w:val="bottom"/>
            <w:gridSpan w:val="16"/>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2.</w:t>
            </w:r>
          </w:p>
        </w:tc>
        <w:tc>
          <w:tcPr>
            <w:tcW w:w="9640" w:type="dxa"/>
            <w:vAlign w:val="bottom"/>
            <w:gridSpan w:val="26"/>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Unregistered Sales of Equity Securities and Use of Proceeds</w:t>
              </w:r>
            </w:hyperlink>
          </w:p>
        </w:tc>
        <w:tc>
          <w:tcPr>
            <w:tcW w:w="680" w:type="dxa"/>
            <w:vAlign w:val="bottom"/>
            <w:gridSpan w:val="3"/>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920" w:type="dxa"/>
            <w:vAlign w:val="bottom"/>
            <w:gridSpan w:val="17"/>
            <w:shd w:val="clear" w:color="auto" w:fill="0000EE"/>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6.</w:t>
            </w:r>
          </w:p>
        </w:tc>
        <w:tc>
          <w:tcPr>
            <w:tcW w:w="640" w:type="dxa"/>
            <w:vAlign w:val="bottom"/>
            <w:gridSpan w:val="3"/>
          </w:tcPr>
          <w:p>
            <w:pPr>
              <w:spacing w:after="0"/>
              <w:rPr>
                <w:rFonts w:ascii="Arial" w:cs="Arial" w:eastAsia="Arial" w:hAnsi="Arial"/>
                <w:sz w:val="18"/>
                <w:szCs w:val="18"/>
                <w:b w:val="1"/>
                <w:bCs w:val="1"/>
                <w:color w:val="0000EE"/>
                <w:w w:val="88"/>
              </w:rPr>
            </w:pPr>
            <w:hyperlink w:anchor="page91">
              <w:r>
                <w:rPr>
                  <w:rFonts w:ascii="Arial" w:cs="Arial" w:eastAsia="Arial" w:hAnsi="Arial"/>
                  <w:sz w:val="18"/>
                  <w:szCs w:val="18"/>
                  <w:b w:val="1"/>
                  <w:bCs w:val="1"/>
                  <w:color w:val="0000EE"/>
                  <w:w w:val="88"/>
                </w:rPr>
                <w:t>Exhibits</w:t>
              </w:r>
            </w:hyperlink>
          </w:p>
        </w:tc>
        <w:tc>
          <w:tcPr>
            <w:tcW w:w="3920" w:type="dxa"/>
            <w:vAlign w:val="bottom"/>
            <w:gridSpan w:val="17"/>
          </w:tcPr>
          <w:p>
            <w:pPr>
              <w:spacing w:after="0"/>
              <w:rPr>
                <w:sz w:val="21"/>
                <w:szCs w:val="21"/>
                <w:color w:val="auto"/>
              </w:rPr>
            </w:pPr>
          </w:p>
        </w:tc>
        <w:tc>
          <w:tcPr>
            <w:tcW w:w="5080" w:type="dxa"/>
            <w:vAlign w:val="bottom"/>
            <w:gridSpan w:val="6"/>
          </w:tcPr>
          <w:p>
            <w:pPr>
              <w:spacing w:after="0"/>
              <w:rPr>
                <w:sz w:val="21"/>
                <w:szCs w:val="21"/>
                <w:color w:val="auto"/>
              </w:rPr>
            </w:pPr>
          </w:p>
        </w:tc>
        <w:tc>
          <w:tcPr>
            <w:tcW w:w="680" w:type="dxa"/>
            <w:vAlign w:val="bottom"/>
            <w:gridSpan w:val="3"/>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rFonts w:ascii="Arial" w:cs="Arial" w:eastAsia="Arial" w:hAnsi="Arial"/>
                <w:sz w:val="18"/>
                <w:szCs w:val="18"/>
                <w:b w:val="1"/>
                <w:bCs w:val="1"/>
                <w:color w:val="0000EE"/>
                <w:w w:val="85"/>
              </w:rPr>
            </w:pPr>
            <w:hyperlink w:anchor="page92">
              <w:r>
                <w:rPr>
                  <w:rFonts w:ascii="Arial" w:cs="Arial" w:eastAsia="Arial" w:hAnsi="Arial"/>
                  <w:sz w:val="18"/>
                  <w:szCs w:val="18"/>
                  <w:b w:val="1"/>
                  <w:bCs w:val="1"/>
                  <w:color w:val="0000EE"/>
                  <w:w w:val="85"/>
                </w:rPr>
                <w:t>Signatures</w:t>
              </w:r>
            </w:hyperlink>
          </w:p>
        </w:tc>
        <w:tc>
          <w:tcPr>
            <w:tcW w:w="220" w:type="dxa"/>
            <w:vAlign w:val="bottom"/>
            <w:vMerge w:val="restart"/>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8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80" w:top="526" w:right="25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Interim Condensed Consolidated Balance Sheets</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September 30, 2019 (Unaudited) and December 31, 2018</w:t>
      </w:r>
    </w:p>
    <w:p>
      <w:pPr>
        <w:spacing w:after="0" w:line="9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2019</w:t>
            </w:r>
          </w:p>
        </w:tc>
        <w:tc>
          <w:tcPr>
            <w:tcW w:w="1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3"/>
                <w:szCs w:val="13"/>
                <w:b w:val="1"/>
                <w:bCs w:val="1"/>
                <w:color w:val="auto"/>
                <w:w w:val="88"/>
              </w:rPr>
              <w:t>December 31, 2018</w:t>
            </w:r>
          </w:p>
        </w:tc>
        <w:tc>
          <w:tcPr>
            <w:tcW w:w="0" w:type="dxa"/>
            <w:vAlign w:val="bottom"/>
          </w:tcPr>
          <w:p>
            <w:pPr>
              <w:spacing w:after="0"/>
              <w:rPr>
                <w:sz w:val="1"/>
                <w:szCs w:val="1"/>
                <w:color w:val="auto"/>
              </w:rPr>
            </w:pPr>
          </w:p>
        </w:tc>
      </w:tr>
      <w:tr>
        <w:trPr>
          <w:trHeight w:val="177"/>
        </w:trPr>
        <w:tc>
          <w:tcPr>
            <w:tcW w:w="8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maturity securities available-for-sale, at estimated fair value (amortized cost: $63,115 and $60,920, respectively)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70,723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62,608</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Equity securities, at estimated fair value</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loans (net of valuation allowances of $64 and $57, respectively)</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13,694</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Policy loans</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1,332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1,421</w:t>
            </w:r>
          </w:p>
        </w:tc>
        <w:tc>
          <w:tcPr>
            <w:tcW w:w="0" w:type="dxa"/>
            <w:vAlign w:val="bottom"/>
          </w:tcPr>
          <w:p>
            <w:pPr>
              <w:spacing w:after="0"/>
              <w:rPr>
                <w:sz w:val="1"/>
                <w:szCs w:val="1"/>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 estate limited partnerships and limited liability companies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Other limited partnership interests</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1,895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 principally at estimated fair value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invested assets, principally at estimated fair value</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4,734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3,027</w:t>
            </w: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96,634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83,181</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4,289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4,145</w:t>
            </w: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investment income</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Premiums, reinsurance and other receivables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14,385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13,697</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policy acquisition costs and value of business acquired</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5,717</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Current income tax recoverable</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Separate account assets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103,928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98,256</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assets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225,876</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206,294</w:t>
            </w:r>
          </w:p>
        </w:tc>
        <w:tc>
          <w:tcPr>
            <w:tcW w:w="0" w:type="dxa"/>
            <w:vAlign w:val="bottom"/>
          </w:tcPr>
          <w:p>
            <w:pPr>
              <w:spacing w:after="0"/>
              <w:rPr>
                <w:sz w:val="1"/>
                <w:szCs w:val="1"/>
                <w:color w:val="auto"/>
              </w:rPr>
            </w:pPr>
          </w:p>
        </w:tc>
      </w:tr>
      <w:tr>
        <w:trPr>
          <w:trHeight w:val="60"/>
        </w:trPr>
        <w:tc>
          <w:tcPr>
            <w:tcW w:w="84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Future policy benefits</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39,846</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36,209</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Policyholder account balances</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44,919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40,054</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Other policy-related balances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3,079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Payables for collateral under securities loaned and other transactions</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5,057</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4,365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3,963</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income tax payable</w:t>
            </w:r>
          </w:p>
        </w:tc>
        <w:tc>
          <w:tcPr>
            <w:tcW w:w="16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Deferred income tax liability</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1,749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4,285</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Separate account liabilities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103,928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98,256</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208,116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191,811</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40"/>
              <w:spacing w:after="0"/>
              <w:rPr>
                <w:sz w:val="20"/>
                <w:szCs w:val="20"/>
                <w:color w:val="auto"/>
              </w:rPr>
            </w:pPr>
            <w:r>
              <w:rPr>
                <w:rFonts w:ascii="Arial" w:cs="Arial" w:eastAsia="Arial" w:hAnsi="Arial"/>
                <w:sz w:val="14"/>
                <w:szCs w:val="14"/>
                <w:b w:val="1"/>
                <w:bCs w:val="1"/>
                <w:color w:val="auto"/>
              </w:rPr>
              <w:t>Contingencies, Commitments and Guarantees (Note 11)</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Equity</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Brighthouse Financial, Inc.’s stockholders’ equity:</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stock, par value $0.01 per share; $425 aggregate liquidation preference at September 30, 2019</w:t>
            </w: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8460" w:type="dxa"/>
            <w:vAlign w:val="bottom"/>
          </w:tcPr>
          <w:p>
            <w:pPr>
              <w:ind w:left="40"/>
              <w:spacing w:after="0" w:line="157" w:lineRule="exact"/>
              <w:rPr>
                <w:sz w:val="20"/>
                <w:szCs w:val="20"/>
                <w:color w:val="auto"/>
              </w:rPr>
            </w:pPr>
            <w:r>
              <w:rPr>
                <w:rFonts w:ascii="Arial" w:cs="Arial" w:eastAsia="Arial" w:hAnsi="Arial"/>
                <w:sz w:val="14"/>
                <w:szCs w:val="14"/>
                <w:color w:val="auto"/>
                <w:w w:val="99"/>
              </w:rPr>
              <w:t>Common stock, par value $0.01 per share; 1,000,000,000 shares authorized; 120,614,815 and 120,448,018 shares issued, respectively;</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60" w:type="dxa"/>
            <w:vAlign w:val="bottom"/>
          </w:tcPr>
          <w:p>
            <w:pPr>
              <w:ind w:left="200"/>
              <w:spacing w:after="0"/>
              <w:rPr>
                <w:sz w:val="20"/>
                <w:szCs w:val="20"/>
                <w:color w:val="auto"/>
              </w:rPr>
            </w:pPr>
            <w:r>
              <w:rPr>
                <w:rFonts w:ascii="Arial" w:cs="Arial" w:eastAsia="Arial" w:hAnsi="Arial"/>
                <w:sz w:val="14"/>
                <w:szCs w:val="14"/>
                <w:color w:val="auto"/>
              </w:rPr>
              <w:t>109,264,305 and 117,532,336 shares outstanding, respectively</w:t>
            </w:r>
          </w:p>
        </w:tc>
        <w:tc>
          <w:tcPr>
            <w:tcW w:w="160" w:type="dxa"/>
            <w:vAlign w:val="bottom"/>
          </w:tcPr>
          <w:p>
            <w:pPr>
              <w:spacing w:after="0"/>
              <w:rPr>
                <w:sz w:val="16"/>
                <w:szCs w:val="16"/>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12,897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12,473</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Retained earnings (deficit)</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1,662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1,346</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at cost; 11,350,510 and 2,915,682 shares, respectively</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Accumulated other comprehensive income (loss)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3,567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Brighthouse Financial, Inc.’s stockholders’ equity</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17,695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14,418</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Noncontrolling interests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equity</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17,760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14,483</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Total liabilities and equity</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225,876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206,294</w:t>
            </w:r>
          </w:p>
        </w:tc>
        <w:tc>
          <w:tcPr>
            <w:tcW w:w="0" w:type="dxa"/>
            <w:vAlign w:val="bottom"/>
          </w:tcPr>
          <w:p>
            <w:pPr>
              <w:spacing w:after="0"/>
              <w:rPr>
                <w:sz w:val="1"/>
                <w:szCs w:val="1"/>
                <w:color w:val="auto"/>
              </w:rPr>
            </w:pPr>
          </w:p>
        </w:tc>
      </w:tr>
      <w:tr>
        <w:trPr>
          <w:trHeight w:val="65"/>
        </w:trPr>
        <w:tc>
          <w:tcPr>
            <w:tcW w:w="846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ectPr>
          <w:pgSz w:w="11900" w:h="16838" w:orient="portrait"/>
          <w:cols w:equalWidth="0" w:num="1">
            <w:col w:w="11420"/>
          </w:cols>
          <w:pgMar w:left="240" w:top="126" w:right="239" w:bottom="219"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6" w:right="239" w:bottom="219"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Interim Condensed Consolidated Statements of Operations and Comprehensive Income (Loss)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For the Three Months and Nine Months Ended September 30, 2019 and 2018 (Unaudited)</w:t>
      </w:r>
    </w:p>
    <w:p>
      <w:pPr>
        <w:spacing w:after="0" w:line="15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(In millions,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7"/>
          </w:tcPr>
          <w:p>
            <w:pPr>
              <w:jc w:val="right"/>
              <w:ind w:right="460"/>
              <w:spacing w:after="0"/>
              <w:rPr>
                <w:sz w:val="20"/>
                <w:szCs w:val="20"/>
                <w:color w:val="auto"/>
              </w:rPr>
            </w:pPr>
            <w:r>
              <w:rPr>
                <w:rFonts w:ascii="Arial" w:cs="Arial" w:eastAsia="Arial" w:hAnsi="Arial"/>
                <w:sz w:val="16"/>
                <w:szCs w:val="16"/>
                <w:b w:val="1"/>
                <w:bCs w:val="1"/>
                <w:color w:val="auto"/>
                <w:w w:val="99"/>
              </w:rPr>
              <w:t>Three Months Ended</w:t>
            </w:r>
          </w:p>
        </w:tc>
        <w:tc>
          <w:tcPr>
            <w:tcW w:w="240" w:type="dxa"/>
            <w:vAlign w:val="bottom"/>
          </w:tcPr>
          <w:p>
            <w:pPr>
              <w:spacing w:after="0"/>
              <w:rPr>
                <w:sz w:val="17"/>
                <w:szCs w:val="17"/>
                <w:color w:val="auto"/>
              </w:rPr>
            </w:pPr>
          </w:p>
        </w:tc>
        <w:tc>
          <w:tcPr>
            <w:tcW w:w="1900" w:type="dxa"/>
            <w:vAlign w:val="bottom"/>
            <w:gridSpan w:val="6"/>
          </w:tcPr>
          <w:p>
            <w:pPr>
              <w:ind w:left="16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7"/>
          </w:tcPr>
          <w:p>
            <w:pPr>
              <w:ind w:left="40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900" w:type="dxa"/>
            <w:vAlign w:val="bottom"/>
            <w:gridSpan w:val="6"/>
          </w:tcPr>
          <w:p>
            <w:pPr>
              <w:ind w:left="38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9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69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Premiums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Universal life and investment-type product policy fees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Net investment income</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revenues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Net investment gains (losses)</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derivative gains (losses)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3,187</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6,248</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4,939</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9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69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Policyholder benefits and claims</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credited to policyholder account balances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Amortization of deferred policy acquisition costs and value of business acquired</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expenses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Arial" w:cs="Arial" w:eastAsia="Arial" w:hAnsi="Arial"/>
                <w:sz w:val="16"/>
                <w:szCs w:val="16"/>
                <w:color w:val="auto"/>
              </w:rPr>
              <w:t>Total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2,383</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5,928</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5,737</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provision for income tax</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income (loss) attributable to Brighthouse Financial, Inc.</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Less: Preferred stock dividends</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color w:val="auto"/>
              </w:rPr>
              <w:t>Comprehensive income (loss)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80" w:type="dxa"/>
            <w:vAlign w:val="bottom"/>
            <w:gridSpan w:val="2"/>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1,550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3,185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Arial" w:cs="Arial" w:eastAsia="Arial" w:hAnsi="Arial"/>
                <w:sz w:val="16"/>
                <w:szCs w:val="16"/>
                <w:color w:val="auto"/>
              </w:rPr>
              <w:t>Comprehensive income (loss) attributable to Brighthouse Financial, Inc.</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1,548</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3,181</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(1,622)</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940" w:type="dxa"/>
            <w:vAlign w:val="bottom"/>
          </w:tcPr>
          <w:p>
            <w:pPr>
              <w:ind w:left="2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360"/>
              <w:spacing w:after="0"/>
              <w:rPr>
                <w:sz w:val="20"/>
                <w:szCs w:val="20"/>
                <w:color w:val="auto"/>
              </w:rPr>
            </w:pPr>
            <w:r>
              <w:rPr>
                <w:rFonts w:ascii="Arial" w:cs="Arial" w:eastAsia="Arial" w:hAnsi="Arial"/>
                <w:sz w:val="16"/>
                <w:szCs w:val="16"/>
                <w:color w:val="auto"/>
              </w:rPr>
              <w:t>2.77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69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Diluted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2.75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 w:right="2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Interim Condensed Consolidated Statements of Equity</w:t>
      </w:r>
    </w:p>
    <w:p>
      <w:pPr>
        <w:spacing w:after="0" w:line="27" w:lineRule="exact"/>
        <w:rPr>
          <w:sz w:val="20"/>
          <w:szCs w:val="20"/>
          <w:color w:val="auto"/>
        </w:rPr>
      </w:pPr>
    </w:p>
    <w:p>
      <w:pPr>
        <w:jc w:val="right"/>
        <w:ind w:right="2080"/>
        <w:spacing w:after="0"/>
        <w:rPr>
          <w:sz w:val="20"/>
          <w:szCs w:val="20"/>
          <w:color w:val="auto"/>
        </w:rPr>
      </w:pPr>
      <w:r>
        <w:rPr>
          <w:rFonts w:ascii="Arial" w:cs="Arial" w:eastAsia="Arial" w:hAnsi="Arial"/>
          <w:sz w:val="18"/>
          <w:szCs w:val="18"/>
          <w:b w:val="1"/>
          <w:bCs w:val="1"/>
          <w:color w:val="auto"/>
        </w:rPr>
        <w:t>For the Three Months and Nine Months Ended September 30, 2019 and 2018 (Unaudited)</w:t>
      </w:r>
    </w:p>
    <w:p>
      <w:pPr>
        <w:spacing w:after="0" w:line="15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400"/>
          </w:cols>
          <w:pgMar w:left="240" w:top="12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right="1000"/>
        <w:spacing w:after="0" w:line="435" w:lineRule="auto"/>
        <w:rPr>
          <w:sz w:val="20"/>
          <w:szCs w:val="20"/>
          <w:color w:val="auto"/>
        </w:rPr>
      </w:pPr>
      <w:r>
        <w:rPr>
          <w:rFonts w:ascii="Arial" w:cs="Arial" w:eastAsia="Arial" w:hAnsi="Arial"/>
          <w:sz w:val="11"/>
          <w:szCs w:val="11"/>
          <w:color w:val="auto"/>
        </w:rPr>
        <w:t>Balance at December 31, 2018 Preferred stock issuance</w:t>
      </w:r>
    </w:p>
    <w:p>
      <w:pPr>
        <w:spacing w:after="0" w:line="1" w:lineRule="exact"/>
        <w:rPr>
          <w:sz w:val="20"/>
          <w:szCs w:val="20"/>
          <w:color w:val="auto"/>
        </w:rPr>
      </w:pPr>
    </w:p>
    <w:p>
      <w:pPr>
        <w:ind w:left="220" w:right="80" w:hanging="161"/>
        <w:spacing w:after="0" w:line="237" w:lineRule="auto"/>
        <w:rPr>
          <w:sz w:val="20"/>
          <w:szCs w:val="20"/>
          <w:color w:val="auto"/>
        </w:rPr>
      </w:pPr>
      <w:r>
        <w:rPr>
          <w:rFonts w:ascii="Arial" w:cs="Arial" w:eastAsia="Arial" w:hAnsi="Arial"/>
          <w:sz w:val="13"/>
          <w:szCs w:val="13"/>
          <w:color w:val="auto"/>
        </w:rPr>
        <w:t>Treasury stock acquired in connection with share repurchases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on preferred stock</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Change in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 (loss)</w:t>
      </w:r>
    </w:p>
    <w:p>
      <w:pPr>
        <w:spacing w:after="0" w:line="40" w:lineRule="exact"/>
        <w:rPr>
          <w:sz w:val="20"/>
          <w:szCs w:val="20"/>
          <w:color w:val="auto"/>
        </w:rPr>
      </w:pPr>
    </w:p>
    <w:p>
      <w:pPr>
        <w:ind w:left="220" w:hanging="161"/>
        <w:spacing w:after="0" w:line="237" w:lineRule="auto"/>
        <w:rPr>
          <w:sz w:val="20"/>
          <w:szCs w:val="20"/>
          <w:color w:val="auto"/>
        </w:rPr>
      </w:pPr>
      <w:r>
        <w:rPr>
          <w:rFonts w:ascii="Arial" w:cs="Arial" w:eastAsia="Arial" w:hAnsi="Arial"/>
          <w:sz w:val="13"/>
          <w:szCs w:val="13"/>
          <w:color w:val="auto"/>
        </w:rPr>
        <w:t>Other comprehensive income (loss), net of income tax</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June 30, 2019</w:t>
      </w:r>
    </w:p>
    <w:p>
      <w:pPr>
        <w:spacing w:after="0" w:line="121" w:lineRule="exact"/>
        <w:rPr>
          <w:sz w:val="20"/>
          <w:szCs w:val="20"/>
          <w:color w:val="auto"/>
        </w:rPr>
      </w:pPr>
    </w:p>
    <w:p>
      <w:pPr>
        <w:ind w:left="220" w:right="80" w:hanging="161"/>
        <w:spacing w:after="0" w:line="237" w:lineRule="auto"/>
        <w:rPr>
          <w:sz w:val="20"/>
          <w:szCs w:val="20"/>
          <w:color w:val="auto"/>
        </w:rPr>
      </w:pPr>
      <w:r>
        <w:rPr>
          <w:rFonts w:ascii="Arial" w:cs="Arial" w:eastAsia="Arial" w:hAnsi="Arial"/>
          <w:sz w:val="13"/>
          <w:szCs w:val="13"/>
          <w:color w:val="auto"/>
        </w:rPr>
        <w:t>Treasury stock acquired in connection with share repurchases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on preferred stock</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Change in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 (loss)</w:t>
      </w:r>
    </w:p>
    <w:p>
      <w:pPr>
        <w:spacing w:after="0" w:line="121" w:lineRule="exact"/>
        <w:rPr>
          <w:sz w:val="20"/>
          <w:szCs w:val="20"/>
          <w:color w:val="auto"/>
        </w:rPr>
      </w:pPr>
    </w:p>
    <w:p>
      <w:pPr>
        <w:ind w:left="220" w:hanging="161"/>
        <w:spacing w:after="0" w:line="237" w:lineRule="auto"/>
        <w:rPr>
          <w:sz w:val="20"/>
          <w:szCs w:val="20"/>
          <w:color w:val="auto"/>
        </w:rPr>
      </w:pPr>
      <w:r>
        <w:rPr>
          <w:rFonts w:ascii="Arial" w:cs="Arial" w:eastAsia="Arial" w:hAnsi="Arial"/>
          <w:sz w:val="13"/>
          <w:szCs w:val="13"/>
          <w:color w:val="auto"/>
        </w:rPr>
        <w:t>Other comprehensive income (loss), net of income tax</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September 30, 2019</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Brighthouse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6"/>
              </w:rPr>
              <w:t>Retained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9"/>
              </w:rPr>
              <w:t>Financial, Inc.’s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14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Preferred</w:t>
            </w:r>
          </w:p>
        </w:tc>
        <w:tc>
          <w:tcPr>
            <w:tcW w:w="12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2"/>
                <w:szCs w:val="12"/>
                <w:b w:val="1"/>
                <w:bCs w:val="1"/>
                <w:color w:val="auto"/>
                <w:w w:val="88"/>
              </w:rPr>
              <w:t>Common</w:t>
            </w: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5"/>
              </w:rPr>
              <w:t>Earnings</w:t>
            </w:r>
          </w:p>
        </w:tc>
        <w:tc>
          <w:tcPr>
            <w:tcW w:w="1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Treasury</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5"/>
              </w:rPr>
              <w:t>Stockholders’</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9"/>
              </w:rPr>
              <w:t>Noncontrolling</w:t>
            </w:r>
          </w:p>
        </w:tc>
        <w:tc>
          <w:tcPr>
            <w:tcW w:w="140" w:type="dxa"/>
            <w:vAlign w:val="bottom"/>
          </w:tcPr>
          <w:p>
            <w:pPr>
              <w:spacing w:after="0"/>
              <w:rPr>
                <w:sz w:val="11"/>
                <w:szCs w:val="11"/>
                <w:color w:val="auto"/>
              </w:rPr>
            </w:pPr>
          </w:p>
        </w:tc>
        <w:tc>
          <w:tcPr>
            <w:tcW w:w="5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rPr>
              <w:t>Total</w:t>
            </w:r>
          </w:p>
        </w:tc>
      </w:tr>
      <w:tr>
        <w:trPr>
          <w:trHeight w:val="150"/>
        </w:trPr>
        <w:tc>
          <w:tcPr>
            <w:tcW w:w="14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Stock</w:t>
            </w:r>
          </w:p>
        </w:tc>
        <w:tc>
          <w:tcPr>
            <w:tcW w:w="12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Stock</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Paid-in Capital</w:t>
            </w:r>
          </w:p>
        </w:tc>
        <w:tc>
          <w:tcPr>
            <w:tcW w:w="10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(Deficit)</w:t>
            </w:r>
          </w:p>
        </w:tc>
        <w:tc>
          <w:tcPr>
            <w:tcW w:w="88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1"/>
              </w:rPr>
              <w:t>Stock at Cost</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Income (Loss)</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Equity</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w:t>
            </w:r>
          </w:p>
        </w:tc>
        <w:tc>
          <w:tcPr>
            <w:tcW w:w="140" w:type="dxa"/>
            <w:vAlign w:val="bottom"/>
          </w:tcPr>
          <w:p>
            <w:pPr>
              <w:spacing w:after="0"/>
              <w:rPr>
                <w:sz w:val="13"/>
                <w:szCs w:val="13"/>
                <w:color w:val="auto"/>
              </w:rPr>
            </w:pPr>
          </w:p>
        </w:tc>
        <w:tc>
          <w:tcPr>
            <w:tcW w:w="520" w:type="dxa"/>
            <w:vAlign w:val="bottom"/>
          </w:tcPr>
          <w:p>
            <w:pPr>
              <w:jc w:val="right"/>
              <w:ind w:right="98"/>
              <w:spacing w:after="0"/>
              <w:rPr>
                <w:sz w:val="20"/>
                <w:szCs w:val="20"/>
                <w:color w:val="auto"/>
              </w:rPr>
            </w:pPr>
            <w:r>
              <w:rPr>
                <w:rFonts w:ascii="Arial" w:cs="Arial" w:eastAsia="Arial" w:hAnsi="Arial"/>
                <w:sz w:val="12"/>
                <w:szCs w:val="12"/>
                <w:b w:val="1"/>
                <w:bCs w:val="1"/>
                <w:color w:val="auto"/>
                <w:w w:val="92"/>
              </w:rPr>
              <w:t>Equity</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34"/>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12,473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1,346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9"/>
              <w:spacing w:after="0"/>
              <w:rPr>
                <w:sz w:val="20"/>
                <w:szCs w:val="20"/>
                <w:color w:val="auto"/>
              </w:rPr>
            </w:pPr>
            <w:r>
              <w:rPr>
                <w:rFonts w:ascii="Arial" w:cs="Arial" w:eastAsia="Arial" w:hAnsi="Arial"/>
                <w:sz w:val="13"/>
                <w:szCs w:val="13"/>
                <w:color w:val="auto"/>
              </w:rPr>
              <w:t>716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14,418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14,483</w:t>
            </w:r>
          </w:p>
        </w:tc>
      </w:tr>
      <w:tr>
        <w:trPr>
          <w:trHeight w:val="270"/>
        </w:trPr>
        <w:tc>
          <w:tcPr>
            <w:tcW w:w="140" w:type="dxa"/>
            <w:vAlign w:val="bottom"/>
          </w:tcPr>
          <w:p>
            <w:pPr>
              <w:spacing w:after="0"/>
              <w:rPr>
                <w:sz w:val="23"/>
                <w:szCs w:val="23"/>
                <w:color w:val="auto"/>
              </w:rPr>
            </w:pP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412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412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412</w:t>
            </w:r>
          </w:p>
        </w:tc>
      </w:tr>
      <w:tr>
        <w:trPr>
          <w:trHeight w:val="324"/>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(188)</w:t>
            </w: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8</w:t>
            </w: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(351)</w:t>
            </w:r>
          </w:p>
        </w:tc>
      </w:tr>
      <w:tr>
        <w:trPr>
          <w:trHeight w:val="334"/>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1,986</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1,986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1,986</w:t>
            </w:r>
          </w:p>
        </w:tc>
      </w:tr>
      <w:tr>
        <w:trPr>
          <w:trHeight w:val="241"/>
        </w:trPr>
        <w:tc>
          <w:tcPr>
            <w:tcW w:w="140" w:type="dxa"/>
            <w:vAlign w:val="bottom"/>
          </w:tcPr>
          <w:p>
            <w:pPr>
              <w:spacing w:after="0"/>
              <w:rPr>
                <w:sz w:val="20"/>
                <w:szCs w:val="20"/>
                <w:color w:val="auto"/>
              </w:rPr>
            </w:pP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12,893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986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3"/>
                <w:szCs w:val="13"/>
                <w:color w:val="auto"/>
              </w:rPr>
              <w:t>2,702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16,276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16,341</w:t>
            </w:r>
          </w:p>
        </w:tc>
      </w:tr>
      <w:tr>
        <w:trPr>
          <w:trHeight w:val="324"/>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(126)</w:t>
            </w: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4</w:t>
            </w: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683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683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685</w:t>
            </w:r>
          </w:p>
        </w:tc>
      </w:tr>
      <w:tr>
        <w:trPr>
          <w:trHeight w:val="334"/>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865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865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865</w:t>
            </w:r>
          </w:p>
        </w:tc>
      </w:tr>
      <w:tr>
        <w:trPr>
          <w:trHeight w:val="237"/>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12,897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1,662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(432)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9"/>
              <w:spacing w:after="0"/>
              <w:rPr>
                <w:sz w:val="20"/>
                <w:szCs w:val="20"/>
                <w:color w:val="auto"/>
              </w:rPr>
            </w:pPr>
            <w:r>
              <w:rPr>
                <w:rFonts w:ascii="Arial" w:cs="Arial" w:eastAsia="Arial" w:hAnsi="Arial"/>
                <w:sz w:val="13"/>
                <w:szCs w:val="13"/>
                <w:color w:val="auto"/>
              </w:rPr>
              <w:t>3,567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17,695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17,760</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-2898140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-2555240</wp:posOffset>
            </wp:positionV>
            <wp:extent cx="7229475"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20574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-2177415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-1834515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-1457325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-1080135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-736600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-393700</wp:posOffset>
            </wp:positionV>
            <wp:extent cx="7229475"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160"/>
            <w:col w:w="8640"/>
          </w:cols>
          <w:pgMar w:left="240" w:top="12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December 31, 2017</w:t>
      </w:r>
    </w:p>
    <w:p>
      <w:pPr>
        <w:spacing w:after="0" w:line="40" w:lineRule="exact"/>
        <w:rPr>
          <w:sz w:val="20"/>
          <w:szCs w:val="20"/>
          <w:color w:val="auto"/>
        </w:rPr>
      </w:pPr>
    </w:p>
    <w:p>
      <w:pPr>
        <w:ind w:left="220" w:right="400" w:hanging="161"/>
        <w:spacing w:after="0" w:line="320" w:lineRule="auto"/>
        <w:rPr>
          <w:sz w:val="20"/>
          <w:szCs w:val="20"/>
          <w:color w:val="auto"/>
        </w:rPr>
      </w:pPr>
      <w:r>
        <w:rPr>
          <w:rFonts w:ascii="Arial" w:cs="Arial" w:eastAsia="Arial" w:hAnsi="Arial"/>
          <w:sz w:val="11"/>
          <w:szCs w:val="11"/>
          <w:color w:val="auto"/>
        </w:rPr>
        <w:t>Cumulative effect of change in accounting principle and other, net of income tax</w:t>
      </w:r>
    </w:p>
    <w:p>
      <w:pPr>
        <w:spacing w:after="0" w:line="68" w:lineRule="exact"/>
        <w:rPr>
          <w:sz w:val="20"/>
          <w:szCs w:val="20"/>
          <w:color w:val="auto"/>
        </w:rPr>
      </w:pPr>
    </w:p>
    <w:p>
      <w:pPr>
        <w:ind w:left="40" w:right="820"/>
        <w:spacing w:after="0" w:line="401" w:lineRule="auto"/>
        <w:rPr>
          <w:sz w:val="20"/>
          <w:szCs w:val="20"/>
          <w:color w:val="auto"/>
        </w:rPr>
      </w:pPr>
      <w:r>
        <w:rPr>
          <w:rFonts w:ascii="Arial" w:cs="Arial" w:eastAsia="Arial" w:hAnsi="Arial"/>
          <w:sz w:val="13"/>
          <w:szCs w:val="13"/>
          <w:color w:val="auto"/>
        </w:rPr>
        <w:t>Balance at January 1, 2018 Share-based compensation Change in noncontrolling interests Net income (loss)</w:t>
      </w:r>
    </w:p>
    <w:p>
      <w:pPr>
        <w:ind w:left="220" w:hanging="161"/>
        <w:spacing w:after="0" w:line="237" w:lineRule="auto"/>
        <w:rPr>
          <w:sz w:val="20"/>
          <w:szCs w:val="20"/>
          <w:color w:val="auto"/>
        </w:rPr>
      </w:pPr>
      <w:r>
        <w:rPr>
          <w:rFonts w:ascii="Arial" w:cs="Arial" w:eastAsia="Arial" w:hAnsi="Arial"/>
          <w:sz w:val="13"/>
          <w:szCs w:val="13"/>
          <w:color w:val="auto"/>
        </w:rPr>
        <w:t>Other comprehensive income (loss), net of income tax</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June 30, 2018</w:t>
      </w:r>
    </w:p>
    <w:p>
      <w:pPr>
        <w:spacing w:after="0" w:line="121" w:lineRule="exact"/>
        <w:rPr>
          <w:sz w:val="20"/>
          <w:szCs w:val="20"/>
          <w:color w:val="auto"/>
        </w:rPr>
      </w:pPr>
    </w:p>
    <w:p>
      <w:pPr>
        <w:ind w:left="220" w:right="80" w:hanging="161"/>
        <w:spacing w:after="0" w:line="237" w:lineRule="auto"/>
        <w:rPr>
          <w:sz w:val="20"/>
          <w:szCs w:val="20"/>
          <w:color w:val="auto"/>
        </w:rPr>
      </w:pPr>
      <w:r>
        <w:rPr>
          <w:rFonts w:ascii="Arial" w:cs="Arial" w:eastAsia="Arial" w:hAnsi="Arial"/>
          <w:sz w:val="13"/>
          <w:szCs w:val="13"/>
          <w:color w:val="auto"/>
        </w:rPr>
        <w:t>Treasury stock acquired in connection with share repurchase</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Change in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 (loss)</w:t>
      </w:r>
    </w:p>
    <w:p>
      <w:pPr>
        <w:spacing w:after="0" w:line="40" w:lineRule="exact"/>
        <w:rPr>
          <w:sz w:val="20"/>
          <w:szCs w:val="20"/>
          <w:color w:val="auto"/>
        </w:rPr>
      </w:pPr>
    </w:p>
    <w:p>
      <w:pPr>
        <w:ind w:left="220" w:hanging="161"/>
        <w:spacing w:after="0" w:line="237" w:lineRule="auto"/>
        <w:rPr>
          <w:sz w:val="20"/>
          <w:szCs w:val="20"/>
          <w:color w:val="auto"/>
        </w:rPr>
      </w:pPr>
      <w:r>
        <w:rPr>
          <w:rFonts w:ascii="Arial" w:cs="Arial" w:eastAsia="Arial" w:hAnsi="Arial"/>
          <w:sz w:val="13"/>
          <w:szCs w:val="13"/>
          <w:color w:val="auto"/>
        </w:rPr>
        <w:t>Other comprehensive income (loss), net of income tax</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September 30, 2018</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Brighthouse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6"/>
              </w:rPr>
              <w:t>Retained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9"/>
              </w:rPr>
              <w:t>Financial, Inc.’s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14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Preferred</w:t>
            </w:r>
          </w:p>
        </w:tc>
        <w:tc>
          <w:tcPr>
            <w:tcW w:w="12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2"/>
                <w:szCs w:val="12"/>
                <w:b w:val="1"/>
                <w:bCs w:val="1"/>
                <w:color w:val="auto"/>
                <w:w w:val="88"/>
              </w:rPr>
              <w:t>Common</w:t>
            </w: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5"/>
              </w:rPr>
              <w:t>Earnings</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0"/>
              </w:rPr>
              <w:t>Treasury</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5"/>
              </w:rPr>
              <w:t>Stockholders’</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9"/>
              </w:rPr>
              <w:t>Noncontrolling</w:t>
            </w:r>
          </w:p>
        </w:tc>
        <w:tc>
          <w:tcPr>
            <w:tcW w:w="140" w:type="dxa"/>
            <w:vAlign w:val="bottom"/>
          </w:tcPr>
          <w:p>
            <w:pPr>
              <w:spacing w:after="0"/>
              <w:rPr>
                <w:sz w:val="11"/>
                <w:szCs w:val="11"/>
                <w:color w:val="auto"/>
              </w:rPr>
            </w:pPr>
          </w:p>
        </w:tc>
        <w:tc>
          <w:tcPr>
            <w:tcW w:w="5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rPr>
              <w:t>Total</w:t>
            </w:r>
          </w:p>
        </w:tc>
      </w:tr>
      <w:tr>
        <w:trPr>
          <w:trHeight w:val="150"/>
        </w:trPr>
        <w:tc>
          <w:tcPr>
            <w:tcW w:w="14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Stock</w:t>
            </w:r>
          </w:p>
        </w:tc>
        <w:tc>
          <w:tcPr>
            <w:tcW w:w="12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Stock</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Paid-in Capital</w:t>
            </w:r>
          </w:p>
        </w:tc>
        <w:tc>
          <w:tcPr>
            <w:tcW w:w="10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(Deficit)</w:t>
            </w:r>
          </w:p>
        </w:tc>
        <w:tc>
          <w:tcPr>
            <w:tcW w:w="8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6"/>
              </w:rPr>
              <w:t>Stock at Cost</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Income (Loss)</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Equity</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w:t>
            </w:r>
          </w:p>
        </w:tc>
        <w:tc>
          <w:tcPr>
            <w:tcW w:w="140" w:type="dxa"/>
            <w:vAlign w:val="bottom"/>
          </w:tcPr>
          <w:p>
            <w:pPr>
              <w:spacing w:after="0"/>
              <w:rPr>
                <w:sz w:val="13"/>
                <w:szCs w:val="13"/>
                <w:color w:val="auto"/>
              </w:rPr>
            </w:pPr>
          </w:p>
        </w:tc>
        <w:tc>
          <w:tcPr>
            <w:tcW w:w="520" w:type="dxa"/>
            <w:vAlign w:val="bottom"/>
          </w:tcPr>
          <w:p>
            <w:pPr>
              <w:jc w:val="right"/>
              <w:ind w:right="98"/>
              <w:spacing w:after="0"/>
              <w:rPr>
                <w:sz w:val="20"/>
                <w:szCs w:val="20"/>
                <w:color w:val="auto"/>
              </w:rPr>
            </w:pPr>
            <w:r>
              <w:rPr>
                <w:rFonts w:ascii="Arial" w:cs="Arial" w:eastAsia="Arial" w:hAnsi="Arial"/>
                <w:sz w:val="12"/>
                <w:szCs w:val="12"/>
                <w:b w:val="1"/>
                <w:bCs w:val="1"/>
                <w:color w:val="auto"/>
                <w:w w:val="92"/>
              </w:rPr>
              <w:t>Equity</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34"/>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12,432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406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9"/>
              <w:spacing w:after="0"/>
              <w:rPr>
                <w:sz w:val="20"/>
                <w:szCs w:val="20"/>
                <w:color w:val="auto"/>
              </w:rPr>
            </w:pPr>
            <w:r>
              <w:rPr>
                <w:rFonts w:ascii="Arial" w:cs="Arial" w:eastAsia="Arial" w:hAnsi="Arial"/>
                <w:sz w:val="13"/>
                <w:szCs w:val="13"/>
                <w:color w:val="auto"/>
              </w:rPr>
              <w:t>1,676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14,515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14,580</w:t>
            </w:r>
          </w:p>
        </w:tc>
      </w:tr>
      <w:tr>
        <w:trPr>
          <w:trHeight w:val="334"/>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241"/>
        </w:trPr>
        <w:tc>
          <w:tcPr>
            <w:tcW w:w="140" w:type="dxa"/>
            <w:vAlign w:val="bottom"/>
          </w:tcPr>
          <w:p>
            <w:pPr>
              <w:spacing w:after="0"/>
              <w:rPr>
                <w:sz w:val="20"/>
                <w:szCs w:val="20"/>
                <w:color w:val="auto"/>
              </w:rPr>
            </w:pP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12,432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481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3"/>
                <w:szCs w:val="13"/>
                <w:color w:val="auto"/>
              </w:rPr>
              <w:t>1,597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14,511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14,576</w:t>
            </w: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12</w:t>
            </w: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(303)</w:t>
            </w:r>
          </w:p>
        </w:tc>
      </w:tr>
      <w:tr>
        <w:trPr>
          <w:trHeight w:val="334"/>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(782)</w:t>
            </w:r>
          </w:p>
        </w:tc>
      </w:tr>
      <w:tr>
        <w:trPr>
          <w:trHeight w:val="241"/>
        </w:trPr>
        <w:tc>
          <w:tcPr>
            <w:tcW w:w="140" w:type="dxa"/>
            <w:vAlign w:val="bottom"/>
          </w:tcPr>
          <w:p>
            <w:pPr>
              <w:spacing w:after="0"/>
              <w:rPr>
                <w:sz w:val="20"/>
                <w:szCs w:val="20"/>
                <w:color w:val="auto"/>
              </w:rPr>
            </w:pP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12,444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175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3"/>
                <w:szCs w:val="13"/>
                <w:color w:val="auto"/>
              </w:rPr>
              <w:t>815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13,435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13,500</w:t>
            </w:r>
          </w:p>
        </w:tc>
      </w:tr>
      <w:tr>
        <w:trPr>
          <w:trHeight w:val="324"/>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25</w:t>
            </w: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(269)</w:t>
            </w:r>
          </w:p>
        </w:tc>
      </w:tr>
      <w:tr>
        <w:trPr>
          <w:trHeight w:val="334"/>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w:t>
            </w:r>
          </w:p>
        </w:tc>
      </w:tr>
      <w:tr>
        <w:trPr>
          <w:trHeight w:val="237"/>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12,469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9"/>
              <w:spacing w:after="0"/>
              <w:rPr>
                <w:sz w:val="20"/>
                <w:szCs w:val="20"/>
                <w:color w:val="auto"/>
              </w:rPr>
            </w:pPr>
            <w:r>
              <w:rPr>
                <w:rFonts w:ascii="Arial" w:cs="Arial" w:eastAsia="Arial" w:hAnsi="Arial"/>
                <w:sz w:val="13"/>
                <w:szCs w:val="13"/>
                <w:color w:val="auto"/>
              </w:rPr>
              <w:t>552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12,884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12,949</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-2555240</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-2177415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-1834515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-1491615</wp:posOffset>
            </wp:positionV>
            <wp:extent cx="722947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20574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-1114425</wp:posOffset>
            </wp:positionV>
            <wp:extent cx="722947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20574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-736600</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-393700</wp:posOffset>
            </wp:positionV>
            <wp:extent cx="7229475"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20574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2600" w:space="160"/>
            <w:col w:w="8640"/>
          </w:cols>
          <w:pgMar w:left="240" w:top="126" w:right="259" w:bottom="1440" w:gutter="0" w:footer="0" w:header="0"/>
          <w:type w:val="continuous"/>
        </w:sectPr>
      </w:pPr>
    </w:p>
    <w:p>
      <w:pPr>
        <w:jc w:val="center"/>
        <w:ind w:left="340"/>
        <w:spacing w:after="0"/>
        <w:rPr>
          <w:sz w:val="20"/>
          <w:szCs w:val="20"/>
          <w:color w:val="auto"/>
        </w:rPr>
      </w:pPr>
      <w:r>
        <w:rPr>
          <w:rFonts w:ascii="Arial" w:cs="Arial" w:eastAsia="Arial" w:hAnsi="Arial"/>
          <w:sz w:val="15"/>
          <w:szCs w:val="15"/>
          <w:b w:val="1"/>
          <w:bCs w:val="1"/>
          <w:color w:val="auto"/>
        </w:rPr>
        <w:t>See accompanying notes to the interim condensed consolidated financial statements.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6" w:right="25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Interim Condensed Consolidated Statements of Cash Flows</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 the Nine Months Ended September 30, 2019 and 2018 (Unaudited)</w:t>
      </w:r>
    </w:p>
    <w:p>
      <w:pPr>
        <w:spacing w:after="0" w:line="9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167"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1,322</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85"/>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8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maturities and repayments of:</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Fixed maturity securities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11,888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11,680</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Mortgage loans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 limited partnerships and limited liability companies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Other limited partnership interests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Fixed maturity securities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(13,412)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(12,005)</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Mortgage loans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(2,625)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(2,771)</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 limited partnerships and limited liability companies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Other limited partnership interests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received in connection with freestanding derivatives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1,179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Cash paid in connection with freestanding derivatives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(1,705)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(2,286)</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policy loans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Net change in short-term investments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(1,977)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other invested assets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60" w:type="dxa"/>
            <w:vAlign w:val="bottom"/>
          </w:tcPr>
          <w:p>
            <w:pPr>
              <w:spacing w:after="0"/>
              <w:rPr>
                <w:sz w:val="14"/>
                <w:szCs w:val="14"/>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(5,699)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(3,469)</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3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Policyholder account balances: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Deposits</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5,689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4,704</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Withdrawals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(2,199)</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payables for collateral under securities loaned and other transactions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Long-term debt issued</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repaid</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(601)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Preferred stock issued, net of issuance costs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on preferred stock</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Treasury stock acquired in connection with share repurchases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element on certain derivative instruments and other derivative related transactions, net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Other, net</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4,521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2,260</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color w:val="auto"/>
              </w:rPr>
              <w:t>Change in cash, cash equivalents and restricted cash</w:t>
            </w:r>
          </w:p>
        </w:tc>
        <w:tc>
          <w:tcPr>
            <w:tcW w:w="36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beginning of period</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4,145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1,857</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4,289</w:t>
            </w:r>
          </w:p>
        </w:tc>
        <w:tc>
          <w:tcPr>
            <w:tcW w:w="120" w:type="dxa"/>
            <w:vAlign w:val="bottom"/>
          </w:tcPr>
          <w:p>
            <w:pPr>
              <w:spacing w:after="0"/>
              <w:rPr>
                <w:sz w:val="14"/>
                <w:szCs w:val="14"/>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2,144</w:t>
            </w:r>
          </w:p>
        </w:tc>
        <w:tc>
          <w:tcPr>
            <w:tcW w:w="0" w:type="dxa"/>
            <w:vAlign w:val="bottom"/>
          </w:tcPr>
          <w:p>
            <w:pPr>
              <w:spacing w:after="0"/>
              <w:rPr>
                <w:sz w:val="1"/>
                <w:szCs w:val="1"/>
                <w:color w:val="auto"/>
              </w:rPr>
            </w:pPr>
          </w:p>
        </w:tc>
      </w:tr>
      <w:tr>
        <w:trPr>
          <w:trHeight w:val="100"/>
        </w:trPr>
        <w:tc>
          <w:tcPr>
            <w:tcW w:w="83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34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3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Net cash paid (received) for:</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60"/>
        </w:trPr>
        <w:tc>
          <w:tcPr>
            <w:tcW w:w="83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180"/>
              <w:spacing w:after="0"/>
              <w:rPr>
                <w:sz w:val="20"/>
                <w:szCs w:val="20"/>
                <w:color w:val="auto"/>
              </w:rPr>
            </w:pPr>
            <w:r>
              <w:rPr>
                <w:rFonts w:ascii="Arial" w:cs="Arial" w:eastAsia="Arial" w:hAnsi="Arial"/>
                <w:sz w:val="14"/>
                <w:szCs w:val="14"/>
                <w:color w:val="auto"/>
              </w:rPr>
              <w:t>Income tax</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vMerge w:val="continue"/>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65"/>
        </w:trPr>
        <w:tc>
          <w:tcPr>
            <w:tcW w:w="8340" w:type="dxa"/>
            <w:vAlign w:val="bottom"/>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ectPr>
          <w:pgSz w:w="11900" w:h="16838" w:orient="portrait"/>
          <w:cols w:equalWidth="0" w:num="1">
            <w:col w:w="11420"/>
          </w:cols>
          <w:pgMar w:left="240" w:top="126"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6" w:right="239" w:bottom="1440" w:gutter="0" w:footer="0" w:header="0"/>
          <w:type w:val="continuous"/>
        </w:sectPr>
      </w:pPr>
    </w:p>
    <w:bookmarkStart w:id="6" w:name="page7"/>
    <w:bookmarkEnd w:id="6"/>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360" w:lineRule="exact"/>
        <w:rPr>
          <w:sz w:val="20"/>
          <w:szCs w:val="20"/>
          <w:color w:val="auto"/>
        </w:rPr>
      </w:pPr>
    </w:p>
    <w:p>
      <w:pPr>
        <w:ind w:right="5120"/>
        <w:spacing w:after="0" w:line="378"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jc w:val="both"/>
        <w:ind w:firstLine="324"/>
        <w:spacing w:after="0" w:line="257" w:lineRule="auto"/>
        <w:rPr>
          <w:sz w:val="20"/>
          <w:szCs w:val="20"/>
          <w:color w:val="auto"/>
        </w:rPr>
      </w:pPr>
      <w:r>
        <w:rPr>
          <w:rFonts w:ascii="Arial" w:cs="Arial" w:eastAsia="Arial" w:hAnsi="Arial"/>
          <w:sz w:val="18"/>
          <w:szCs w:val="18"/>
          <w:color w:val="auto"/>
        </w:rPr>
        <w:t>“Brighthouse Financial” and the “Company” refer to Brighthouse Financial, Inc. and its subsidiaries (formerly, MetLife U.S. Retail Separation Business). Brighthouse Financial, Inc. (“BHF”) is a holding company formed to own the legal entities that historically operated a substantial portion of MetLife, Inc.’s (together with its subsidiaries and affiliates, “MetLife”) former Retail segment. BHF was incorporated in Delaware on August 1, 2016 in preparation for MetLife, Inc.’s separation of a substantial portion of its former Retail segment, as well as certain portions of its former Corporate Benefit Funding segment (the “Separation”), which was completed on August 4, 2017.</w:t>
      </w:r>
    </w:p>
    <w:p>
      <w:pPr>
        <w:spacing w:after="0" w:line="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Separation, 80.8% of MetLife, Inc.’s interest in BHF was distributed to holders of MetLife, Inc.’s common stock and MetLife, Inc. retained the remaining 19.2%. On June 14, 2018, MetLife, Inc. divested its remaining shares of BHF common stock (the “MetLife Divestiture”). As a result, MetLife, Inc. and its subsidiaries and affiliates are no longer considered related parties subsequent to the MetLife Divestiture.</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Brighthouse Financial is one of the largest providers of annuity and life insurance products in the United States through multiple independent distribution channels and marketing arrangements with a diverse network of distribution partners. The Company is organized into three segments: Annuities; Life; and Run-off. In addition, the Company reports certain of its results of operations in Corporate &amp; Other.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Consolidation</w:t>
      </w:r>
    </w:p>
    <w:p>
      <w:pPr>
        <w:spacing w:after="0" w:line="117"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The accompanying interim condensed consolidated financial statements include the accounts of Brighthouse Financial, as well as partnerships and limited liability companies (“LLCs”) in which the Company has control. Intercompany accounts and transactions have been eliminated.</w:t>
      </w:r>
    </w:p>
    <w:p>
      <w:pPr>
        <w:spacing w:after="0" w:line="38"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117" w:lineRule="exact"/>
        <w:rPr>
          <w:sz w:val="20"/>
          <w:szCs w:val="20"/>
          <w:color w:val="auto"/>
        </w:rPr>
      </w:pPr>
    </w:p>
    <w:p>
      <w:pPr>
        <w:jc w:val="both"/>
        <w:ind w:left="180" w:firstLine="324"/>
        <w:spacing w:after="0" w:line="342" w:lineRule="auto"/>
        <w:rPr>
          <w:sz w:val="20"/>
          <w:szCs w:val="20"/>
          <w:color w:val="auto"/>
        </w:rPr>
      </w:pPr>
      <w:r>
        <w:rPr>
          <w:rFonts w:ascii="Arial" w:cs="Arial" w:eastAsia="Arial" w:hAnsi="Arial"/>
          <w:sz w:val="16"/>
          <w:szCs w:val="16"/>
          <w:color w:val="auto"/>
        </w:rPr>
        <w:t>Certain amounts in the prior year periods’ interim condensed consolidated financial statements and related footnotes thereto have been reclassified to conform with the 2019 presentation as may be discussed throughout the Notes to the Interim Condensed Consolidated Financial Statements.</w:t>
      </w:r>
    </w:p>
    <w:p>
      <w:pPr>
        <w:spacing w:after="0" w:line="16" w:lineRule="exact"/>
        <w:rPr>
          <w:sz w:val="20"/>
          <w:szCs w:val="20"/>
          <w:color w:val="auto"/>
        </w:rPr>
      </w:pPr>
    </w:p>
    <w:p>
      <w:pPr>
        <w:jc w:val="both"/>
        <w:ind w:left="180" w:firstLine="324"/>
        <w:spacing w:after="0" w:line="293" w:lineRule="auto"/>
        <w:rPr>
          <w:sz w:val="20"/>
          <w:szCs w:val="20"/>
          <w:color w:val="auto"/>
        </w:rPr>
      </w:pPr>
      <w:r>
        <w:rPr>
          <w:rFonts w:ascii="Arial" w:cs="Arial" w:eastAsia="Arial" w:hAnsi="Arial"/>
          <w:sz w:val="16"/>
          <w:szCs w:val="16"/>
          <w:color w:val="auto"/>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2018 consolidated balance sheet data was derived from audited consolidated financial statements included in Brighthouse Financial, Inc.’s Annual Report on Form 10-K for the year ended December 31, 2018 (the “2018 Annual Report”), which include all disclosures required by GAAP. Therefore, these interim condensed consolidated financial statements should be read in conjunction with the consolidated and combined financial statements of the Company included in the 2018 Annual Report.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34"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1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Changes to GAAP are established by the Financial Accounting Standards Board (“FASB”) in the form of accounting standards updates (“ASUs”) to the FASB Accounting Standards Codification. The Company considers the applicability and impact of all ASUs. ASUs not listed below were assessed and determined to be either not applicable or are not expected to have a material impact on the Company’s financial statements. There were no ASUs adopted during 2019 that had a material impact on the Company’s financial statements.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ASUs issued but not yet adopted as of September 30, 2019 are summarized in the table below.</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Standard</w:t>
            </w:r>
          </w:p>
        </w:tc>
        <w:tc>
          <w:tcPr>
            <w:tcW w:w="4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1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Effective Date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Impact on Financial Statements</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2018-15, Intangibles-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The amendments to Topic 350 require the capitalization of certain</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2020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Effective January 1, 2020, the Company will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Goodwill and Other-Internal-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implementation costs incurred in a cloud computing arrangement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the prospective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adopt this guidance using the prospective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Use Software (Subtopic 350-</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that is a service contract, resulting in changes to the timing of the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or retrospective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method. As a result, no transition impact will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6"/>
              </w:rPr>
              <w:t>40): Customer’s Accounting for</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costs’ recognition. The requirements align with the existing</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(with early adoption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be recognized on adoption.</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Implementation Costs Incurred</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requirements to capitalize implementation costs incurred to</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permitted)</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 a Cloud Computing</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develop or obtain internal-use software.</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Arrangement That Is a Service</w:t>
            </w: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Contract</w:t>
            </w: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2018-12, Financial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The amendments to Topic 944 will result in significant changes to</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amendments were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Company is in the early stages of</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3"/>
              </w:rPr>
              <w:t>Services-Insurance (Topic 944):</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accounting for long-duration insurance contracts. These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originally effective 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evaluating the new guidance and therefore is</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8"/>
              </w:rPr>
              <w:t>Targeted Improvements to the</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changes (1) require all guarantees that qualify as market risk</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2021. 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unable to estimate the impact to its financial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Accounting for Long-Duration</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benefits to be measured at fair value, (2) require more frequent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October 16, 2019, the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statements. The most significant impact will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Contracts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updating of assumptions and modify existing discount rate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FASB voted to change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be the measurement of liabilities for variable</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requirements for certain insurance liabilities, (3) modify the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the effective date of the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annuity guarantees.</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methods of amortization for deferred acquisition costs (“DAC”),</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ASU to January 1, 2022.</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and (4) require new qualitative and quantitative disclosures around</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insurance contract asset and liability balances and the judgments,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assumptions and methods used to measure those balances. The</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market risk benefit guidance is required to be applied on a</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retrospective basis, while the changes to guidance for insurance</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liabilities and DAC may be applied to existing carrying amounts on</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effective date or on a retrospective basis.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2016-13, Financial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1"/>
              </w:rPr>
              <w:t>The amendments to Topic 326 replace the incurred loss impairment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2020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Company expects to reduce retained</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Instruments-Credit Losses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methodology for certain financial instruments with one that reflects</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earnings upon adoption due to an increase in</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(Topic 326): Measurement of</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expected credit losses based on historical loss information, current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its allowance for credit losses; the amount is</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Credit Losses on Financial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conditions, and reasonable and supportable forecasts. The new</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(with early adoption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not expected to be material.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guidance also requires that an other-than- temporary impairment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permitted beginning</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(“OTTI”) on a debt security will be recognized as an allowance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2019)</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going forward, such that improvements in expected future cash</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flows after an impairment will no longer be reflected as a</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prospective yield adjustment through net investment income, but</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rather a reversal of the previous impairment and recognized</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through realized investment gains and losses.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40"/>
          </w:cols>
          <w:pgMar w:left="240" w:top="234" w:right="219" w:bottom="1440" w:gutter="0" w:footer="0" w:header="0"/>
        </w:sectPr>
      </w:pPr>
    </w:p>
    <w:bookmarkStart w:id="8" w:name="page9"/>
    <w:bookmarkEnd w:id="8"/>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is organized into three segments: Annuities; Life; and Run-off. In addition, the Company reports certain of its results of operations in Corporate &amp; Other.</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Life segment consists of insurance products and services, including term, universal, whole and variable life products designed to address policyholders’ needs for financial security and protected wealth transfer, which may be provided on a tax-advantaged basis.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7"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The Run-off segment consists of products no longer actively sold and which are separately managed, including structured settlements, pension risk transfer contracts, certain company-owned life insurance policies, funding agreements and universal life with secondary guarantees.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Corporate &amp; Other contains the excess capital not allocated to the segments and interest expense related to the majority of the Company’s outstanding debt, as well as expenses associated with certain legal proceedings and income tax audit issues. Corporate &amp; Other also includes the elimination of intersegment amounts, long-term care and workers’ compensation business reinsured through 100% quota share reinsurance agreements, and term life insurance sold direct to consumers, which is no longer being offered for new sales.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Measures and Segment Accounting Policies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earnings is a financial measure used by management to evaluate performance, allocate resources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Adjusted earnings should not be viewed as a substitute for net income (loss) available to BHF’s common shareholders and excludes net income (loss) attributable to noncontrolling interests and preferred stock dividends.</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Adjusted earnings, which may be positive or negative, focuses on the Company’s primary businesses principally by excluding the impact of market volatility, which could distort trends.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derivative gains (losses) except earned income on derivatives and amortization of premium on derivatives that are hedges of investments or that are used to replicate certain investments, but do not qualify for hedge accounting treatment;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variable annuity guaranteed minimum income benefits (“GMIBs”) fees (“GMIB Fees”) and amortization of unearned revenue related to net investment gains (losses) and net derivative gains (losses).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Amortization of DAC and value of business acquired (“VOBA”) related to: (i) net investment gains (losses), (ii) net derivative gains (losses), (iii) GMIB Fees and GMIB Costs and (iv) Market Value Adjustments.</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The tax impact of the adjustments mentioned above is calculated net of the statutory tax rate, which could differ from the Company’s effective tax rate.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8" w:right="239" w:bottom="1440" w:gutter="0" w:footer="0" w:header="0"/>
        </w:sectPr>
      </w:pPr>
    </w:p>
    <w:bookmarkStart w:id="9" w:name="page10"/>
    <w:bookmarkEnd w:id="9"/>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segment accounting policies are the same as those used to prepare the Company’s condensed consolidated financial statements, except for the adjustments to calculate adjusted earnings described above. In addition, segment accounting policies include the methods of capital allocation described below.</w:t>
      </w:r>
    </w:p>
    <w:p>
      <w:pPr>
        <w:spacing w:after="0" w:line="7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segments, if any, are held in Corporate &amp; Other. Segment net investment income reflects the performance of each segment’s respective invested assets.</w:t>
      </w:r>
    </w:p>
    <w:p>
      <w:pPr>
        <w:spacing w:after="0" w:line="5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Set forth in the tables below are the operating results with respect to the Company’s segments, as well as Corporate &amp; Other, for the three months and nine months ended September 30, 2019 and 2018.</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w w:val="91"/>
              </w:rPr>
              <w:t>Operating Results</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2019</w:t>
            </w:r>
          </w:p>
        </w:tc>
        <w:tc>
          <w:tcPr>
            <w:tcW w:w="14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3"/>
                <w:szCs w:val="13"/>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Run-off</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&amp; Other</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4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20"/>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Less: Net income (loss) attributable to noncontrolling interests and preferred stock</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40" w:type="dxa"/>
            <w:vAlign w:val="bottom"/>
            <w:gridSpan w:val="2"/>
          </w:tcPr>
          <w:p>
            <w:pPr>
              <w:ind w:left="200"/>
              <w:spacing w:after="0"/>
              <w:rPr>
                <w:sz w:val="20"/>
                <w:szCs w:val="20"/>
                <w:color w:val="auto"/>
              </w:rPr>
            </w:pPr>
            <w:r>
              <w:rPr>
                <w:rFonts w:ascii="Arial" w:cs="Arial" w:eastAsia="Arial" w:hAnsi="Arial"/>
                <w:sz w:val="16"/>
                <w:szCs w:val="16"/>
                <w:color w:val="auto"/>
              </w:rPr>
              <w:t>dividends</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0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Adjusted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20"/>
              <w:spacing w:after="0"/>
              <w:rPr>
                <w:sz w:val="20"/>
                <w:szCs w:val="20"/>
                <w:color w:val="auto"/>
              </w:rPr>
            </w:pPr>
            <w:r>
              <w:rPr>
                <w:rFonts w:ascii="Arial" w:cs="Arial" w:eastAsia="Arial" w:hAnsi="Arial"/>
                <w:sz w:val="16"/>
                <w:szCs w:val="16"/>
                <w:color w:val="auto"/>
              </w:rPr>
              <w:t>Adjustments for:</w:t>
            </w: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investment gains (losses)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Net derivative gains (losses)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0"/>
              <w:spacing w:after="0"/>
              <w:rPr>
                <w:sz w:val="20"/>
                <w:szCs w:val="20"/>
                <w:color w:val="auto"/>
              </w:rPr>
            </w:pPr>
            <w:r>
              <w:rPr>
                <w:rFonts w:ascii="Arial" w:cs="Arial" w:eastAsia="Arial" w:hAnsi="Arial"/>
                <w:sz w:val="16"/>
                <w:szCs w:val="16"/>
                <w:color w:val="auto"/>
              </w:rPr>
              <w:t>1,057</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adjustments to net income</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34" w:right="239" w:bottom="1440" w:gutter="0" w:footer="0" w:header="0"/>
        </w:sectPr>
      </w:pPr>
    </w:p>
    <w:bookmarkStart w:id="10" w:name="page11"/>
    <w:bookmarkEnd w:id="10"/>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7"/>
              </w:rPr>
              <w:t>Operating Results</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Annuities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Run-off</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&amp; Other</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(In millions)</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Pre-tax adjusted earnings</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(134)</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37"/>
        </w:trPr>
        <w:tc>
          <w:tcPr>
            <w:tcW w:w="580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57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Post-tax adjusted earnings</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(105)</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20"/>
        </w:trPr>
        <w:tc>
          <w:tcPr>
            <w:tcW w:w="5800" w:type="dxa"/>
            <w:vAlign w:val="bottom"/>
            <w:gridSpan w:val="2"/>
          </w:tcPr>
          <w:p>
            <w:pPr>
              <w:ind w:left="40"/>
              <w:spacing w:after="0"/>
              <w:rPr>
                <w:sz w:val="20"/>
                <w:szCs w:val="20"/>
                <w:color w:val="auto"/>
              </w:rPr>
            </w:pPr>
            <w:r>
              <w:rPr>
                <w:rFonts w:ascii="Arial" w:cs="Arial" w:eastAsia="Arial" w:hAnsi="Arial"/>
                <w:sz w:val="16"/>
                <w:szCs w:val="16"/>
                <w:color w:val="auto"/>
                <w:w w:val="98"/>
              </w:rPr>
              <w:t>Less: Net income (loss) attributable to noncontrolling interests and preferred stock</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00" w:type="dxa"/>
            <w:vAlign w:val="bottom"/>
            <w:gridSpan w:val="2"/>
          </w:tcPr>
          <w:p>
            <w:pPr>
              <w:ind w:left="200"/>
              <w:spacing w:after="0"/>
              <w:rPr>
                <w:sz w:val="20"/>
                <w:szCs w:val="20"/>
                <w:color w:val="auto"/>
              </w:rPr>
            </w:pPr>
            <w:r>
              <w:rPr>
                <w:rFonts w:ascii="Arial" w:cs="Arial" w:eastAsia="Arial" w:hAnsi="Arial"/>
                <w:sz w:val="16"/>
                <w:szCs w:val="16"/>
                <w:color w:val="auto"/>
              </w:rPr>
              <w:t>dividends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7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earnings</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w:t>
            </w:r>
          </w:p>
        </w:tc>
        <w:tc>
          <w:tcPr>
            <w:tcW w:w="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color w:val="auto"/>
              </w:rPr>
              <w:t>Adjustments for:</w:t>
            </w: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5800" w:type="dxa"/>
            <w:vAlign w:val="bottom"/>
            <w:gridSpan w:val="2"/>
          </w:tcPr>
          <w:p>
            <w:pPr>
              <w:ind w:left="40"/>
              <w:spacing w:after="0"/>
              <w:rPr>
                <w:sz w:val="20"/>
                <w:szCs w:val="20"/>
                <w:color w:val="auto"/>
              </w:rPr>
            </w:pPr>
            <w:r>
              <w:rPr>
                <w:rFonts w:ascii="Arial" w:cs="Arial" w:eastAsia="Arial" w:hAnsi="Arial"/>
                <w:sz w:val="16"/>
                <w:szCs w:val="16"/>
                <w:color w:val="auto"/>
              </w:rPr>
              <w:t>Net derivative gains (losses)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33"/>
        </w:trPr>
        <w:tc>
          <w:tcPr>
            <w:tcW w:w="5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adjustments to net income</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580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33"/>
        </w:trPr>
        <w:tc>
          <w:tcPr>
            <w:tcW w:w="57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6"/>
              </w:rPr>
              <w:t>Net income (loss) available to Brighthouse Financial, Inc.’s common shareholders</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revenue</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322</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6"/>
              </w:rPr>
              <w:t>Operating Results</w:t>
            </w: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Annuities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Life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Run-off</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&amp; Other</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9"/>
              </w:rPr>
              <w:t>(In millions)</w:t>
            </w: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Pre-tax adjusted earnings</w:t>
            </w: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939</w:t>
            </w: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(587)</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37"/>
        </w:trPr>
        <w:tc>
          <w:tcPr>
            <w:tcW w:w="580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176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(127)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7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Post-tax adjusted earnings</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763</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(460)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(124)</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20"/>
        </w:trPr>
        <w:tc>
          <w:tcPr>
            <w:tcW w:w="5800" w:type="dxa"/>
            <w:vAlign w:val="bottom"/>
            <w:gridSpan w:val="2"/>
          </w:tcPr>
          <w:p>
            <w:pPr>
              <w:ind w:left="40"/>
              <w:spacing w:after="0"/>
              <w:rPr>
                <w:sz w:val="20"/>
                <w:szCs w:val="20"/>
                <w:color w:val="auto"/>
              </w:rPr>
            </w:pPr>
            <w:r>
              <w:rPr>
                <w:rFonts w:ascii="Arial" w:cs="Arial" w:eastAsia="Arial" w:hAnsi="Arial"/>
                <w:sz w:val="16"/>
                <w:szCs w:val="16"/>
                <w:color w:val="auto"/>
                <w:w w:val="98"/>
              </w:rPr>
              <w:t>Less: Net income (loss) attributable to noncontrolling interests and preferred stock</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00" w:type="dxa"/>
            <w:vAlign w:val="bottom"/>
            <w:gridSpan w:val="2"/>
          </w:tcPr>
          <w:p>
            <w:pPr>
              <w:ind w:left="200"/>
              <w:spacing w:after="0"/>
              <w:rPr>
                <w:sz w:val="20"/>
                <w:szCs w:val="20"/>
                <w:color w:val="auto"/>
              </w:rPr>
            </w:pPr>
            <w:r>
              <w:rPr>
                <w:rFonts w:ascii="Arial" w:cs="Arial" w:eastAsia="Arial" w:hAnsi="Arial"/>
                <w:sz w:val="16"/>
                <w:szCs w:val="16"/>
                <w:color w:val="auto"/>
              </w:rPr>
              <w:t>dividends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57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earnings</w:t>
            </w: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763</w:t>
            </w:r>
          </w:p>
        </w:tc>
        <w:tc>
          <w:tcPr>
            <w:tcW w:w="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156</w:t>
            </w:r>
          </w:p>
        </w:tc>
        <w:tc>
          <w:tcPr>
            <w:tcW w:w="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(460)</w:t>
            </w:r>
          </w:p>
        </w:tc>
        <w:tc>
          <w:tcPr>
            <w:tcW w:w="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(142)</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color w:val="auto"/>
              </w:rPr>
              <w:t>Adjustments for:</w:t>
            </w: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7"/>
        </w:trPr>
        <w:tc>
          <w:tcPr>
            <w:tcW w:w="5800" w:type="dxa"/>
            <w:vAlign w:val="bottom"/>
            <w:gridSpan w:val="2"/>
          </w:tcPr>
          <w:p>
            <w:pPr>
              <w:ind w:left="40"/>
              <w:spacing w:after="0"/>
              <w:rPr>
                <w:sz w:val="20"/>
                <w:szCs w:val="20"/>
                <w:color w:val="auto"/>
              </w:rPr>
            </w:pPr>
            <w:r>
              <w:rPr>
                <w:rFonts w:ascii="Arial" w:cs="Arial" w:eastAsia="Arial" w:hAnsi="Arial"/>
                <w:sz w:val="16"/>
                <w:szCs w:val="16"/>
                <w:color w:val="auto"/>
              </w:rPr>
              <w:t>Net derivative gains (losses)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33"/>
        </w:trPr>
        <w:tc>
          <w:tcPr>
            <w:tcW w:w="5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adjustments to net income</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580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7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6"/>
              </w:rPr>
              <w:t>Net income (loss) available to Brighthouse Financial, Inc.’s common shareholders</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revenue</w:t>
            </w: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1,352</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942</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gridSpan w:val="3"/>
          </w:tcPr>
          <w:p>
            <w:pPr>
              <w:jc w:val="right"/>
              <w:ind w:right="28"/>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34" w:right="239" w:bottom="1440" w:gutter="0" w:footer="0" w:header="0"/>
        </w:sectPr>
      </w:pPr>
    </w:p>
    <w:bookmarkStart w:id="11" w:name="page12"/>
    <w:bookmarkEnd w:id="1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Operating Results</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16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3"/>
                <w:szCs w:val="13"/>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3"/>
                <w:szCs w:val="13"/>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Run-off</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&amp; 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Pre-tax adjusted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Post-tax adjusted earnings</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20"/>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Less: Net income (loss) attributable to noncontrolling interests and preferred stock</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20" w:type="dxa"/>
            <w:vAlign w:val="bottom"/>
            <w:gridSpan w:val="2"/>
          </w:tcPr>
          <w:p>
            <w:pPr>
              <w:ind w:left="200"/>
              <w:spacing w:after="0"/>
              <w:rPr>
                <w:sz w:val="20"/>
                <w:szCs w:val="20"/>
                <w:color w:val="auto"/>
              </w:rPr>
            </w:pPr>
            <w:r>
              <w:rPr>
                <w:rFonts w:ascii="Arial" w:cs="Arial" w:eastAsia="Arial" w:hAnsi="Arial"/>
                <w:sz w:val="16"/>
                <w:szCs w:val="16"/>
                <w:color w:val="auto"/>
              </w:rPr>
              <w:t>dividends</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Adjusted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ind w:left="40"/>
              <w:spacing w:after="0"/>
              <w:rPr>
                <w:sz w:val="20"/>
                <w:szCs w:val="20"/>
                <w:color w:val="auto"/>
              </w:rPr>
            </w:pPr>
            <w:r>
              <w:rPr>
                <w:rFonts w:ascii="Arial" w:cs="Arial" w:eastAsia="Arial" w:hAnsi="Arial"/>
                <w:sz w:val="16"/>
                <w:szCs w:val="16"/>
                <w:color w:val="auto"/>
              </w:rPr>
              <w:t>Adjustments for:</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Net derivative gains (losses)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adjustments to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w w:val="98"/>
              </w:rPr>
              <w:t>Net income (loss) available to Brighthouse Financial, Inc.’s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979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revenues with respect to the Company’s segments, as well as Corporate &amp; Other:</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0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w w:val="83"/>
              </w:rPr>
              <w:t>2018</w:t>
            </w:r>
          </w:p>
        </w:tc>
      </w:tr>
      <w:tr>
        <w:trPr>
          <w:trHeight w:val="250"/>
        </w:trPr>
        <w:tc>
          <w:tcPr>
            <w:tcW w:w="6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1,184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3,495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3,453</w:t>
            </w: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Life</w:t>
            </w:r>
          </w:p>
        </w:tc>
        <w:tc>
          <w:tcPr>
            <w:tcW w:w="26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1,054</w:t>
            </w:r>
          </w:p>
        </w:tc>
      </w:tr>
      <w:tr>
        <w:trPr>
          <w:trHeight w:val="33"/>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1,594</w:t>
            </w: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26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112</w:t>
            </w:r>
          </w:p>
        </w:tc>
      </w:tr>
      <w:tr>
        <w:trPr>
          <w:trHeight w:val="33"/>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1,152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r>
      <w:tr>
        <w:trPr>
          <w:trHeight w:val="217"/>
        </w:trPr>
        <w:tc>
          <w:tcPr>
            <w:tcW w:w="6540" w:type="dxa"/>
            <w:vAlign w:val="bottom"/>
          </w:tcPr>
          <w:p>
            <w:pPr>
              <w:ind w:left="20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3,187</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1,422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6,248</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4,939</w:t>
            </w:r>
          </w:p>
        </w:tc>
      </w:tr>
      <w:tr>
        <w:trPr>
          <w:trHeight w:val="33"/>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assets with respect to the Company’s segments, as well as Corporate &amp; Other,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2019</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0"/>
              </w:rPr>
              <w:t>December 31, 2018</w:t>
            </w:r>
          </w:p>
        </w:tc>
      </w:tr>
      <w:tr>
        <w:trPr>
          <w:trHeight w:val="250"/>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154,811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141,489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Life</w:t>
            </w:r>
          </w:p>
        </w:tc>
        <w:tc>
          <w:tcPr>
            <w:tcW w:w="22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20,954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20,449</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36,080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32,393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22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14,031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11,963</w:t>
            </w: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225,876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206,294</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234" w:right="23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discussed in Notes 1 and 3 of the Notes to the Consolidated and Combined Financial Statements included in the 2018 Annual Report, the Company issues variable annuity contracts with guaranteed minimum benefits. Guaranteed minimum accumulation benefits (“GMABs”), the non-life contingent portion of guaranteed minimum withdrawal benefits (“GMWBs”) and certain portions of GMIBs that do not require the policyholder to annuitize are accounted for as embedded derivatives in policyholder account balances and are further discussed in Note 5.</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also has universal and variable life insurance contracts with secondary 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the Company’s guarantee exposure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4"/>
                <w:szCs w:val="14"/>
                <w:b w:val="1"/>
                <w:bCs w:val="1"/>
                <w:color w:val="auto"/>
              </w:rPr>
              <w:t>September 30, 2019</w:t>
            </w: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December 31, 2018</w:t>
            </w:r>
          </w:p>
        </w:tc>
        <w:tc>
          <w:tcPr>
            <w:tcW w:w="340" w:type="dxa"/>
            <w:vAlign w:val="bottom"/>
          </w:tcPr>
          <w:p>
            <w:pPr>
              <w:spacing w:after="0"/>
              <w:rPr>
                <w:sz w:val="16"/>
                <w:szCs w:val="16"/>
                <w:color w:val="auto"/>
              </w:rPr>
            </w:pPr>
          </w:p>
        </w:tc>
      </w:tr>
      <w:tr>
        <w:trPr>
          <w:trHeight w:val="152"/>
        </w:trPr>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423"/>
              <w:spacing w:after="0" w:line="153" w:lineRule="exact"/>
              <w:rPr>
                <w:sz w:val="20"/>
                <w:szCs w:val="20"/>
                <w:color w:val="auto"/>
              </w:rPr>
            </w:pPr>
            <w:r>
              <w:rPr>
                <w:rFonts w:ascii="Arial" w:cs="Arial" w:eastAsia="Arial" w:hAnsi="Arial"/>
                <w:sz w:val="14"/>
                <w:szCs w:val="14"/>
                <w:b w:val="1"/>
                <w:bCs w:val="1"/>
                <w:color w:val="auto"/>
              </w:rPr>
              <w:t>In the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83"/>
              <w:spacing w:after="0" w:line="153" w:lineRule="exact"/>
              <w:rPr>
                <w:sz w:val="20"/>
                <w:szCs w:val="20"/>
                <w:color w:val="auto"/>
              </w:rPr>
            </w:pPr>
            <w:r>
              <w:rPr>
                <w:rFonts w:ascii="Arial" w:cs="Arial" w:eastAsia="Arial" w:hAnsi="Arial"/>
                <w:sz w:val="14"/>
                <w:szCs w:val="14"/>
                <w:b w:val="1"/>
                <w:bCs w:val="1"/>
                <w:color w:val="auto"/>
              </w:rPr>
              <w:t>At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403"/>
              <w:spacing w:after="0" w:line="153" w:lineRule="exact"/>
              <w:rPr>
                <w:sz w:val="20"/>
                <w:szCs w:val="20"/>
                <w:color w:val="auto"/>
              </w:rPr>
            </w:pPr>
            <w:r>
              <w:rPr>
                <w:rFonts w:ascii="Arial" w:cs="Arial" w:eastAsia="Arial" w:hAnsi="Arial"/>
                <w:sz w:val="14"/>
                <w:szCs w:val="14"/>
                <w:b w:val="1"/>
                <w:bCs w:val="1"/>
                <w:color w:val="auto"/>
              </w:rPr>
              <w:t>In the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462"/>
              <w:spacing w:after="0" w:line="153" w:lineRule="exact"/>
              <w:rPr>
                <w:sz w:val="20"/>
                <w:szCs w:val="20"/>
                <w:color w:val="auto"/>
              </w:rPr>
            </w:pPr>
            <w:r>
              <w:rPr>
                <w:rFonts w:ascii="Arial" w:cs="Arial" w:eastAsia="Arial" w:hAnsi="Arial"/>
                <w:sz w:val="14"/>
                <w:szCs w:val="14"/>
                <w:b w:val="1"/>
                <w:bCs w:val="1"/>
                <w:color w:val="auto"/>
              </w:rPr>
              <w:t>At</w:t>
            </w:r>
          </w:p>
        </w:tc>
        <w:tc>
          <w:tcPr>
            <w:tcW w:w="340" w:type="dxa"/>
            <w:vAlign w:val="bottom"/>
          </w:tcPr>
          <w:p>
            <w:pPr>
              <w:spacing w:after="0"/>
              <w:rPr>
                <w:sz w:val="13"/>
                <w:szCs w:val="13"/>
                <w:color w:val="auto"/>
              </w:rPr>
            </w:pPr>
          </w:p>
        </w:tc>
      </w:tr>
      <w:tr>
        <w:trPr>
          <w:trHeight w:val="192"/>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7"/>
              </w:rPr>
              <w:t>Event of Death</w:t>
            </w: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9"/>
              </w:rPr>
              <w:t>Annuitization</w:t>
            </w: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5"/>
              </w:rPr>
              <w:t>Event of Death</w:t>
            </w: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Annuitization</w:t>
            </w:r>
          </w:p>
        </w:tc>
        <w:tc>
          <w:tcPr>
            <w:tcW w:w="340" w:type="dxa"/>
            <w:vAlign w:val="bottom"/>
          </w:tcPr>
          <w:p>
            <w:pPr>
              <w:spacing w:after="0"/>
              <w:rPr>
                <w:sz w:val="16"/>
                <w:szCs w:val="16"/>
                <w:color w:val="auto"/>
              </w:rPr>
            </w:pPr>
          </w:p>
        </w:tc>
      </w:tr>
      <w:tr>
        <w:trPr>
          <w:trHeight w:val="250"/>
        </w:trPr>
        <w:tc>
          <w:tcPr>
            <w:tcW w:w="4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4"/>
          </w:tcPr>
          <w:p>
            <w:pPr>
              <w:jc w:val="right"/>
              <w:ind w:right="843"/>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Annuity Contracts (1), (2)</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Variable Annuity Guarantees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3"/>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account value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101,594</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58,572</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96,865</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55,967</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Separate account value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96,645</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57,390</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91,837</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54,731</w:t>
            </w:r>
          </w:p>
        </w:tc>
        <w:tc>
          <w:tcPr>
            <w:tcW w:w="340" w:type="dxa"/>
            <w:vAlign w:val="bottom"/>
          </w:tcPr>
          <w:p>
            <w:pPr>
              <w:spacing w:after="0"/>
              <w:rPr>
                <w:sz w:val="20"/>
                <w:szCs w:val="20"/>
                <w:color w:val="auto"/>
              </w:rPr>
            </w:pPr>
          </w:p>
        </w:tc>
      </w:tr>
      <w:tr>
        <w:trPr>
          <w:trHeight w:val="33"/>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amount at risk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7,393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5,003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11,073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4,128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Average attained age of contract holders</w:t>
            </w:r>
          </w:p>
        </w:tc>
        <w:tc>
          <w:tcPr>
            <w:tcW w:w="180" w:type="dxa"/>
            <w:vAlign w:val="bottom"/>
          </w:tcPr>
          <w:p>
            <w:pPr>
              <w:spacing w:after="0"/>
              <w:rPr>
                <w:sz w:val="20"/>
                <w:szCs w:val="20"/>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r>
    </w:tbl>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September 30, 2019</w:t>
            </w: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860" w:type="dxa"/>
            <w:vAlign w:val="bottom"/>
            <w:tcBorders>
              <w:bottom w:val="single" w:sz="8" w:color="auto"/>
            </w:tcBorders>
            <w:gridSpan w:val="3"/>
          </w:tcPr>
          <w:p>
            <w:pPr>
              <w:jc w:val="right"/>
              <w:ind w:right="1260"/>
              <w:spacing w:after="0"/>
              <w:rPr>
                <w:sz w:val="20"/>
                <w:szCs w:val="20"/>
                <w:color w:val="auto"/>
              </w:rPr>
            </w:pPr>
            <w:r>
              <w:rPr>
                <w:rFonts w:ascii="Arial" w:cs="Arial" w:eastAsia="Arial" w:hAnsi="Arial"/>
                <w:sz w:val="14"/>
                <w:szCs w:val="14"/>
                <w:b w:val="1"/>
                <w:bCs w:val="1"/>
                <w:color w:val="auto"/>
              </w:rPr>
              <w:t>Secondary Guarantees</w:t>
            </w:r>
          </w:p>
        </w:tc>
      </w:tr>
      <w:tr>
        <w:trPr>
          <w:trHeight w:val="250"/>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60" w:type="dxa"/>
            <w:vAlign w:val="bottom"/>
            <w:gridSpan w:val="3"/>
          </w:tcPr>
          <w:p>
            <w:pPr>
              <w:jc w:val="right"/>
              <w:ind w:right="1340"/>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Universal Life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Total account value (3)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6,000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6,099</w:t>
            </w: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amount at risk (6)</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71,641</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73,131</w:t>
            </w: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Average attained age of policyholders</w:t>
            </w:r>
          </w:p>
        </w:tc>
        <w:tc>
          <w:tcPr>
            <w:tcW w:w="240" w:type="dxa"/>
            <w:vAlign w:val="bottom"/>
          </w:tcPr>
          <w:p>
            <w:pPr>
              <w:spacing w:after="0"/>
              <w:rPr>
                <w:sz w:val="20"/>
                <w:szCs w:val="20"/>
                <w:color w:val="auto"/>
              </w:rPr>
            </w:pP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66 years</w:t>
            </w:r>
          </w:p>
        </w:tc>
        <w:tc>
          <w:tcPr>
            <w:tcW w:w="380" w:type="dxa"/>
            <w:vAlign w:val="bottom"/>
          </w:tcPr>
          <w:p>
            <w:pPr>
              <w:spacing w:after="0"/>
              <w:rPr>
                <w:sz w:val="20"/>
                <w:szCs w:val="20"/>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65 years</w:t>
            </w: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7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Variable Life Contracts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3,387</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3,230</w:t>
            </w: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Net amount at risk (6)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21,763</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23,004</w:t>
            </w: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attained age of policyholders</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 years</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 years</w:t>
            </w:r>
          </w:p>
        </w:tc>
      </w:tr>
      <w:tr>
        <w:trPr>
          <w:trHeight w:val="182"/>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r>
    </w:tbl>
    <w:p>
      <w:pPr>
        <w:spacing w:after="0" w:line="73" w:lineRule="exact"/>
        <w:rPr>
          <w:sz w:val="20"/>
          <w:szCs w:val="20"/>
          <w:color w:val="auto"/>
        </w:rPr>
      </w:pPr>
    </w:p>
    <w:p>
      <w:pPr>
        <w:ind w:left="500" w:right="2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annuity contracts with guarantees may offer more than one type of guarantee in each contract. Therefore, the amounts listed above may not be mutually exclusive.</w:t>
      </w:r>
    </w:p>
    <w:p>
      <w:pPr>
        <w:spacing w:after="0" w:line="62"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5 of the Notes to the Consolidated and Combined Financial Statements included in the 2018 Annual Report for a discussion of guaranteed minimum benefits which have been reinsured.</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the contract holder’s investments in the general account and separate account, if applicable.</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34" w:right="239" w:bottom="1440" w:gutter="0" w:footer="0" w:header="0"/>
        </w:sectPr>
      </w:pPr>
    </w:p>
    <w:bookmarkStart w:id="13" w:name="page14"/>
    <w:bookmarkEnd w:id="1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364" w:lineRule="exact"/>
        <w:rPr>
          <w:sz w:val="20"/>
          <w:szCs w:val="20"/>
          <w:color w:val="auto"/>
        </w:rPr>
      </w:pPr>
    </w:p>
    <w:p>
      <w:pPr>
        <w:jc w:val="both"/>
        <w:ind w:left="500" w:hanging="492"/>
        <w:spacing w:after="0" w:line="30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pacing w:after="0" w:line="46" w:lineRule="exact"/>
        <w:rPr>
          <w:rFonts w:ascii="Arial" w:cs="Arial" w:eastAsia="Arial" w:hAnsi="Arial"/>
          <w:sz w:val="16"/>
          <w:szCs w:val="16"/>
          <w:color w:val="auto"/>
        </w:rPr>
      </w:pPr>
    </w:p>
    <w:p>
      <w:pPr>
        <w:ind w:left="500" w:right="2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Defined as the guarantee amount less the account value, as of the balance sheet date. It represents the amount of the claim that the Company would incur if death claims were filed on all contracts on the balance sheet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See Note 1 of the Notes to the Consolidated and Combined Financial Statements included in the 2018 Annual Report for a description of the Company’s accounting policies for investments and Note 6 for information about the fair value hierarchy for investments and the related valuation methodologies.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 (“AFS”)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AFS by Sector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fixed maturity securities AFS by sector at: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3"/>
              </w:rPr>
              <w:t>September 30, 2019</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2"/>
              </w:rPr>
              <w:t>December 31, 2018</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5"/>
              </w:rPr>
              <w:t>Gross Unrealized</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Estimated</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Gross Unrealized</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30"/>
              <w:spacing w:after="0"/>
              <w:rPr>
                <w:sz w:val="20"/>
                <w:szCs w:val="20"/>
                <w:color w:val="auto"/>
              </w:rPr>
            </w:pPr>
            <w:r>
              <w:rPr>
                <w:rFonts w:ascii="Arial" w:cs="Arial" w:eastAsia="Arial" w:hAnsi="Arial"/>
                <w:sz w:val="13"/>
                <w:szCs w:val="13"/>
                <w:b w:val="1"/>
                <w:bCs w:val="1"/>
                <w:color w:val="auto"/>
                <w:w w:val="86"/>
              </w:rPr>
              <w:t>Estimated</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Amortized</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Temporary</w:t>
            </w:r>
          </w:p>
        </w:tc>
        <w:tc>
          <w:tcPr>
            <w:tcW w:w="14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OTTI</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Temporary</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OTTI</w:t>
            </w:r>
          </w:p>
        </w:tc>
        <w:tc>
          <w:tcPr>
            <w:tcW w:w="100" w:type="dxa"/>
            <w:vAlign w:val="bottom"/>
          </w:tcPr>
          <w:p>
            <w:pPr>
              <w:spacing w:after="0"/>
              <w:rPr>
                <w:sz w:val="12"/>
                <w:szCs w:val="12"/>
                <w:color w:val="auto"/>
              </w:rPr>
            </w:pPr>
          </w:p>
        </w:tc>
        <w:tc>
          <w:tcPr>
            <w:tcW w:w="680" w:type="dxa"/>
            <w:vAlign w:val="bottom"/>
          </w:tcPr>
          <w:p>
            <w:pPr>
              <w:jc w:val="center"/>
              <w:ind w:right="30"/>
              <w:spacing w:after="0" w:line="144"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3"/>
              </w:rPr>
              <w:t>Gains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0"/>
              </w:rPr>
              <w:t>Losses</w:t>
            </w:r>
          </w:p>
        </w:tc>
        <w:tc>
          <w:tcPr>
            <w:tcW w:w="8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3"/>
              </w:rPr>
              <w:t>Losses (1)</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88"/>
              </w:rPr>
              <w:t>Gains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75"/>
              </w:rPr>
              <w:t>Losses</w:t>
            </w:r>
          </w:p>
        </w:tc>
        <w:tc>
          <w:tcPr>
            <w:tcW w:w="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0"/>
              </w:rPr>
              <w:t>Losses (1)</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249"/>
        </w:trPr>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5"/>
          </w:tcPr>
          <w:p>
            <w:pPr>
              <w:ind w:left="3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maturity securities: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U.S. corporate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27,968</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3,011</w:t>
            </w:r>
          </w:p>
        </w:tc>
        <w:tc>
          <w:tcPr>
            <w:tcW w:w="26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30,902</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24,312</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830</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24,473</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5,518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2,229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7,746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7,944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9,095</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8,712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9,215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8,428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8,547</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corporate</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9,089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679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9,650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8,183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8,026</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CMBS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5,241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5,579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5,292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5,248</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State and political subdivision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3,209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3,989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3,597</w:t>
            </w: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ABS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1,899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1,917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2,135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government</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1,479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1,725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420" w:type="dxa"/>
            <w:vAlign w:val="bottom"/>
          </w:tcPr>
          <w:p>
            <w:pPr>
              <w:ind w:left="200"/>
              <w:spacing w:after="0"/>
              <w:rPr>
                <w:sz w:val="20"/>
                <w:szCs w:val="20"/>
                <w:color w:val="auto"/>
              </w:rPr>
            </w:pPr>
            <w:r>
              <w:rPr>
                <w:rFonts w:ascii="Arial" w:cs="Arial" w:eastAsia="Arial" w:hAnsi="Arial"/>
                <w:sz w:val="14"/>
                <w:szCs w:val="14"/>
                <w:color w:val="auto"/>
              </w:rPr>
              <w:t>Total fixed maturity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63,115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7,830</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70,723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60,920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3,068</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1,383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62,608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3" w:lineRule="exact"/>
        <w:rPr>
          <w:sz w:val="20"/>
          <w:szCs w:val="20"/>
          <w:color w:val="auto"/>
        </w:rPr>
      </w:pPr>
    </w:p>
    <w:p>
      <w:pPr>
        <w:ind w:left="50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Noncredit OTTI losses included in accumulated other comprehensive income (loss) (“AOCI”) in an unrealized gain position are due to increases in estimated fair value subsequent to initial recognition of noncredit losses on such securities.</w:t>
      </w:r>
    </w:p>
    <w:p>
      <w:pPr>
        <w:spacing w:after="0" w:line="62"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Company held no non-income producing fixed maturity securities at September 30, 2019. The Company held non-income producing fixed maturity securities with an estimated fair value of less than $1 million at December 31, 2018.</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Maturities of Fixed Maturity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amortized cost and estimated fair value of fixed maturity securities, by contractual maturity date, were as follows at September 30,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Due in One</w:t>
            </w:r>
          </w:p>
        </w:tc>
        <w:tc>
          <w:tcPr>
            <w:tcW w:w="280" w:type="dxa"/>
            <w:vAlign w:val="bottom"/>
          </w:tcPr>
          <w:p>
            <w:pPr>
              <w:spacing w:after="0"/>
              <w:rPr>
                <w:sz w:val="14"/>
                <w:szCs w:val="14"/>
                <w:color w:val="auto"/>
              </w:rPr>
            </w:pPr>
          </w:p>
        </w:tc>
        <w:tc>
          <w:tcPr>
            <w:tcW w:w="1220" w:type="dxa"/>
            <w:vAlign w:val="bottom"/>
          </w:tcPr>
          <w:p>
            <w:pPr>
              <w:jc w:val="center"/>
              <w:ind w:right="124"/>
              <w:spacing w:after="0"/>
              <w:rPr>
                <w:sz w:val="20"/>
                <w:szCs w:val="20"/>
                <w:color w:val="auto"/>
              </w:rPr>
            </w:pPr>
            <w:r>
              <w:rPr>
                <w:rFonts w:ascii="Arial" w:cs="Arial" w:eastAsia="Arial" w:hAnsi="Arial"/>
                <w:sz w:val="14"/>
                <w:szCs w:val="14"/>
                <w:b w:val="1"/>
                <w:bCs w:val="1"/>
                <w:color w:val="auto"/>
                <w:w w:val="95"/>
              </w:rPr>
              <w:t>Due After One</w:t>
            </w:r>
          </w:p>
        </w:tc>
        <w:tc>
          <w:tcPr>
            <w:tcW w:w="280" w:type="dxa"/>
            <w:vAlign w:val="bottom"/>
          </w:tcPr>
          <w:p>
            <w:pPr>
              <w:spacing w:after="0"/>
              <w:rPr>
                <w:sz w:val="14"/>
                <w:szCs w:val="14"/>
                <w:color w:val="auto"/>
              </w:rPr>
            </w:pPr>
          </w:p>
        </w:tc>
        <w:tc>
          <w:tcPr>
            <w:tcW w:w="1240" w:type="dxa"/>
            <w:vAlign w:val="bottom"/>
          </w:tcPr>
          <w:p>
            <w:pPr>
              <w:jc w:val="center"/>
              <w:ind w:right="124"/>
              <w:spacing w:after="0"/>
              <w:rPr>
                <w:sz w:val="20"/>
                <w:szCs w:val="20"/>
                <w:color w:val="auto"/>
              </w:rPr>
            </w:pPr>
            <w:r>
              <w:rPr>
                <w:rFonts w:ascii="Arial" w:cs="Arial" w:eastAsia="Arial" w:hAnsi="Arial"/>
                <w:sz w:val="14"/>
                <w:szCs w:val="14"/>
                <w:b w:val="1"/>
                <w:bCs w:val="1"/>
                <w:color w:val="auto"/>
                <w:w w:val="96"/>
              </w:rPr>
              <w:t>Due After Five</w:t>
            </w:r>
          </w:p>
        </w:tc>
        <w:tc>
          <w:tcPr>
            <w:tcW w:w="220" w:type="dxa"/>
            <w:vAlign w:val="bottom"/>
          </w:tcPr>
          <w:p>
            <w:pPr>
              <w:spacing w:after="0"/>
              <w:rPr>
                <w:sz w:val="14"/>
                <w:szCs w:val="14"/>
                <w:color w:val="auto"/>
              </w:rPr>
            </w:pPr>
          </w:p>
        </w:tc>
        <w:tc>
          <w:tcPr>
            <w:tcW w:w="112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8"/>
              </w:rPr>
              <w:t>Due After Ten</w:t>
            </w:r>
          </w:p>
        </w:tc>
        <w:tc>
          <w:tcPr>
            <w:tcW w:w="280" w:type="dxa"/>
            <w:vAlign w:val="bottom"/>
          </w:tcPr>
          <w:p>
            <w:pPr>
              <w:spacing w:after="0"/>
              <w:rPr>
                <w:sz w:val="14"/>
                <w:szCs w:val="14"/>
                <w:color w:val="auto"/>
              </w:rPr>
            </w:pPr>
          </w:p>
        </w:tc>
        <w:tc>
          <w:tcPr>
            <w:tcW w:w="118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Structured</w:t>
            </w:r>
          </w:p>
        </w:tc>
        <w:tc>
          <w:tcPr>
            <w:tcW w:w="300" w:type="dxa"/>
            <w:vAlign w:val="bottom"/>
          </w:tcPr>
          <w:p>
            <w:pPr>
              <w:spacing w:after="0"/>
              <w:rPr>
                <w:sz w:val="14"/>
                <w:szCs w:val="14"/>
                <w:color w:val="auto"/>
              </w:rPr>
            </w:pPr>
          </w:p>
        </w:tc>
        <w:tc>
          <w:tcPr>
            <w:tcW w:w="1140" w:type="dxa"/>
            <w:vAlign w:val="bottom"/>
          </w:tcPr>
          <w:p>
            <w:pPr>
              <w:jc w:val="center"/>
              <w:ind w:right="124"/>
              <w:spacing w:after="0"/>
              <w:rPr>
                <w:sz w:val="20"/>
                <w:szCs w:val="20"/>
                <w:color w:val="auto"/>
              </w:rPr>
            </w:pPr>
            <w:r>
              <w:rPr>
                <w:rFonts w:ascii="Arial" w:cs="Arial" w:eastAsia="Arial" w:hAnsi="Arial"/>
                <w:sz w:val="14"/>
                <w:szCs w:val="14"/>
                <w:b w:val="1"/>
                <w:bCs w:val="1"/>
                <w:color w:val="auto"/>
                <w:w w:val="94"/>
              </w:rPr>
              <w:t>Total Fixed</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6"/>
              </w:rPr>
              <w:t>Year Through</w:t>
            </w:r>
          </w:p>
        </w:tc>
        <w:tc>
          <w:tcPr>
            <w:tcW w:w="1520" w:type="dxa"/>
            <w:vAlign w:val="bottom"/>
            <w:gridSpan w:val="2"/>
          </w:tcPr>
          <w:p>
            <w:pPr>
              <w:jc w:val="center"/>
              <w:ind w:left="22"/>
              <w:spacing w:after="0" w:line="149" w:lineRule="exact"/>
              <w:rPr>
                <w:sz w:val="20"/>
                <w:szCs w:val="20"/>
                <w:color w:val="auto"/>
              </w:rPr>
            </w:pPr>
            <w:r>
              <w:rPr>
                <w:rFonts w:ascii="Arial" w:cs="Arial" w:eastAsia="Arial" w:hAnsi="Arial"/>
                <w:sz w:val="14"/>
                <w:szCs w:val="14"/>
                <w:b w:val="1"/>
                <w:bCs w:val="1"/>
                <w:color w:val="auto"/>
                <w:w w:val="92"/>
              </w:rPr>
              <w:t>Years Through Ten</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w w:val="99"/>
              </w:rPr>
              <w:t>Year or Less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Five Years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w w:val="97"/>
              </w:rPr>
              <w:t>Securities (1)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80" w:type="dxa"/>
            <w:vAlign w:val="bottom"/>
            <w:gridSpan w:val="3"/>
          </w:tcPr>
          <w:p>
            <w:pPr>
              <w:jc w:val="right"/>
              <w:ind w:right="963"/>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1,957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6,764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12,584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25,958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15,852</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63,115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Estimated fair value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3"/>
              <w:spacing w:after="0"/>
              <w:rPr>
                <w:sz w:val="20"/>
                <w:szCs w:val="20"/>
                <w:color w:val="auto"/>
              </w:rPr>
            </w:pPr>
            <w:r>
              <w:rPr>
                <w:rFonts w:ascii="Arial" w:cs="Arial" w:eastAsia="Arial" w:hAnsi="Arial"/>
                <w:sz w:val="16"/>
                <w:szCs w:val="16"/>
                <w:color w:val="auto"/>
              </w:rPr>
              <w:t>1,963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6,959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4"/>
              <w:spacing w:after="0"/>
              <w:rPr>
                <w:sz w:val="20"/>
                <w:szCs w:val="20"/>
                <w:color w:val="auto"/>
              </w:rPr>
            </w:pPr>
            <w:r>
              <w:rPr>
                <w:rFonts w:ascii="Arial" w:cs="Arial" w:eastAsia="Arial" w:hAnsi="Arial"/>
                <w:sz w:val="16"/>
                <w:szCs w:val="16"/>
                <w:color w:val="auto"/>
              </w:rPr>
              <w:t>13,422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31,668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16,711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70,723</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3" w:lineRule="exact"/>
        <w:rPr>
          <w:sz w:val="20"/>
          <w:szCs w:val="20"/>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Structured securities include residential mortgage-backed securities (“RMBS”), commercial mortgage-backed securities (“CMBS”) and asset-backed securities (“ABS”) (collectively, “Structured Securities”).</w:t>
      </w:r>
    </w:p>
    <w:p>
      <w:pPr>
        <w:sectPr>
          <w:pgSz w:w="11900" w:h="16838" w:orient="portrait"/>
          <w:cols w:equalWidth="0" w:num="1">
            <w:col w:w="11420"/>
          </w:cols>
          <w:pgMar w:left="240" w:top="28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288" w:right="23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Continuous Gross Unrealized Losses for Fixed Maturity Securities AFS by Sector</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following table presents the estimated fair value and gross unrealized losses of fixed maturity securities AFS in an unrealized loss position, aggregated by sector and by length of time that the securities have been in a continuous unrealized loss position at:</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3"/>
                <w:szCs w:val="13"/>
                <w:b w:val="1"/>
                <w:bCs w:val="1"/>
                <w:color w:val="auto"/>
              </w:rPr>
              <w:t>September 30, 2019</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3"/>
                <w:szCs w:val="13"/>
                <w:b w:val="1"/>
                <w:bCs w:val="1"/>
                <w:color w:val="auto"/>
              </w:rPr>
              <w:t>December 31, 2018</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gridSpan w:val="5"/>
          </w:tcPr>
          <w:p>
            <w:pPr>
              <w:ind w:left="420"/>
              <w:spacing w:after="0" w:line="144" w:lineRule="exact"/>
              <w:rPr>
                <w:sz w:val="20"/>
                <w:szCs w:val="20"/>
                <w:color w:val="auto"/>
              </w:rPr>
            </w:pPr>
            <w:r>
              <w:rPr>
                <w:rFonts w:ascii="Arial" w:cs="Arial" w:eastAsia="Arial" w:hAnsi="Arial"/>
                <w:sz w:val="13"/>
                <w:szCs w:val="13"/>
                <w:b w:val="1"/>
                <w:bCs w:val="1"/>
                <w:color w:val="auto"/>
              </w:rPr>
              <w:t>Equal to or Greater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4"/>
          </w:tcPr>
          <w:p>
            <w:pPr>
              <w:jc w:val="right"/>
              <w:ind w:right="450"/>
              <w:spacing w:after="0" w:line="144" w:lineRule="exact"/>
              <w:rPr>
                <w:sz w:val="20"/>
                <w:szCs w:val="20"/>
                <w:color w:val="auto"/>
              </w:rPr>
            </w:pPr>
            <w:r>
              <w:rPr>
                <w:rFonts w:ascii="Arial" w:cs="Arial" w:eastAsia="Arial" w:hAnsi="Arial"/>
                <w:sz w:val="13"/>
                <w:szCs w:val="13"/>
                <w:b w:val="1"/>
                <w:bCs w:val="1"/>
                <w:color w:val="auto"/>
              </w:rPr>
              <w:t>Equal to or Greater</w:t>
            </w:r>
          </w:p>
        </w:tc>
        <w:tc>
          <w:tcPr>
            <w:tcW w:w="0" w:type="dxa"/>
            <w:vAlign w:val="bottom"/>
          </w:tcPr>
          <w:p>
            <w:pPr>
              <w:spacing w:after="0"/>
              <w:rPr>
                <w:sz w:val="1"/>
                <w:szCs w:val="1"/>
                <w:color w:val="auto"/>
              </w:rPr>
            </w:pPr>
          </w:p>
        </w:tc>
      </w:tr>
      <w:tr>
        <w:trPr>
          <w:trHeight w:val="174"/>
        </w:trPr>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3"/>
                <w:szCs w:val="13"/>
                <w:b w:val="1"/>
                <w:bCs w:val="1"/>
                <w:color w:val="auto"/>
              </w:rPr>
              <w:t>Less than 12 Months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3"/>
                <w:szCs w:val="13"/>
                <w:b w:val="1"/>
                <w:bCs w:val="1"/>
                <w:color w:val="auto"/>
              </w:rPr>
              <w:t>than 12 Months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3"/>
                <w:szCs w:val="13"/>
                <w:b w:val="1"/>
                <w:bCs w:val="1"/>
                <w:color w:val="auto"/>
              </w:rPr>
              <w:t>Less than 12 Months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3"/>
                <w:szCs w:val="13"/>
                <w:b w:val="1"/>
                <w:bCs w:val="1"/>
                <w:color w:val="auto"/>
              </w:rPr>
              <w:t>than 12 Months</w:t>
            </w: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90"/>
              </w:rPr>
              <w:t>Estimated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79"/>
              </w:rPr>
              <w:t>Gross</w:t>
            </w:r>
          </w:p>
        </w:tc>
        <w:tc>
          <w:tcPr>
            <w:tcW w:w="180" w:type="dxa"/>
            <w:vAlign w:val="bottom"/>
          </w:tcPr>
          <w:p>
            <w:pPr>
              <w:spacing w:after="0"/>
              <w:rPr>
                <w:sz w:val="12"/>
                <w:szCs w:val="12"/>
                <w:color w:val="auto"/>
              </w:rPr>
            </w:pPr>
          </w:p>
        </w:tc>
        <w:tc>
          <w:tcPr>
            <w:tcW w:w="860" w:type="dxa"/>
            <w:vAlign w:val="bottom"/>
          </w:tcPr>
          <w:p>
            <w:pPr>
              <w:jc w:val="center"/>
              <w:ind w:right="91"/>
              <w:spacing w:after="0" w:line="144" w:lineRule="exact"/>
              <w:rPr>
                <w:sz w:val="20"/>
                <w:szCs w:val="20"/>
                <w:color w:val="auto"/>
              </w:rPr>
            </w:pPr>
            <w:r>
              <w:rPr>
                <w:rFonts w:ascii="Arial" w:cs="Arial" w:eastAsia="Arial" w:hAnsi="Arial"/>
                <w:sz w:val="13"/>
                <w:szCs w:val="13"/>
                <w:b w:val="1"/>
                <w:bCs w:val="1"/>
                <w:color w:val="auto"/>
                <w:w w:val="86"/>
              </w:rPr>
              <w:t>Estimated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79"/>
              </w:rPr>
              <w:t>Gross</w:t>
            </w:r>
          </w:p>
        </w:tc>
        <w:tc>
          <w:tcPr>
            <w:tcW w:w="140" w:type="dxa"/>
            <w:vAlign w:val="bottom"/>
          </w:tcPr>
          <w:p>
            <w:pPr>
              <w:spacing w:after="0"/>
              <w:rPr>
                <w:sz w:val="12"/>
                <w:szCs w:val="12"/>
                <w:color w:val="auto"/>
              </w:rPr>
            </w:pPr>
          </w:p>
        </w:tc>
        <w:tc>
          <w:tcPr>
            <w:tcW w:w="76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86"/>
              </w:rPr>
              <w:t>Estimated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Gross</w:t>
            </w:r>
          </w:p>
        </w:tc>
        <w:tc>
          <w:tcPr>
            <w:tcW w:w="160" w:type="dxa"/>
            <w:vAlign w:val="bottom"/>
          </w:tcPr>
          <w:p>
            <w:pPr>
              <w:spacing w:after="0"/>
              <w:rPr>
                <w:sz w:val="12"/>
                <w:szCs w:val="12"/>
                <w:color w:val="auto"/>
              </w:rPr>
            </w:pPr>
          </w:p>
        </w:tc>
        <w:tc>
          <w:tcPr>
            <w:tcW w:w="84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0"/>
              <w:spacing w:after="0" w:line="144" w:lineRule="exact"/>
              <w:rPr>
                <w:sz w:val="20"/>
                <w:szCs w:val="20"/>
                <w:color w:val="auto"/>
              </w:rPr>
            </w:pPr>
            <w:r>
              <w:rPr>
                <w:rFonts w:ascii="Arial" w:cs="Arial" w:eastAsia="Arial" w:hAnsi="Arial"/>
                <w:sz w:val="13"/>
                <w:szCs w:val="13"/>
                <w:b w:val="1"/>
                <w:bCs w:val="1"/>
                <w:color w:val="auto"/>
                <w:w w:val="79"/>
              </w:rPr>
              <w:t>Gross</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80" w:type="dxa"/>
            <w:vAlign w:val="bottom"/>
          </w:tcPr>
          <w:p>
            <w:pPr>
              <w:spacing w:after="0"/>
              <w:rPr>
                <w:sz w:val="11"/>
                <w:szCs w:val="11"/>
                <w:color w:val="auto"/>
              </w:rPr>
            </w:pPr>
          </w:p>
        </w:tc>
        <w:tc>
          <w:tcPr>
            <w:tcW w:w="86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2"/>
              </w:rPr>
              <w:t>Fair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40" w:type="dxa"/>
            <w:vAlign w:val="bottom"/>
          </w:tcPr>
          <w:p>
            <w:pPr>
              <w:spacing w:after="0"/>
              <w:rPr>
                <w:sz w:val="11"/>
                <w:szCs w:val="11"/>
                <w:color w:val="auto"/>
              </w:rPr>
            </w:pPr>
          </w:p>
        </w:tc>
        <w:tc>
          <w:tcPr>
            <w:tcW w:w="76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Unrealized</w:t>
            </w:r>
          </w:p>
        </w:tc>
        <w:tc>
          <w:tcPr>
            <w:tcW w:w="160" w:type="dxa"/>
            <w:vAlign w:val="bottom"/>
          </w:tcPr>
          <w:p>
            <w:pPr>
              <w:spacing w:after="0"/>
              <w:rPr>
                <w:sz w:val="11"/>
                <w:szCs w:val="11"/>
                <w:color w:val="auto"/>
              </w:rPr>
            </w:pPr>
          </w:p>
        </w:tc>
        <w:tc>
          <w:tcPr>
            <w:tcW w:w="84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88"/>
              </w:rPr>
              <w:t>Unrealized</w:t>
            </w:r>
          </w:p>
        </w:tc>
        <w:tc>
          <w:tcPr>
            <w:tcW w:w="0" w:type="dxa"/>
            <w:vAlign w:val="bottom"/>
          </w:tcPr>
          <w:p>
            <w:pPr>
              <w:spacing w:after="0"/>
              <w:rPr>
                <w:sz w:val="1"/>
                <w:szCs w:val="1"/>
                <w:color w:val="auto"/>
              </w:rPr>
            </w:pPr>
          </w:p>
        </w:tc>
      </w:tr>
      <w:tr>
        <w:trPr>
          <w:trHeight w:val="174"/>
        </w:trPr>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75"/>
              </w:rPr>
              <w:t>Losses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75"/>
              </w:rPr>
              <w:t>Losses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0"/>
              </w:rPr>
              <w:t>Losses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75"/>
              </w:rPr>
              <w:t>Losses</w:t>
            </w:r>
          </w:p>
        </w:tc>
        <w:tc>
          <w:tcPr>
            <w:tcW w:w="0" w:type="dxa"/>
            <w:vAlign w:val="bottom"/>
          </w:tcPr>
          <w:p>
            <w:pPr>
              <w:spacing w:after="0"/>
              <w:rPr>
                <w:sz w:val="1"/>
                <w:szCs w:val="1"/>
                <w:color w:val="auto"/>
              </w:rPr>
            </w:pPr>
          </w:p>
        </w:tc>
      </w:tr>
      <w:tr>
        <w:trPr>
          <w:trHeight w:val="249"/>
        </w:trPr>
        <w:tc>
          <w:tcPr>
            <w:tcW w:w="2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4"/>
          </w:tcPr>
          <w:p>
            <w:pPr>
              <w:jc w:val="right"/>
              <w:ind w:right="431"/>
              <w:spacing w:after="0"/>
              <w:rPr>
                <w:sz w:val="20"/>
                <w:szCs w:val="20"/>
                <w:color w:val="auto"/>
              </w:rPr>
            </w:pPr>
            <w:r>
              <w:rPr>
                <w:rFonts w:ascii="Arial" w:cs="Arial" w:eastAsia="Arial" w:hAnsi="Arial"/>
                <w:sz w:val="13"/>
                <w:szCs w:val="13"/>
                <w:b w:val="1"/>
                <w:bCs w:val="1"/>
                <w:color w:val="auto"/>
              </w:rPr>
              <w:t>(Dollars in millions)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20" w:type="dxa"/>
            <w:vAlign w:val="bottom"/>
          </w:tcPr>
          <w:p>
            <w:pPr>
              <w:ind w:left="20"/>
              <w:spacing w:after="0"/>
              <w:rPr>
                <w:sz w:val="20"/>
                <w:szCs w:val="20"/>
                <w:color w:val="auto"/>
              </w:rPr>
            </w:pPr>
            <w:r>
              <w:rPr>
                <w:rFonts w:ascii="Arial" w:cs="Arial" w:eastAsia="Arial" w:hAnsi="Arial"/>
                <w:sz w:val="14"/>
                <w:szCs w:val="14"/>
                <w:color w:val="auto"/>
              </w:rPr>
              <w:t>U.S. corporate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1,621</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414</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71"/>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51"/>
              <w:spacing w:after="0"/>
              <w:rPr>
                <w:sz w:val="20"/>
                <w:szCs w:val="20"/>
                <w:color w:val="auto"/>
              </w:rPr>
            </w:pPr>
            <w:r>
              <w:rPr>
                <w:rFonts w:ascii="Arial" w:cs="Arial" w:eastAsia="Arial" w:hAnsi="Arial"/>
                <w:sz w:val="14"/>
                <w:szCs w:val="14"/>
                <w:color w:val="auto"/>
              </w:rPr>
              <w:t>10,584</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2,328</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74"/>
        </w:trPr>
        <w:tc>
          <w:tcPr>
            <w:tcW w:w="26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1,543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80"/>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20" w:type="dxa"/>
            <w:vAlign w:val="bottom"/>
          </w:tcPr>
          <w:p>
            <w:pPr>
              <w:ind w:left="2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453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4"/>
                <w:szCs w:val="14"/>
                <w:color w:val="auto"/>
              </w:rPr>
              <w:t>1,627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2,611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74"/>
        </w:trPr>
        <w:tc>
          <w:tcPr>
            <w:tcW w:w="2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corporate</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832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642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3,982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774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80"/>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20" w:type="dxa"/>
            <w:vAlign w:val="bottom"/>
          </w:tcPr>
          <w:p>
            <w:pPr>
              <w:ind w:left="20"/>
              <w:spacing w:after="0"/>
              <w:rPr>
                <w:sz w:val="20"/>
                <w:szCs w:val="20"/>
                <w:color w:val="auto"/>
              </w:rPr>
            </w:pPr>
            <w:r>
              <w:rPr>
                <w:rFonts w:ascii="Arial" w:cs="Arial" w:eastAsia="Arial" w:hAnsi="Arial"/>
                <w:sz w:val="14"/>
                <w:szCs w:val="14"/>
                <w:color w:val="auto"/>
              </w:rPr>
              <w:t>CMBS</w:t>
            </w: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190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4"/>
                <w:szCs w:val="14"/>
                <w:color w:val="auto"/>
              </w:rPr>
              <w:t>2,317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803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74"/>
        </w:trPr>
        <w:tc>
          <w:tcPr>
            <w:tcW w:w="2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 and political subdivision</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80"/>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20" w:type="dxa"/>
            <w:vAlign w:val="bottom"/>
          </w:tcPr>
          <w:p>
            <w:pPr>
              <w:ind w:left="20"/>
              <w:spacing w:after="0"/>
              <w:rPr>
                <w:sz w:val="20"/>
                <w:szCs w:val="20"/>
                <w:color w:val="auto"/>
              </w:rPr>
            </w:pPr>
            <w:r>
              <w:rPr>
                <w:rFonts w:ascii="Arial" w:cs="Arial" w:eastAsia="Arial" w:hAnsi="Arial"/>
                <w:sz w:val="14"/>
                <w:szCs w:val="14"/>
                <w:color w:val="auto"/>
              </w:rPr>
              <w:t>ABS</w:t>
            </w: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449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504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4"/>
                <w:szCs w:val="14"/>
                <w:color w:val="auto"/>
              </w:rPr>
              <w:t>1,422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2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government</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80"/>
        </w:trPr>
        <w:tc>
          <w:tcPr>
            <w:tcW w:w="26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620" w:type="dxa"/>
            <w:vAlign w:val="bottom"/>
          </w:tcPr>
          <w:p>
            <w:pPr>
              <w:ind w:left="180"/>
              <w:spacing w:after="0"/>
              <w:rPr>
                <w:sz w:val="20"/>
                <w:szCs w:val="20"/>
                <w:color w:val="auto"/>
              </w:rPr>
            </w:pPr>
            <w:r>
              <w:rPr>
                <w:rFonts w:ascii="Arial" w:cs="Arial" w:eastAsia="Arial" w:hAnsi="Arial"/>
                <w:sz w:val="14"/>
                <w:szCs w:val="14"/>
                <w:color w:val="auto"/>
              </w:rPr>
              <w:t>Total fixed maturity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3,713</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2,211</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21,211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8,419</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16"/>
        </w:trPr>
        <w:tc>
          <w:tcPr>
            <w:tcW w:w="2620" w:type="dxa"/>
            <w:vAlign w:val="bottom"/>
            <w:tcBorders>
              <w:top w:val="single" w:sz="8" w:color="CCEEFF"/>
            </w:tcBorders>
            <w:shd w:val="clear" w:color="auto" w:fill="CCEEFF"/>
          </w:tcPr>
          <w:p>
            <w:pPr>
              <w:ind w:left="180"/>
              <w:spacing w:after="0" w:line="116" w:lineRule="exact"/>
              <w:rPr>
                <w:sz w:val="20"/>
                <w:szCs w:val="20"/>
                <w:color w:val="auto"/>
              </w:rPr>
            </w:pPr>
            <w:r>
              <w:rPr>
                <w:rFonts w:ascii="Arial" w:cs="Arial" w:eastAsia="Arial" w:hAnsi="Arial"/>
                <w:sz w:val="13"/>
                <w:szCs w:val="13"/>
                <w:color w:val="auto"/>
              </w:rPr>
              <w:t>Total number of securities in an</w:t>
            </w: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693</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320</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3,027</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1,028</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unrealized loss position</w:t>
            </w: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Evaluation of AFS Securities for OTTI and Evaluating Temporarily Impaired AFS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7" w:lineRule="exact"/>
        <w:rPr>
          <w:sz w:val="20"/>
          <w:szCs w:val="20"/>
          <w:color w:val="auto"/>
        </w:rPr>
      </w:pPr>
    </w:p>
    <w:p>
      <w:pPr>
        <w:jc w:val="both"/>
        <w:ind w:left="340" w:firstLine="324"/>
        <w:spacing w:after="0" w:line="285" w:lineRule="auto"/>
        <w:rPr>
          <w:sz w:val="20"/>
          <w:szCs w:val="20"/>
          <w:color w:val="auto"/>
        </w:rPr>
      </w:pPr>
      <w:r>
        <w:rPr>
          <w:rFonts w:ascii="Arial" w:cs="Arial" w:eastAsia="Arial" w:hAnsi="Arial"/>
          <w:sz w:val="16"/>
          <w:szCs w:val="16"/>
          <w:color w:val="auto"/>
        </w:rPr>
        <w:t>Management considers a wide range of factors about the security issuer and uses its best judgment in evaluating the cause of the decline in the estimated fair value of the security and in assessing the prospects for near-term recovery. Inherent in management’s evaluation of the security are assumptions and estimates about the operations of the issuer and its future earnings potential. Considerations used in the impairment evaluation process include, but are not limited to: (i) the length of time and the extent to which the estimated fair value has been below amortized cost; (ii) the potential for impairments when the issuer is experiencing significant financial difficulties; (iii) the potential for impairments in an entire industry sector or sub-sector;</w:t>
      </w:r>
    </w:p>
    <w:p>
      <w:pPr>
        <w:spacing w:after="0" w:line="2" w:lineRule="exact"/>
        <w:rPr>
          <w:sz w:val="20"/>
          <w:szCs w:val="20"/>
          <w:color w:val="auto"/>
        </w:rPr>
      </w:pPr>
    </w:p>
    <w:p>
      <w:pPr>
        <w:jc w:val="both"/>
        <w:ind w:left="340" w:hanging="8"/>
        <w:spacing w:after="0" w:line="25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impairments in certain economically depressed geographic locations; (v) the potential for impairments where the issuer, series of issuers or industry has suffered a catastrophic loss or has exhausted natural resources; (vi) whether the Company has the intent to sell or will more likely than not be required to sell a particular security before the decline in estimated fair value below amortized cost recovers; (vii) with respect to Structured Securities, changes in forecasted cash flows after considering the quality of underlying collateral, expected prepayment speeds, current and forecasted loss severity, consideration of the payment terms of the underlying assets backing a particular security, and the payment priority within the tranche structure of the security; (viii) the potential for impairments due to weakening of foreign currencies on non-functional currency denominated fixed maturity securities that are near maturity; and (ix) other subjective factors, including concentrations and information obtained from regulators and rating agencies.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34"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For securities in an unrealized loss position, an OTTI is recognized in earnings when it is anticipated that the amortized cost will not be recovered. When either: (i) the Company has the intent to sell the security; or (ii) it is more likely than not that the Company will be required to sell the security before recovery, the OTTI recognized in earnings is the entire difference between the security’s amortized cost and estimated fair value. If neither of these conditions exists, the difference between the amortized cost of the security and the present value of projected future cash flows expected to be collected is recognized as an OTTI in earnings (“credit loss”). If the estimated fair value is less than the present value of projected future cash flows expected to be collected, this portion of OTTI related to other-than-credit factors (“noncredit loss”) is recorded in other comprehensive income (“OCI”).</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Current Period Evaluation</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Based on the Company’s current evaluation of its AFS securities in an unrealized loss position in accordance with its impairment policy, and the Company’s current intentions and assessments (as applicable to the type of security) about holding, selling and any requirements to sell these securities, the Company concluded that these securities were not other-than-temporarily impaired at September 30, 2019.</w:t>
      </w:r>
    </w:p>
    <w:p>
      <w:pPr>
        <w:spacing w:after="0" w:line="5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Gross unrealized losses on fixed maturity securities decreased $1.2 billion during the nine months ended September 30, 2019 to $222 million. The decrease in gross unrealized losses for the nine months ended September 30, 2019 was primarily attributable to decreasing longer-term interest rates and narrowing credit spreads.</w:t>
      </w:r>
    </w:p>
    <w:p>
      <w:pPr>
        <w:spacing w:after="0" w:line="73"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At September 30, 2019, $11 million of the total $222 million of gross unrealized losses were from eleven fixed maturity securities with an unrealized loss position of 20% or more of amortized cost for six months or greater.</w:t>
      </w:r>
    </w:p>
    <w:p>
      <w:pPr>
        <w:sectPr>
          <w:pgSz w:w="11900" w:h="16838" w:orient="portrait"/>
          <w:cols w:equalWidth="0" w:num="1">
            <w:col w:w="11420"/>
          </w:cols>
          <w:pgMar w:left="240" w:top="234" w:right="23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by Portfolio Segment</w:t>
      </w:r>
    </w:p>
    <w:p>
      <w:pPr>
        <w:spacing w:after="0" w:line="117"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Mortgage loans are summarized as follows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Mortgage loans: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Commercial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Agricultural</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Subtotal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Valuation allowances (2)</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mortgage loans, net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2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1220" w:type="dxa"/>
            <w:vAlign w:val="bottom"/>
          </w:tcPr>
          <w:p>
            <w:pPr>
              <w:jc w:val="right"/>
              <w:ind w:right="381"/>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3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Total</w:t>
            </w:r>
          </w:p>
        </w:tc>
      </w:tr>
      <w:tr>
        <w:trPr>
          <w:trHeight w:val="244"/>
        </w:trPr>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gridSpan w:val="5"/>
          </w:tcPr>
          <w:p>
            <w:pPr>
              <w:ind w:left="68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21"/>
                <w:szCs w:val="21"/>
                <w:color w:val="auto"/>
              </w:rPr>
            </w:pPr>
          </w:p>
        </w:tc>
      </w:tr>
      <w:tr>
        <w:trPr>
          <w:trHeight w:val="519"/>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9,473</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61.7 %</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8,529</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62.3 %</w:t>
            </w:r>
          </w:p>
        </w:tc>
      </w:tr>
      <w:tr>
        <w:trPr>
          <w:trHeight w:val="270"/>
        </w:trPr>
        <w:tc>
          <w:tcPr>
            <w:tcW w:w="240" w:type="dxa"/>
            <w:vAlign w:val="bottom"/>
          </w:tcPr>
          <w:p>
            <w:pPr>
              <w:spacing w:after="0"/>
              <w:rPr>
                <w:sz w:val="23"/>
                <w:szCs w:val="23"/>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3,291</w:t>
            </w:r>
          </w:p>
        </w:tc>
        <w:tc>
          <w:tcPr>
            <w:tcW w:w="120" w:type="dxa"/>
            <w:vAlign w:val="bottom"/>
          </w:tcPr>
          <w:p>
            <w:pPr>
              <w:spacing w:after="0"/>
              <w:rPr>
                <w:sz w:val="23"/>
                <w:szCs w:val="23"/>
                <w:color w:val="auto"/>
              </w:rPr>
            </w:pPr>
          </w:p>
        </w:tc>
        <w:tc>
          <w:tcPr>
            <w:tcW w:w="1220" w:type="dxa"/>
            <w:vAlign w:val="bottom"/>
          </w:tcPr>
          <w:p>
            <w:pPr>
              <w:jc w:val="right"/>
              <w:ind w:right="122"/>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2,946</w:t>
            </w:r>
          </w:p>
        </w:tc>
        <w:tc>
          <w:tcPr>
            <w:tcW w:w="120" w:type="dxa"/>
            <w:vAlign w:val="bottom"/>
          </w:tcPr>
          <w:p>
            <w:pPr>
              <w:spacing w:after="0"/>
              <w:rPr>
                <w:sz w:val="23"/>
                <w:szCs w:val="23"/>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21.5</w:t>
            </w:r>
          </w:p>
        </w:tc>
      </w:tr>
      <w:tr>
        <w:trPr>
          <w:trHeight w:val="270"/>
        </w:trPr>
        <w:tc>
          <w:tcPr>
            <w:tcW w:w="240" w:type="dxa"/>
            <w:vAlign w:val="bottom"/>
          </w:tcPr>
          <w:p>
            <w:pPr>
              <w:spacing w:after="0"/>
              <w:rPr>
                <w:sz w:val="23"/>
                <w:szCs w:val="23"/>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2,659</w:t>
            </w:r>
          </w:p>
        </w:tc>
        <w:tc>
          <w:tcPr>
            <w:tcW w:w="120" w:type="dxa"/>
            <w:vAlign w:val="bottom"/>
          </w:tcPr>
          <w:p>
            <w:pPr>
              <w:spacing w:after="0"/>
              <w:rPr>
                <w:sz w:val="23"/>
                <w:szCs w:val="23"/>
                <w:color w:val="auto"/>
              </w:rPr>
            </w:pPr>
          </w:p>
        </w:tc>
        <w:tc>
          <w:tcPr>
            <w:tcW w:w="1220" w:type="dxa"/>
            <w:vAlign w:val="bottom"/>
          </w:tcPr>
          <w:p>
            <w:pPr>
              <w:jc w:val="right"/>
              <w:ind w:right="122"/>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23"/>
                <w:szCs w:val="23"/>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16.6</w:t>
            </w:r>
          </w:p>
        </w:tc>
      </w:tr>
      <w:tr>
        <w:trPr>
          <w:trHeight w:val="33"/>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15,423</w:t>
            </w:r>
          </w:p>
        </w:tc>
        <w:tc>
          <w:tcPr>
            <w:tcW w:w="12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13,751</w:t>
            </w:r>
          </w:p>
        </w:tc>
        <w:tc>
          <w:tcPr>
            <w:tcW w:w="120" w:type="dxa"/>
            <w:vAlign w:val="bottom"/>
          </w:tcPr>
          <w:p>
            <w:pPr>
              <w:spacing w:after="0"/>
              <w:rPr>
                <w:sz w:val="18"/>
                <w:szCs w:val="18"/>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100.4</w:t>
            </w:r>
          </w:p>
        </w:tc>
      </w:tr>
      <w:tr>
        <w:trPr>
          <w:trHeight w:val="270"/>
        </w:trPr>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3"/>
                <w:szCs w:val="23"/>
                <w:color w:val="auto"/>
              </w:rPr>
            </w:pPr>
          </w:p>
        </w:tc>
        <w:tc>
          <w:tcPr>
            <w:tcW w:w="1220" w:type="dxa"/>
            <w:vAlign w:val="bottom"/>
          </w:tcPr>
          <w:p>
            <w:pPr>
              <w:jc w:val="right"/>
              <w:ind w:right="62"/>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3"/>
                <w:szCs w:val="23"/>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(0.4)</w:t>
            </w:r>
          </w:p>
        </w:tc>
      </w:tr>
      <w:tr>
        <w:trPr>
          <w:trHeight w:val="33"/>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15,359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13,694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33"/>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-1225550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-882650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-539750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-196850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5220" w:space="720"/>
            <w:col w:w="5480"/>
          </w:cols>
          <w:pgMar w:left="240" w:top="234" w:right="239" w:bottom="1440" w:gutter="0" w:footer="0" w:header="0"/>
          <w:type w:val="continuous"/>
        </w:sectPr>
      </w:pPr>
    </w:p>
    <w:p>
      <w:pPr>
        <w:jc w:val="both"/>
        <w:ind w:left="500" w:hanging="49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of mortgage loans from third parties were $159 million and $722 million for the three months and nine months ended September 30, 2019, respectively, and $816 million and $1.4 billion for the three months and nine months ended September 30, 2018, respectively, and were primarily comprised of residential mortgage loans.</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valuation allowances were primarily from collective evaluation (non-specific loan related).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34" w:right="23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on commercial, agricultural and residential mortgage loans is presented in the tables below.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Valuation Allowance Methodology</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6"/>
          <w:szCs w:val="16"/>
          <w:color w:val="auto"/>
        </w:rPr>
        <w:t>Mortgage loans are considered to be impaired when it is probable that, based upon current information and events, the Company will be unable to collect all amounts due under the loan agreement. Specific valuation allowances are established using the same methodology for all three portfolio segments as the excess carrying value of a loan over either (i) the present value of expected future cash flows discounted at the loan’s original effective interest rate, (ii) the estimated fair value of the loan’s underlying collateral if the loan is in the process of foreclosure or otherwise collateral dependent, or</w:t>
      </w:r>
    </w:p>
    <w:p>
      <w:pPr>
        <w:spacing w:after="0" w:line="2" w:lineRule="exact"/>
        <w:rPr>
          <w:sz w:val="20"/>
          <w:szCs w:val="20"/>
          <w:color w:val="auto"/>
        </w:rPr>
      </w:pPr>
    </w:p>
    <w:p>
      <w:pPr>
        <w:jc w:val="both"/>
        <w:ind w:left="340" w:hanging="8"/>
        <w:spacing w:after="0" w:line="290" w:lineRule="auto"/>
        <w:tabs>
          <w:tab w:leader="none" w:pos="6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loan’s observable market price. A common evaluation framework is used for establishing non-specific valuation allowances for all loan portfolio segments; however, a separate non-specific valuation allowance is calculated and maintained for each loan portfolio segment that is based on inputs unique to each loan portfolio segment. Non-specific valuation allowances are established for pools of loans with similar risk characteristics where a property-specific or market-specific risk has not been identified, but for which the Company expects to incur a credit loss. These evaluations are based upon several loan portfolio segment-specific factors, including the Company’s experience for loan losses, defaults and loss severity, and loss expectations for loans with similar risk characteristics. These evaluations are revised as conditions change and new information becomes available.</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Quality of Commercial Mortgage Loans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quality of commercial mortgage loans was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Recorded Investment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6"/>
          </w:tcPr>
          <w:p>
            <w:pPr>
              <w:jc w:val="center"/>
              <w:ind w:left="581"/>
              <w:spacing w:after="0"/>
              <w:rPr>
                <w:sz w:val="20"/>
                <w:szCs w:val="20"/>
                <w:color w:val="auto"/>
              </w:rPr>
            </w:pPr>
            <w:r>
              <w:rPr>
                <w:rFonts w:ascii="Arial" w:cs="Arial" w:eastAsia="Arial" w:hAnsi="Arial"/>
                <w:sz w:val="14"/>
                <w:szCs w:val="14"/>
                <w:b w:val="1"/>
                <w:bCs w:val="1"/>
                <w:color w:val="auto"/>
                <w:w w:val="91"/>
              </w:rPr>
              <w:t>Debt Service Coverage Ratios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restart"/>
          </w:tcPr>
          <w:p>
            <w:pPr>
              <w:ind w:left="280"/>
              <w:spacing w:after="0" w:line="13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4"/>
                <w:szCs w:val="4"/>
                <w:color w:val="auto"/>
              </w:rPr>
            </w:pPr>
          </w:p>
        </w:tc>
        <w:tc>
          <w:tcPr>
            <w:tcW w:w="10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rPr>
              <w:t>Fair</w:t>
            </w:r>
          </w:p>
        </w:tc>
        <w:tc>
          <w:tcPr>
            <w:tcW w:w="840" w:type="dxa"/>
            <w:vAlign w:val="bottom"/>
            <w:vMerge w:val="restart"/>
          </w:tcPr>
          <w:p>
            <w:pPr>
              <w:jc w:val="right"/>
              <w:ind w:right="181"/>
              <w:spacing w:after="0" w:line="13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65"/>
        </w:trPr>
        <w:tc>
          <w:tcPr>
            <w:tcW w:w="3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&gt; 1.20x</w:t>
            </w:r>
          </w:p>
        </w:tc>
        <w:tc>
          <w:tcPr>
            <w:tcW w:w="180" w:type="dxa"/>
            <w:vAlign w:val="bottom"/>
          </w:tcPr>
          <w:p>
            <w:pPr>
              <w:spacing w:after="0"/>
              <w:rPr>
                <w:sz w:val="5"/>
                <w:szCs w:val="5"/>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1.00x - 1.20x</w:t>
            </w:r>
          </w:p>
        </w:tc>
        <w:tc>
          <w:tcPr>
            <w:tcW w:w="24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&lt; 1.00x</w:t>
            </w:r>
          </w:p>
        </w:tc>
        <w:tc>
          <w:tcPr>
            <w:tcW w:w="260" w:type="dxa"/>
            <w:vAlign w:val="bottom"/>
          </w:tcPr>
          <w:p>
            <w:pPr>
              <w:spacing w:after="0"/>
              <w:rPr>
                <w:sz w:val="5"/>
                <w:szCs w:val="5"/>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5"/>
          </w:tcPr>
          <w:p>
            <w:pPr>
              <w:ind w:left="580"/>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2019</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8,624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9,111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76% to 80%</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3340" w:type="dxa"/>
            <w:vAlign w:val="bottom"/>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9,177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9,473</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9,986</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73"/>
        </w:trPr>
        <w:tc>
          <w:tcPr>
            <w:tcW w:w="33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3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December 31, 2018</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7,593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7,668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76% to 80%</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4"/>
        </w:trPr>
        <w:tc>
          <w:tcPr>
            <w:tcW w:w="3340" w:type="dxa"/>
            <w:vAlign w:val="bottom"/>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8,373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8,529</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8,611</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Quality of Agricultural Mortgage Loans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quality of agricultural mortgage loans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September 30, 2019</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Recorded</w:t>
            </w: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Recorded</w:t>
            </w:r>
          </w:p>
        </w:tc>
        <w:tc>
          <w:tcPr>
            <w:tcW w:w="1400" w:type="dxa"/>
            <w:vAlign w:val="bottom"/>
          </w:tcPr>
          <w:p>
            <w:pPr>
              <w:jc w:val="right"/>
              <w:ind w:right="482"/>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4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Total</w:t>
            </w:r>
          </w:p>
        </w:tc>
      </w:tr>
      <w:tr>
        <w:trPr>
          <w:trHeight w:val="250"/>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120" w:type="dxa"/>
            <w:vAlign w:val="bottom"/>
            <w:gridSpan w:val="5"/>
          </w:tcPr>
          <w:p>
            <w:pPr>
              <w:spacing w:after="0"/>
              <w:rPr>
                <w:sz w:val="20"/>
                <w:szCs w:val="20"/>
                <w:color w:val="auto"/>
              </w:rPr>
            </w:pPr>
            <w:r>
              <w:rPr>
                <w:rFonts w:ascii="Arial" w:cs="Arial" w:eastAsia="Arial" w:hAnsi="Arial"/>
                <w:sz w:val="14"/>
                <w:szCs w:val="14"/>
                <w:b w:val="1"/>
                <w:bCs w:val="1"/>
                <w:color w:val="auto"/>
              </w:rPr>
              <w:t>(Dollars in millions)</w:t>
            </w:r>
          </w:p>
        </w:tc>
        <w:tc>
          <w:tcPr>
            <w:tcW w:w="140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3,046</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92.6%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2,623</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89.0%</w:t>
            </w:r>
          </w:p>
        </w:tc>
      </w:tr>
      <w:tr>
        <w:trPr>
          <w:trHeight w:val="3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10.9</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76% to 80%</w:t>
            </w:r>
          </w:p>
        </w:tc>
        <w:tc>
          <w:tcPr>
            <w:tcW w:w="2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ind w:right="8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0.1</w:t>
            </w:r>
          </w:p>
        </w:tc>
      </w:tr>
      <w:tr>
        <w:trPr>
          <w:trHeight w:val="33"/>
        </w:trPr>
        <w:tc>
          <w:tcPr>
            <w:tcW w:w="5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3,291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2,946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234" w:right="23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estimated fair value of agricultural mortgage loans was $3.4 billion and $2.9 billion at September 30, 2019 and December 31, 2018, respectively.</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Quality of Residential Mortgage Loans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quality of residential mortgage loans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September 30, 2019</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763"/>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Recorded</w:t>
            </w: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Recorded</w:t>
            </w:r>
          </w:p>
        </w:tc>
        <w:tc>
          <w:tcPr>
            <w:tcW w:w="1400" w:type="dxa"/>
            <w:vAlign w:val="bottom"/>
          </w:tcPr>
          <w:p>
            <w:pPr>
              <w:jc w:val="right"/>
              <w:ind w:right="483"/>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Investment</w:t>
            </w:r>
          </w:p>
        </w:tc>
        <w:tc>
          <w:tcPr>
            <w:tcW w:w="14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Total</w:t>
            </w:r>
          </w:p>
        </w:tc>
      </w:tr>
      <w:tr>
        <w:trPr>
          <w:trHeight w:val="250"/>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120" w:type="dxa"/>
            <w:vAlign w:val="bottom"/>
            <w:gridSpan w:val="5"/>
          </w:tcPr>
          <w:p>
            <w:pPr>
              <w:spacing w:after="0"/>
              <w:rPr>
                <w:sz w:val="20"/>
                <w:szCs w:val="20"/>
                <w:color w:val="auto"/>
              </w:rPr>
            </w:pPr>
            <w:r>
              <w:rPr>
                <w:rFonts w:ascii="Arial" w:cs="Arial" w:eastAsia="Arial" w:hAnsi="Arial"/>
                <w:sz w:val="14"/>
                <w:szCs w:val="14"/>
                <w:b w:val="1"/>
                <w:bCs w:val="1"/>
                <w:color w:val="auto"/>
              </w:rPr>
              <w:t>(Dollars in millions)</w:t>
            </w:r>
          </w:p>
        </w:tc>
        <w:tc>
          <w:tcPr>
            <w:tcW w:w="140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 indicators: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Performing</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2,621</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2,240</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98.4%</w:t>
            </w:r>
          </w:p>
        </w:tc>
      </w:tr>
      <w:tr>
        <w:trPr>
          <w:trHeight w:val="3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Nonperforming</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1.6</w:t>
            </w:r>
          </w:p>
        </w:tc>
      </w:tr>
      <w:tr>
        <w:trPr>
          <w:trHeight w:val="217"/>
        </w:trPr>
        <w:tc>
          <w:tcPr>
            <w:tcW w:w="558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2,659</w:t>
            </w: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100.0%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80" w:right="240" w:firstLine="324"/>
        <w:spacing w:after="0" w:line="375" w:lineRule="auto"/>
        <w:rPr>
          <w:sz w:val="20"/>
          <w:szCs w:val="20"/>
          <w:color w:val="auto"/>
        </w:rPr>
      </w:pPr>
      <w:r>
        <w:rPr>
          <w:rFonts w:ascii="Arial" w:cs="Arial" w:eastAsia="Arial" w:hAnsi="Arial"/>
          <w:sz w:val="18"/>
          <w:szCs w:val="18"/>
          <w:color w:val="auto"/>
        </w:rPr>
        <w:t xml:space="preserve">The estimated fair value of residential mortgage loans was $2.7 billion and $2.3 billion at September 30, 2019 and December 31, 2018, respectively. </w:t>
      </w:r>
      <w:r>
        <w:rPr>
          <w:rFonts w:ascii="Arial" w:cs="Arial" w:eastAsia="Arial" w:hAnsi="Arial"/>
          <w:sz w:val="18"/>
          <w:szCs w:val="18"/>
          <w:b w:val="1"/>
          <w:bCs w:val="1"/>
          <w:i w:val="1"/>
          <w:iCs w:val="1"/>
          <w:u w:val="single" w:color="auto"/>
          <w:color w:val="auto"/>
        </w:rPr>
        <w:t>Past Due, Nonaccrual and Modified Mortgage Loans</w:t>
      </w:r>
    </w:p>
    <w:p>
      <w:pPr>
        <w:spacing w:after="0" w:line="1"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The Company has a high quality, well performing mortgage loan portfolio, with over 99% of all mortgage loans classified as performing at both September 30, 2019 and December 31, 2018. The Company defines delinquency consistent with industry practice, when mortgage loans are past due as follows: commercial and residential mortgage loans — 60 days and agricultural mortgage loans — 90 days. The Company had no commercial mortgage loans past due or in nonaccrual status at either September 30, 2019 or December 31, 2018. Agricultural mortgage loans past due totaled $7 million and less than $1 million at September 30, 2019 and December 31, 2018, respectively. The Company had no agricultural mortgage loans in nonaccrual status at either September 30, 2019 or December 31, 2018. Residential mortgage loans past due and in nonaccrual status totaled $38 million and $36 million at September 30, 2019 and December 31, 2018, respectively. During the three months and nine months ended September 30, 2019 and 2018, the Company did not have a significant number of mortgage loans modified in a troubled debt restructuring.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Freestanding derivatives with positive estimated fair values comprise over 90% of other invested assets. See Note 5 for information about freestanding derivatives with positive estimated fair values. Other invested assets also includes tax credit and renewable energy partnerships, leveraged leases and Federal Home Loan Bank stock.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Investment Gains (Losses)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Unrealized investment gains (losses) on fixed maturity securities and the effect on DAC, VOBA, deferred sales inducements (“DSI”) and future policy benefits, that would result from the realization of the unrealized gains (losses), are included in net unrealized investment gains (losses) in AOCI.</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34"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unrealized investment gains (losses), included in AOCI, were as follows:</w:t>
      </w:r>
    </w:p>
    <w:p>
      <w:pPr>
        <w:spacing w:after="0" w:line="338" w:lineRule="exact"/>
        <w:rPr>
          <w:sz w:val="20"/>
          <w:szCs w:val="20"/>
          <w:color w:val="auto"/>
        </w:rPr>
      </w:pPr>
    </w:p>
    <w:p>
      <w:pPr>
        <w:jc w:val="right"/>
        <w:ind w:right="200"/>
        <w:spacing w:after="0"/>
        <w:tabs>
          <w:tab w:leader="none" w:pos="1160" w:val="left"/>
        </w:tabs>
        <w:rPr>
          <w:sz w:val="20"/>
          <w:szCs w:val="20"/>
          <w:color w:val="auto"/>
        </w:rPr>
      </w:pPr>
      <w:r>
        <w:rPr>
          <w:rFonts w:ascii="Arial" w:cs="Arial" w:eastAsia="Arial" w:hAnsi="Arial"/>
          <w:sz w:val="14"/>
          <w:szCs w:val="14"/>
          <w:b w:val="1"/>
          <w:bCs w:val="1"/>
          <w:color w:val="auto"/>
        </w:rPr>
        <w:t>September 30, 2019</w:t>
      </w:r>
      <w:r>
        <w:rPr>
          <w:sz w:val="20"/>
          <w:szCs w:val="20"/>
          <w:color w:val="auto"/>
        </w:rPr>
        <w:tab/>
      </w:r>
      <w:r>
        <w:rPr>
          <w:rFonts w:ascii="Arial" w:cs="Arial" w:eastAsia="Arial" w:hAnsi="Arial"/>
          <w:sz w:val="13"/>
          <w:szCs w:val="13"/>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Fixed maturity securities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Subtotal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Amounts allocated from:</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Future policy benefits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DAC, VOBA and DSI</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Subtotal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 benefit (expense)</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Net unrealized investment gains (losses)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23495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8" w:lineRule="exact"/>
        <w:rPr>
          <w:sz w:val="20"/>
          <w:szCs w:val="20"/>
          <w:color w:val="auto"/>
        </w:rPr>
      </w:pPr>
    </w:p>
    <w:p>
      <w:pPr>
        <w:spacing w:after="0"/>
        <w:tabs>
          <w:tab w:leader="none" w:pos="1080" w:val="left"/>
          <w:tab w:leader="none" w:pos="1700" w:val="left"/>
          <w:tab w:leader="none" w:pos="2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7,608</w:t>
        <w:tab/>
        <w:t>$</w:t>
      </w:r>
      <w:r>
        <w:rPr>
          <w:sz w:val="20"/>
          <w:szCs w:val="20"/>
          <w:color w:val="auto"/>
        </w:rPr>
        <w:tab/>
      </w:r>
      <w:r>
        <w:rPr>
          <w:rFonts w:ascii="Arial" w:cs="Arial" w:eastAsia="Arial" w:hAnsi="Arial"/>
          <w:sz w:val="15"/>
          <w:szCs w:val="15"/>
          <w:color w:val="auto"/>
        </w:rPr>
        <w:t>1,691</w:t>
      </w:r>
    </w:p>
    <w:p>
      <w:pPr>
        <w:spacing w:after="0" w:line="86" w:lineRule="exact"/>
        <w:rPr>
          <w:sz w:val="20"/>
          <w:szCs w:val="20"/>
          <w:color w:val="auto"/>
        </w:rPr>
      </w:pPr>
    </w:p>
    <w:p>
      <w:pPr>
        <w:ind w:left="1220"/>
        <w:spacing w:after="0"/>
        <w:tabs>
          <w:tab w:leader="none" w:pos="2900" w:val="left"/>
        </w:tabs>
        <w:rPr>
          <w:sz w:val="20"/>
          <w:szCs w:val="20"/>
          <w:color w:val="auto"/>
        </w:rPr>
      </w:pPr>
      <w:r>
        <w:rPr>
          <w:rFonts w:ascii="Arial" w:cs="Arial" w:eastAsia="Arial" w:hAnsi="Arial"/>
          <w:sz w:val="16"/>
          <w:szCs w:val="16"/>
          <w:color w:val="auto"/>
        </w:rPr>
        <w:t>416</w:t>
      </w:r>
      <w:r>
        <w:rPr>
          <w:sz w:val="20"/>
          <w:szCs w:val="20"/>
          <w:color w:val="auto"/>
        </w:rPr>
        <w:tab/>
      </w:r>
      <w:r>
        <w:rPr>
          <w:rFonts w:ascii="Arial" w:cs="Arial" w:eastAsia="Arial" w:hAnsi="Arial"/>
          <w:sz w:val="16"/>
          <w:szCs w:val="16"/>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34925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both"/>
        <w:ind w:left="1260"/>
        <w:spacing w:after="0"/>
        <w:tabs>
          <w:tab w:leader="none" w:pos="294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34925</wp:posOffset>
            </wp:positionV>
            <wp:extent cx="21012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66" w:lineRule="exact"/>
        <w:rPr>
          <w:sz w:val="20"/>
          <w:szCs w:val="20"/>
          <w:color w:val="auto"/>
        </w:rPr>
      </w:pPr>
    </w:p>
    <w:p>
      <w:pPr>
        <w:ind w:left="1100"/>
        <w:spacing w:after="0"/>
        <w:tabs>
          <w:tab w:leader="none" w:pos="2780" w:val="left"/>
        </w:tabs>
        <w:rPr>
          <w:sz w:val="20"/>
          <w:szCs w:val="20"/>
          <w:color w:val="auto"/>
        </w:rPr>
      </w:pPr>
      <w:r>
        <w:rPr>
          <w:rFonts w:ascii="Arial" w:cs="Arial" w:eastAsia="Arial" w:hAnsi="Arial"/>
          <w:sz w:val="16"/>
          <w:szCs w:val="16"/>
          <w:color w:val="auto"/>
        </w:rPr>
        <w:t>8,010</w:t>
      </w:r>
      <w:r>
        <w:rPr>
          <w:sz w:val="20"/>
          <w:szCs w:val="20"/>
          <w:color w:val="auto"/>
        </w:rPr>
        <w:tab/>
      </w:r>
      <w:r>
        <w:rPr>
          <w:rFonts w:ascii="Arial" w:cs="Arial" w:eastAsia="Arial" w:hAnsi="Arial"/>
          <w:sz w:val="16"/>
          <w:szCs w:val="16"/>
          <w:color w:val="auto"/>
        </w:rPr>
        <w:t>1,942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34925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jc w:val="both"/>
        <w:ind w:left="1060"/>
        <w:spacing w:after="0"/>
        <w:tabs>
          <w:tab w:leader="none" w:pos="2860" w:val="left"/>
        </w:tabs>
        <w:rPr>
          <w:sz w:val="20"/>
          <w:szCs w:val="20"/>
          <w:color w:val="auto"/>
        </w:rPr>
      </w:pPr>
      <w:r>
        <w:rPr>
          <w:rFonts w:ascii="Arial" w:cs="Arial" w:eastAsia="Arial" w:hAnsi="Arial"/>
          <w:sz w:val="16"/>
          <w:szCs w:val="16"/>
          <w:color w:val="auto"/>
        </w:rPr>
        <w:t>(3,050)</w:t>
      </w:r>
      <w:r>
        <w:rPr>
          <w:sz w:val="20"/>
          <w:szCs w:val="20"/>
          <w:color w:val="auto"/>
        </w:rPr>
        <w:tab/>
      </w:r>
      <w:r>
        <w:rPr>
          <w:rFonts w:ascii="Arial" w:cs="Arial" w:eastAsia="Arial" w:hAnsi="Arial"/>
          <w:sz w:val="16"/>
          <w:szCs w:val="16"/>
          <w:color w:val="auto"/>
        </w:rPr>
        <w:t>(886)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34925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both"/>
        <w:ind w:left="1180"/>
        <w:spacing w:after="0"/>
        <w:tabs>
          <w:tab w:leader="none" w:pos="2940" w:val="left"/>
        </w:tabs>
        <w:rPr>
          <w:sz w:val="20"/>
          <w:szCs w:val="20"/>
          <w:color w:val="auto"/>
        </w:rPr>
      </w:pPr>
      <w:r>
        <w:rPr>
          <w:rFonts w:ascii="Arial" w:cs="Arial" w:eastAsia="Arial" w:hAnsi="Arial"/>
          <w:sz w:val="16"/>
          <w:szCs w:val="16"/>
          <w:color w:val="auto"/>
        </w:rPr>
        <w:t>(386)</w:t>
      </w:r>
      <w:r>
        <w:rPr>
          <w:sz w:val="20"/>
          <w:szCs w:val="20"/>
          <w:color w:val="auto"/>
        </w:rPr>
        <w:tab/>
      </w: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34925</wp:posOffset>
            </wp:positionV>
            <wp:extent cx="21012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66" w:lineRule="exact"/>
        <w:rPr>
          <w:sz w:val="20"/>
          <w:szCs w:val="20"/>
          <w:color w:val="auto"/>
        </w:rPr>
      </w:pPr>
    </w:p>
    <w:p>
      <w:pPr>
        <w:jc w:val="both"/>
        <w:ind w:left="1060"/>
        <w:spacing w:after="0"/>
        <w:tabs>
          <w:tab w:leader="none" w:pos="2860" w:val="left"/>
        </w:tabs>
        <w:rPr>
          <w:sz w:val="20"/>
          <w:szCs w:val="20"/>
          <w:color w:val="auto"/>
        </w:rPr>
      </w:pPr>
      <w:r>
        <w:rPr>
          <w:rFonts w:ascii="Arial" w:cs="Arial" w:eastAsia="Arial" w:hAnsi="Arial"/>
          <w:sz w:val="16"/>
          <w:szCs w:val="16"/>
          <w:color w:val="auto"/>
        </w:rPr>
        <w:t>(3,436)</w:t>
      </w:r>
      <w:r>
        <w:rPr>
          <w:sz w:val="20"/>
          <w:szCs w:val="20"/>
          <w:color w:val="auto"/>
        </w:rPr>
        <w:tab/>
      </w:r>
      <w:r>
        <w:rPr>
          <w:rFonts w:ascii="Arial" w:cs="Arial" w:eastAsia="Arial" w:hAnsi="Arial"/>
          <w:sz w:val="16"/>
          <w:szCs w:val="16"/>
          <w:color w:val="auto"/>
        </w:rPr>
        <w:t>(976)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34925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both"/>
        <w:ind w:left="1180"/>
        <w:spacing w:after="0"/>
        <w:tabs>
          <w:tab w:leader="none" w:pos="2860" w:val="left"/>
        </w:tabs>
        <w:rPr>
          <w:sz w:val="20"/>
          <w:szCs w:val="20"/>
          <w:color w:val="auto"/>
        </w:rPr>
      </w:pPr>
      <w:r>
        <w:rPr>
          <w:rFonts w:ascii="Arial" w:cs="Arial" w:eastAsia="Arial" w:hAnsi="Arial"/>
          <w:sz w:val="16"/>
          <w:szCs w:val="16"/>
          <w:color w:val="auto"/>
        </w:rPr>
        <w:t>(961)</w:t>
      </w:r>
      <w:r>
        <w:rPr>
          <w:sz w:val="20"/>
          <w:szCs w:val="20"/>
          <w:color w:val="auto"/>
        </w:rPr>
        <w:tab/>
      </w:r>
      <w:r>
        <w:rPr>
          <w:rFonts w:ascii="Arial" w:cs="Arial" w:eastAsia="Arial" w:hAnsi="Arial"/>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34925</wp:posOffset>
            </wp:positionV>
            <wp:extent cx="21012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66" w:lineRule="exact"/>
        <w:rPr>
          <w:sz w:val="20"/>
          <w:szCs w:val="20"/>
          <w:color w:val="auto"/>
        </w:rPr>
      </w:pPr>
    </w:p>
    <w:p>
      <w:pPr>
        <w:spacing w:after="0"/>
        <w:tabs>
          <w:tab w:leader="none" w:pos="1080" w:val="left"/>
          <w:tab w:leader="none" w:pos="1700" w:val="left"/>
          <w:tab w:leader="none" w:pos="29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3,613</w:t>
        <w:tab/>
        <w:t>$</w:t>
      </w:r>
      <w:r>
        <w:rPr>
          <w:sz w:val="20"/>
          <w:szCs w:val="20"/>
          <w:color w:val="auto"/>
        </w:rPr>
        <w:tab/>
      </w:r>
      <w:r>
        <w:rPr>
          <w:rFonts w:ascii="Arial" w:cs="Arial" w:eastAsia="Arial" w:hAnsi="Arial"/>
          <w:sz w:val="15"/>
          <w:szCs w:val="15"/>
          <w:color w:val="auto"/>
        </w:rPr>
        <w:t>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34925</wp:posOffset>
            </wp:positionV>
            <wp:extent cx="2101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0121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280"/>
          </w:cols>
          <w:pgMar w:left="240" w:top="234" w:right="239" w:bottom="1440" w:gutter="0" w:footer="0" w:header="0"/>
          <w:type w:val="continuous"/>
        </w:sect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net unrealized investment gains (losses)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9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50"/>
        </w:trPr>
        <w:tc>
          <w:tcPr>
            <w:tcW w:w="9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43"/>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2018</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Unrealized investment gains (losses) during the period</w:t>
            </w:r>
          </w:p>
        </w:tc>
        <w:tc>
          <w:tcPr>
            <w:tcW w:w="240" w:type="dxa"/>
            <w:vAlign w:val="bottom"/>
          </w:tcPr>
          <w:p>
            <w:pPr>
              <w:spacing w:after="0"/>
              <w:rPr>
                <w:sz w:val="19"/>
                <w:szCs w:val="19"/>
                <w:color w:val="auto"/>
              </w:rPr>
            </w:pPr>
          </w:p>
        </w:tc>
        <w:tc>
          <w:tcPr>
            <w:tcW w:w="1700" w:type="dxa"/>
            <w:vAlign w:val="bottom"/>
          </w:tcPr>
          <w:p>
            <w:pPr>
              <w:jc w:val="right"/>
              <w:ind w:right="22"/>
              <w:spacing w:after="0"/>
              <w:rPr>
                <w:sz w:val="20"/>
                <w:szCs w:val="20"/>
                <w:color w:val="auto"/>
              </w:rPr>
            </w:pPr>
            <w:r>
              <w:rPr>
                <w:rFonts w:ascii="Arial" w:cs="Arial" w:eastAsia="Arial" w:hAnsi="Arial"/>
                <w:sz w:val="16"/>
                <w:szCs w:val="16"/>
                <w:color w:val="auto"/>
              </w:rPr>
              <w:t>6,068</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investment gains (losses) relating to:</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Future policy benefits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(2,164)</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DAC, VOBA and DSI</w:t>
            </w: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Deferred income tax benefit (expense)</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September 30, 2019</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3,613</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Change in net unrealized investment gains (losses)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480" w:type="dxa"/>
            <w:vAlign w:val="bottom"/>
            <w:vMerge w:val="continue"/>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2"/>
              <w:spacing w:after="0"/>
              <w:rPr>
                <w:sz w:val="20"/>
                <w:szCs w:val="20"/>
                <w:color w:val="auto"/>
              </w:rPr>
            </w:pPr>
            <w:r>
              <w:rPr>
                <w:rFonts w:ascii="Arial" w:cs="Arial" w:eastAsia="Arial" w:hAnsi="Arial"/>
                <w:sz w:val="16"/>
                <w:szCs w:val="16"/>
                <w:color w:val="auto"/>
              </w:rPr>
              <w:t>2,850</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investments in any counterparty that were greater than 10% of the Company’s equity, other than the U.S. government and its agencies, at both September 30, 2019 and December 31,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Elements of the securities lending program are presented below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September 30, 2019</w:t>
            </w: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7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on loan: (1)</w:t>
            </w:r>
          </w:p>
        </w:tc>
        <w:tc>
          <w:tcPr>
            <w:tcW w:w="2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Amortized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2,055</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3,056</w:t>
            </w: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Estimated fair value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3,214</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collateral received from counterparties (2)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3,244</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3,646</w:t>
            </w: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Security collateral received from counterparties (3)</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Reinvestment portfolio — estimated fair value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3,354</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3,658</w:t>
            </w:r>
          </w:p>
        </w:tc>
      </w:tr>
      <w:tr>
        <w:trPr>
          <w:trHeight w:val="197"/>
        </w:trPr>
        <w:tc>
          <w:tcPr>
            <w:tcW w:w="7440" w:type="dxa"/>
            <w:vAlign w:val="bottom"/>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92"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within fixed maturity securities.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within payables for collateral under securities loaned and other transactions.</w:t>
      </w:r>
    </w:p>
    <w:p>
      <w:pPr>
        <w:sectPr>
          <w:pgSz w:w="11900" w:h="16838" w:orient="portrait"/>
          <w:cols w:equalWidth="0" w:num="1">
            <w:col w:w="11420"/>
          </w:cols>
          <w:pgMar w:left="240" w:top="234"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34" w:right="23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50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Security collateral received from counterparties may not be sold or re-pledged, unless the counterparty is in default, and is not reflected on the consolidated financial statements.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collateral liability by loaned security type and remaining tenor of the agreements were as follows at:</w:t>
      </w:r>
    </w:p>
    <w:p>
      <w:pPr>
        <w:spacing w:after="0" w:line="230" w:lineRule="exact"/>
        <w:rPr>
          <w:sz w:val="20"/>
          <w:szCs w:val="20"/>
          <w:color w:val="auto"/>
        </w:rPr>
      </w:pPr>
    </w:p>
    <w:p>
      <w:pPr>
        <w:ind w:left="4940"/>
        <w:spacing w:after="0"/>
        <w:tabs>
          <w:tab w:leader="none" w:pos="8920" w:val="left"/>
        </w:tabs>
        <w:rPr>
          <w:sz w:val="20"/>
          <w:szCs w:val="20"/>
          <w:color w:val="auto"/>
        </w:rPr>
      </w:pPr>
      <w:r>
        <w:rPr>
          <w:rFonts w:ascii="Arial" w:cs="Arial" w:eastAsia="Arial" w:hAnsi="Arial"/>
          <w:sz w:val="14"/>
          <w:szCs w:val="14"/>
          <w:b w:val="1"/>
          <w:bCs w:val="1"/>
          <w:color w:val="auto"/>
        </w:rPr>
        <w:t>September 30, 2019</w:t>
      </w:r>
      <w:r>
        <w:rPr>
          <w:sz w:val="20"/>
          <w:szCs w:val="20"/>
          <w:color w:val="auto"/>
        </w:rPr>
        <w:tab/>
      </w:r>
      <w:r>
        <w:rPr>
          <w:rFonts w:ascii="Arial" w:cs="Arial" w:eastAsia="Arial" w:hAnsi="Arial"/>
          <w:sz w:val="12"/>
          <w:szCs w:val="12"/>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23495</wp:posOffset>
            </wp:positionV>
            <wp:extent cx="49999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55" w:lineRule="exact"/>
        <w:rPr>
          <w:sz w:val="20"/>
          <w:szCs w:val="20"/>
          <w:color w:val="auto"/>
        </w:rPr>
      </w:pPr>
    </w:p>
    <w:p>
      <w:pPr>
        <w:jc w:val="center"/>
        <w:ind w:left="2980"/>
        <w:spacing w:after="0"/>
        <w:rPr>
          <w:sz w:val="20"/>
          <w:szCs w:val="20"/>
          <w:color w:val="auto"/>
        </w:rPr>
      </w:pPr>
      <w:r>
        <w:rPr>
          <w:rFonts w:ascii="Arial" w:cs="Arial" w:eastAsia="Arial" w:hAnsi="Arial"/>
          <w:sz w:val="12"/>
          <w:szCs w:val="12"/>
          <w:b w:val="1"/>
          <w:bCs w:val="1"/>
          <w:color w:val="auto"/>
        </w:rPr>
        <w:t>Remaining Tenor of Securities Lending</w:t>
      </w:r>
    </w:p>
    <w:p>
      <w:pPr>
        <w:spacing w:after="0" w:line="27" w:lineRule="exact"/>
        <w:rPr>
          <w:sz w:val="20"/>
          <w:szCs w:val="20"/>
          <w:color w:val="auto"/>
        </w:rPr>
      </w:pPr>
    </w:p>
    <w:p>
      <w:pPr>
        <w:jc w:val="center"/>
        <w:ind w:left="2980"/>
        <w:spacing w:after="0"/>
        <w:rPr>
          <w:sz w:val="20"/>
          <w:szCs w:val="20"/>
          <w:color w:val="auto"/>
        </w:rPr>
      </w:pPr>
      <w:r>
        <w:rPr>
          <w:rFonts w:ascii="Arial" w:cs="Arial" w:eastAsia="Arial" w:hAnsi="Arial"/>
          <w:sz w:val="14"/>
          <w:szCs w:val="14"/>
          <w:b w:val="1"/>
          <w:bCs w:val="1"/>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13335</wp:posOffset>
            </wp:positionV>
            <wp:extent cx="1929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Remaining Tenor of Securities Lending</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13335</wp:posOffset>
            </wp:positionV>
            <wp:extent cx="18351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7180" w:space="720"/>
            <w:col w:w="3520"/>
          </w:cols>
          <w:pgMar w:left="240" w:top="23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w w:val="98"/>
              </w:rPr>
              <w:t>Open (1)</w:t>
            </w:r>
          </w:p>
        </w:tc>
        <w:tc>
          <w:tcPr>
            <w:tcW w:w="220" w:type="dxa"/>
            <w:vAlign w:val="bottom"/>
          </w:tcPr>
          <w:p>
            <w:pPr>
              <w:spacing w:after="0"/>
              <w:rPr>
                <w:sz w:val="14"/>
                <w:szCs w:val="14"/>
                <w:color w:val="auto"/>
              </w:rPr>
            </w:pPr>
          </w:p>
        </w:tc>
        <w:tc>
          <w:tcPr>
            <w:tcW w:w="820" w:type="dxa"/>
            <w:vAlign w:val="bottom"/>
          </w:tcPr>
          <w:p>
            <w:pPr>
              <w:jc w:val="right"/>
              <w:ind w:right="45"/>
              <w:spacing w:after="0"/>
              <w:rPr>
                <w:sz w:val="20"/>
                <w:szCs w:val="20"/>
                <w:color w:val="auto"/>
              </w:rPr>
            </w:pPr>
            <w:r>
              <w:rPr>
                <w:rFonts w:ascii="Arial" w:cs="Arial" w:eastAsia="Arial" w:hAnsi="Arial"/>
                <w:sz w:val="14"/>
                <w:szCs w:val="14"/>
                <w:b w:val="1"/>
                <w:bCs w:val="1"/>
                <w:color w:val="auto"/>
                <w:w w:val="94"/>
              </w:rPr>
              <w:t>1 Month or</w:t>
            </w: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1 to 6 Months</w:t>
            </w:r>
          </w:p>
        </w:tc>
        <w:tc>
          <w:tcPr>
            <w:tcW w:w="90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76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w w:val="98"/>
              </w:rPr>
              <w:t>Open (1)</w:t>
            </w:r>
          </w:p>
        </w:tc>
        <w:tc>
          <w:tcPr>
            <w:tcW w:w="1000" w:type="dxa"/>
            <w:vAlign w:val="bottom"/>
            <w:gridSpan w:val="2"/>
          </w:tcPr>
          <w:p>
            <w:pPr>
              <w:jc w:val="center"/>
              <w:ind w:left="23"/>
              <w:spacing w:after="0"/>
              <w:rPr>
                <w:sz w:val="20"/>
                <w:szCs w:val="20"/>
                <w:color w:val="auto"/>
              </w:rPr>
            </w:pPr>
            <w:r>
              <w:rPr>
                <w:rFonts w:ascii="Arial" w:cs="Arial" w:eastAsia="Arial" w:hAnsi="Arial"/>
                <w:sz w:val="14"/>
                <w:szCs w:val="14"/>
                <w:b w:val="1"/>
                <w:bCs w:val="1"/>
                <w:color w:val="auto"/>
                <w:w w:val="97"/>
              </w:rPr>
              <w:t>1 Month or</w:t>
            </w:r>
          </w:p>
        </w:tc>
        <w:tc>
          <w:tcPr>
            <w:tcW w:w="260" w:type="dxa"/>
            <w:vAlign w:val="bottom"/>
          </w:tcPr>
          <w:p>
            <w:pPr>
              <w:spacing w:after="0"/>
              <w:rPr>
                <w:sz w:val="14"/>
                <w:szCs w:val="14"/>
                <w:color w:val="auto"/>
              </w:rPr>
            </w:pPr>
          </w:p>
        </w:tc>
        <w:tc>
          <w:tcPr>
            <w:tcW w:w="740" w:type="dxa"/>
            <w:vAlign w:val="bottom"/>
          </w:tcPr>
          <w:p>
            <w:pPr>
              <w:jc w:val="center"/>
              <w:ind w:right="85"/>
              <w:spacing w:after="0"/>
              <w:rPr>
                <w:sz w:val="20"/>
                <w:szCs w:val="20"/>
                <w:color w:val="auto"/>
              </w:rPr>
            </w:pPr>
            <w:r>
              <w:rPr>
                <w:rFonts w:ascii="Arial" w:cs="Arial" w:eastAsia="Arial" w:hAnsi="Arial"/>
                <w:sz w:val="14"/>
                <w:szCs w:val="14"/>
                <w:b w:val="1"/>
                <w:bCs w:val="1"/>
                <w:color w:val="auto"/>
                <w:w w:val="92"/>
              </w:rPr>
              <w:t>1 to 6</w:t>
            </w:r>
          </w:p>
        </w:tc>
        <w:tc>
          <w:tcPr>
            <w:tcW w:w="88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Less</w:t>
            </w:r>
          </w:p>
        </w:tc>
        <w:tc>
          <w:tcPr>
            <w:tcW w:w="110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87"/>
              </w:rPr>
              <w:t>Less</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6"/>
              </w:rPr>
              <w:t>Months</w:t>
            </w: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900" w:type="dxa"/>
            <w:vAlign w:val="bottom"/>
            <w:gridSpan w:val="3"/>
          </w:tcPr>
          <w:p>
            <w:pPr>
              <w:jc w:val="right"/>
              <w:ind w:right="583"/>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jc w:val="right"/>
              <w:ind w:right="1543"/>
              <w:spacing w:after="0"/>
              <w:rPr>
                <w:sz w:val="20"/>
                <w:szCs w:val="20"/>
                <w:color w:val="auto"/>
              </w:rPr>
            </w:pPr>
            <w:r>
              <w:rPr>
                <w:rFonts w:ascii="Arial" w:cs="Arial" w:eastAsia="Arial" w:hAnsi="Arial"/>
                <w:sz w:val="16"/>
                <w:szCs w:val="16"/>
                <w:color w:val="auto"/>
                <w:w w:val="90"/>
              </w:rPr>
              <w:t>U.S. government and agency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1,561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1,283</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400</w:t>
            </w:r>
          </w:p>
        </w:tc>
        <w:tc>
          <w:tcPr>
            <w:tcW w:w="9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   3,244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1,474</w:t>
            </w:r>
          </w:p>
        </w:tc>
        <w:tc>
          <w:tcPr>
            <w:tcW w:w="3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349</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   3,646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tcPr>
          <w:p>
            <w:pPr>
              <w:jc w:val="right"/>
              <w:ind w:right="2163"/>
              <w:spacing w:after="0"/>
              <w:rPr>
                <w:sz w:val="20"/>
                <w:szCs w:val="20"/>
                <w:color w:val="auto"/>
              </w:rPr>
            </w:pPr>
            <w:r>
              <w:rPr>
                <w:rFonts w:ascii="Arial" w:cs="Arial" w:eastAsia="Arial" w:hAnsi="Arial"/>
                <w:sz w:val="14"/>
                <w:szCs w:val="14"/>
                <w:color w:val="auto"/>
                <w:w w:val="89"/>
              </w:rPr>
              <w:t>__________________</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500" w:right="20" w:hanging="49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related loaned security could be returned to the Company on the next business day which would require the Company to immediately return the cash collateral.</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under normal market conditions, or both. The estimated fair value of the securities on loan related to the cash collateral on open at September 30, 2019 was $1.5 billion, all of which were U.S. government and agency securities which, if put back to the Company, could be immediately sold to satisfy the cash requirement.</w:t>
      </w:r>
    </w:p>
    <w:p>
      <w:pPr>
        <w:spacing w:after="0" w:line="8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reinvestment portfolio acquired with the cash collateral consisted principally of fixed maturity securities (including agency RMBS, U.S. and foreign corporate securities, ABS, non-agency RMBS and U.S. government and agency securities) with 55% invested in agency RMBS, cash and cash equivalents and U.S. government and agency securities at September 30, 2019.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Invested Assets on Deposit, Held in Trust and Pledged as Collateral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Invested assets on deposit, held in trust and pledged as collateral are presented below at estimated fair value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September 30, 2019</w:t>
            </w: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on deposit (regulatory deposits) (1)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9,443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8,176</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Invested assets held in trust (reinsurance agreements) (2)</w:t>
            </w:r>
          </w:p>
        </w:tc>
        <w:tc>
          <w:tcPr>
            <w:tcW w:w="240" w:type="dxa"/>
            <w:vAlign w:val="bottom"/>
          </w:tcPr>
          <w:p>
            <w:pPr>
              <w:spacing w:after="0"/>
              <w:rPr>
                <w:sz w:val="20"/>
                <w:szCs w:val="20"/>
                <w:color w:val="auto"/>
              </w:rPr>
            </w:pP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4,429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pledged as collateral (3)</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3,341</w:t>
            </w:r>
          </w:p>
        </w:tc>
        <w:tc>
          <w:tcPr>
            <w:tcW w:w="0" w:type="dxa"/>
            <w:vAlign w:val="bottom"/>
          </w:tcPr>
          <w:p>
            <w:pPr>
              <w:spacing w:after="0"/>
              <w:rPr>
                <w:sz w:val="1"/>
                <w:szCs w:val="1"/>
                <w:color w:val="auto"/>
              </w:rPr>
            </w:pP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Total invested assets on deposit, held in trust and pledged as collateral</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17,343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14,972</w:t>
            </w:r>
          </w:p>
        </w:tc>
        <w:tc>
          <w:tcPr>
            <w:tcW w:w="0" w:type="dxa"/>
            <w:vAlign w:val="bottom"/>
          </w:tcPr>
          <w:p>
            <w:pPr>
              <w:spacing w:after="0"/>
              <w:rPr>
                <w:sz w:val="1"/>
                <w:szCs w:val="1"/>
                <w:color w:val="auto"/>
              </w:rPr>
            </w:pPr>
          </w:p>
        </w:tc>
      </w:tr>
      <w:tr>
        <w:trPr>
          <w:trHeight w:val="33"/>
        </w:trPr>
        <w:tc>
          <w:tcPr>
            <w:tcW w:w="74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4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assets, primarily fixed maturity securities, on deposit with governmental authorities relating to certain policyholder liabilities, of which $75 million and $55 million of the assets on deposit balance represents restricted cash at September 30, 2019 and December 31, 2018, respectively.</w:t>
      </w:r>
    </w:p>
    <w:p>
      <w:pPr>
        <w:spacing w:after="0" w:line="73"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assets, primarily fixed maturity securities, held in trust relating to certain reinsurance transactions. $132 million and $87 million of the assets held in trust balance represents restricted cash at September 30, 2019 and December 31, 2018, respectively.</w:t>
      </w:r>
    </w:p>
    <w:p>
      <w:pPr>
        <w:spacing w:after="0" w:line="62" w:lineRule="exact"/>
        <w:rPr>
          <w:rFonts w:ascii="Arial" w:cs="Arial" w:eastAsia="Arial" w:hAnsi="Arial"/>
          <w:sz w:val="18"/>
          <w:szCs w:val="18"/>
          <w:color w:val="auto"/>
        </w:rPr>
      </w:pPr>
    </w:p>
    <w:p>
      <w:pPr>
        <w:ind w:left="500" w:hanging="492"/>
        <w:spacing w:after="0" w:line="342"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has pledged invested assets in connection with various agreements and transactions, including funding agreements (see Note 3 of the Notes to the Consolidated and Combined Financial Statements included in the 2018 Annual Report) and derivative transactions (see Note 5).</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Securities Lending” for information regarding securities on loan.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34" w:right="23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has invested in legal entities that are variable interest entities (“VIEs”). VIEs are consolidated when the investor is the primary beneficiary. A primary beneficiary is the variable interest holder in a VIE with both the power to direct the activities of the VIE that most significantly impact the economic performance of the VIE and the obligation to absorb losses, or the right to receive benefits that could potentially be significant to the VIE.</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material VIEs for which the Company has concluded that it is the primary beneficiary at September 30, 2019 or December 31, 2018.</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investments in unconsolidated VIEs are described below.</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AFS” for information on these securities.</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Limited Partnerships and LLCs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holds investments in certain limited partnerships and LLCs which are VIEs. These ventures include real estate limited partnerships/LLCs, private equity funds, hedge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11.</w:t>
      </w:r>
    </w:p>
    <w:p>
      <w:pPr>
        <w:spacing w:after="0" w:line="8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amount and maximum exposure to loss related to the VIEs in which the Company concluded that it holds a variable interest, but is not the primary beneficiary, were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84"/>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3"/>
                <w:szCs w:val="13"/>
                <w:color w:val="auto"/>
              </w:rPr>
            </w:pPr>
          </w:p>
        </w:tc>
        <w:tc>
          <w:tcPr>
            <w:tcW w:w="136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9"/>
              </w:rPr>
              <w:t>Maximum</w:t>
            </w:r>
          </w:p>
        </w:tc>
        <w:tc>
          <w:tcPr>
            <w:tcW w:w="360" w:type="dxa"/>
            <w:vAlign w:val="bottom"/>
          </w:tcPr>
          <w:p>
            <w:pPr>
              <w:spacing w:after="0"/>
              <w:rPr>
                <w:sz w:val="13"/>
                <w:szCs w:val="13"/>
                <w:color w:val="auto"/>
              </w:rPr>
            </w:pPr>
          </w:p>
        </w:tc>
        <w:tc>
          <w:tcPr>
            <w:tcW w:w="12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3"/>
                <w:szCs w:val="13"/>
                <w:color w:val="auto"/>
              </w:rPr>
            </w:pPr>
          </w:p>
        </w:tc>
        <w:tc>
          <w:tcPr>
            <w:tcW w:w="1200" w:type="dxa"/>
            <w:vAlign w:val="bottom"/>
          </w:tcPr>
          <w:p>
            <w:pPr>
              <w:jc w:val="center"/>
              <w:ind w:right="203"/>
              <w:spacing w:after="0" w:line="153"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Exposure</w:t>
            </w:r>
          </w:p>
        </w:tc>
        <w:tc>
          <w:tcPr>
            <w:tcW w:w="3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83"/>
              <w:spacing w:after="0" w:line="149" w:lineRule="exact"/>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8"/>
              </w:rPr>
              <w:t>to Loss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84"/>
              </w:rPr>
              <w:t>to Loss</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13,361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12,592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13,099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13,099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Limited partnerships and LLCs</w:t>
            </w:r>
          </w:p>
        </w:tc>
        <w:tc>
          <w:tcPr>
            <w:tcW w:w="28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3,067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1,756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3,145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15,207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15,659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14,855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16,244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34"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investment income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gridSpan w:val="3"/>
          </w:tcPr>
          <w:p>
            <w:pPr>
              <w:jc w:val="right"/>
              <w:ind w:right="222"/>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4"/>
                <w:szCs w:val="14"/>
                <w:color w:val="auto"/>
              </w:rPr>
            </w:pPr>
          </w:p>
        </w:tc>
      </w:tr>
      <w:tr>
        <w:trPr>
          <w:trHeight w:val="192"/>
        </w:trPr>
        <w:tc>
          <w:tcPr>
            <w:tcW w:w="55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96"/>
        </w:trPr>
        <w:tc>
          <w:tcPr>
            <w:tcW w:w="55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w w:val="83"/>
              </w:rPr>
              <w:t>2018</w:t>
            </w:r>
          </w:p>
        </w:tc>
      </w:tr>
      <w:tr>
        <w:trPr>
          <w:trHeight w:val="196"/>
        </w:trPr>
        <w:tc>
          <w:tcPr>
            <w:tcW w:w="5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43"/>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Fixed maturity securities</w:t>
            </w:r>
          </w:p>
        </w:tc>
        <w:tc>
          <w:tcPr>
            <w:tcW w:w="7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665</w:t>
            </w:r>
          </w:p>
        </w:tc>
        <w:tc>
          <w:tcPr>
            <w:tcW w:w="360" w:type="dxa"/>
            <w:vAlign w:val="bottom"/>
          </w:tcPr>
          <w:p>
            <w:pPr>
              <w:spacing w:after="0"/>
              <w:rPr>
                <w:sz w:val="20"/>
                <w:szCs w:val="20"/>
                <w:color w:val="auto"/>
              </w:rPr>
            </w:pPr>
          </w:p>
        </w:tc>
        <w:tc>
          <w:tcPr>
            <w:tcW w:w="800" w:type="dxa"/>
            <w:vAlign w:val="bottom"/>
          </w:tcPr>
          <w:p>
            <w:pPr>
              <w:jc w:val="right"/>
              <w:ind w:right="62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641</w:t>
            </w:r>
          </w:p>
        </w:tc>
        <w:tc>
          <w:tcPr>
            <w:tcW w:w="34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1,997</w:t>
            </w:r>
          </w:p>
        </w:tc>
        <w:tc>
          <w:tcPr>
            <w:tcW w:w="36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1,907</w:t>
            </w:r>
          </w:p>
        </w:tc>
      </w:tr>
      <w:tr>
        <w:trPr>
          <w:trHeight w:val="33"/>
        </w:trPr>
        <w:tc>
          <w:tcPr>
            <w:tcW w:w="5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securities</w:t>
            </w: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740" w:type="dxa"/>
            <w:vAlign w:val="bottom"/>
          </w:tcPr>
          <w:p>
            <w:pPr>
              <w:spacing w:after="0"/>
              <w:rPr>
                <w:sz w:val="20"/>
                <w:szCs w:val="20"/>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172</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138</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507</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384</w:t>
            </w:r>
          </w:p>
        </w:tc>
      </w:tr>
      <w:tr>
        <w:trPr>
          <w:trHeight w:val="33"/>
        </w:trPr>
        <w:tc>
          <w:tcPr>
            <w:tcW w:w="5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Real estate limited partnerships and limited liability companies</w:t>
            </w:r>
          </w:p>
        </w:tc>
        <w:tc>
          <w:tcPr>
            <w:tcW w:w="740" w:type="dxa"/>
            <w:vAlign w:val="bottom"/>
          </w:tcPr>
          <w:p>
            <w:pPr>
              <w:spacing w:after="0"/>
              <w:rPr>
                <w:sz w:val="20"/>
                <w:szCs w:val="20"/>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32</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36</w:t>
            </w:r>
          </w:p>
        </w:tc>
      </w:tr>
      <w:tr>
        <w:trPr>
          <w:trHeight w:val="33"/>
        </w:trPr>
        <w:tc>
          <w:tcPr>
            <w:tcW w:w="5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w:t>
            </w: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143</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Cash, cash equivalents and short-term investments</w:t>
            </w:r>
          </w:p>
        </w:tc>
        <w:tc>
          <w:tcPr>
            <w:tcW w:w="740" w:type="dxa"/>
            <w:vAlign w:val="bottom"/>
          </w:tcPr>
          <w:p>
            <w:pPr>
              <w:spacing w:after="0"/>
              <w:rPr>
                <w:sz w:val="20"/>
                <w:szCs w:val="20"/>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67</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21</w:t>
            </w:r>
          </w:p>
        </w:tc>
      </w:tr>
      <w:tr>
        <w:trPr>
          <w:trHeight w:val="33"/>
        </w:trPr>
        <w:tc>
          <w:tcPr>
            <w:tcW w:w="5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7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3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w:t>
            </w:r>
          </w:p>
        </w:tc>
        <w:tc>
          <w:tcPr>
            <w:tcW w:w="3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r>
      <w:tr>
        <w:trPr>
          <w:trHeight w:val="217"/>
        </w:trPr>
        <w:tc>
          <w:tcPr>
            <w:tcW w:w="5500" w:type="dxa"/>
            <w:vAlign w:val="bottom"/>
          </w:tcPr>
          <w:p>
            <w:pPr>
              <w:ind w:left="200"/>
              <w:spacing w:after="0"/>
              <w:rPr>
                <w:sz w:val="20"/>
                <w:szCs w:val="20"/>
                <w:color w:val="auto"/>
              </w:rPr>
            </w:pPr>
            <w:r>
              <w:rPr>
                <w:rFonts w:ascii="Arial" w:cs="Arial" w:eastAsia="Arial" w:hAnsi="Arial"/>
                <w:sz w:val="16"/>
                <w:szCs w:val="16"/>
                <w:color w:val="auto"/>
              </w:rPr>
              <w:t>Subtotal</w:t>
            </w:r>
          </w:p>
        </w:tc>
        <w:tc>
          <w:tcPr>
            <w:tcW w:w="7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978</w:t>
            </w: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906</w:t>
            </w: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2,834</w:t>
            </w:r>
          </w:p>
        </w:tc>
        <w:tc>
          <w:tcPr>
            <w:tcW w:w="3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2,621</w:t>
            </w:r>
          </w:p>
        </w:tc>
      </w:tr>
      <w:tr>
        <w:trPr>
          <w:trHeight w:val="33"/>
        </w:trPr>
        <w:tc>
          <w:tcPr>
            <w:tcW w:w="5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Investment expenses</w:t>
            </w:r>
          </w:p>
        </w:tc>
        <w:tc>
          <w:tcPr>
            <w:tcW w:w="7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3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153</w:t>
            </w:r>
          </w:p>
        </w:tc>
        <w:tc>
          <w:tcPr>
            <w:tcW w:w="3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w:t>
            </w:r>
          </w:p>
        </w:tc>
      </w:tr>
      <w:tr>
        <w:trPr>
          <w:trHeight w:val="217"/>
        </w:trPr>
        <w:tc>
          <w:tcPr>
            <w:tcW w:w="5500" w:type="dxa"/>
            <w:vAlign w:val="bottom"/>
          </w:tcPr>
          <w:p>
            <w:pPr>
              <w:ind w:left="200"/>
              <w:spacing w:after="0"/>
              <w:rPr>
                <w:sz w:val="20"/>
                <w:szCs w:val="20"/>
                <w:color w:val="auto"/>
              </w:rPr>
            </w:pPr>
            <w:r>
              <w:rPr>
                <w:rFonts w:ascii="Arial" w:cs="Arial" w:eastAsia="Arial" w:hAnsi="Arial"/>
                <w:sz w:val="16"/>
                <w:szCs w:val="16"/>
                <w:color w:val="auto"/>
              </w:rPr>
              <w:t>Net investment income</w:t>
            </w:r>
          </w:p>
        </w:tc>
        <w:tc>
          <w:tcPr>
            <w:tcW w:w="740" w:type="dxa"/>
            <w:vAlign w:val="bottom"/>
            <w:tcBorders>
              <w:top w:val="single" w:sz="8" w:color="auto"/>
            </w:tcBorders>
          </w:tcPr>
          <w:p>
            <w:pPr>
              <w:jc w:val="right"/>
              <w:ind w:right="542"/>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928</w:t>
            </w:r>
          </w:p>
        </w:tc>
        <w:tc>
          <w:tcPr>
            <w:tcW w:w="360" w:type="dxa"/>
            <w:vAlign w:val="bottom"/>
          </w:tcPr>
          <w:p>
            <w:pPr>
              <w:spacing w:after="0"/>
              <w:rPr>
                <w:sz w:val="18"/>
                <w:szCs w:val="18"/>
                <w:color w:val="auto"/>
              </w:rPr>
            </w:pPr>
          </w:p>
        </w:tc>
        <w:tc>
          <w:tcPr>
            <w:tcW w:w="800" w:type="dxa"/>
            <w:vAlign w:val="bottom"/>
            <w:tcBorders>
              <w:top w:val="single" w:sz="8" w:color="auto"/>
            </w:tcBorders>
          </w:tcPr>
          <w:p>
            <w:pPr>
              <w:jc w:val="right"/>
              <w:ind w:right="62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853</w:t>
            </w:r>
          </w:p>
        </w:tc>
        <w:tc>
          <w:tcPr>
            <w:tcW w:w="34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2,681</w:t>
            </w:r>
          </w:p>
        </w:tc>
        <w:tc>
          <w:tcPr>
            <w:tcW w:w="36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2,476</w:t>
            </w:r>
          </w:p>
        </w:tc>
      </w:tr>
      <w:tr>
        <w:trPr>
          <w:trHeight w:val="33"/>
        </w:trPr>
        <w:tc>
          <w:tcPr>
            <w:tcW w:w="5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Components of Net Investment Gains (Losses)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investment gains (losses)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40" w:type="dxa"/>
            <w:vAlign w:val="bottom"/>
            <w:gridSpan w:val="4"/>
          </w:tcPr>
          <w:p>
            <w:pPr>
              <w:jc w:val="right"/>
              <w:ind w:right="16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142"/>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4"/>
                <w:szCs w:val="14"/>
                <w:color w:val="auto"/>
              </w:rPr>
            </w:pPr>
          </w:p>
        </w:tc>
      </w:tr>
      <w:tr>
        <w:trPr>
          <w:trHeight w:val="192"/>
        </w:trPr>
        <w:tc>
          <w:tcPr>
            <w:tcW w:w="60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62"/>
              <w:spacing w:after="0"/>
              <w:rPr>
                <w:sz w:val="20"/>
                <w:szCs w:val="20"/>
                <w:color w:val="auto"/>
              </w:rPr>
            </w:pPr>
            <w:r>
              <w:rPr>
                <w:rFonts w:ascii="Arial" w:cs="Arial" w:eastAsia="Arial" w:hAnsi="Arial"/>
                <w:sz w:val="14"/>
                <w:szCs w:val="14"/>
                <w:b w:val="1"/>
                <w:bCs w:val="1"/>
                <w:color w:val="auto"/>
                <w:w w:val="96"/>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r>
      <w:tr>
        <w:trPr>
          <w:trHeight w:val="196"/>
        </w:trPr>
        <w:tc>
          <w:tcPr>
            <w:tcW w:w="6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gridSpan w:val="3"/>
          </w:tcPr>
          <w:p>
            <w:pPr>
              <w:jc w:val="right"/>
              <w:ind w:right="443"/>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43"/>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(138)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86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loans</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Real estate limited partnerships and limited liability companies</w:t>
            </w:r>
          </w:p>
        </w:tc>
        <w:tc>
          <w:tcPr>
            <w:tcW w:w="86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33"/>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86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60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net investment gains (losses)</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(121)</w:t>
            </w:r>
          </w:p>
        </w:tc>
      </w:tr>
      <w:tr>
        <w:trPr>
          <w:trHeight w:val="20"/>
        </w:trPr>
        <w:tc>
          <w:tcPr>
            <w:tcW w:w="6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34"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Sales or Disposals of Fixed Maturity Securities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shown in the table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right"/>
              <w:ind w:right="101"/>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gridSpan w:val="4"/>
          </w:tcPr>
          <w:p>
            <w:pPr>
              <w:jc w:val="right"/>
              <w:ind w:right="58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w:t>
            </w:r>
          </w:p>
        </w:tc>
        <w:tc>
          <w:tcPr>
            <w:tcW w:w="780" w:type="dxa"/>
            <w:vAlign w:val="bottom"/>
            <w:tcBorders>
              <w:bottom w:val="single" w:sz="8" w:color="CCEEFF"/>
            </w:tcBorders>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1,628</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3,091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8,586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8,428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Gross investment gains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780" w:type="dxa"/>
            <w:vAlign w:val="bottom"/>
          </w:tcPr>
          <w:p>
            <w:pPr>
              <w:jc w:val="right"/>
              <w:ind w:right="60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780" w:type="dxa"/>
            <w:vAlign w:val="bottom"/>
          </w:tcPr>
          <w:p>
            <w:pPr>
              <w:jc w:val="right"/>
              <w:ind w:right="581"/>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investment losses</w:t>
            </w:r>
          </w:p>
        </w:tc>
        <w:tc>
          <w:tcPr>
            <w:tcW w:w="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7"/>
        </w:trPr>
        <w:tc>
          <w:tcPr>
            <w:tcW w:w="6060" w:type="dxa"/>
            <w:vAlign w:val="bottom"/>
          </w:tcPr>
          <w:p>
            <w:pPr>
              <w:ind w:left="200"/>
              <w:spacing w:after="0"/>
              <w:rPr>
                <w:sz w:val="20"/>
                <w:szCs w:val="20"/>
                <w:color w:val="auto"/>
              </w:rPr>
            </w:pPr>
            <w:r>
              <w:rPr>
                <w:rFonts w:ascii="Arial" w:cs="Arial" w:eastAsia="Arial" w:hAnsi="Arial"/>
                <w:sz w:val="16"/>
                <w:szCs w:val="16"/>
                <w:color w:val="auto"/>
              </w:rPr>
              <w:t>Net investment gains (losses)</w:t>
            </w:r>
          </w:p>
        </w:tc>
        <w:tc>
          <w:tcPr>
            <w:tcW w:w="780" w:type="dxa"/>
            <w:vAlign w:val="bottom"/>
            <w:tcBorders>
              <w:top w:val="single" w:sz="8" w:color="auto"/>
            </w:tcBorders>
          </w:tcPr>
          <w:p>
            <w:pPr>
              <w:jc w:val="right"/>
              <w:ind w:right="60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581"/>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Freestanding Derivatives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Freestanding derivatives are carried on the Company’s balance sheet either as assets within other invested assets or as liabilities within other liabilities at estimated fair value. The Company does not offset the estimated fair value amounts recognized for derivatives executed with the same counterparty under the same master netting agreement.</w:t>
      </w:r>
    </w:p>
    <w:p>
      <w:pPr>
        <w:spacing w:after="0" w:line="73"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If a derivative is not designated or did not qualify as an accounting hedge, changes in the estimated fair value of the derivative are reported in net derivative gains (losses) except for economic hedges of limited partnerships and LLCs which are presented in net investment income.</w:t>
      </w:r>
    </w:p>
    <w:p>
      <w:pPr>
        <w:spacing w:after="0" w:line="38"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The Company generally reports cash received or paid for a derivative in the investing activity section of the statement of cash flows except for cash flows of certain derivative options with deferred premiums, which are reported in the financing activity section of the statement of cash flows.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Hedge Accounting</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Company primarily designates derivatives as a hedge of a forecasted transaction or a variability of cash flows to be received or paid related to a recognized asset or liability (cash flow hedge). When a derivative is designated as a cash flow hedge and is determined to be highly effective, changes in fair value are recorded in OCI and subsequently reclassified into the statement of operations when the Company’s earnings are affected by the variability in cash flows of the hedged item.</w:t>
      </w:r>
    </w:p>
    <w:p>
      <w:pPr>
        <w:spacing w:after="0" w:line="79"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To qualify for hedge accounting, at the inception of the hedging relationship, the Company formally documents its risk management objective and strategy for undertaking the hedging transaction, as well as its designation of the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w:t>
      </w:r>
    </w:p>
    <w:p>
      <w:pPr>
        <w:spacing w:after="0" w:line="85"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The Company discontinues hedge accounting prospectively when: (i) it is determined that the derivative is no longer highly effective in offsetting changes in the estimated fair value or cash flows of a hedged item; (ii) the derivative or hedged item expires, is sold, terminated, or exercised; (iii) it is no longer probable that the hedged forecasted transaction will occur; or (iv) the derivative is de-designated as a hedging instrument.</w:t>
      </w:r>
    </w:p>
    <w:p>
      <w:pPr>
        <w:spacing w:after="0" w:line="5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When hedge accounting is discontinued the derivative is carried at its estimated fair value on the balance sheet, with changes in its estimated fair value recognized in the current period as net derivative gains (losses). The changes in estimated fair value of derivatives previously recorded in OCI related to discontinued cash flow hedges are released into the statement of operations when the Company’s earnings are affected by the variability in cash flows of the hedged item. When the hedged item matures or is sold, or the forecasted transaction is not probable of occurring, the Company immediately reclassifies any remaining balances in OCI to net derivative gains (losses).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34" w:right="239" w:bottom="1440" w:gutter="0" w:footer="0" w:header="0"/>
        </w:sectPr>
      </w:pPr>
    </w:p>
    <w:bookmarkStart w:id="23" w:name="page24"/>
    <w:bookmarkEnd w:id="2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Embedded Derivatives</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The Company has certain insurance and reinsurance contracts that contain embedded derivatives which are required to be separated from their host contracts and reported as derivatives. These host contracts include: variable annuities with guaranteed minimum benefits, including GMWBs, GMABs and certain GMIBs; index-linked annuities that are directly written or assumed through reinsurance; and ceded reinsurance of variable annuity GMIBs. Embedded derivatives within asset host contracts are presented within premiums, reinsurance and other receivables on the consolidated balance sheets. Embedded derivatives within liability host contracts are presented within policyholder account balances on the consolidated balance sheets. Changes in the estimated fair value of the embedded derivative are reported in net derivative gains (losses).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Strategies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maintains an overall risk management strategy that incorporates the use of derivative instruments to minimize its exposure to various market risks, including interest rate, foreign currency exchange rate, credit and equity market.</w:t>
      </w:r>
    </w:p>
    <w:p>
      <w:pPr>
        <w:spacing w:after="0" w:line="62"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Derivatives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Interest rate swaps: The Company primarily uses interest rate swaps to hedge interest rate exposure in variable annuity products and minimum guarantees embedded in universal life products. Interest rate swaps are used in nonqualifying hedging relationships.</w:t>
      </w:r>
    </w:p>
    <w:p>
      <w:pPr>
        <w:spacing w:after="0" w:line="62" w:lineRule="exact"/>
        <w:rPr>
          <w:sz w:val="20"/>
          <w:szCs w:val="20"/>
          <w:color w:val="auto"/>
        </w:rPr>
      </w:pPr>
    </w:p>
    <w:p>
      <w:pPr>
        <w:jc w:val="both"/>
        <w:ind w:left="180" w:firstLine="324"/>
        <w:spacing w:after="0" w:line="342" w:lineRule="auto"/>
        <w:rPr>
          <w:sz w:val="20"/>
          <w:szCs w:val="20"/>
          <w:color w:val="auto"/>
        </w:rPr>
      </w:pPr>
      <w:r>
        <w:rPr>
          <w:rFonts w:ascii="Arial" w:cs="Arial" w:eastAsia="Arial" w:hAnsi="Arial"/>
          <w:sz w:val="16"/>
          <w:szCs w:val="16"/>
          <w:color w:val="auto"/>
        </w:rPr>
        <w:t>Interest rate caps: The Company uses interest rate caps to protect its floating rate liabilities against rises in interest rates above a specified level, and against interest rate exposure arising from mismatches between assets and liabilities. Interest rate caps are used in nonqualifying hedging relationships.</w:t>
      </w:r>
    </w:p>
    <w:p>
      <w:pPr>
        <w:spacing w:after="0" w:line="16"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Interest rate futures: The Company uses exchange-traded interest rate futures contracts to hedge minimum guarantees embedded in certain variable annuity products offered by the Company. Exchange-traded interest rate futures are used in nonqualifying hedging relationships.</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Swaptions: The Company uses swaptions to hedge interest rate risk associated with the Company’s variable annuity and universal life products.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Swaptions are used in nonqualifying hedging relationships. Swaptions are included in interest rate options.</w:t>
      </w:r>
    </w:p>
    <w:p>
      <w:pPr>
        <w:spacing w:after="0" w:line="103"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Interest rate forwards: The Company uses interest rate forwards to hedge minimum guarantees embedded in universal life products. Interest rate forwards are used in cash flow and nonqualifying hedging relationships.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Foreign Currency Exchange Rate Derivatives</w:t>
      </w:r>
    </w:p>
    <w:p>
      <w:pPr>
        <w:spacing w:after="0" w:line="117" w:lineRule="exact"/>
        <w:rPr>
          <w:sz w:val="20"/>
          <w:szCs w:val="20"/>
          <w:color w:val="auto"/>
        </w:rPr>
      </w:pPr>
    </w:p>
    <w:p>
      <w:pPr>
        <w:jc w:val="both"/>
        <w:ind w:left="180" w:firstLine="324"/>
        <w:spacing w:after="0" w:line="342" w:lineRule="auto"/>
        <w:rPr>
          <w:sz w:val="20"/>
          <w:szCs w:val="20"/>
          <w:color w:val="auto"/>
        </w:rPr>
      </w:pPr>
      <w:r>
        <w:rPr>
          <w:rFonts w:ascii="Arial" w:cs="Arial" w:eastAsia="Arial" w:hAnsi="Arial"/>
          <w:sz w:val="16"/>
          <w:szCs w:val="16"/>
          <w:color w:val="auto"/>
        </w:rPr>
        <w:t>Foreign currency swaps: The Company uses foreign currency swaps to convert foreign currency denominated cash flows to U.S. dollars to reduce cash flow fluctuations due to changes in currency exchange rates. Foreign currency swaps are used in cash flow and nonqualifying hedging relationships.</w:t>
      </w:r>
    </w:p>
    <w:p>
      <w:pPr>
        <w:spacing w:after="0" w:line="16"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Foreign currency forwards: The Company uses foreign currency forwards to hedge currency exposure on its invested assets. Foreign currency forwards are used in nonqualifying hedging relationships.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Derivatives</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Credit default swaps: The Company uses credit default swaps to create synthetic credit investments to replicate credit exposure that is more economically attractive than what is available in the market or otherwise unavailable (written credit protection), or to reduce credit loss exposure on certain assets that the Company owns (purchased credit protection). Credit default swaps are used in nonqualifying hedging relationships.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Equity Derivatives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Equity futures: The Company uses exchange-traded equity futures to hedge minimum guarantees embedded in certain variable annuity products against adverse changes in equity markets. Exchange-traded equity futures are used in nonqualifying hedging relationships.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34" w:right="239" w:bottom="1440" w:gutter="0" w:footer="0" w:header="0"/>
        </w:sectPr>
      </w:pPr>
    </w:p>
    <w:bookmarkStart w:id="24" w:name="page25"/>
    <w:bookmarkEnd w:id="24"/>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Equity index options: The Company uses equity index options primarily to hedge minimum guarantees embedded in certain variable annuity products against adverse changes in equity markets. Additionally, the Company uses equity index options to hedge index-linked annuity products against adverse changes in equity markets. Equity index options are used in nonqualifying hedging relationships.</w:t>
      </w:r>
    </w:p>
    <w:p>
      <w:pPr>
        <w:spacing w:after="0" w:line="73"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Equity total return swaps: The Company uses equity total return swaps to hedge minimum guarantees embedded in certain variable annuity products against adverse changes equity markets. Equity total return swaps are used in nonqualifying hedging relationships.</w:t>
      </w:r>
    </w:p>
    <w:p>
      <w:pPr>
        <w:spacing w:after="0" w:line="62"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Equity variance swaps: The Company uses equity variance swaps to hedge minimum guarantees embedded in certain variable annuity products offered by the Company. Equity variance swaps are used in nonqualifying hedging relationships.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Risks Managed by Derivatives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primary underlying risk exposure, gross notional amount, and estimated fair value of the Company’s derivatives, held at: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September 30, 2019</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December 31, 2018</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7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center"/>
              <w:ind w:right="113"/>
              <w:spacing w:after="0"/>
              <w:rPr>
                <w:sz w:val="20"/>
                <w:szCs w:val="20"/>
                <w:color w:val="auto"/>
              </w:rPr>
            </w:pPr>
            <w:r>
              <w:rPr>
                <w:rFonts w:ascii="Arial" w:cs="Arial" w:eastAsia="Arial" w:hAnsi="Arial"/>
                <w:sz w:val="13"/>
                <w:szCs w:val="13"/>
                <w:b w:val="1"/>
                <w:bCs w:val="1"/>
                <w:color w:val="auto"/>
                <w:w w:val="79"/>
              </w:rPr>
              <w:t>Gross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5"/>
          </w:tcPr>
          <w:p>
            <w:pPr>
              <w:ind w:left="240"/>
              <w:spacing w:after="0"/>
              <w:rPr>
                <w:sz w:val="20"/>
                <w:szCs w:val="20"/>
                <w:color w:val="auto"/>
              </w:rPr>
            </w:pPr>
            <w:r>
              <w:rPr>
                <w:rFonts w:ascii="Arial" w:cs="Arial" w:eastAsia="Arial" w:hAnsi="Arial"/>
                <w:sz w:val="13"/>
                <w:szCs w:val="13"/>
                <w:b w:val="1"/>
                <w:bCs w:val="1"/>
                <w:color w:val="auto"/>
              </w:rPr>
              <w:t>Estimated Fair Value</w:t>
            </w:r>
          </w:p>
        </w:tc>
        <w:tc>
          <w:tcPr>
            <w:tcW w:w="220" w:type="dxa"/>
            <w:vAlign w:val="bottom"/>
          </w:tcPr>
          <w:p>
            <w:pPr>
              <w:spacing w:after="0"/>
              <w:rPr>
                <w:sz w:val="19"/>
                <w:szCs w:val="19"/>
                <w:color w:val="auto"/>
              </w:rPr>
            </w:pPr>
          </w:p>
        </w:tc>
        <w:tc>
          <w:tcPr>
            <w:tcW w:w="680" w:type="dxa"/>
            <w:vAlign w:val="bottom"/>
          </w:tcPr>
          <w:p>
            <w:pPr>
              <w:jc w:val="center"/>
              <w:ind w:right="133"/>
              <w:spacing w:after="0"/>
              <w:rPr>
                <w:sz w:val="20"/>
                <w:szCs w:val="20"/>
                <w:color w:val="auto"/>
              </w:rPr>
            </w:pPr>
            <w:r>
              <w:rPr>
                <w:rFonts w:ascii="Arial" w:cs="Arial" w:eastAsia="Arial" w:hAnsi="Arial"/>
                <w:sz w:val="13"/>
                <w:szCs w:val="13"/>
                <w:b w:val="1"/>
                <w:bCs w:val="1"/>
                <w:color w:val="auto"/>
                <w:w w:val="85"/>
              </w:rPr>
              <w:t>Gross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4"/>
          </w:tcPr>
          <w:p>
            <w:pPr>
              <w:ind w:left="200"/>
              <w:spacing w:after="0"/>
              <w:rPr>
                <w:sz w:val="20"/>
                <w:szCs w:val="20"/>
                <w:color w:val="auto"/>
              </w:rPr>
            </w:pPr>
            <w:r>
              <w:rPr>
                <w:rFonts w:ascii="Arial" w:cs="Arial" w:eastAsia="Arial" w:hAnsi="Arial"/>
                <w:sz w:val="13"/>
                <w:szCs w:val="13"/>
                <w:b w:val="1"/>
                <w:bCs w:val="1"/>
                <w:color w:val="auto"/>
              </w:rPr>
              <w:t>Estimated Fair Value</w:t>
            </w:r>
          </w:p>
        </w:tc>
        <w:tc>
          <w:tcPr>
            <w:tcW w:w="0" w:type="dxa"/>
            <w:vAlign w:val="bottom"/>
          </w:tcPr>
          <w:p>
            <w:pPr>
              <w:spacing w:after="0"/>
              <w:rPr>
                <w:sz w:val="1"/>
                <w:szCs w:val="1"/>
                <w:color w:val="auto"/>
              </w:rPr>
            </w:pPr>
          </w:p>
        </w:tc>
      </w:tr>
      <w:tr>
        <w:trPr>
          <w:trHeight w:val="32"/>
        </w:trPr>
        <w:tc>
          <w:tcPr>
            <w:tcW w:w="27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restart"/>
          </w:tcPr>
          <w:p>
            <w:pPr>
              <w:jc w:val="center"/>
              <w:ind w:right="113"/>
              <w:spacing w:after="0" w:line="135" w:lineRule="exact"/>
              <w:rPr>
                <w:sz w:val="20"/>
                <w:szCs w:val="20"/>
                <w:color w:val="auto"/>
              </w:rPr>
            </w:pPr>
            <w:r>
              <w:rPr>
                <w:rFonts w:ascii="Arial" w:cs="Arial" w:eastAsia="Arial" w:hAnsi="Arial"/>
                <w:sz w:val="13"/>
                <w:szCs w:val="13"/>
                <w:b w:val="1"/>
                <w:bCs w:val="1"/>
                <w:color w:val="auto"/>
                <w:w w:val="88"/>
              </w:rPr>
              <w:t>Notional</w:t>
            </w: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vMerge w:val="restart"/>
          </w:tcPr>
          <w:p>
            <w:pPr>
              <w:jc w:val="center"/>
              <w:ind w:right="153"/>
              <w:spacing w:after="0" w:line="135" w:lineRule="exact"/>
              <w:rPr>
                <w:sz w:val="20"/>
                <w:szCs w:val="20"/>
                <w:color w:val="auto"/>
              </w:rPr>
            </w:pPr>
            <w:r>
              <w:rPr>
                <w:rFonts w:ascii="Arial" w:cs="Arial" w:eastAsia="Arial" w:hAnsi="Arial"/>
                <w:sz w:val="13"/>
                <w:szCs w:val="13"/>
                <w:b w:val="1"/>
                <w:bCs w:val="1"/>
                <w:color w:val="auto"/>
                <w:w w:val="88"/>
              </w:rPr>
              <w:t>Notional</w:t>
            </w: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74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2640" w:type="dxa"/>
            <w:vAlign w:val="bottom"/>
            <w:gridSpan w:val="2"/>
          </w:tcPr>
          <w:p>
            <w:pPr>
              <w:ind w:left="40"/>
              <w:spacing w:after="0"/>
              <w:rPr>
                <w:sz w:val="20"/>
                <w:szCs w:val="20"/>
                <w:color w:val="auto"/>
              </w:rPr>
            </w:pPr>
            <w:r>
              <w:rPr>
                <w:rFonts w:ascii="Arial" w:cs="Arial" w:eastAsia="Arial" w:hAnsi="Arial"/>
                <w:sz w:val="13"/>
                <w:szCs w:val="13"/>
                <w:b w:val="1"/>
                <w:bCs w:val="1"/>
                <w:color w:val="auto"/>
              </w:rPr>
              <w:t>Primary Underlying Risk Exposure</w:t>
            </w:r>
          </w:p>
        </w:tc>
        <w:tc>
          <w:tcPr>
            <w:tcW w:w="180" w:type="dxa"/>
            <w:vAlign w:val="bottom"/>
          </w:tcPr>
          <w:p>
            <w:pPr>
              <w:spacing w:after="0"/>
              <w:rPr>
                <w:sz w:val="15"/>
                <w:szCs w:val="15"/>
                <w:color w:val="auto"/>
              </w:rPr>
            </w:pPr>
          </w:p>
        </w:tc>
        <w:tc>
          <w:tcPr>
            <w:tcW w:w="760" w:type="dxa"/>
            <w:vAlign w:val="bottom"/>
          </w:tcPr>
          <w:p>
            <w:pPr>
              <w:jc w:val="center"/>
              <w:ind w:right="133"/>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79"/>
              </w:rPr>
              <w:t>Assets</w:t>
            </w:r>
          </w:p>
        </w:tc>
        <w:tc>
          <w:tcPr>
            <w:tcW w:w="16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Liabilities</w:t>
            </w:r>
          </w:p>
        </w:tc>
        <w:tc>
          <w:tcPr>
            <w:tcW w:w="220" w:type="dxa"/>
            <w:vAlign w:val="bottom"/>
          </w:tcPr>
          <w:p>
            <w:pPr>
              <w:spacing w:after="0"/>
              <w:rPr>
                <w:sz w:val="15"/>
                <w:szCs w:val="15"/>
                <w:color w:val="auto"/>
              </w:rPr>
            </w:pPr>
          </w:p>
        </w:tc>
        <w:tc>
          <w:tcPr>
            <w:tcW w:w="680" w:type="dxa"/>
            <w:vAlign w:val="bottom"/>
          </w:tcPr>
          <w:p>
            <w:pPr>
              <w:jc w:val="center"/>
              <w:ind w:right="133"/>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79"/>
              </w:rPr>
              <w:t>Assets</w:t>
            </w:r>
          </w:p>
        </w:tc>
        <w:tc>
          <w:tcPr>
            <w:tcW w:w="14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262"/>
        </w:trPr>
        <w:tc>
          <w:tcPr>
            <w:tcW w:w="2740" w:type="dxa"/>
            <w:vAlign w:val="bottom"/>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gridSpan w:val="3"/>
          </w:tcPr>
          <w:p>
            <w:pPr>
              <w:ind w:left="440"/>
              <w:spacing w:after="0"/>
              <w:rPr>
                <w:sz w:val="20"/>
                <w:szCs w:val="20"/>
                <w:color w:val="auto"/>
              </w:rPr>
            </w:pPr>
            <w:r>
              <w:rPr>
                <w:rFonts w:ascii="Arial" w:cs="Arial" w:eastAsia="Arial" w:hAnsi="Arial"/>
                <w:sz w:val="13"/>
                <w:szCs w:val="13"/>
                <w:b w:val="1"/>
                <w:bCs w:val="1"/>
                <w:color w:val="auto"/>
                <w:w w:val="87"/>
              </w:rPr>
              <w:t>(In millions)</w:t>
            </w:r>
          </w:p>
        </w:tc>
        <w:tc>
          <w:tcPr>
            <w:tcW w:w="6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53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forwards</w:t>
            </w:r>
          </w:p>
        </w:tc>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460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Foreign currency swaps</w:t>
            </w:r>
          </w:p>
        </w:tc>
        <w:tc>
          <w:tcPr>
            <w:tcW w:w="26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Foreign currency exchange rate</w:t>
            </w: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2,737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320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2,524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211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5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qualifying hedges</w:t>
            </w:r>
          </w:p>
        </w:tc>
        <w:tc>
          <w:tcPr>
            <w:tcW w:w="2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3,197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2,524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Derivatives Not Designated or Not Qualifying as Hedging Instruments: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Interest rate</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8,731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10,747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w:t>
            </w:r>
          </w:p>
        </w:tc>
      </w:tr>
      <w:tr>
        <w:trPr>
          <w:trHeight w:val="264"/>
        </w:trPr>
        <w:tc>
          <w:tcPr>
            <w:tcW w:w="2700" w:type="dxa"/>
            <w:vAlign w:val="bottom"/>
          </w:tcPr>
          <w:p>
            <w:pPr>
              <w:ind w:left="40"/>
              <w:spacing w:after="0"/>
              <w:rPr>
                <w:sz w:val="20"/>
                <w:szCs w:val="20"/>
                <w:color w:val="auto"/>
              </w:rPr>
            </w:pPr>
            <w:r>
              <w:rPr>
                <w:rFonts w:ascii="Arial" w:cs="Arial" w:eastAsia="Arial" w:hAnsi="Arial"/>
                <w:sz w:val="14"/>
                <w:szCs w:val="14"/>
                <w:color w:val="auto"/>
              </w:rPr>
              <w:t>Interest rate caps</w:t>
            </w:r>
          </w:p>
        </w:tc>
        <w:tc>
          <w:tcPr>
            <w:tcW w:w="2900" w:type="dxa"/>
            <w:vAlign w:val="bottom"/>
            <w:gridSpan w:val="2"/>
          </w:tcPr>
          <w:p>
            <w:pPr>
              <w:ind w:left="80"/>
              <w:spacing w:after="0"/>
              <w:rPr>
                <w:sz w:val="20"/>
                <w:szCs w:val="20"/>
                <w:color w:val="auto"/>
              </w:rPr>
            </w:pPr>
            <w:r>
              <w:rPr>
                <w:rFonts w:ascii="Arial" w:cs="Arial" w:eastAsia="Arial" w:hAnsi="Arial"/>
                <w:sz w:val="14"/>
                <w:szCs w:val="14"/>
                <w:color w:val="auto"/>
              </w:rPr>
              <w:t>Interest rate</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3,350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3,350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futures</w:t>
            </w: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Interest rate</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700" w:type="dxa"/>
            <w:vAlign w:val="bottom"/>
          </w:tcPr>
          <w:p>
            <w:pPr>
              <w:ind w:left="40"/>
              <w:spacing w:after="0"/>
              <w:rPr>
                <w:sz w:val="20"/>
                <w:szCs w:val="20"/>
                <w:color w:val="auto"/>
              </w:rPr>
            </w:pPr>
            <w:r>
              <w:rPr>
                <w:rFonts w:ascii="Arial" w:cs="Arial" w:eastAsia="Arial" w:hAnsi="Arial"/>
                <w:sz w:val="14"/>
                <w:szCs w:val="14"/>
                <w:color w:val="auto"/>
              </w:rPr>
              <w:t>Interest rate options</w:t>
            </w:r>
          </w:p>
        </w:tc>
        <w:tc>
          <w:tcPr>
            <w:tcW w:w="2900" w:type="dxa"/>
            <w:vAlign w:val="bottom"/>
            <w:gridSpan w:val="2"/>
          </w:tcPr>
          <w:p>
            <w:pPr>
              <w:ind w:left="80"/>
              <w:spacing w:after="0"/>
              <w:rPr>
                <w:sz w:val="20"/>
                <w:szCs w:val="20"/>
                <w:color w:val="auto"/>
              </w:rPr>
            </w:pPr>
            <w:r>
              <w:rPr>
                <w:rFonts w:ascii="Arial" w:cs="Arial" w:eastAsia="Arial" w:hAnsi="Arial"/>
                <w:sz w:val="14"/>
                <w:szCs w:val="14"/>
                <w:color w:val="auto"/>
              </w:rPr>
              <w:t>Interest rate</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27,250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1,771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17,168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61</w:t>
            </w:r>
          </w:p>
        </w:tc>
      </w:tr>
      <w:tr>
        <w:trPr>
          <w:trHeight w:val="2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forwards</w:t>
            </w: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Interest rate</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700" w:type="dxa"/>
            <w:vAlign w:val="bottom"/>
          </w:tcPr>
          <w:p>
            <w:pPr>
              <w:ind w:left="40"/>
              <w:spacing w:after="0"/>
              <w:rPr>
                <w:sz w:val="20"/>
                <w:szCs w:val="20"/>
                <w:color w:val="auto"/>
              </w:rPr>
            </w:pPr>
            <w:r>
              <w:rPr>
                <w:rFonts w:ascii="Arial" w:cs="Arial" w:eastAsia="Arial" w:hAnsi="Arial"/>
                <w:sz w:val="14"/>
                <w:szCs w:val="14"/>
                <w:color w:val="auto"/>
              </w:rPr>
              <w:t>Foreign currency swaps</w:t>
            </w:r>
          </w:p>
        </w:tc>
        <w:tc>
          <w:tcPr>
            <w:tcW w:w="2900" w:type="dxa"/>
            <w:vAlign w:val="bottom"/>
            <w:gridSpan w:val="2"/>
          </w:tcPr>
          <w:p>
            <w:pPr>
              <w:ind w:left="80"/>
              <w:spacing w:after="0"/>
              <w:rPr>
                <w:sz w:val="20"/>
                <w:szCs w:val="20"/>
                <w:color w:val="auto"/>
              </w:rPr>
            </w:pPr>
            <w:r>
              <w:rPr>
                <w:rFonts w:ascii="Arial" w:cs="Arial" w:eastAsia="Arial" w:hAnsi="Arial"/>
                <w:sz w:val="14"/>
                <w:szCs w:val="14"/>
                <w:color w:val="auto"/>
              </w:rPr>
              <w:t>Foreign currency exchange rate</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1,078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forwards</w:t>
            </w: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Foreign currency exchange rate</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700" w:type="dxa"/>
            <w:vAlign w:val="bottom"/>
          </w:tcPr>
          <w:p>
            <w:pPr>
              <w:ind w:left="40"/>
              <w:spacing w:after="0"/>
              <w:rPr>
                <w:sz w:val="20"/>
                <w:szCs w:val="20"/>
                <w:color w:val="auto"/>
              </w:rPr>
            </w:pPr>
            <w:r>
              <w:rPr>
                <w:rFonts w:ascii="Arial" w:cs="Arial" w:eastAsia="Arial" w:hAnsi="Arial"/>
                <w:sz w:val="14"/>
                <w:szCs w:val="14"/>
                <w:color w:val="auto"/>
              </w:rPr>
              <w:t>Credit default swaps — purchased</w:t>
            </w:r>
          </w:p>
        </w:tc>
        <w:tc>
          <w:tcPr>
            <w:tcW w:w="2900" w:type="dxa"/>
            <w:vAlign w:val="bottom"/>
            <w:gridSpan w:val="2"/>
          </w:tcPr>
          <w:p>
            <w:pPr>
              <w:ind w:left="80"/>
              <w:spacing w:after="0"/>
              <w:rPr>
                <w:sz w:val="20"/>
                <w:szCs w:val="20"/>
                <w:color w:val="auto"/>
              </w:rPr>
            </w:pPr>
            <w:r>
              <w:rPr>
                <w:rFonts w:ascii="Arial" w:cs="Arial" w:eastAsia="Arial" w:hAnsi="Arial"/>
                <w:sz w:val="14"/>
                <w:szCs w:val="14"/>
                <w:color w:val="auto"/>
              </w:rPr>
              <w:t>Credit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default swaps — written</w:t>
            </w: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Credit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2700" w:type="dxa"/>
            <w:vAlign w:val="bottom"/>
          </w:tcPr>
          <w:p>
            <w:pPr>
              <w:ind w:left="40"/>
              <w:spacing w:after="0"/>
              <w:rPr>
                <w:sz w:val="20"/>
                <w:szCs w:val="20"/>
                <w:color w:val="auto"/>
              </w:rPr>
            </w:pPr>
            <w:r>
              <w:rPr>
                <w:rFonts w:ascii="Arial" w:cs="Arial" w:eastAsia="Arial" w:hAnsi="Arial"/>
                <w:sz w:val="14"/>
                <w:szCs w:val="14"/>
                <w:color w:val="auto"/>
              </w:rPr>
              <w:t>Equity futures</w:t>
            </w:r>
          </w:p>
        </w:tc>
        <w:tc>
          <w:tcPr>
            <w:tcW w:w="2900" w:type="dxa"/>
            <w:vAlign w:val="bottom"/>
            <w:gridSpan w:val="2"/>
          </w:tcPr>
          <w:p>
            <w:pPr>
              <w:ind w:left="80"/>
              <w:spacing w:after="0"/>
              <w:rPr>
                <w:sz w:val="20"/>
                <w:szCs w:val="20"/>
                <w:color w:val="auto"/>
              </w:rPr>
            </w:pPr>
            <w:r>
              <w:rPr>
                <w:rFonts w:ascii="Arial" w:cs="Arial" w:eastAsia="Arial" w:hAnsi="Arial"/>
                <w:sz w:val="14"/>
                <w:szCs w:val="14"/>
                <w:color w:val="auto"/>
              </w:rPr>
              <w:t>Equity market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index options</w:t>
            </w: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Equity market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1,207</w:t>
            </w:r>
          </w:p>
        </w:tc>
      </w:tr>
      <w:tr>
        <w:trPr>
          <w:trHeight w:val="264"/>
        </w:trPr>
        <w:tc>
          <w:tcPr>
            <w:tcW w:w="2700" w:type="dxa"/>
            <w:vAlign w:val="bottom"/>
          </w:tcPr>
          <w:p>
            <w:pPr>
              <w:ind w:left="40"/>
              <w:spacing w:after="0"/>
              <w:rPr>
                <w:sz w:val="20"/>
                <w:szCs w:val="20"/>
                <w:color w:val="auto"/>
              </w:rPr>
            </w:pPr>
            <w:r>
              <w:rPr>
                <w:rFonts w:ascii="Arial" w:cs="Arial" w:eastAsia="Arial" w:hAnsi="Arial"/>
                <w:sz w:val="14"/>
                <w:szCs w:val="14"/>
                <w:color w:val="auto"/>
              </w:rPr>
              <w:t>Equity variance swaps</w:t>
            </w:r>
          </w:p>
        </w:tc>
        <w:tc>
          <w:tcPr>
            <w:tcW w:w="2900" w:type="dxa"/>
            <w:vAlign w:val="bottom"/>
            <w:gridSpan w:val="2"/>
          </w:tcPr>
          <w:p>
            <w:pPr>
              <w:ind w:left="80"/>
              <w:spacing w:after="0"/>
              <w:rPr>
                <w:sz w:val="20"/>
                <w:szCs w:val="20"/>
                <w:color w:val="auto"/>
              </w:rPr>
            </w:pPr>
            <w:r>
              <w:rPr>
                <w:rFonts w:ascii="Arial" w:cs="Arial" w:eastAsia="Arial" w:hAnsi="Arial"/>
                <w:sz w:val="14"/>
                <w:szCs w:val="14"/>
                <w:color w:val="auto"/>
              </w:rPr>
              <w:t>Equity market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5,574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5,574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232</w:t>
            </w:r>
          </w:p>
        </w:tc>
      </w:tr>
      <w:tr>
        <w:trPr>
          <w:trHeight w:val="2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total return swaps</w:t>
            </w: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Equity market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137"/>
        </w:trPr>
        <w:tc>
          <w:tcPr>
            <w:tcW w:w="2700" w:type="dxa"/>
            <w:vAlign w:val="bottom"/>
          </w:tcPr>
          <w:p>
            <w:pPr>
              <w:ind w:left="180"/>
              <w:spacing w:after="0" w:line="137" w:lineRule="exact"/>
              <w:rPr>
                <w:sz w:val="20"/>
                <w:szCs w:val="20"/>
                <w:color w:val="auto"/>
              </w:rPr>
            </w:pPr>
            <w:r>
              <w:rPr>
                <w:rFonts w:ascii="Arial" w:cs="Arial" w:eastAsia="Arial" w:hAnsi="Arial"/>
                <w:sz w:val="14"/>
                <w:szCs w:val="14"/>
                <w:color w:val="auto"/>
              </w:rPr>
              <w:t>Total non-designated or nonqualifying</w:t>
            </w:r>
          </w:p>
        </w:tc>
        <w:tc>
          <w:tcPr>
            <w:tcW w:w="26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188"/>
        </w:trPr>
        <w:tc>
          <w:tcPr>
            <w:tcW w:w="2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derivatives</w:t>
            </w:r>
          </w:p>
        </w:tc>
        <w:tc>
          <w:tcPr>
            <w:tcW w:w="2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103,126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4,144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90,249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2,082</w:t>
            </w:r>
          </w:p>
        </w:tc>
      </w:tr>
      <w:tr>
        <w:trPr>
          <w:trHeight w:val="270"/>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Embedded derivatives:</w:t>
            </w:r>
          </w:p>
        </w:tc>
        <w:tc>
          <w:tcPr>
            <w:tcW w:w="2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4"/>
        </w:trPr>
        <w:tc>
          <w:tcPr>
            <w:tcW w:w="2700" w:type="dxa"/>
            <w:vAlign w:val="bottom"/>
          </w:tcPr>
          <w:p>
            <w:pPr>
              <w:ind w:left="40"/>
              <w:spacing w:after="0"/>
              <w:rPr>
                <w:sz w:val="20"/>
                <w:szCs w:val="20"/>
                <w:color w:val="auto"/>
              </w:rPr>
            </w:pPr>
            <w:r>
              <w:rPr>
                <w:rFonts w:ascii="Arial" w:cs="Arial" w:eastAsia="Arial" w:hAnsi="Arial"/>
                <w:sz w:val="14"/>
                <w:szCs w:val="14"/>
                <w:color w:val="auto"/>
                <w:w w:val="94"/>
              </w:rPr>
              <w:t>Ceded guaranteed minimum income benefits</w:t>
            </w:r>
          </w:p>
        </w:tc>
        <w:tc>
          <w:tcPr>
            <w:tcW w:w="2900" w:type="dxa"/>
            <w:vAlign w:val="bottom"/>
            <w:gridSpan w:val="2"/>
          </w:tcPr>
          <w:p>
            <w:pPr>
              <w:ind w:left="80"/>
              <w:spacing w:after="0"/>
              <w:rPr>
                <w:sz w:val="20"/>
                <w:szCs w:val="20"/>
                <w:color w:val="auto"/>
              </w:rPr>
            </w:pPr>
            <w:r>
              <w:rPr>
                <w:rFonts w:ascii="Arial" w:cs="Arial" w:eastAsia="Arial" w:hAnsi="Arial"/>
                <w:sz w:val="14"/>
                <w:szCs w:val="14"/>
                <w:color w:val="auto"/>
              </w:rPr>
              <w:t>Other</w:t>
            </w:r>
          </w:p>
        </w:tc>
        <w:tc>
          <w:tcPr>
            <w:tcW w:w="840" w:type="dxa"/>
            <w:vAlign w:val="bottom"/>
            <w:gridSpan w:val="2"/>
          </w:tcPr>
          <w:p>
            <w:pPr>
              <w:ind w:left="340"/>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ind w:left="280"/>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Direct guaranteed minimum benefits</w:t>
            </w: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Other</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1,642</w:t>
            </w:r>
          </w:p>
        </w:tc>
      </w:tr>
      <w:tr>
        <w:trPr>
          <w:trHeight w:val="264"/>
        </w:trPr>
        <w:tc>
          <w:tcPr>
            <w:tcW w:w="2700" w:type="dxa"/>
            <w:vAlign w:val="bottom"/>
          </w:tcPr>
          <w:p>
            <w:pPr>
              <w:ind w:left="40"/>
              <w:spacing w:after="0"/>
              <w:rPr>
                <w:sz w:val="20"/>
                <w:szCs w:val="20"/>
                <w:color w:val="auto"/>
              </w:rPr>
            </w:pPr>
            <w:r>
              <w:rPr>
                <w:rFonts w:ascii="Arial" w:cs="Arial" w:eastAsia="Arial" w:hAnsi="Arial"/>
                <w:sz w:val="14"/>
                <w:szCs w:val="14"/>
                <w:color w:val="auto"/>
              </w:rPr>
              <w:t>Direct index-linked annuities</w:t>
            </w:r>
          </w:p>
        </w:tc>
        <w:tc>
          <w:tcPr>
            <w:tcW w:w="2900" w:type="dxa"/>
            <w:vAlign w:val="bottom"/>
            <w:gridSpan w:val="2"/>
          </w:tcPr>
          <w:p>
            <w:pPr>
              <w:ind w:left="80"/>
              <w:spacing w:after="0"/>
              <w:rPr>
                <w:sz w:val="20"/>
                <w:szCs w:val="20"/>
                <w:color w:val="auto"/>
              </w:rPr>
            </w:pPr>
            <w:r>
              <w:rPr>
                <w:rFonts w:ascii="Arial" w:cs="Arial" w:eastAsia="Arial" w:hAnsi="Arial"/>
                <w:sz w:val="14"/>
                <w:szCs w:val="14"/>
                <w:color w:val="auto"/>
              </w:rPr>
              <w:t>Other</w:t>
            </w:r>
          </w:p>
        </w:tc>
        <w:tc>
          <w:tcPr>
            <w:tcW w:w="840" w:type="dxa"/>
            <w:vAlign w:val="bottom"/>
            <w:gridSpan w:val="2"/>
          </w:tcPr>
          <w:p>
            <w:pPr>
              <w:ind w:left="340"/>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1,566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ind w:left="280"/>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488</w:t>
            </w:r>
          </w:p>
        </w:tc>
      </w:tr>
      <w:tr>
        <w:trPr>
          <w:trHeight w:val="270"/>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Assumed index-linked annuities</w:t>
            </w:r>
          </w:p>
        </w:tc>
        <w:tc>
          <w:tcPr>
            <w:tcW w:w="268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r>
      <w:tr>
        <w:trPr>
          <w:trHeight w:val="250"/>
        </w:trPr>
        <w:tc>
          <w:tcPr>
            <w:tcW w:w="2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embedded derivatives</w:t>
            </w:r>
          </w:p>
        </w:tc>
        <w:tc>
          <w:tcPr>
            <w:tcW w:w="26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4,273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2,226</w:t>
            </w:r>
          </w:p>
        </w:tc>
      </w:tr>
      <w:tr>
        <w:trPr>
          <w:trHeight w:val="248"/>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900" w:type="dxa"/>
            <w:vAlign w:val="bottom"/>
            <w:tcBorders>
              <w:bottom w:val="single" w:sz="8" w:color="CCEEFF"/>
            </w:tcBorders>
            <w:gridSpan w:val="2"/>
            <w:shd w:val="clear" w:color="auto" w:fill="CCEEFF"/>
          </w:tcPr>
          <w:p>
            <w:pPr>
              <w:ind w:left="27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106,323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4,818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92,773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4,338</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234" w:right="239" w:bottom="1440" w:gutter="0" w:footer="0" w:header="0"/>
          <w:type w:val="continuous"/>
        </w:sectPr>
      </w:pPr>
    </w:p>
    <w:bookmarkStart w:id="25" w:name="page26"/>
    <w:bookmarkEnd w:id="25"/>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Based on gross notional amounts, a substantial portion of the Company’s derivatives was not designated or did not qualify as part of a hedging relationship at both September 30, 2019 and December 31, 2018. The Company’s use of derivatives includes (i) derivatives that serve as macro hedges of the Company’s exposure to various risks and generally do not qualify for hedge accounting because they do not meet the criteria required under portfolio hedging rules; (ii) derivatives that economically hedge insurance liabilities and generally do not qualify for hedge accounting because they do not meet the criteria of being “highly effective” as outlined in ASC 815; (iii) derivatives that economically hedge embedded derivatives that do not qualify for hedge accounting because the changes in estimated fair value of the embedded derivatives are already recorded in net income; and (iv) written credit default swaps that are used to create synthetic credit investments and that do not qualify for hedge accounting because they do not involve a hedging relationship.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34" w:right="239" w:bottom="1440" w:gutter="0" w:footer="0" w:header="0"/>
        </w:sectPr>
      </w:pPr>
    </w:p>
    <w:bookmarkStart w:id="26" w:name="page27"/>
    <w:bookmarkEnd w:id="26"/>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present the amount and location of gains (losses), including earned income, recognized for derivatives and gains (losses) pertaining to hedged items presented in net derivative gains (losses):</w:t>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shd w:val="clear" w:color="auto" w:fill="CCEEFF"/>
        </w:rPr>
        <w:t>Three Months Ended September 30, 2019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Derivatives Designated as Hedging Instruments: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 hedges: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derivatives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exchange rate derivatives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cash flow hedges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Derivatives Not Designated or Not Qualifying as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Hedging Instruments:</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derivatives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exchange rate derivatives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Credit derivatives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 derivatives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Embedded derivatives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non-qualifying hedges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shd w:val="clear" w:color="auto" w:fill="CCEEFF"/>
        </w:rPr>
        <w:t>Three Months Ended September 30, 2018</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Derivatives Designated as Hedging Instruments: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Fair value hedges: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derivatives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Total fair value hedges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 hedges: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derivatives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exchange rate derivatives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cash flow hedges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Derivatives Not Designated or Not Qualifying as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Hedging Instruments: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Net Derivative Gains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Net Derivative Gains</w:t>
            </w:r>
          </w:p>
        </w:tc>
        <w:tc>
          <w:tcPr>
            <w:tcW w:w="13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Net Investment</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Policyholder Benefits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Amount of Gains</w:t>
            </w:r>
          </w:p>
        </w:tc>
        <w:tc>
          <w:tcPr>
            <w:tcW w:w="0" w:type="dxa"/>
            <w:vAlign w:val="bottom"/>
          </w:tcPr>
          <w:p>
            <w:pPr>
              <w:spacing w:after="0"/>
              <w:rPr>
                <w:sz w:val="1"/>
                <w:szCs w:val="1"/>
                <w:color w:val="auto"/>
              </w:rPr>
            </w:pPr>
          </w:p>
        </w:tc>
      </w:tr>
      <w:tr>
        <w:trPr>
          <w:trHeight w:val="149"/>
        </w:trPr>
        <w:tc>
          <w:tcPr>
            <w:tcW w:w="17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9"/>
              </w:rPr>
              <w:t>(Losses) Recognized for</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(Losses) Recognized</w:t>
            </w:r>
          </w:p>
        </w:tc>
        <w:tc>
          <w:tcPr>
            <w:tcW w:w="136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(Losses) deferred in</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3"/>
              </w:rPr>
              <w:t>Derivatives</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for Hedged Items</w:t>
            </w:r>
          </w:p>
        </w:tc>
        <w:tc>
          <w:tcPr>
            <w:tcW w:w="13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Income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Claims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44"/>
        </w:trPr>
        <w:tc>
          <w:tcPr>
            <w:tcW w:w="1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60" w:type="dxa"/>
            <w:vAlign w:val="bottom"/>
          </w:tcPr>
          <w:p>
            <w:pPr>
              <w:ind w:left="220"/>
              <w:spacing w:after="0"/>
              <w:rPr>
                <w:sz w:val="20"/>
                <w:szCs w:val="20"/>
                <w:color w:val="auto"/>
              </w:rPr>
            </w:pPr>
            <w:r>
              <w:rPr>
                <w:rFonts w:ascii="Arial" w:cs="Arial" w:eastAsia="Arial" w:hAnsi="Arial"/>
                <w:sz w:val="14"/>
                <w:szCs w:val="14"/>
                <w:b w:val="1"/>
                <w:bCs w:val="1"/>
                <w:color w:val="auto"/>
              </w:rPr>
              <w:t>(In millions)</w:t>
            </w:r>
          </w:p>
        </w:tc>
        <w:tc>
          <w:tcPr>
            <w:tcW w:w="16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7620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350520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51</w:t>
            </w:r>
          </w:p>
        </w:tc>
      </w:tr>
      <w:tr>
        <w:trPr>
          <w:trHeight w:val="276"/>
        </w:trPr>
        <w:tc>
          <w:tcPr>
            <w:tcW w:w="6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w:t>
            </w:r>
          </w:p>
        </w:tc>
      </w:tr>
      <w:tr>
        <w:trPr>
          <w:trHeight w:val="250"/>
        </w:trPr>
        <w:tc>
          <w:tcPr>
            <w:tcW w:w="6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w:t>
            </w:r>
          </w:p>
        </w:tc>
      </w:tr>
      <w:tr>
        <w:trPr>
          <w:trHeight w:val="595"/>
        </w:trPr>
        <w:tc>
          <w:tcPr>
            <w:tcW w:w="64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1,657</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4"/>
                <w:szCs w:val="24"/>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3"/>
                <w:szCs w:val="23"/>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3"/>
                <w:szCs w:val="23"/>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3"/>
                <w:szCs w:val="23"/>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1,060</w:t>
            </w:r>
          </w:p>
        </w:tc>
        <w:tc>
          <w:tcPr>
            <w:tcW w:w="1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1,060</w:t>
            </w:r>
          </w:p>
        </w:tc>
        <w:tc>
          <w:tcPr>
            <w:tcW w:w="120" w:type="dxa"/>
            <w:vAlign w:val="bottom"/>
          </w:tcPr>
          <w:p>
            <w:pPr>
              <w:spacing w:after="0"/>
              <w:rPr>
                <w:sz w:val="20"/>
                <w:szCs w:val="20"/>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0"/>
                <w:szCs w:val="20"/>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0"/>
                <w:szCs w:val="20"/>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160</w:t>
            </w:r>
          </w:p>
        </w:tc>
      </w:tr>
      <w:tr>
        <w:trPr>
          <w:trHeight w:val="20"/>
        </w:trPr>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-1783080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-1440180</wp:posOffset>
            </wp:positionV>
            <wp:extent cx="724662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-1045845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-702310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-16510</wp:posOffset>
            </wp:positionV>
            <wp:extent cx="724662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342900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520" w:type="dxa"/>
            <w:vAlign w:val="bottom"/>
            <w:gridSpan w:val="3"/>
          </w:tcPr>
          <w:p>
            <w:pPr>
              <w:ind w:left="520"/>
              <w:spacing w:after="0"/>
              <w:rPr>
                <w:sz w:val="20"/>
                <w:szCs w:val="20"/>
                <w:color w:val="auto"/>
              </w:rPr>
            </w:pPr>
            <w:r>
              <w:rPr>
                <w:rFonts w:ascii="Arial" w:cs="Arial" w:eastAsia="Arial" w:hAnsi="Arial"/>
                <w:sz w:val="14"/>
                <w:szCs w:val="14"/>
                <w:color w:val="auto"/>
              </w:rPr>
              <w:t>—   $</w:t>
            </w:r>
          </w:p>
        </w:tc>
        <w:tc>
          <w:tcPr>
            <w:tcW w:w="1580" w:type="dxa"/>
            <w:vAlign w:val="bottom"/>
            <w:gridSpan w:val="3"/>
          </w:tcPr>
          <w:p>
            <w:pPr>
              <w:ind w:left="560"/>
              <w:spacing w:after="0"/>
              <w:rPr>
                <w:sz w:val="20"/>
                <w:szCs w:val="20"/>
                <w:color w:val="auto"/>
              </w:rPr>
            </w:pPr>
            <w:r>
              <w:rPr>
                <w:rFonts w:ascii="Arial" w:cs="Arial" w:eastAsia="Arial" w:hAnsi="Arial"/>
                <w:sz w:val="14"/>
                <w:szCs w:val="14"/>
                <w:color w:val="auto"/>
              </w:rPr>
              <w:t>—   $</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528"/>
        </w:trPr>
        <w:tc>
          <w:tcPr>
            <w:tcW w:w="7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76"/>
        </w:trPr>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50"/>
        </w:trPr>
        <w:tc>
          <w:tcPr>
            <w:tcW w:w="7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-874395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-522605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-179705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5" w:lineRule="exact"/>
        <w:rPr>
          <w:sz w:val="20"/>
          <w:szCs w:val="20"/>
          <w:color w:val="auto"/>
        </w:rPr>
      </w:pPr>
    </w:p>
    <w:p>
      <w:pPr>
        <w:sectPr>
          <w:pgSz w:w="11900" w:h="16838" w:orient="portrait"/>
          <w:cols w:equalWidth="0" w:num="2">
            <w:col w:w="3000" w:space="540"/>
            <w:col w:w="7880"/>
          </w:cols>
          <w:pgMar w:left="240" w:top="234" w:right="2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rate derivatives</w:t>
            </w:r>
          </w:p>
        </w:tc>
        <w:tc>
          <w:tcPr>
            <w:tcW w:w="6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Foreign currency exchange rate derivatives</w:t>
            </w:r>
          </w:p>
        </w:tc>
        <w:tc>
          <w:tcPr>
            <w:tcW w:w="68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derivatives</w:t>
            </w:r>
          </w:p>
        </w:tc>
        <w:tc>
          <w:tcPr>
            <w:tcW w:w="6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Equity derivatives</w:t>
            </w:r>
          </w:p>
        </w:tc>
        <w:tc>
          <w:tcPr>
            <w:tcW w:w="6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w:t>
            </w:r>
          </w:p>
        </w:tc>
        <w:tc>
          <w:tcPr>
            <w:tcW w:w="6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Arial" w:cs="Arial" w:eastAsia="Arial" w:hAnsi="Arial"/>
                <w:sz w:val="14"/>
                <w:szCs w:val="14"/>
                <w:color w:val="auto"/>
              </w:rPr>
              <w:t>Total non-qualifying hedges</w:t>
            </w:r>
          </w:p>
        </w:tc>
        <w:tc>
          <w:tcPr>
            <w:tcW w:w="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680" w:type="dxa"/>
            <w:vAlign w:val="bottom"/>
            <w:tcBorders>
              <w:top w:val="single" w:sz="8" w:color="auto"/>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34" w:right="239" w:bottom="1440" w:gutter="0" w:footer="0" w:header="0"/>
          <w:type w:val="continuous"/>
        </w:sectPr>
      </w:pPr>
    </w:p>
    <w:bookmarkStart w:id="27" w:name="page28"/>
    <w:bookmarkEnd w:id="27"/>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Net Derivative Gains</w:t>
            </w:r>
          </w:p>
        </w:tc>
        <w:tc>
          <w:tcPr>
            <w:tcW w:w="1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Net Derivative Gains</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Policyholder</w:t>
            </w:r>
          </w:p>
        </w:tc>
        <w:tc>
          <w:tcPr>
            <w:tcW w:w="120" w:type="dxa"/>
            <w:vAlign w:val="bottom"/>
          </w:tcPr>
          <w:p>
            <w:pPr>
              <w:spacing w:after="0"/>
              <w:rPr>
                <w:sz w:val="14"/>
                <w:szCs w:val="14"/>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Amount of Gains</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(Losses) Recognized for</w:t>
            </w:r>
          </w:p>
        </w:tc>
        <w:tc>
          <w:tcPr>
            <w:tcW w:w="12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(Losses) Recognized</w:t>
            </w: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Investment Income</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(Losses) deferred in</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Derivatives</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for Hedged Items</w:t>
            </w:r>
          </w:p>
        </w:tc>
        <w:tc>
          <w:tcPr>
            <w:tcW w:w="1600" w:type="dxa"/>
            <w:vAlign w:val="bottom"/>
            <w:tcBorders>
              <w:bottom w:val="single" w:sz="8" w:color="auto"/>
            </w:tcBorders>
            <w:gridSpan w:val="3"/>
            <w:vMerge w:val="continue"/>
          </w:tcPr>
          <w:p>
            <w:pPr>
              <w:spacing w:after="0"/>
              <w:rPr>
                <w:sz w:val="16"/>
                <w:szCs w:val="16"/>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Benefits and Claims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Nine Months Ended September 30, 2019</w:t>
            </w: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 hedges:</w:t>
            </w: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Interest rate derivatives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 derivatives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74"/>
        </w:trPr>
        <w:tc>
          <w:tcPr>
            <w:tcW w:w="354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Arial" w:cs="Arial" w:eastAsia="Arial" w:hAnsi="Arial"/>
                <w:sz w:val="14"/>
                <w:szCs w:val="14"/>
                <w:color w:val="auto"/>
              </w:rPr>
              <w:t>Total cash flow hedges</w:t>
            </w:r>
          </w:p>
        </w:tc>
        <w:tc>
          <w:tcPr>
            <w:tcW w:w="140" w:type="dxa"/>
            <w:vAlign w:val="bottom"/>
          </w:tcPr>
          <w:p>
            <w:pPr>
              <w:spacing w:after="0"/>
              <w:rPr>
                <w:sz w:val="21"/>
                <w:szCs w:val="21"/>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39"/>
        </w:trPr>
        <w:tc>
          <w:tcPr>
            <w:tcW w:w="354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Not Designated or Not Qualifying as</w:t>
            </w:r>
          </w:p>
        </w:tc>
        <w:tc>
          <w:tcPr>
            <w:tcW w:w="14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Hedging Instruments: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Interest rate derivatives</w:t>
            </w:r>
          </w:p>
        </w:tc>
        <w:tc>
          <w:tcPr>
            <w:tcW w:w="1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2,906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 derivatives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Credit derivatives</w:t>
            </w:r>
          </w:p>
        </w:tc>
        <w:tc>
          <w:tcPr>
            <w:tcW w:w="1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derivatives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Embedded derivatives</w:t>
            </w:r>
          </w:p>
        </w:tc>
        <w:tc>
          <w:tcPr>
            <w:tcW w:w="14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(1,316)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non-qualifying hedges</w:t>
            </w:r>
          </w:p>
        </w:tc>
        <w:tc>
          <w:tcPr>
            <w:tcW w:w="1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3540" w:type="dxa"/>
            <w:vAlign w:val="bottom"/>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29"/>
        </w:trPr>
        <w:tc>
          <w:tcPr>
            <w:tcW w:w="3540" w:type="dxa"/>
            <w:vAlign w:val="bottom"/>
            <w:tcBorders>
              <w:top w:val="single" w:sz="8" w:color="CCEEFF"/>
            </w:tcBorders>
            <w:shd w:val="clear" w:color="auto" w:fill="CCEEFF"/>
          </w:tcPr>
          <w:p>
            <w:pPr>
              <w:ind w:left="40"/>
              <w:spacing w:after="0" w:line="129" w:lineRule="exact"/>
              <w:rPr>
                <w:sz w:val="20"/>
                <w:szCs w:val="20"/>
                <w:color w:val="auto"/>
              </w:rPr>
            </w:pPr>
            <w:r>
              <w:rPr>
                <w:rFonts w:ascii="Arial" w:cs="Arial" w:eastAsia="Arial" w:hAnsi="Arial"/>
                <w:sz w:val="14"/>
                <w:szCs w:val="14"/>
                <w:b w:val="1"/>
                <w:bCs w:val="1"/>
                <w:color w:val="auto"/>
                <w:shd w:val="clear" w:color="auto" w:fill="CCEEFF"/>
              </w:rPr>
              <w:t>Nine Months Ended September 30, 2018</w:t>
            </w:r>
          </w:p>
        </w:tc>
        <w:tc>
          <w:tcPr>
            <w:tcW w:w="140" w:type="dxa"/>
            <w:vAlign w:val="bottom"/>
            <w:tcBorders>
              <w:top w:val="single" w:sz="8" w:color="auto"/>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hedges:</w:t>
            </w: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Interest rate derivatives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fair value hedges</w:t>
            </w:r>
          </w:p>
        </w:tc>
        <w:tc>
          <w:tcPr>
            <w:tcW w:w="1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3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derivatives</w:t>
            </w:r>
          </w:p>
        </w:tc>
        <w:tc>
          <w:tcPr>
            <w:tcW w:w="1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Foreign currency exchange rate derivatives</w:t>
            </w:r>
          </w:p>
        </w:tc>
        <w:tc>
          <w:tcPr>
            <w:tcW w:w="14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3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cash flow hedges</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3"/>
        </w:trPr>
        <w:tc>
          <w:tcPr>
            <w:tcW w:w="354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Derivatives Not Designated or Not Qualifying as</w:t>
            </w:r>
          </w:p>
        </w:tc>
        <w:tc>
          <w:tcPr>
            <w:tcW w:w="1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540" w:type="dxa"/>
            <w:vAlign w:val="bottom"/>
          </w:tcPr>
          <w:p>
            <w:pPr>
              <w:ind w:left="120"/>
              <w:spacing w:after="0"/>
              <w:rPr>
                <w:sz w:val="20"/>
                <w:szCs w:val="20"/>
                <w:color w:val="auto"/>
              </w:rPr>
            </w:pPr>
            <w:r>
              <w:rPr>
                <w:rFonts w:ascii="Arial" w:cs="Arial" w:eastAsia="Arial" w:hAnsi="Arial"/>
                <w:sz w:val="14"/>
                <w:szCs w:val="14"/>
                <w:b w:val="1"/>
                <w:bCs w:val="1"/>
                <w:color w:val="auto"/>
              </w:rPr>
              <w:t>Hedging Instruments:</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derivatives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Foreign currency exchange rate derivatives</w:t>
            </w:r>
          </w:p>
        </w:tc>
        <w:tc>
          <w:tcPr>
            <w:tcW w:w="1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derivatives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Equity derivatives</w:t>
            </w:r>
          </w:p>
        </w:tc>
        <w:tc>
          <w:tcPr>
            <w:tcW w:w="14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(904)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Arial" w:cs="Arial" w:eastAsia="Arial" w:hAnsi="Arial"/>
                <w:sz w:val="14"/>
                <w:szCs w:val="14"/>
                <w:color w:val="auto"/>
              </w:rPr>
              <w:t>Total non-qualifying hedges</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324"/>
        <w:spacing w:after="0" w:line="375" w:lineRule="auto"/>
        <w:rPr>
          <w:sz w:val="20"/>
          <w:szCs w:val="20"/>
          <w:color w:val="auto"/>
        </w:rPr>
      </w:pPr>
      <w:r>
        <w:rPr>
          <w:rFonts w:ascii="Arial" w:cs="Arial" w:eastAsia="Arial" w:hAnsi="Arial"/>
          <w:sz w:val="18"/>
          <w:szCs w:val="18"/>
          <w:color w:val="auto"/>
        </w:rPr>
        <w:t xml:space="preserve">At September 30, 2019 and December 31, 2018, the balance in AOCI associated with cash flow hedges was $416 million and $264 million, respectively. </w:t>
      </w:r>
      <w:r>
        <w:rPr>
          <w:rFonts w:ascii="Arial" w:cs="Arial" w:eastAsia="Arial" w:hAnsi="Arial"/>
          <w:sz w:val="18"/>
          <w:szCs w:val="18"/>
          <w:b w:val="1"/>
          <w:bCs w:val="1"/>
          <w:i w:val="1"/>
          <w:iCs w:val="1"/>
          <w:color w:val="auto"/>
        </w:rPr>
        <w:t>Credit Derivatives</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34" w:right="239" w:bottom="1440" w:gutter="0" w:footer="0" w:header="0"/>
        </w:sectPr>
      </w:pPr>
    </w:p>
    <w:bookmarkStart w:id="28" w:name="page29"/>
    <w:bookmarkEnd w:id="28"/>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estimated fair value, maximum amount of future payments and weighted average years to maturity of written credit default swaps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September 30, 2019</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December 31, 2018</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3"/>
                <w:szCs w:val="13"/>
                <w:color w:val="auto"/>
              </w:rPr>
            </w:pPr>
          </w:p>
        </w:tc>
        <w:tc>
          <w:tcPr>
            <w:tcW w:w="1320" w:type="dxa"/>
            <w:vAlign w:val="bottom"/>
          </w:tcPr>
          <w:p>
            <w:pPr>
              <w:jc w:val="center"/>
              <w:ind w:right="85"/>
              <w:spacing w:after="0" w:line="153" w:lineRule="exact"/>
              <w:rPr>
                <w:sz w:val="20"/>
                <w:szCs w:val="20"/>
                <w:color w:val="auto"/>
              </w:rPr>
            </w:pPr>
            <w:r>
              <w:rPr>
                <w:rFonts w:ascii="Arial" w:cs="Arial" w:eastAsia="Arial" w:hAnsi="Arial"/>
                <w:sz w:val="14"/>
                <w:szCs w:val="14"/>
                <w:b w:val="1"/>
                <w:bCs w:val="1"/>
                <w:color w:val="auto"/>
                <w:w w:val="99"/>
              </w:rPr>
              <w:t>Maximum</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3"/>
                <w:szCs w:val="13"/>
                <w:color w:val="auto"/>
              </w:rPr>
            </w:pPr>
          </w:p>
        </w:tc>
        <w:tc>
          <w:tcPr>
            <w:tcW w:w="1300" w:type="dxa"/>
            <w:vAlign w:val="bottom"/>
          </w:tcPr>
          <w:p>
            <w:pPr>
              <w:jc w:val="center"/>
              <w:ind w:right="105"/>
              <w:spacing w:after="0" w:line="153" w:lineRule="exact"/>
              <w:rPr>
                <w:sz w:val="20"/>
                <w:szCs w:val="20"/>
                <w:color w:val="auto"/>
              </w:rPr>
            </w:pPr>
            <w:r>
              <w:rPr>
                <w:rFonts w:ascii="Arial" w:cs="Arial" w:eastAsia="Arial" w:hAnsi="Arial"/>
                <w:sz w:val="14"/>
                <w:szCs w:val="14"/>
                <w:b w:val="1"/>
                <w:bCs w:val="1"/>
                <w:color w:val="auto"/>
                <w:w w:val="99"/>
              </w:rPr>
              <w:t>Maximum</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4"/>
              </w:rPr>
              <w:t>Amount of</w:t>
            </w: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Amount of</w:t>
            </w:r>
          </w:p>
        </w:tc>
        <w:tc>
          <w:tcPr>
            <w:tcW w:w="1240" w:type="dxa"/>
            <w:vAlign w:val="bottom"/>
            <w:vMerge w:val="restart"/>
          </w:tcPr>
          <w:p>
            <w:pPr>
              <w:jc w:val="center"/>
              <w:ind w:left="2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2"/>
                <w:szCs w:val="12"/>
                <w:color w:val="auto"/>
              </w:rPr>
            </w:pPr>
          </w:p>
        </w:tc>
        <w:tc>
          <w:tcPr>
            <w:tcW w:w="132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6"/>
              </w:rPr>
              <w:t>Future</w:t>
            </w: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6"/>
              </w:rPr>
              <w:t>Future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Rating Agency Designation of Referenced</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of Credit</w:t>
            </w:r>
          </w:p>
        </w:tc>
        <w:tc>
          <w:tcPr>
            <w:tcW w:w="180" w:type="dxa"/>
            <w:vAlign w:val="bottom"/>
          </w:tcPr>
          <w:p>
            <w:pPr>
              <w:spacing w:after="0"/>
              <w:rPr>
                <w:sz w:val="12"/>
                <w:szCs w:val="12"/>
                <w:color w:val="auto"/>
              </w:rPr>
            </w:pPr>
          </w:p>
        </w:tc>
        <w:tc>
          <w:tcPr>
            <w:tcW w:w="132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1"/>
              </w:rPr>
              <w:t>Payments under</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of Credit</w:t>
            </w:r>
          </w:p>
        </w:tc>
        <w:tc>
          <w:tcPr>
            <w:tcW w:w="160" w:type="dxa"/>
            <w:vAlign w:val="bottom"/>
          </w:tcPr>
          <w:p>
            <w:pPr>
              <w:spacing w:after="0"/>
              <w:rPr>
                <w:sz w:val="12"/>
                <w:szCs w:val="12"/>
                <w:color w:val="auto"/>
              </w:rPr>
            </w:pPr>
          </w:p>
        </w:tc>
        <w:tc>
          <w:tcPr>
            <w:tcW w:w="130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1"/>
              </w:rPr>
              <w:t>Payments under</w:t>
            </w:r>
          </w:p>
        </w:tc>
        <w:tc>
          <w:tcPr>
            <w:tcW w:w="124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Default</w:t>
            </w:r>
          </w:p>
        </w:tc>
        <w:tc>
          <w:tcPr>
            <w:tcW w:w="180" w:type="dxa"/>
            <w:vAlign w:val="bottom"/>
          </w:tcPr>
          <w:p>
            <w:pPr>
              <w:spacing w:after="0"/>
              <w:rPr>
                <w:sz w:val="12"/>
                <w:szCs w:val="12"/>
                <w:color w:val="auto"/>
              </w:rPr>
            </w:pPr>
          </w:p>
        </w:tc>
        <w:tc>
          <w:tcPr>
            <w:tcW w:w="132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8"/>
              </w:rPr>
              <w:t>Credit Default</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Years to</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Default</w:t>
            </w: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8"/>
              </w:rPr>
              <w:t>Credit Default</w:t>
            </w:r>
          </w:p>
        </w:tc>
        <w:tc>
          <w:tcPr>
            <w:tcW w:w="124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0"/>
              </w:rPr>
              <w:t>Years to</w:t>
            </w:r>
          </w:p>
        </w:tc>
        <w:tc>
          <w:tcPr>
            <w:tcW w:w="0" w:type="dxa"/>
            <w:vAlign w:val="bottom"/>
          </w:tcPr>
          <w:p>
            <w:pPr>
              <w:spacing w:after="0"/>
              <w:rPr>
                <w:sz w:val="1"/>
                <w:szCs w:val="1"/>
                <w:color w:val="auto"/>
              </w:rPr>
            </w:pPr>
          </w:p>
        </w:tc>
      </w:t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Credit Obligations (1)</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Swaps</w:t>
            </w:r>
          </w:p>
        </w:tc>
        <w:tc>
          <w:tcPr>
            <w:tcW w:w="180" w:type="dxa"/>
            <w:vAlign w:val="bottom"/>
          </w:tcPr>
          <w:p>
            <w:pPr>
              <w:spacing w:after="0"/>
              <w:rPr>
                <w:sz w:val="16"/>
                <w:szCs w:val="16"/>
                <w:color w:val="auto"/>
              </w:rPr>
            </w:pPr>
          </w:p>
        </w:tc>
        <w:tc>
          <w:tcPr>
            <w:tcW w:w="1320" w:type="dxa"/>
            <w:vAlign w:val="bottom"/>
          </w:tcPr>
          <w:p>
            <w:pPr>
              <w:jc w:val="center"/>
              <w:ind w:right="105"/>
              <w:spacing w:after="0"/>
              <w:rPr>
                <w:sz w:val="20"/>
                <w:szCs w:val="20"/>
                <w:color w:val="auto"/>
              </w:rPr>
            </w:pPr>
            <w:r>
              <w:rPr>
                <w:rFonts w:ascii="Arial" w:cs="Arial" w:eastAsia="Arial" w:hAnsi="Arial"/>
                <w:sz w:val="14"/>
                <w:szCs w:val="14"/>
                <w:b w:val="1"/>
                <w:bCs w:val="1"/>
                <w:color w:val="auto"/>
                <w:w w:val="85"/>
              </w:rPr>
              <w:t>Swaps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Maturity (2)</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Swaps</w:t>
            </w:r>
          </w:p>
        </w:tc>
        <w:tc>
          <w:tcPr>
            <w:tcW w:w="160" w:type="dxa"/>
            <w:vAlign w:val="bottom"/>
          </w:tcPr>
          <w:p>
            <w:pPr>
              <w:spacing w:after="0"/>
              <w:rPr>
                <w:sz w:val="16"/>
                <w:szCs w:val="16"/>
                <w:color w:val="auto"/>
              </w:rPr>
            </w:pPr>
          </w:p>
        </w:tc>
        <w:tc>
          <w:tcPr>
            <w:tcW w:w="1300" w:type="dxa"/>
            <w:vAlign w:val="bottom"/>
          </w:tcPr>
          <w:p>
            <w:pPr>
              <w:jc w:val="center"/>
              <w:ind w:right="85"/>
              <w:spacing w:after="0"/>
              <w:rPr>
                <w:sz w:val="20"/>
                <w:szCs w:val="20"/>
                <w:color w:val="auto"/>
              </w:rPr>
            </w:pPr>
            <w:r>
              <w:rPr>
                <w:rFonts w:ascii="Arial" w:cs="Arial" w:eastAsia="Arial" w:hAnsi="Arial"/>
                <w:sz w:val="14"/>
                <w:szCs w:val="14"/>
                <w:b w:val="1"/>
                <w:bCs w:val="1"/>
                <w:color w:val="auto"/>
                <w:w w:val="85"/>
              </w:rPr>
              <w:t>Swaps</w:t>
            </w:r>
          </w:p>
        </w:tc>
        <w:tc>
          <w:tcPr>
            <w:tcW w:w="1240" w:type="dxa"/>
            <w:vAlign w:val="bottom"/>
          </w:tcPr>
          <w:p>
            <w:pPr>
              <w:jc w:val="center"/>
              <w:ind w:left="44"/>
              <w:spacing w:after="0"/>
              <w:rPr>
                <w:sz w:val="20"/>
                <w:szCs w:val="20"/>
                <w:color w:val="auto"/>
              </w:rPr>
            </w:pPr>
            <w:r>
              <w:rPr>
                <w:rFonts w:ascii="Arial" w:cs="Arial" w:eastAsia="Arial" w:hAnsi="Arial"/>
                <w:sz w:val="14"/>
                <w:szCs w:val="14"/>
                <w:b w:val="1"/>
                <w:bCs w:val="1"/>
                <w:color w:val="auto"/>
              </w:rPr>
              <w:t>Maturity (2)</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Aaa/Aa/A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615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689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Baa</w:t>
            </w:r>
          </w:p>
        </w:tc>
        <w:tc>
          <w:tcPr>
            <w:tcW w:w="140" w:type="dxa"/>
            <w:vAlign w:val="bottom"/>
          </w:tcPr>
          <w:p>
            <w:pPr>
              <w:spacing w:after="0"/>
              <w:rPr>
                <w:sz w:val="20"/>
                <w:szCs w:val="20"/>
                <w:color w:val="auto"/>
              </w:rPr>
            </w:pPr>
          </w:p>
        </w:tc>
        <w:tc>
          <w:tcPr>
            <w:tcW w:w="800" w:type="dxa"/>
            <w:vAlign w:val="bottom"/>
          </w:tcPr>
          <w:p>
            <w:pPr>
              <w:jc w:val="right"/>
              <w:ind w:right="45"/>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5"/>
              <w:spacing w:after="0"/>
              <w:rPr>
                <w:sz w:val="20"/>
                <w:szCs w:val="20"/>
                <w:color w:val="auto"/>
              </w:rPr>
            </w:pPr>
            <w:r>
              <w:rPr>
                <w:rFonts w:ascii="Arial" w:cs="Arial" w:eastAsia="Arial" w:hAnsi="Arial"/>
                <w:sz w:val="16"/>
                <w:szCs w:val="16"/>
                <w:color w:val="auto"/>
              </w:rPr>
              <w:t>1,119</w:t>
            </w:r>
          </w:p>
        </w:tc>
        <w:tc>
          <w:tcPr>
            <w:tcW w:w="12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5"/>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
              <w:spacing w:after="0"/>
              <w:rPr>
                <w:sz w:val="20"/>
                <w:szCs w:val="20"/>
                <w:color w:val="auto"/>
              </w:rPr>
            </w:pPr>
            <w:r>
              <w:rPr>
                <w:rFonts w:ascii="Arial" w:cs="Arial" w:eastAsia="Arial" w:hAnsi="Arial"/>
                <w:sz w:val="16"/>
                <w:szCs w:val="16"/>
                <w:color w:val="auto"/>
              </w:rPr>
              <w:t>1,131</w:t>
            </w:r>
          </w:p>
        </w:tc>
        <w:tc>
          <w:tcPr>
            <w:tcW w:w="12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1,734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1,820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written credit protection on both single name and index references. The rating agency designations are based on availability and the midpoint of the applicable ratings among Moody’s Investors Service, Standard &amp; Poor’s Global Ratings and Fitch Ratings. If no rating is available from a rating agency, then an internally developed rating is used.</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weighted average years to maturity of the credit default swaps is calculated based on weighted average gross notional amounts.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manages its credit risk by: (i) entering into derivative transactions with creditworthy counterparties governed by master netting agreements; (ii) 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a description of the impact of credit risk on the valuation of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fair values of the Company’s net derivative assets and net derivative liabilities after the application of master netting agreements and collateral were as follows at:</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Gross Amounts Not Offset on the Consolidated</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w w:val="98"/>
              </w:rPr>
              <w:t>Gross Amount</w:t>
            </w:r>
          </w:p>
        </w:tc>
        <w:tc>
          <w:tcPr>
            <w:tcW w:w="1540" w:type="dxa"/>
            <w:vAlign w:val="bottom"/>
            <w:tcBorders>
              <w:top w:val="single" w:sz="8" w:color="auto"/>
            </w:tcBorders>
            <w:gridSpan w:val="2"/>
            <w:vMerge w:val="restart"/>
          </w:tcPr>
          <w:p>
            <w:pPr>
              <w:jc w:val="right"/>
              <w:ind w:right="21"/>
              <w:spacing w:after="0"/>
              <w:rPr>
                <w:sz w:val="20"/>
                <w:szCs w:val="20"/>
                <w:color w:val="auto"/>
              </w:rPr>
            </w:pPr>
            <w:r>
              <w:rPr>
                <w:rFonts w:ascii="Arial" w:cs="Arial" w:eastAsia="Arial" w:hAnsi="Arial"/>
                <w:sz w:val="14"/>
                <w:szCs w:val="14"/>
                <w:b w:val="1"/>
                <w:bCs w:val="1"/>
                <w:color w:val="auto"/>
                <w:w w:val="98"/>
              </w:rPr>
              <w:t>Financial Instruments</w:t>
            </w: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vMerge w:val="restart"/>
          </w:tcPr>
          <w:p>
            <w:pPr>
              <w:jc w:val="right"/>
              <w:ind w:right="363"/>
              <w:spacing w:after="0"/>
              <w:rPr>
                <w:sz w:val="20"/>
                <w:szCs w:val="20"/>
                <w:color w:val="auto"/>
              </w:rPr>
            </w:pPr>
            <w:r>
              <w:rPr>
                <w:rFonts w:ascii="Arial" w:cs="Arial" w:eastAsia="Arial" w:hAnsi="Arial"/>
                <w:sz w:val="14"/>
                <w:szCs w:val="14"/>
                <w:b w:val="1"/>
                <w:bCs w:val="1"/>
                <w:color w:val="auto"/>
              </w:rPr>
              <w:t>Collateral</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102"/>
              <w:spacing w:after="0" w:line="145" w:lineRule="exact"/>
              <w:rPr>
                <w:sz w:val="20"/>
                <w:szCs w:val="20"/>
                <w:color w:val="auto"/>
              </w:rPr>
            </w:pPr>
            <w:r>
              <w:rPr>
                <w:rFonts w:ascii="Arial" w:cs="Arial" w:eastAsia="Arial" w:hAnsi="Arial"/>
                <w:sz w:val="14"/>
                <w:szCs w:val="14"/>
                <w:b w:val="1"/>
                <w:bCs w:val="1"/>
                <w:color w:val="auto"/>
                <w:w w:val="92"/>
              </w:rPr>
              <w:t>Off-balance Sheet</w:t>
            </w:r>
          </w:p>
        </w:tc>
        <w:tc>
          <w:tcPr>
            <w:tcW w:w="200" w:type="dxa"/>
            <w:vAlign w:val="bottom"/>
          </w:tcPr>
          <w:p>
            <w:pPr>
              <w:spacing w:after="0"/>
              <w:rPr>
                <w:sz w:val="12"/>
                <w:szCs w:val="12"/>
                <w:color w:val="auto"/>
              </w:rPr>
            </w:pPr>
          </w:p>
        </w:tc>
        <w:tc>
          <w:tcPr>
            <w:tcW w:w="13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8"/>
              </w:rPr>
              <w:t>Net Amount After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w w:val="98"/>
              </w:rPr>
              <w:t>Net Amount</w:t>
            </w: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Securities Collateral</w:t>
            </w:r>
          </w:p>
        </w:tc>
        <w:tc>
          <w:tcPr>
            <w:tcW w:w="2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Recognized</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(1)</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89"/>
              </w:rPr>
              <w:t>Received/Pledged (2)</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3"/>
              </w:rPr>
              <w:t>(3)</w:t>
            </w:r>
          </w:p>
        </w:tc>
        <w:tc>
          <w:tcPr>
            <w:tcW w:w="152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Securities Collateral</w:t>
            </w: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September 30, 2019</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Derivative assets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62"/>
              <w:spacing w:after="0"/>
              <w:rPr>
                <w:sz w:val="20"/>
                <w:szCs w:val="20"/>
                <w:color w:val="auto"/>
              </w:rPr>
            </w:pPr>
            <w:r>
              <w:rPr>
                <w:rFonts w:ascii="Arial" w:cs="Arial" w:eastAsia="Arial" w:hAnsi="Arial"/>
                <w:sz w:val="16"/>
                <w:szCs w:val="16"/>
                <w:color w:val="auto"/>
              </w:rPr>
              <w:t>4,575</w:t>
            </w:r>
          </w:p>
        </w:tc>
        <w:tc>
          <w:tcPr>
            <w:tcW w:w="4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(1,599)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(1,851)</w:t>
            </w:r>
          </w:p>
        </w:tc>
        <w:tc>
          <w:tcPr>
            <w:tcW w:w="4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(1,089)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liabilities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2,232</w:t>
            </w:r>
          </w:p>
        </w:tc>
        <w:tc>
          <w:tcPr>
            <w:tcW w:w="4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196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assets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2,833</w:t>
            </w:r>
          </w:p>
        </w:tc>
        <w:tc>
          <w:tcPr>
            <w:tcW w:w="4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Derivative liabilities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62"/>
              <w:spacing w:after="0"/>
              <w:rPr>
                <w:sz w:val="20"/>
                <w:szCs w:val="20"/>
                <w:color w:val="auto"/>
              </w:rPr>
            </w:pPr>
            <w:r>
              <w:rPr>
                <w:rFonts w:ascii="Arial" w:cs="Arial" w:eastAsia="Arial" w:hAnsi="Arial"/>
                <w:sz w:val="16"/>
                <w:szCs w:val="16"/>
                <w:color w:val="auto"/>
              </w:rPr>
              <w:t>2,104</w:t>
            </w:r>
          </w:p>
        </w:tc>
        <w:tc>
          <w:tcPr>
            <w:tcW w:w="4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(1,671)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433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(433)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1960" w:type="dxa"/>
            <w:vAlign w:val="bottom"/>
          </w:tcPr>
          <w:p>
            <w:pPr>
              <w:spacing w:after="0"/>
              <w:rPr>
                <w:sz w:val="20"/>
                <w:szCs w:val="20"/>
                <w:color w:val="auto"/>
              </w:rPr>
            </w:pPr>
            <w:r>
              <w:rPr>
                <w:rFonts w:ascii="Arial" w:cs="Arial" w:eastAsia="Arial" w:hAnsi="Arial"/>
                <w:sz w:val="14"/>
                <w:szCs w:val="14"/>
                <w:color w:val="auto"/>
              </w:rPr>
              <w:t>__________________</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amounts subject to an enforceable master netting agreement or similar agreement.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 of cash collateral offset in the table above is limited to the net estimated fair value of derivatives after application of netting agreement.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34" w:right="239" w:bottom="1440" w:gutter="0" w:footer="0" w:header="0"/>
        </w:sectPr>
      </w:pPr>
    </w:p>
    <w:bookmarkStart w:id="29" w:name="page30"/>
    <w:bookmarkEnd w:id="29"/>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Securities collateral received by the Company is not recorded on the balance sheet. Amounts do not include excess of collateral pledged or received.</w:t>
      </w:r>
    </w:p>
    <w:p>
      <w:pPr>
        <w:spacing w:after="0" w:line="1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 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the aggregate estimated fair value of derivatives in a net liability position containing such credit contingent provisions and the aggregate estimated fair value of assets posted as collateral for such instruments.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w w:val="96"/>
              </w:rPr>
              <w:t>September 30, 2019</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2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3"/>
          </w:tcPr>
          <w:p>
            <w:pPr>
              <w:jc w:val="right"/>
              <w:ind w:right="130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20" w:type="dxa"/>
            <w:vAlign w:val="bottom"/>
          </w:tcPr>
          <w:p>
            <w:pPr>
              <w:spacing w:after="0"/>
              <w:rPr>
                <w:sz w:val="22"/>
                <w:szCs w:val="22"/>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Estimated fair value of derivatives in a net liability position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633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433</w:t>
            </w:r>
          </w:p>
        </w:tc>
      </w:tr>
      <w:tr>
        <w:trPr>
          <w:trHeight w:val="237"/>
        </w:trPr>
        <w:tc>
          <w:tcPr>
            <w:tcW w:w="20" w:type="dxa"/>
            <w:vAlign w:val="bottom"/>
          </w:tcPr>
          <w:p>
            <w:pPr>
              <w:spacing w:after="0"/>
              <w:rPr>
                <w:sz w:val="20"/>
                <w:szCs w:val="20"/>
                <w:color w:val="auto"/>
              </w:rPr>
            </w:pPr>
          </w:p>
        </w:tc>
        <w:tc>
          <w:tcPr>
            <w:tcW w:w="7880" w:type="dxa"/>
            <w:vAlign w:val="bottom"/>
          </w:tcPr>
          <w:p>
            <w:pPr>
              <w:ind w:left="20"/>
              <w:spacing w:after="0"/>
              <w:rPr>
                <w:sz w:val="20"/>
                <w:szCs w:val="20"/>
                <w:color w:val="auto"/>
              </w:rPr>
            </w:pPr>
            <w:r>
              <w:rPr>
                <w:rFonts w:ascii="Arial" w:cs="Arial" w:eastAsia="Arial" w:hAnsi="Arial"/>
                <w:sz w:val="16"/>
                <w:szCs w:val="16"/>
                <w:color w:val="auto"/>
              </w:rPr>
              <w:t>Estimated Fair Value of Collateral Provided (2):</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Fixed maturity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1,250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797</w:t>
            </w:r>
          </w:p>
        </w:tc>
      </w:tr>
      <w:tr>
        <w:trPr>
          <w:trHeight w:val="182"/>
        </w:trPr>
        <w:tc>
          <w:tcPr>
            <w:tcW w:w="20" w:type="dxa"/>
            <w:vAlign w:val="bottom"/>
          </w:tcPr>
          <w:p>
            <w:pPr>
              <w:spacing w:after="0"/>
              <w:rPr>
                <w:sz w:val="15"/>
                <w:szCs w:val="15"/>
                <w:color w:val="auto"/>
              </w:rPr>
            </w:pPr>
          </w:p>
        </w:tc>
        <w:tc>
          <w:tcPr>
            <w:tcW w:w="7880" w:type="dxa"/>
            <w:vAlign w:val="bottom"/>
          </w:tcPr>
          <w:p>
            <w:pPr>
              <w:jc w:val="right"/>
              <w:ind w:right="6521"/>
              <w:spacing w:after="0"/>
              <w:rPr>
                <w:sz w:val="20"/>
                <w:szCs w:val="20"/>
                <w:color w:val="auto"/>
              </w:rPr>
            </w:pPr>
            <w:r>
              <w:rPr>
                <w:rFonts w:ascii="Arial" w:cs="Arial" w:eastAsia="Arial" w:hAnsi="Arial"/>
                <w:sz w:val="14"/>
                <w:szCs w:val="14"/>
                <w:color w:val="auto"/>
                <w:w w:val="89"/>
              </w:rPr>
              <w:t>__________________</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73"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After taking into consideration the existence of netting agreements.</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Substantially all of the Company’s collateral arrangements provide for daily posting of collateral for the full value of the derivative contract. As a result, if the credit contingent provisions of derivative contracts in a net liability position were triggered, minimal additional assets would be required to be posted as collateral or needed to settle the instruments immediately.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34" w:right="2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assets and liabilities measured at estimated fair value on a recurring basis and their corresponding placement in the fair value hierarchy, are presented below. Investments that do not have a readily determinable fair value and are measured at net asset value (or equivalent) as a practical expedient to estimated fair value are excluded from the fair value hierarchy.</w:t>
      </w:r>
    </w:p>
    <w:p>
      <w:pPr>
        <w:spacing w:after="0" w:line="312" w:lineRule="exact"/>
        <w:rPr>
          <w:sz w:val="20"/>
          <w:szCs w:val="20"/>
          <w:color w:val="auto"/>
        </w:rPr>
      </w:pPr>
    </w:p>
    <w:p>
      <w:pPr>
        <w:ind w:left="8220"/>
        <w:spacing w:after="0"/>
        <w:rPr>
          <w:sz w:val="20"/>
          <w:szCs w:val="20"/>
          <w:color w:val="auto"/>
        </w:rPr>
      </w:pPr>
      <w:r>
        <w:rPr>
          <w:rFonts w:ascii="Arial" w:cs="Arial" w:eastAsia="Arial" w:hAnsi="Arial"/>
          <w:sz w:val="13"/>
          <w:szCs w:val="13"/>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19685</wp:posOffset>
            </wp:positionV>
            <wp:extent cx="3404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14" w:lineRule="exact"/>
        <w:rPr>
          <w:sz w:val="20"/>
          <w:szCs w:val="20"/>
          <w:color w:val="auto"/>
        </w:rPr>
      </w:pPr>
    </w:p>
    <w:tbl>
      <w:tblPr>
        <w:tblLayout w:type="fixed"/>
        <w:tblInd w:w="6060" w:type="dxa"/>
        <w:tblCellMar>
          <w:top w:w="0" w:type="dxa"/>
          <w:left w:w="0" w:type="dxa"/>
          <w:bottom w:w="0" w:type="dxa"/>
          <w:right w:w="0" w:type="dxa"/>
        </w:tblCellMar>
      </w:tblPr>
      <w:tr>
        <w:trPr>
          <w:trHeight w:val="174"/>
        </w:trPr>
        <w:tc>
          <w:tcPr>
            <w:tcW w:w="1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2"/>
              </w:rPr>
              <w:t>Fair Value Hierarchy</w:t>
            </w:r>
          </w:p>
        </w:tc>
        <w:tc>
          <w:tcPr>
            <w:tcW w:w="900" w:type="dxa"/>
            <w:vAlign w:val="bottom"/>
            <w:tcBorders>
              <w:bottom w:val="single" w:sz="8" w:color="auto"/>
            </w:tcBorders>
          </w:tcPr>
          <w:p>
            <w:pPr>
              <w:spacing w:after="0"/>
              <w:rPr>
                <w:sz w:val="15"/>
                <w:szCs w:val="15"/>
                <w:color w:val="auto"/>
              </w:rPr>
            </w:pPr>
          </w:p>
        </w:tc>
        <w:tc>
          <w:tcPr>
            <w:tcW w:w="1360" w:type="dxa"/>
            <w:vAlign w:val="bottom"/>
          </w:tcPr>
          <w:p>
            <w:pPr>
              <w:spacing w:after="0"/>
              <w:rPr>
                <w:sz w:val="15"/>
                <w:szCs w:val="15"/>
                <w:color w:val="auto"/>
              </w:rPr>
            </w:pPr>
          </w:p>
        </w:tc>
      </w:tr>
      <w:tr>
        <w:trPr>
          <w:trHeight w:val="130"/>
        </w:trPr>
        <w:tc>
          <w:tcPr>
            <w:tcW w:w="11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jc w:val="center"/>
              <w:ind w:left="57"/>
              <w:spacing w:after="0" w:line="131" w:lineRule="exact"/>
              <w:rPr>
                <w:sz w:val="20"/>
                <w:szCs w:val="20"/>
                <w:color w:val="auto"/>
              </w:rPr>
            </w:pPr>
            <w:r>
              <w:rPr>
                <w:rFonts w:ascii="Arial" w:cs="Arial" w:eastAsia="Arial" w:hAnsi="Arial"/>
                <w:sz w:val="13"/>
                <w:szCs w:val="13"/>
                <w:b w:val="1"/>
                <w:bCs w:val="1"/>
                <w:color w:val="auto"/>
                <w:w w:val="86"/>
              </w:rPr>
              <w:t>Total Estimated</w:t>
            </w:r>
          </w:p>
        </w:tc>
      </w:tr>
      <w:tr>
        <w:trPr>
          <w:trHeight w:val="174"/>
        </w:trPr>
        <w:tc>
          <w:tcPr>
            <w:tcW w:w="114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Level 1</w:t>
            </w:r>
          </w:p>
        </w:tc>
        <w:tc>
          <w:tcPr>
            <w:tcW w:w="19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6"/>
              </w:rPr>
              <w:t>Level 2</w:t>
            </w: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Level 3</w:t>
            </w:r>
          </w:p>
        </w:tc>
        <w:tc>
          <w:tcPr>
            <w:tcW w:w="136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b w:val="1"/>
                <w:bCs w:val="1"/>
                <w:color w:val="auto"/>
                <w:w w:val="90"/>
              </w:rPr>
              <w:t>Fair Value</w:t>
            </w:r>
          </w:p>
        </w:tc>
      </w:tr>
      <w:tr>
        <w:trPr>
          <w:trHeight w:val="241"/>
        </w:trPr>
        <w:tc>
          <w:tcPr>
            <w:tcW w:w="1140" w:type="dxa"/>
            <w:vAlign w:val="bottom"/>
          </w:tcPr>
          <w:p>
            <w:pPr>
              <w:spacing w:after="0"/>
              <w:rPr>
                <w:sz w:val="20"/>
                <w:szCs w:val="20"/>
                <w:color w:val="auto"/>
              </w:rPr>
            </w:pPr>
          </w:p>
        </w:tc>
        <w:tc>
          <w:tcPr>
            <w:tcW w:w="1960" w:type="dxa"/>
            <w:vAlign w:val="bottom"/>
          </w:tcPr>
          <w:p>
            <w:pPr>
              <w:ind w:left="1220"/>
              <w:spacing w:after="0"/>
              <w:rPr>
                <w:sz w:val="20"/>
                <w:szCs w:val="20"/>
                <w:color w:val="auto"/>
              </w:rPr>
            </w:pPr>
            <w:r>
              <w:rPr>
                <w:rFonts w:ascii="Arial" w:cs="Arial" w:eastAsia="Arial" w:hAnsi="Arial"/>
                <w:sz w:val="13"/>
                <w:szCs w:val="13"/>
                <w:b w:val="1"/>
                <w:bCs w:val="1"/>
                <w:color w:val="auto"/>
                <w:w w:val="98"/>
              </w:rPr>
              <w:t>(In millions)</w:t>
            </w:r>
          </w:p>
        </w:tc>
        <w:tc>
          <w:tcPr>
            <w:tcW w:w="9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Fixed maturity securities: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U.S. corporate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U.S. government and agency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RMBS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corporate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CMBS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State and political subdivision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ABS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government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fixed maturity securities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 securities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Short-term investments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assets: (1)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exchange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Credit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 market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derivative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Embedded derivatives within asset host contracts (2)</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Separate account assets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assets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liabilities: (1)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exchange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30,466</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30,902</w:t>
            </w:r>
          </w:p>
        </w:tc>
      </w:tr>
      <w:tr>
        <w:trPr>
          <w:trHeight w:val="270"/>
        </w:trPr>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1,667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6,079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7,746</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9,138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9,215</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9,260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9,650</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5,545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5,579</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3,916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3,989</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1,853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1,917</w:t>
            </w:r>
          </w:p>
        </w:tc>
      </w:tr>
      <w:tr>
        <w:trPr>
          <w:trHeight w:val="276"/>
        </w:trPr>
        <w:tc>
          <w:tcPr>
            <w:tcW w:w="4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1,725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1,725</w:t>
            </w:r>
          </w:p>
        </w:tc>
      </w:tr>
      <w:tr>
        <w:trPr>
          <w:trHeight w:val="250"/>
        </w:trPr>
        <w:tc>
          <w:tcPr>
            <w:tcW w:w="4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1,667</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67,982</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1,074</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70,723</w:t>
            </w:r>
          </w:p>
        </w:tc>
      </w:tr>
      <w:tr>
        <w:trPr>
          <w:trHeight w:val="244"/>
        </w:trPr>
        <w:tc>
          <w:tcPr>
            <w:tcW w:w="46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148</w:t>
            </w:r>
          </w:p>
        </w:tc>
      </w:tr>
      <w:tr>
        <w:trPr>
          <w:trHeight w:val="270"/>
        </w:trPr>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1,299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1,985</w:t>
            </w:r>
          </w:p>
        </w:tc>
      </w:tr>
      <w:tr>
        <w:trPr>
          <w:trHeight w:val="540"/>
        </w:trPr>
        <w:tc>
          <w:tcPr>
            <w:tcW w:w="4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3,114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3,114</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468</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6"/>
        </w:trPr>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803</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902</w:t>
            </w:r>
          </w:p>
        </w:tc>
      </w:tr>
      <w:tr>
        <w:trPr>
          <w:trHeight w:val="250"/>
        </w:trPr>
        <w:tc>
          <w:tcPr>
            <w:tcW w:w="4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4,394</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4,515</w:t>
            </w:r>
          </w:p>
        </w:tc>
      </w:tr>
      <w:tr>
        <w:trPr>
          <w:trHeight w:val="244"/>
        </w:trPr>
        <w:tc>
          <w:tcPr>
            <w:tcW w:w="46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303</w:t>
            </w:r>
          </w:p>
        </w:tc>
      </w:tr>
      <w:tr>
        <w:trPr>
          <w:trHeight w:val="276"/>
        </w:trPr>
        <w:tc>
          <w:tcPr>
            <w:tcW w:w="4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103,704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103,928</w:t>
            </w:r>
          </w:p>
        </w:tc>
      </w:tr>
      <w:tr>
        <w:trPr>
          <w:trHeight w:val="237"/>
        </w:trPr>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3,201</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176,899</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1,502</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181,602</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785"/>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422</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29</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-4297045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-3953510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-3610610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-3267710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-2924810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-2581910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-2238375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-1895475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-1552575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-1209675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-866775</wp:posOffset>
            </wp:positionV>
            <wp:extent cx="724662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-506095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-163195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40" w:space="720"/>
            <w:col w:w="5360"/>
          </w:cols>
          <w:pgMar w:left="240" w:top="234"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6060" w:type="dxa"/>
            <w:vAlign w:val="bottom"/>
          </w:tcPr>
          <w:p>
            <w:pPr>
              <w:ind w:left="200"/>
              <w:spacing w:after="0"/>
              <w:rPr>
                <w:sz w:val="20"/>
                <w:szCs w:val="20"/>
                <w:color w:val="auto"/>
              </w:rPr>
            </w:pPr>
            <w:r>
              <w:rPr>
                <w:rFonts w:ascii="Arial" w:cs="Arial" w:eastAsia="Arial" w:hAnsi="Arial"/>
                <w:sz w:val="14"/>
                <w:szCs w:val="14"/>
                <w:color w:val="auto"/>
              </w:rPr>
              <w:t>Total derivative liabilities</w:t>
            </w:r>
          </w:p>
        </w:tc>
        <w:tc>
          <w:tcPr>
            <w:tcW w:w="5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vMerge w:val="restart"/>
          </w:tcPr>
          <w:p>
            <w:pPr>
              <w:ind w:left="4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1,984</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2,236</w:t>
            </w:r>
          </w:p>
        </w:tc>
        <w:tc>
          <w:tcPr>
            <w:tcW w:w="0" w:type="dxa"/>
            <w:vAlign w:val="bottom"/>
          </w:tcPr>
          <w:p>
            <w:pPr>
              <w:spacing w:after="0"/>
              <w:rPr>
                <w:sz w:val="1"/>
                <w:szCs w:val="1"/>
                <w:color w:val="auto"/>
              </w:rPr>
            </w:pPr>
          </w:p>
        </w:tc>
      </w:tr>
      <w:tr>
        <w:trPr>
          <w:trHeight w:val="54"/>
        </w:trPr>
        <w:tc>
          <w:tcPr>
            <w:tcW w:w="606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 within liability host contracts (2)</w:t>
            </w:r>
          </w:p>
        </w:tc>
        <w:tc>
          <w:tcPr>
            <w:tcW w:w="5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4,273</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4,273</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200"/>
              <w:spacing w:after="0"/>
              <w:rPr>
                <w:sz w:val="20"/>
                <w:szCs w:val="20"/>
                <w:color w:val="auto"/>
              </w:rPr>
            </w:pPr>
            <w:r>
              <w:rPr>
                <w:rFonts w:ascii="Arial" w:cs="Arial" w:eastAsia="Arial" w:hAnsi="Arial"/>
                <w:sz w:val="14"/>
                <w:szCs w:val="14"/>
                <w:color w:val="auto"/>
              </w:rPr>
              <w:t>Total liabilities</w:t>
            </w:r>
          </w:p>
        </w:tc>
        <w:tc>
          <w:tcPr>
            <w:tcW w:w="56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ind w:left="46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1,984</w:t>
            </w:r>
          </w:p>
        </w:tc>
        <w:tc>
          <w:tcPr>
            <w:tcW w:w="100" w:type="dxa"/>
            <w:vAlign w:val="bottom"/>
          </w:tcPr>
          <w:p>
            <w:pPr>
              <w:spacing w:after="0"/>
              <w:rPr>
                <w:sz w:val="14"/>
                <w:szCs w:val="14"/>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4,525</w:t>
            </w:r>
          </w:p>
        </w:tc>
        <w:tc>
          <w:tcPr>
            <w:tcW w:w="120" w:type="dxa"/>
            <w:vAlign w:val="bottom"/>
          </w:tcPr>
          <w:p>
            <w:pPr>
              <w:spacing w:after="0"/>
              <w:rPr>
                <w:sz w:val="14"/>
                <w:szCs w:val="14"/>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6,509</w:t>
            </w:r>
          </w:p>
        </w:tc>
        <w:tc>
          <w:tcPr>
            <w:tcW w:w="0" w:type="dxa"/>
            <w:vAlign w:val="bottom"/>
          </w:tcPr>
          <w:p>
            <w:pPr>
              <w:spacing w:after="0"/>
              <w:rPr>
                <w:sz w:val="1"/>
                <w:szCs w:val="1"/>
                <w:color w:val="auto"/>
              </w:rPr>
            </w:pPr>
          </w:p>
        </w:tc>
      </w:tr>
      <w:tr>
        <w:trPr>
          <w:trHeight w:val="60"/>
        </w:trPr>
        <w:tc>
          <w:tcPr>
            <w:tcW w:w="60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34" w:right="239" w:bottom="1440" w:gutter="0" w:footer="0" w:header="0"/>
          <w:type w:val="continuous"/>
        </w:sectPr>
      </w:pPr>
    </w:p>
    <w:bookmarkStart w:id="31" w:name="page32"/>
    <w:bookmarkEnd w:id="3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December 31, 2018</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Fair Value Hierarchy</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6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29"/>
              <w:spacing w:after="0" w:line="131" w:lineRule="exact"/>
              <w:rPr>
                <w:sz w:val="20"/>
                <w:szCs w:val="20"/>
                <w:color w:val="auto"/>
              </w:rPr>
            </w:pPr>
            <w:r>
              <w:rPr>
                <w:rFonts w:ascii="Arial" w:cs="Arial" w:eastAsia="Arial" w:hAnsi="Arial"/>
                <w:sz w:val="13"/>
                <w:szCs w:val="13"/>
                <w:b w:val="1"/>
                <w:bCs w:val="1"/>
                <w:color w:val="auto"/>
                <w:w w:val="90"/>
              </w:rPr>
              <w:t>Total Estimated</w:t>
            </w:r>
          </w:p>
        </w:tc>
        <w:tc>
          <w:tcPr>
            <w:tcW w:w="0" w:type="dxa"/>
            <w:vAlign w:val="bottom"/>
          </w:tcPr>
          <w:p>
            <w:pPr>
              <w:spacing w:after="0"/>
              <w:rPr>
                <w:sz w:val="1"/>
                <w:szCs w:val="1"/>
                <w:color w:val="auto"/>
              </w:rPr>
            </w:pPr>
          </w:p>
        </w:tc>
      </w:tr>
      <w:tr>
        <w:trPr>
          <w:trHeight w:val="174"/>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Level 3</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49"/>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Fixed maturity securities: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corporate</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24,150</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24,473</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U.S. government and agency</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2,722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6,373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9,095</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RMBS</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8,541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8,547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Foreign corporate</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7,617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8,026</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5,120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5,248</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State and political subdivision</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3,523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3,597</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ABS</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Foreign government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1,496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fixed maturity securities</w:t>
            </w: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2,722</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58,907</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979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62,608</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40"/>
              <w:spacing w:after="0"/>
              <w:rPr>
                <w:sz w:val="20"/>
                <w:szCs w:val="20"/>
                <w:color w:val="auto"/>
              </w:rPr>
            </w:pPr>
            <w:r>
              <w:rPr>
                <w:rFonts w:ascii="Arial" w:cs="Arial" w:eastAsia="Arial" w:hAnsi="Arial"/>
                <w:sz w:val="14"/>
                <w:szCs w:val="14"/>
                <w:color w:val="auto"/>
              </w:rPr>
              <w:t>Equity securities</w:t>
            </w:r>
          </w:p>
        </w:tc>
        <w:tc>
          <w:tcPr>
            <w:tcW w:w="2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assets: (1)</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Interest rate</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Credit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market</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1,732</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200"/>
              <w:spacing w:after="0"/>
              <w:rPr>
                <w:sz w:val="20"/>
                <w:szCs w:val="20"/>
                <w:color w:val="auto"/>
              </w:rPr>
            </w:pPr>
            <w:r>
              <w:rPr>
                <w:rFonts w:ascii="Arial" w:cs="Arial" w:eastAsia="Arial" w:hAnsi="Arial"/>
                <w:sz w:val="14"/>
                <w:szCs w:val="14"/>
                <w:color w:val="auto"/>
              </w:rPr>
              <w:t>Total derivative assets</w:t>
            </w:r>
          </w:p>
        </w:tc>
        <w:tc>
          <w:tcPr>
            <w:tcW w:w="2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2,662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2,778</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 within asset host contracts (2)</w:t>
            </w:r>
          </w:p>
        </w:tc>
        <w:tc>
          <w:tcPr>
            <w:tcW w:w="2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Separate account assets</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98,038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98,256</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assets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2,952</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159,731</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1,327</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164,010</w:t>
            </w:r>
          </w:p>
        </w:tc>
        <w:tc>
          <w:tcPr>
            <w:tcW w:w="0" w:type="dxa"/>
            <w:vAlign w:val="bottom"/>
          </w:tcPr>
          <w:p>
            <w:pPr>
              <w:spacing w:after="0"/>
              <w:rPr>
                <w:sz w:val="1"/>
                <w:szCs w:val="1"/>
                <w:color w:val="auto"/>
              </w:rPr>
            </w:pPr>
          </w:p>
        </w:tc>
      </w:tr>
      <w:tr>
        <w:trPr>
          <w:trHeight w:val="60"/>
        </w:trPr>
        <w:tc>
          <w:tcPr>
            <w:tcW w:w="60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liabilities: (1)</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Interest rate</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Credit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market</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200"/>
              <w:spacing w:after="0"/>
              <w:rPr>
                <w:sz w:val="20"/>
                <w:szCs w:val="20"/>
                <w:color w:val="auto"/>
              </w:rPr>
            </w:pPr>
            <w:r>
              <w:rPr>
                <w:rFonts w:ascii="Arial" w:cs="Arial" w:eastAsia="Arial" w:hAnsi="Arial"/>
                <w:sz w:val="14"/>
                <w:szCs w:val="14"/>
                <w:color w:val="auto"/>
              </w:rPr>
              <w:t>Total derivative liabilities</w:t>
            </w:r>
          </w:p>
        </w:tc>
        <w:tc>
          <w:tcPr>
            <w:tcW w:w="2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1,874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2,112</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 within liability host contracts (2)</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2,226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2,226</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200"/>
              <w:spacing w:after="0"/>
              <w:rPr>
                <w:sz w:val="20"/>
                <w:szCs w:val="20"/>
                <w:color w:val="auto"/>
              </w:rPr>
            </w:pPr>
            <w:r>
              <w:rPr>
                <w:rFonts w:ascii="Arial" w:cs="Arial" w:eastAsia="Arial" w:hAnsi="Arial"/>
                <w:sz w:val="14"/>
                <w:szCs w:val="14"/>
                <w:color w:val="auto"/>
              </w:rPr>
              <w:t>Total liabilities</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1,874</w:t>
            </w:r>
          </w:p>
        </w:tc>
        <w:tc>
          <w:tcPr>
            <w:tcW w:w="100" w:type="dxa"/>
            <w:vAlign w:val="bottom"/>
          </w:tcPr>
          <w:p>
            <w:pPr>
              <w:spacing w:after="0"/>
              <w:rPr>
                <w:sz w:val="14"/>
                <w:szCs w:val="14"/>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2,464</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4,338</w:t>
            </w: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7620</wp:posOffset>
            </wp:positionV>
            <wp:extent cx="34048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-98425</wp:posOffset>
            </wp:positionV>
            <wp:extent cx="34048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jc w:val="both"/>
        <w:ind w:left="500" w:hanging="492"/>
        <w:spacing w:after="0" w:line="259"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Derivative assets are presented within other invested assets on the consolidated balance sheets and derivative liabilities are presented within other liabilities on the consolidated balance sheets. The amounts are presented gross in the tables above to reflect the presentation on the consolidated balance sheets, but are presented net for purposes of the rollforward in the Fair Value Measurements Using Significant Unobservable Inputs (Level 3) tables.</w:t>
      </w:r>
    </w:p>
    <w:p>
      <w:pPr>
        <w:spacing w:after="0" w:line="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Embedded derivatives within asset host contracts are presented within premiums, reinsurance and other receivables and other invested assets on the consolidated balance sheets. Embedded derivatives within liability host contracts are presented within policyholder account balances on the consolidated balance sheets.</w:t>
      </w:r>
    </w:p>
    <w:p>
      <w:pPr>
        <w:sectPr>
          <w:pgSz w:w="11900" w:h="16838" w:orient="portrait"/>
          <w:cols w:equalWidth="0" w:num="1">
            <w:col w:w="11420"/>
          </w:cols>
          <w:pgMar w:left="240" w:top="288"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288" w:right="239" w:bottom="1440" w:gutter="0" w:footer="0" w:header="0"/>
          <w:type w:val="continuous"/>
        </w:sectPr>
      </w:pPr>
    </w:p>
    <w:bookmarkStart w:id="32" w:name="page33"/>
    <w:bookmarkEnd w:id="3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Valuation Controls and Procedures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Financial’s Board of Directors regarding compliance with fair value accounting standards.</w:t>
      </w:r>
    </w:p>
    <w:p>
      <w:pPr>
        <w:spacing w:after="0" w:line="85" w:lineRule="exact"/>
        <w:rPr>
          <w:sz w:val="20"/>
          <w:szCs w:val="20"/>
          <w:color w:val="auto"/>
        </w:rPr>
      </w:pPr>
    </w:p>
    <w:p>
      <w:pPr>
        <w:jc w:val="both"/>
        <w:ind w:left="180" w:firstLine="324"/>
        <w:spacing w:after="0" w:line="253" w:lineRule="auto"/>
        <w:rPr>
          <w:sz w:val="20"/>
          <w:szCs w:val="20"/>
          <w:color w:val="auto"/>
        </w:rPr>
      </w:pPr>
      <w:r>
        <w:rPr>
          <w:rFonts w:ascii="Arial" w:cs="Arial" w:eastAsia="Arial" w:hAnsi="Arial"/>
          <w:sz w:val="18"/>
          <w:szCs w:val="18"/>
          <w:color w:val="auto"/>
        </w:rPr>
        <w:t>The fair value of financial assets and financial liabilities is based on quoted market prices, where available. The Company assesses whether prices received represent a reasonable estimate of fair value through controls designed to ensure valuations represent an exit price. Valuation service providers perform several controls,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8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Valuation service providers also apply a formal process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valuation service providers will use the last available price.</w:t>
      </w:r>
    </w:p>
    <w:p>
      <w:pPr>
        <w:spacing w:after="0" w:line="79"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Company reviews outputs of the valuation service providers’ controls and performs additional controls, including certain monthly controls, which include but are not limited to, performing balance sheet analytics to assess reasonableness of period to 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nine months ended September 30, 2019.</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Determination of Fair Value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Fixed Maturity Securities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spacing w:after="0" w:line="12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i w:val="1"/>
          <w:iCs w:val="1"/>
          <w:color w:val="auto"/>
        </w:rPr>
        <w:t xml:space="preserve">U.S. corporate and foreign corporate securities: </w:t>
      </w:r>
      <w:r>
        <w:rPr>
          <w:rFonts w:ascii="Arial" w:cs="Arial" w:eastAsia="Arial" w:hAnsi="Arial"/>
          <w:sz w:val="18"/>
          <w:szCs w:val="18"/>
          <w:color w:val="auto"/>
        </w:rPr>
        <w:t>Fair value is determined using third-party commercial pricing services, with the primary inputs</w:t>
      </w:r>
      <w:r>
        <w:rPr>
          <w:rFonts w:ascii="Arial" w:cs="Arial" w:eastAsia="Arial" w:hAnsi="Arial"/>
          <w:sz w:val="18"/>
          <w:szCs w:val="18"/>
          <w:i w:val="1"/>
          <w:iCs w:val="1"/>
          <w:color w:val="auto"/>
        </w:rPr>
        <w:t xml:space="preserve"> </w:t>
      </w:r>
      <w:r>
        <w:rPr>
          <w:rFonts w:ascii="Arial" w:cs="Arial" w:eastAsia="Arial" w:hAnsi="Arial"/>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34"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i w:val="1"/>
          <w:iCs w:val="1"/>
          <w:color w:val="auto"/>
        </w:rPr>
        <w:t xml:space="preserve">U.S. government and agency, state and political subdivision and foreign government securities: </w:t>
      </w:r>
      <w:r>
        <w:rPr>
          <w:rFonts w:ascii="Arial" w:cs="Arial" w:eastAsia="Arial" w:hAnsi="Arial"/>
          <w:sz w:val="18"/>
          <w:szCs w:val="18"/>
          <w:color w:val="auto"/>
        </w:rPr>
        <w:t>Fair value is determined using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 dealer quotes, and comparable securities that are actively traded.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8" w:right="2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18"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i w:val="1"/>
          <w:iCs w:val="1"/>
          <w:color w:val="auto"/>
        </w:rPr>
        <w:t xml:space="preserve">Structured Securities: </w:t>
      </w:r>
      <w:r>
        <w:rPr>
          <w:rFonts w:ascii="Arial" w:cs="Arial" w:eastAsia="Arial" w:hAnsi="Arial"/>
          <w:sz w:val="17"/>
          <w:szCs w:val="17"/>
          <w:color w:val="auto"/>
        </w:rPr>
        <w:t>Fair value is determined using third-party commercial pricing services, with the primary inputs being quoted prices in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 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Equity Securities and Short-term Investments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fair value for actively traded equity securities and short-term investments are determined using quoted market prices and are classified as Level 1 assets. For financial instruments classified as Level 2 assets or liabilities, fair values are determined using a market approach and are valued based on a variety of observable inputs as described below.</w:t>
      </w:r>
    </w:p>
    <w:p>
      <w:pPr>
        <w:spacing w:after="0" w:line="12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Equity securities and short-term investments: </w:t>
      </w:r>
      <w:r>
        <w:rPr>
          <w:rFonts w:ascii="Arial" w:cs="Arial" w:eastAsia="Arial" w:hAnsi="Arial"/>
          <w:sz w:val="18"/>
          <w:szCs w:val="18"/>
          <w:color w:val="auto"/>
        </w:rPr>
        <w:t>Fair value is determined using third-party commercial pricing services, with the primary input being</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markets that are not active.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9"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85"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73" w:lineRule="exact"/>
        <w:rPr>
          <w:sz w:val="20"/>
          <w:szCs w:val="20"/>
          <w:color w:val="auto"/>
        </w:rPr>
      </w:pPr>
    </w:p>
    <w:p>
      <w:pPr>
        <w:jc w:val="both"/>
        <w:ind w:left="340" w:firstLine="324"/>
        <w:spacing w:after="0" w:line="253" w:lineRule="auto"/>
        <w:rPr>
          <w:sz w:val="20"/>
          <w:szCs w:val="20"/>
          <w:color w:val="auto"/>
        </w:rPr>
      </w:pPr>
      <w:r>
        <w:rPr>
          <w:rFonts w:ascii="Arial" w:cs="Arial" w:eastAsia="Arial" w:hAnsi="Arial"/>
          <w:sz w:val="18"/>
          <w:szCs w:val="18"/>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7"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Embedded derivatives principally include certain direct and ceded variable annuity guarantees and equity crediting rates within index-linked annuity contracts. Embedded derivatives are recorded at estimated fair value with changes in estimated fair value reported in net income.</w:t>
      </w:r>
    </w:p>
    <w:p>
      <w:pPr>
        <w:spacing w:after="0" w:line="38"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The Company issues certain variable annuity products with guaranteed minimum benefits. GMWBs, GMABs and certain GMIBs contain embedded derivatives, which are measured at estimated fair value separately from the host variable annuity contract, with changes in estimated fair value reported in net derivative gains (losses). These embedded derivatives are classified within policyholder account balances on the consolidated balance sheets.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8" w:right="2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Company determines the fair value of these embedded derivatives by estimating the present value of projected future benefits minus the present value of projected future fees using actuarial and capital market assumptions including expectations of policyholder behavior. The calculation is based on in-force business and is performed using standard actuarial valuation software which projects future cash flows from the embedded derivative over multiple risk neutral stochastic scenarios using observable risk-free rates. The percentage of fees included in the initial fair value measurement is not updated in subsequent periods.</w:t>
      </w:r>
    </w:p>
    <w:p>
      <w:pPr>
        <w:spacing w:after="0" w:line="80"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Capital market assumptions, such as risk-free rates and implied volatilities, are based on market prices for publicly 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7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valuation of these guarantee liabilities includes nonperformance risk adjustments and adjustments for a risk margin related to non-capital market inputs. The nonperformance adjustment is determined by taking into consideration publicly available information relating to spreads in the secondary market for BHF’s debt. These observable spreads are then adjusted to reflect the priority of these liabilities and claims paying ability of the issuing insurance subsidiaries as compared to BHF’s overall financial strength.</w:t>
      </w:r>
    </w:p>
    <w:p>
      <w:pPr>
        <w:spacing w:after="0" w:line="7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Risk margins are established to capture the non-capital market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w:t>
      </w:r>
    </w:p>
    <w:p>
      <w:pPr>
        <w:spacing w:after="0" w:line="7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Company issues and assumes through reinsurance index-linked annuities which allow the policyholder to participate in returns from equity indices. The crediting rates associated with these features are embedded derivatives which are measured at estimated fair value separately from the host fixed annuity contract, with changes in estimated fair value reported in net derivative gains (losses). These embedded derivatives are classified within policyholder account balances on the consolidated balance sheets.</w:t>
      </w:r>
    </w:p>
    <w:p>
      <w:pPr>
        <w:spacing w:after="0" w:line="79"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Transfers Into or Out of Level 3:</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8" w:right="2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Assets and Liabilities Measured at Fair Value Using Significant Unobservable Inputs (Level 3)</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 presents 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at: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87"/>
              </w:rPr>
              <w:t>September 30, 2019</w:t>
            </w:r>
          </w:p>
        </w:tc>
        <w:tc>
          <w:tcPr>
            <w:tcW w:w="17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7"/>
              </w:rPr>
              <w:t>December 31, 2018</w:t>
            </w: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9"/>
              </w:rPr>
              <w:t>Impact of</w:t>
            </w:r>
          </w:p>
        </w:tc>
        <w:tc>
          <w:tcPr>
            <w:tcW w:w="0" w:type="dxa"/>
            <w:vAlign w:val="bottom"/>
          </w:tcPr>
          <w:p>
            <w:pPr>
              <w:spacing w:after="0"/>
              <w:rPr>
                <w:sz w:val="1"/>
                <w:szCs w:val="1"/>
                <w:color w:val="auto"/>
              </w:rPr>
            </w:pPr>
          </w:p>
        </w:tc>
      </w:tr>
      <w:tr>
        <w:trPr>
          <w:trHeight w:val="126"/>
        </w:trPr>
        <w:tc>
          <w:tcPr>
            <w:tcW w:w="30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4"/>
            <w:vMerge w:val="continue"/>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6"/>
              </w:rPr>
              <w:t>Increase in Input</w:t>
            </w:r>
          </w:p>
        </w:tc>
        <w:tc>
          <w:tcPr>
            <w:tcW w:w="0" w:type="dxa"/>
            <w:vAlign w:val="bottom"/>
          </w:tcPr>
          <w:p>
            <w:pPr>
              <w:spacing w:after="0"/>
              <w:rPr>
                <w:sz w:val="1"/>
                <w:szCs w:val="1"/>
                <w:color w:val="auto"/>
              </w:rPr>
            </w:pPr>
          </w:p>
        </w:tc>
      </w:tr>
      <w:tr>
        <w:trPr>
          <w:trHeight w:val="124"/>
        </w:trPr>
        <w:tc>
          <w:tcPr>
            <w:tcW w:w="30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2"/>
          </w:tcPr>
          <w:p>
            <w:pPr>
              <w:ind w:left="320"/>
              <w:spacing w:after="0" w:line="124" w:lineRule="exact"/>
              <w:rPr>
                <w:sz w:val="20"/>
                <w:szCs w:val="20"/>
                <w:color w:val="auto"/>
              </w:rPr>
            </w:pPr>
            <w:r>
              <w:rPr>
                <w:rFonts w:ascii="Arial" w:cs="Arial" w:eastAsia="Arial" w:hAnsi="Arial"/>
                <w:sz w:val="13"/>
                <w:szCs w:val="13"/>
                <w:b w:val="1"/>
                <w:bCs w:val="1"/>
                <w:color w:val="auto"/>
              </w:rPr>
              <w:t>Significant</w:t>
            </w:r>
          </w:p>
        </w:tc>
        <w:tc>
          <w:tcPr>
            <w:tcW w:w="6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8"/>
              </w:rPr>
              <w:t>on Estimated</w:t>
            </w:r>
          </w:p>
        </w:tc>
        <w:tc>
          <w:tcPr>
            <w:tcW w:w="0" w:type="dxa"/>
            <w:vAlign w:val="bottom"/>
          </w:tcPr>
          <w:p>
            <w:pPr>
              <w:spacing w:after="0"/>
              <w:rPr>
                <w:sz w:val="1"/>
                <w:szCs w:val="1"/>
                <w:color w:val="auto"/>
              </w:rPr>
            </w:pPr>
          </w:p>
        </w:tc>
      </w:tr>
      <w:tr>
        <w:trPr>
          <w:trHeight w:val="174"/>
        </w:trPr>
        <w:tc>
          <w:tcPr>
            <w:tcW w:w="3080" w:type="dxa"/>
            <w:vAlign w:val="bottom"/>
          </w:tcPr>
          <w:p>
            <w:pPr>
              <w:spacing w:after="0"/>
              <w:rPr>
                <w:sz w:val="15"/>
                <w:szCs w:val="15"/>
                <w:color w:val="auto"/>
              </w:rPr>
            </w:pPr>
          </w:p>
        </w:tc>
        <w:tc>
          <w:tcPr>
            <w:tcW w:w="1660" w:type="dxa"/>
            <w:vAlign w:val="bottom"/>
            <w:gridSpan w:val="2"/>
          </w:tcPr>
          <w:p>
            <w:pPr>
              <w:ind w:left="200"/>
              <w:spacing w:after="0"/>
              <w:rPr>
                <w:sz w:val="20"/>
                <w:szCs w:val="20"/>
                <w:color w:val="auto"/>
              </w:rPr>
            </w:pPr>
            <w:r>
              <w:rPr>
                <w:rFonts w:ascii="Arial" w:cs="Arial" w:eastAsia="Arial" w:hAnsi="Arial"/>
                <w:sz w:val="13"/>
                <w:szCs w:val="13"/>
                <w:b w:val="1"/>
                <w:bCs w:val="1"/>
                <w:color w:val="auto"/>
              </w:rPr>
              <w:t>Valuation Techniques</w:t>
            </w: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b w:val="1"/>
                <w:bCs w:val="1"/>
                <w:color w:val="auto"/>
              </w:rPr>
              <w:t>Unobservable Inputs</w:t>
            </w:r>
          </w:p>
        </w:tc>
        <w:tc>
          <w:tcPr>
            <w:tcW w:w="6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85"/>
              </w:rPr>
              <w:t>Range</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5"/>
              </w:rPr>
              <w:t>Range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60"/>
        </w:trPr>
        <w:tc>
          <w:tcPr>
            <w:tcW w:w="3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Embedded derivatives</w:t>
            </w: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08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40"/>
              <w:spacing w:after="0" w:line="148" w:lineRule="exact"/>
              <w:rPr>
                <w:sz w:val="20"/>
                <w:szCs w:val="20"/>
                <w:color w:val="auto"/>
              </w:rPr>
            </w:pPr>
            <w:r>
              <w:rPr>
                <w:rFonts w:ascii="Arial" w:cs="Arial" w:eastAsia="Arial" w:hAnsi="Arial"/>
                <w:sz w:val="13"/>
                <w:szCs w:val="13"/>
                <w:color w:val="auto"/>
                <w:w w:val="90"/>
              </w:rPr>
              <w:t>Direct, assumed and ceded guaranteed minimum benefits</w:t>
            </w:r>
          </w:p>
        </w:tc>
        <w:tc>
          <w:tcPr>
            <w:tcW w:w="166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Option pricing</w:t>
            </w:r>
          </w:p>
        </w:tc>
        <w:tc>
          <w:tcPr>
            <w:tcW w:w="180" w:type="dxa"/>
            <w:vAlign w:val="bottom"/>
          </w:tcPr>
          <w:p>
            <w:pPr>
              <w:ind w:left="100"/>
              <w:spacing w:after="0" w:line="148" w:lineRule="exact"/>
              <w:rPr>
                <w:sz w:val="20"/>
                <w:szCs w:val="20"/>
                <w:color w:val="auto"/>
              </w:rPr>
            </w:pPr>
            <w:r>
              <w:rPr>
                <w:rFonts w:ascii="Arial" w:cs="Arial" w:eastAsia="Arial" w:hAnsi="Arial"/>
                <w:sz w:val="13"/>
                <w:szCs w:val="13"/>
                <w:b w:val="1"/>
                <w:bCs w:val="1"/>
                <w:color w:val="auto"/>
              </w:rPr>
              <w:t>•</w:t>
            </w:r>
          </w:p>
        </w:tc>
        <w:tc>
          <w:tcPr>
            <w:tcW w:w="152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Mortality rates</w:t>
            </w:r>
          </w:p>
        </w:tc>
        <w:tc>
          <w:tcPr>
            <w:tcW w:w="640" w:type="dxa"/>
            <w:vAlign w:val="bottom"/>
          </w:tcPr>
          <w:p>
            <w:pPr>
              <w:jc w:val="center"/>
              <w:ind w:left="97"/>
              <w:spacing w:after="0" w:line="148" w:lineRule="exact"/>
              <w:rPr>
                <w:sz w:val="20"/>
                <w:szCs w:val="20"/>
                <w:color w:val="auto"/>
              </w:rPr>
            </w:pPr>
            <w:r>
              <w:rPr>
                <w:rFonts w:ascii="Arial" w:cs="Arial" w:eastAsia="Arial" w:hAnsi="Arial"/>
                <w:sz w:val="13"/>
                <w:szCs w:val="13"/>
                <w:color w:val="auto"/>
                <w:w w:val="86"/>
              </w:rPr>
              <w:t>0.02%</w:t>
            </w:r>
          </w:p>
        </w:tc>
        <w:tc>
          <w:tcPr>
            <w:tcW w:w="4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tcPr>
          <w:p>
            <w:pPr>
              <w:jc w:val="center"/>
              <w:ind w:right="97"/>
              <w:spacing w:after="0" w:line="148" w:lineRule="exact"/>
              <w:rPr>
                <w:sz w:val="20"/>
                <w:szCs w:val="20"/>
                <w:color w:val="auto"/>
              </w:rPr>
            </w:pPr>
            <w:r>
              <w:rPr>
                <w:rFonts w:ascii="Arial" w:cs="Arial" w:eastAsia="Arial" w:hAnsi="Arial"/>
                <w:sz w:val="13"/>
                <w:szCs w:val="13"/>
                <w:color w:val="auto"/>
                <w:w w:val="90"/>
              </w:rPr>
              <w:t>11.31%</w:t>
            </w:r>
          </w:p>
        </w:tc>
        <w:tc>
          <w:tcPr>
            <w:tcW w:w="100" w:type="dxa"/>
            <w:vAlign w:val="bottom"/>
          </w:tcPr>
          <w:p>
            <w:pPr>
              <w:spacing w:after="0"/>
              <w:rPr>
                <w:sz w:val="12"/>
                <w:szCs w:val="12"/>
                <w:color w:val="auto"/>
              </w:rPr>
            </w:pPr>
          </w:p>
        </w:tc>
        <w:tc>
          <w:tcPr>
            <w:tcW w:w="640" w:type="dxa"/>
            <w:vAlign w:val="bottom"/>
          </w:tcPr>
          <w:p>
            <w:pPr>
              <w:jc w:val="center"/>
              <w:ind w:left="97"/>
              <w:spacing w:after="0" w:line="148" w:lineRule="exact"/>
              <w:rPr>
                <w:sz w:val="20"/>
                <w:szCs w:val="20"/>
                <w:color w:val="auto"/>
              </w:rPr>
            </w:pPr>
            <w:r>
              <w:rPr>
                <w:rFonts w:ascii="Arial" w:cs="Arial" w:eastAsia="Arial" w:hAnsi="Arial"/>
                <w:sz w:val="13"/>
                <w:szCs w:val="13"/>
                <w:color w:val="auto"/>
                <w:w w:val="86"/>
              </w:rPr>
              <w:t>0.02%</w:t>
            </w:r>
          </w:p>
        </w:tc>
        <w:tc>
          <w:tcPr>
            <w:tcW w:w="44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20" w:type="dxa"/>
            <w:vAlign w:val="bottom"/>
          </w:tcPr>
          <w:p>
            <w:pPr>
              <w:jc w:val="center"/>
              <w:ind w:right="97"/>
              <w:spacing w:after="0" w:line="148" w:lineRule="exact"/>
              <w:rPr>
                <w:sz w:val="20"/>
                <w:szCs w:val="20"/>
                <w:color w:val="auto"/>
              </w:rPr>
            </w:pPr>
            <w:r>
              <w:rPr>
                <w:rFonts w:ascii="Arial" w:cs="Arial" w:eastAsia="Arial" w:hAnsi="Arial"/>
                <w:sz w:val="13"/>
                <w:szCs w:val="13"/>
                <w:color w:val="auto"/>
                <w:w w:val="86"/>
              </w:rPr>
              <w:t>11.31%</w:t>
            </w:r>
          </w:p>
        </w:tc>
        <w:tc>
          <w:tcPr>
            <w:tcW w:w="120" w:type="dxa"/>
            <w:vAlign w:val="bottom"/>
          </w:tcPr>
          <w:p>
            <w:pPr>
              <w:spacing w:after="0"/>
              <w:rPr>
                <w:sz w:val="12"/>
                <w:szCs w:val="12"/>
                <w:color w:val="auto"/>
              </w:rPr>
            </w:pPr>
          </w:p>
        </w:tc>
        <w:tc>
          <w:tcPr>
            <w:tcW w:w="1360" w:type="dxa"/>
            <w:vAlign w:val="bottom"/>
          </w:tcPr>
          <w:p>
            <w:pPr>
              <w:jc w:val="center"/>
              <w:spacing w:after="0" w:line="148" w:lineRule="exact"/>
              <w:rPr>
                <w:sz w:val="20"/>
                <w:szCs w:val="20"/>
                <w:color w:val="auto"/>
              </w:rPr>
            </w:pPr>
            <w:r>
              <w:rPr>
                <w:rFonts w:ascii="Arial" w:cs="Arial" w:eastAsia="Arial" w:hAnsi="Arial"/>
                <w:sz w:val="13"/>
                <w:szCs w:val="13"/>
                <w:color w:val="auto"/>
                <w:w w:val="85"/>
              </w:rPr>
              <w:t>Decrease (1)</w:t>
            </w: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1660" w:type="dxa"/>
            <w:vAlign w:val="bottom"/>
            <w:gridSpan w:val="2"/>
          </w:tcPr>
          <w:p>
            <w:pPr>
              <w:ind w:left="420"/>
              <w:spacing w:after="0"/>
              <w:rPr>
                <w:sz w:val="20"/>
                <w:szCs w:val="20"/>
                <w:color w:val="auto"/>
              </w:rPr>
            </w:pPr>
            <w:r>
              <w:rPr>
                <w:rFonts w:ascii="Arial" w:cs="Arial" w:eastAsia="Arial" w:hAnsi="Arial"/>
                <w:sz w:val="13"/>
                <w:szCs w:val="13"/>
                <w:color w:val="auto"/>
              </w:rPr>
              <w:t>techniques</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w:t>
            </w: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Lapse rates</w:t>
            </w:r>
          </w:p>
        </w:tc>
        <w:tc>
          <w:tcPr>
            <w:tcW w:w="64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6"/>
              </w:rPr>
              <w:t>0.25%</w:t>
            </w:r>
          </w:p>
        </w:tc>
        <w:tc>
          <w:tcPr>
            <w:tcW w:w="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90"/>
              </w:rPr>
              <w:t>16.00%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6"/>
              </w:rPr>
              <w:t>0.25%</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2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86"/>
              </w:rPr>
              <w:t>16.00%</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Decrease (2)</w:t>
            </w:r>
          </w:p>
        </w:tc>
        <w:tc>
          <w:tcPr>
            <w:tcW w:w="0" w:type="dxa"/>
            <w:vAlign w:val="bottom"/>
          </w:tcPr>
          <w:p>
            <w:pPr>
              <w:spacing w:after="0"/>
              <w:rPr>
                <w:sz w:val="1"/>
                <w:szCs w:val="1"/>
                <w:color w:val="auto"/>
              </w:rPr>
            </w:pPr>
          </w:p>
        </w:tc>
      </w:tr>
      <w:tr>
        <w:trPr>
          <w:trHeight w:val="97"/>
        </w:trPr>
        <w:tc>
          <w:tcPr>
            <w:tcW w:w="308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Arial" w:cs="Arial" w:eastAsia="Arial" w:hAnsi="Arial"/>
                <w:sz w:val="13"/>
                <w:szCs w:val="13"/>
                <w:b w:val="1"/>
                <w:bCs w:val="1"/>
                <w:color w:val="auto"/>
              </w:rPr>
              <w:t>•</w:t>
            </w:r>
          </w:p>
        </w:tc>
        <w:tc>
          <w:tcPr>
            <w:tcW w:w="1520" w:type="dxa"/>
            <w:vAlign w:val="bottom"/>
            <w:gridSpan w:val="2"/>
          </w:tcPr>
          <w:p>
            <w:pPr>
              <w:ind w:left="80"/>
              <w:spacing w:after="0"/>
              <w:rPr>
                <w:sz w:val="20"/>
                <w:szCs w:val="20"/>
                <w:color w:val="auto"/>
              </w:rPr>
            </w:pPr>
            <w:r>
              <w:rPr>
                <w:rFonts w:ascii="Arial" w:cs="Arial" w:eastAsia="Arial" w:hAnsi="Arial"/>
                <w:sz w:val="13"/>
                <w:szCs w:val="13"/>
                <w:color w:val="auto"/>
              </w:rPr>
              <w:t>Utilization rates</w:t>
            </w:r>
          </w:p>
        </w:tc>
        <w:tc>
          <w:tcPr>
            <w:tcW w:w="640" w:type="dxa"/>
            <w:vAlign w:val="bottom"/>
          </w:tcPr>
          <w:p>
            <w:pPr>
              <w:jc w:val="center"/>
              <w:ind w:left="97"/>
              <w:spacing w:after="0"/>
              <w:rPr>
                <w:sz w:val="20"/>
                <w:szCs w:val="20"/>
                <w:color w:val="auto"/>
              </w:rPr>
            </w:pPr>
            <w:r>
              <w:rPr>
                <w:rFonts w:ascii="Arial" w:cs="Arial" w:eastAsia="Arial" w:hAnsi="Arial"/>
                <w:sz w:val="13"/>
                <w:szCs w:val="13"/>
                <w:color w:val="auto"/>
                <w:w w:val="86"/>
              </w:rPr>
              <w:t>0.00%</w:t>
            </w:r>
          </w:p>
        </w:tc>
        <w:tc>
          <w:tcPr>
            <w:tcW w:w="4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tcPr>
          <w:p>
            <w:pPr>
              <w:jc w:val="center"/>
              <w:ind w:right="97"/>
              <w:spacing w:after="0"/>
              <w:rPr>
                <w:sz w:val="20"/>
                <w:szCs w:val="20"/>
                <w:color w:val="auto"/>
              </w:rPr>
            </w:pPr>
            <w:r>
              <w:rPr>
                <w:rFonts w:ascii="Arial" w:cs="Arial" w:eastAsia="Arial" w:hAnsi="Arial"/>
                <w:sz w:val="13"/>
                <w:szCs w:val="13"/>
                <w:color w:val="auto"/>
                <w:w w:val="90"/>
              </w:rPr>
              <w:t>25.00%</w:t>
            </w:r>
          </w:p>
        </w:tc>
        <w:tc>
          <w:tcPr>
            <w:tcW w:w="100" w:type="dxa"/>
            <w:vAlign w:val="bottom"/>
          </w:tcPr>
          <w:p>
            <w:pPr>
              <w:spacing w:after="0"/>
              <w:rPr>
                <w:sz w:val="15"/>
                <w:szCs w:val="15"/>
                <w:color w:val="auto"/>
              </w:rPr>
            </w:pPr>
          </w:p>
        </w:tc>
        <w:tc>
          <w:tcPr>
            <w:tcW w:w="640" w:type="dxa"/>
            <w:vAlign w:val="bottom"/>
          </w:tcPr>
          <w:p>
            <w:pPr>
              <w:jc w:val="center"/>
              <w:ind w:left="97"/>
              <w:spacing w:after="0"/>
              <w:rPr>
                <w:sz w:val="20"/>
                <w:szCs w:val="20"/>
                <w:color w:val="auto"/>
              </w:rPr>
            </w:pPr>
            <w:r>
              <w:rPr>
                <w:rFonts w:ascii="Arial" w:cs="Arial" w:eastAsia="Arial" w:hAnsi="Arial"/>
                <w:sz w:val="13"/>
                <w:szCs w:val="13"/>
                <w:color w:val="auto"/>
                <w:w w:val="86"/>
              </w:rPr>
              <w:t>0.00%</w:t>
            </w:r>
          </w:p>
        </w:tc>
        <w:tc>
          <w:tcPr>
            <w:tcW w:w="44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20" w:type="dxa"/>
            <w:vAlign w:val="bottom"/>
          </w:tcPr>
          <w:p>
            <w:pPr>
              <w:jc w:val="center"/>
              <w:ind w:right="97"/>
              <w:spacing w:after="0"/>
              <w:rPr>
                <w:sz w:val="20"/>
                <w:szCs w:val="20"/>
                <w:color w:val="auto"/>
              </w:rPr>
            </w:pPr>
            <w:r>
              <w:rPr>
                <w:rFonts w:ascii="Arial" w:cs="Arial" w:eastAsia="Arial" w:hAnsi="Arial"/>
                <w:sz w:val="13"/>
                <w:szCs w:val="13"/>
                <w:color w:val="auto"/>
                <w:w w:val="86"/>
              </w:rPr>
              <w:t>25.00%</w:t>
            </w: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3"/>
                <w:szCs w:val="13"/>
                <w:color w:val="auto"/>
                <w:w w:val="86"/>
              </w:rPr>
              <w:t>Increase (3)</w:t>
            </w:r>
          </w:p>
        </w:tc>
        <w:tc>
          <w:tcPr>
            <w:tcW w:w="0" w:type="dxa"/>
            <w:vAlign w:val="bottom"/>
          </w:tcPr>
          <w:p>
            <w:pPr>
              <w:spacing w:after="0"/>
              <w:rPr>
                <w:sz w:val="1"/>
                <w:szCs w:val="1"/>
                <w:color w:val="auto"/>
              </w:rPr>
            </w:pPr>
          </w:p>
        </w:tc>
      </w:tr>
      <w:tr>
        <w:trPr>
          <w:trHeight w:val="97"/>
        </w:trPr>
        <w:tc>
          <w:tcPr>
            <w:tcW w:w="30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0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w:t>
            </w: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Withdrawal rates</w:t>
            </w:r>
          </w:p>
        </w:tc>
        <w:tc>
          <w:tcPr>
            <w:tcW w:w="64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6"/>
              </w:rPr>
              <w:t>0.25%</w:t>
            </w:r>
          </w:p>
        </w:tc>
        <w:tc>
          <w:tcPr>
            <w:tcW w:w="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90"/>
              </w:rPr>
              <w:t>10.00%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6"/>
              </w:rPr>
              <w:t>0.25%</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2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86"/>
              </w:rPr>
              <w:t>10.00%</w:t>
            </w:r>
          </w:p>
        </w:tc>
        <w:tc>
          <w:tcPr>
            <w:tcW w:w="148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97"/>
        </w:trPr>
        <w:tc>
          <w:tcPr>
            <w:tcW w:w="308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ind w:left="100"/>
              <w:spacing w:after="0" w:line="148" w:lineRule="exact"/>
              <w:rPr>
                <w:sz w:val="20"/>
                <w:szCs w:val="20"/>
                <w:color w:val="auto"/>
              </w:rPr>
            </w:pPr>
            <w:r>
              <w:rPr>
                <w:rFonts w:ascii="Arial" w:cs="Arial" w:eastAsia="Arial" w:hAnsi="Arial"/>
                <w:sz w:val="13"/>
                <w:szCs w:val="13"/>
                <w:b w:val="1"/>
                <w:bCs w:val="1"/>
                <w:color w:val="auto"/>
              </w:rPr>
              <w:t>•</w:t>
            </w:r>
          </w:p>
        </w:tc>
        <w:tc>
          <w:tcPr>
            <w:tcW w:w="152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Long-term equity</w:t>
            </w:r>
          </w:p>
        </w:tc>
        <w:tc>
          <w:tcPr>
            <w:tcW w:w="640" w:type="dxa"/>
            <w:vAlign w:val="bottom"/>
          </w:tcPr>
          <w:p>
            <w:pPr>
              <w:jc w:val="center"/>
              <w:ind w:left="77"/>
              <w:spacing w:after="0" w:line="148" w:lineRule="exact"/>
              <w:rPr>
                <w:sz w:val="20"/>
                <w:szCs w:val="20"/>
                <w:color w:val="auto"/>
              </w:rPr>
            </w:pPr>
            <w:r>
              <w:rPr>
                <w:rFonts w:ascii="Arial" w:cs="Arial" w:eastAsia="Arial" w:hAnsi="Arial"/>
                <w:sz w:val="13"/>
                <w:szCs w:val="13"/>
                <w:color w:val="auto"/>
                <w:w w:val="86"/>
              </w:rPr>
              <w:t>16.50%</w:t>
            </w:r>
          </w:p>
        </w:tc>
        <w:tc>
          <w:tcPr>
            <w:tcW w:w="4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tcPr>
          <w:p>
            <w:pPr>
              <w:jc w:val="center"/>
              <w:ind w:right="97"/>
              <w:spacing w:after="0" w:line="148" w:lineRule="exact"/>
              <w:rPr>
                <w:sz w:val="20"/>
                <w:szCs w:val="20"/>
                <w:color w:val="auto"/>
              </w:rPr>
            </w:pPr>
            <w:r>
              <w:rPr>
                <w:rFonts w:ascii="Arial" w:cs="Arial" w:eastAsia="Arial" w:hAnsi="Arial"/>
                <w:sz w:val="13"/>
                <w:szCs w:val="13"/>
                <w:color w:val="auto"/>
                <w:w w:val="90"/>
              </w:rPr>
              <w:t>22.00%</w:t>
            </w:r>
          </w:p>
        </w:tc>
        <w:tc>
          <w:tcPr>
            <w:tcW w:w="100" w:type="dxa"/>
            <w:vAlign w:val="bottom"/>
          </w:tcPr>
          <w:p>
            <w:pPr>
              <w:spacing w:after="0"/>
              <w:rPr>
                <w:sz w:val="12"/>
                <w:szCs w:val="12"/>
                <w:color w:val="auto"/>
              </w:rPr>
            </w:pPr>
          </w:p>
        </w:tc>
        <w:tc>
          <w:tcPr>
            <w:tcW w:w="640" w:type="dxa"/>
            <w:vAlign w:val="bottom"/>
          </w:tcPr>
          <w:p>
            <w:pPr>
              <w:jc w:val="center"/>
              <w:ind w:left="117"/>
              <w:spacing w:after="0" w:line="148" w:lineRule="exact"/>
              <w:rPr>
                <w:sz w:val="20"/>
                <w:szCs w:val="20"/>
                <w:color w:val="auto"/>
              </w:rPr>
            </w:pPr>
            <w:r>
              <w:rPr>
                <w:rFonts w:ascii="Arial" w:cs="Arial" w:eastAsia="Arial" w:hAnsi="Arial"/>
                <w:sz w:val="13"/>
                <w:szCs w:val="13"/>
                <w:color w:val="auto"/>
                <w:w w:val="86"/>
              </w:rPr>
              <w:t>16.50%</w:t>
            </w:r>
          </w:p>
        </w:tc>
        <w:tc>
          <w:tcPr>
            <w:tcW w:w="44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20" w:type="dxa"/>
            <w:vAlign w:val="bottom"/>
          </w:tcPr>
          <w:p>
            <w:pPr>
              <w:jc w:val="center"/>
              <w:ind w:right="97"/>
              <w:spacing w:after="0" w:line="148" w:lineRule="exact"/>
              <w:rPr>
                <w:sz w:val="20"/>
                <w:szCs w:val="20"/>
                <w:color w:val="auto"/>
              </w:rPr>
            </w:pPr>
            <w:r>
              <w:rPr>
                <w:rFonts w:ascii="Arial" w:cs="Arial" w:eastAsia="Arial" w:hAnsi="Arial"/>
                <w:sz w:val="13"/>
                <w:szCs w:val="13"/>
                <w:color w:val="auto"/>
                <w:w w:val="86"/>
              </w:rPr>
              <w:t>22.00%</w:t>
            </w:r>
          </w:p>
        </w:tc>
        <w:tc>
          <w:tcPr>
            <w:tcW w:w="120" w:type="dxa"/>
            <w:vAlign w:val="bottom"/>
          </w:tcPr>
          <w:p>
            <w:pPr>
              <w:spacing w:after="0"/>
              <w:rPr>
                <w:sz w:val="12"/>
                <w:szCs w:val="12"/>
                <w:color w:val="auto"/>
              </w:rPr>
            </w:pPr>
          </w:p>
        </w:tc>
        <w:tc>
          <w:tcPr>
            <w:tcW w:w="1360" w:type="dxa"/>
            <w:vAlign w:val="bottom"/>
          </w:tcPr>
          <w:p>
            <w:pPr>
              <w:jc w:val="center"/>
              <w:spacing w:after="0" w:line="148" w:lineRule="exact"/>
              <w:rPr>
                <w:sz w:val="20"/>
                <w:szCs w:val="20"/>
                <w:color w:val="auto"/>
              </w:rPr>
            </w:pPr>
            <w:r>
              <w:rPr>
                <w:rFonts w:ascii="Arial" w:cs="Arial" w:eastAsia="Arial" w:hAnsi="Arial"/>
                <w:sz w:val="13"/>
                <w:szCs w:val="13"/>
                <w:color w:val="auto"/>
                <w:w w:val="86"/>
              </w:rPr>
              <w:t>Increase (5)</w:t>
            </w: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Arial" w:cs="Arial" w:eastAsia="Arial" w:hAnsi="Arial"/>
                <w:sz w:val="13"/>
                <w:szCs w:val="13"/>
                <w:color w:val="auto"/>
              </w:rPr>
              <w:t>volatilities</w:t>
            </w: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Arial" w:cs="Arial" w:eastAsia="Arial" w:hAnsi="Arial"/>
                <w:sz w:val="13"/>
                <w:szCs w:val="13"/>
                <w:b w:val="1"/>
                <w:bCs w:val="1"/>
                <w:color w:val="auto"/>
              </w:rPr>
              <w:t>•</w:t>
            </w:r>
          </w:p>
        </w:tc>
        <w:tc>
          <w:tcPr>
            <w:tcW w:w="1520" w:type="dxa"/>
            <w:vAlign w:val="bottom"/>
            <w:gridSpan w:val="2"/>
          </w:tcPr>
          <w:p>
            <w:pPr>
              <w:ind w:left="80"/>
              <w:spacing w:after="0"/>
              <w:rPr>
                <w:sz w:val="20"/>
                <w:szCs w:val="20"/>
                <w:color w:val="auto"/>
              </w:rPr>
            </w:pPr>
            <w:r>
              <w:rPr>
                <w:rFonts w:ascii="Arial" w:cs="Arial" w:eastAsia="Arial" w:hAnsi="Arial"/>
                <w:sz w:val="13"/>
                <w:szCs w:val="13"/>
                <w:color w:val="auto"/>
              </w:rPr>
              <w:t>Nonperformance risk</w:t>
            </w:r>
          </w:p>
        </w:tc>
        <w:tc>
          <w:tcPr>
            <w:tcW w:w="640" w:type="dxa"/>
            <w:vAlign w:val="bottom"/>
          </w:tcPr>
          <w:p>
            <w:pPr>
              <w:jc w:val="center"/>
              <w:ind w:left="97"/>
              <w:spacing w:after="0"/>
              <w:rPr>
                <w:sz w:val="20"/>
                <w:szCs w:val="20"/>
                <w:color w:val="auto"/>
              </w:rPr>
            </w:pPr>
            <w:r>
              <w:rPr>
                <w:rFonts w:ascii="Arial" w:cs="Arial" w:eastAsia="Arial" w:hAnsi="Arial"/>
                <w:sz w:val="13"/>
                <w:szCs w:val="13"/>
                <w:color w:val="auto"/>
                <w:w w:val="86"/>
              </w:rPr>
              <w:t>0.61%</w:t>
            </w:r>
          </w:p>
        </w:tc>
        <w:tc>
          <w:tcPr>
            <w:tcW w:w="4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tcPr>
          <w:p>
            <w:pPr>
              <w:jc w:val="center"/>
              <w:ind w:right="97"/>
              <w:spacing w:after="0"/>
              <w:rPr>
                <w:sz w:val="20"/>
                <w:szCs w:val="20"/>
                <w:color w:val="auto"/>
              </w:rPr>
            </w:pPr>
            <w:r>
              <w:rPr>
                <w:rFonts w:ascii="Arial" w:cs="Arial" w:eastAsia="Arial" w:hAnsi="Arial"/>
                <w:sz w:val="13"/>
                <w:szCs w:val="13"/>
                <w:color w:val="auto"/>
                <w:w w:val="86"/>
              </w:rPr>
              <w:t>2.37%</w:t>
            </w:r>
          </w:p>
        </w:tc>
        <w:tc>
          <w:tcPr>
            <w:tcW w:w="100" w:type="dxa"/>
            <w:vAlign w:val="bottom"/>
          </w:tcPr>
          <w:p>
            <w:pPr>
              <w:spacing w:after="0"/>
              <w:rPr>
                <w:sz w:val="14"/>
                <w:szCs w:val="14"/>
                <w:color w:val="auto"/>
              </w:rPr>
            </w:pPr>
          </w:p>
        </w:tc>
        <w:tc>
          <w:tcPr>
            <w:tcW w:w="640" w:type="dxa"/>
            <w:vAlign w:val="bottom"/>
          </w:tcPr>
          <w:p>
            <w:pPr>
              <w:jc w:val="center"/>
              <w:ind w:left="97"/>
              <w:spacing w:after="0"/>
              <w:rPr>
                <w:sz w:val="20"/>
                <w:szCs w:val="20"/>
                <w:color w:val="auto"/>
              </w:rPr>
            </w:pPr>
            <w:r>
              <w:rPr>
                <w:rFonts w:ascii="Arial" w:cs="Arial" w:eastAsia="Arial" w:hAnsi="Arial"/>
                <w:sz w:val="13"/>
                <w:szCs w:val="13"/>
                <w:color w:val="auto"/>
                <w:w w:val="86"/>
              </w:rPr>
              <w:t>1.91%</w:t>
            </w:r>
          </w:p>
        </w:tc>
        <w:tc>
          <w:tcPr>
            <w:tcW w:w="44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20" w:type="dxa"/>
            <w:vAlign w:val="bottom"/>
          </w:tcPr>
          <w:p>
            <w:pPr>
              <w:jc w:val="center"/>
              <w:ind w:right="97"/>
              <w:spacing w:after="0"/>
              <w:rPr>
                <w:sz w:val="20"/>
                <w:szCs w:val="20"/>
                <w:color w:val="auto"/>
              </w:rPr>
            </w:pPr>
            <w:r>
              <w:rPr>
                <w:rFonts w:ascii="Arial" w:cs="Arial" w:eastAsia="Arial" w:hAnsi="Arial"/>
                <w:sz w:val="13"/>
                <w:szCs w:val="13"/>
                <w:color w:val="auto"/>
                <w:w w:val="92"/>
              </w:rPr>
              <w:t>2.66%</w:t>
            </w: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3"/>
                <w:szCs w:val="13"/>
                <w:color w:val="auto"/>
                <w:w w:val="85"/>
              </w:rPr>
              <w:t>Decrease (6)</w:t>
            </w: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Arial" w:cs="Arial" w:eastAsia="Arial" w:hAnsi="Arial"/>
                <w:sz w:val="13"/>
                <w:szCs w:val="13"/>
                <w:color w:val="auto"/>
              </w:rPr>
              <w:t>spread</w:t>
            </w: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w:t>
      </w:r>
    </w:p>
    <w:p>
      <w:pPr>
        <w:spacing w:after="0" w:line="111" w:lineRule="exact"/>
        <w:rPr>
          <w:sz w:val="20"/>
          <w:szCs w:val="20"/>
          <w:color w:val="auto"/>
        </w:rPr>
      </w:pPr>
    </w:p>
    <w:p>
      <w:pPr>
        <w:jc w:val="both"/>
        <w:ind w:left="500" w:hanging="492"/>
        <w:spacing w:after="0" w:line="26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Mortality rates vary by age and by demographic characteristics such as gender. Range shown reflects the mortality rate for policyholders between 35 and 90 years old, which represents the majority of the business with living benefits. Mortality rate assumptions are set based on company experience and include an assumption for mortality improvement.</w:t>
      </w:r>
    </w:p>
    <w:p>
      <w:pPr>
        <w:spacing w:after="0" w:line="73"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Range reflects base lapse rates for major product categories for duration 1-20, which represents majority of business with living benefit riders. 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80" w:lineRule="exact"/>
        <w:rPr>
          <w:rFonts w:ascii="Arial" w:cs="Arial" w:eastAsia="Arial" w:hAnsi="Arial"/>
          <w:sz w:val="18"/>
          <w:szCs w:val="18"/>
          <w:color w:val="auto"/>
        </w:rPr>
      </w:pPr>
    </w:p>
    <w:p>
      <w:pPr>
        <w:jc w:val="both"/>
        <w:ind w:left="500" w:hanging="492"/>
        <w:spacing w:after="0" w:line="276"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utilization rate assumption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64" w:lineRule="exact"/>
        <w:rPr>
          <w:rFonts w:ascii="Arial" w:cs="Arial" w:eastAsia="Arial" w:hAnsi="Arial"/>
          <w:sz w:val="17"/>
          <w:szCs w:val="17"/>
          <w:color w:val="auto"/>
        </w:rPr>
      </w:pPr>
    </w:p>
    <w:p>
      <w:pPr>
        <w:jc w:val="both"/>
        <w:ind w:left="500" w:hanging="492"/>
        <w:spacing w:after="0" w:line="276"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 (decrease) in withdrawal rates results in a decrease (increase) in the estimated fair value.</w:t>
      </w:r>
    </w:p>
    <w:p>
      <w:pPr>
        <w:spacing w:after="0" w:line="64" w:lineRule="exact"/>
        <w:rPr>
          <w:rFonts w:ascii="Arial" w:cs="Arial" w:eastAsia="Arial" w:hAnsi="Arial"/>
          <w:sz w:val="17"/>
          <w:szCs w:val="17"/>
          <w:color w:val="auto"/>
        </w:rPr>
      </w:pPr>
    </w:p>
    <w:p>
      <w:pPr>
        <w:ind w:left="500" w:hanging="492"/>
        <w:spacing w:after="0" w:line="342"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15"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Nonperformance risk spread varies by duration. For any given contract, multiple nonperformance risk spreads will apply, depending on the duration of the cash flow being discounted for purposes of valuing the embedded derivative.</w:t>
      </w:r>
    </w:p>
    <w:p>
      <w:pPr>
        <w:spacing w:after="0" w:line="62"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higher (lower) fair value. For derivatives valued based on third-party pricing models, an increase (decrease) in credit spreads would generally result in a higher (lower) fair value.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8" w:right="2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tables summarize the change of all assets and (liabilities) measured at estimated fair value on a recurring basis using significant unobservable inputs (Level 3):</w:t>
      </w:r>
    </w:p>
    <w:p>
      <w:pPr>
        <w:sectPr>
          <w:pgSz w:w="11900" w:h="16838" w:orient="portrait"/>
          <w:cols w:equalWidth="0" w:num="1">
            <w:col w:w="11420"/>
          </w:cols>
          <w:pgMar w:left="240" w:top="2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20" w:right="180" w:hanging="193"/>
        <w:spacing w:after="0" w:line="311" w:lineRule="auto"/>
        <w:rPr>
          <w:sz w:val="20"/>
          <w:szCs w:val="20"/>
          <w:color w:val="auto"/>
        </w:rPr>
      </w:pPr>
      <w:r>
        <w:rPr>
          <w:rFonts w:ascii="Arial" w:cs="Arial" w:eastAsia="Arial" w:hAnsi="Arial"/>
          <w:sz w:val="11"/>
          <w:szCs w:val="11"/>
          <w:b w:val="1"/>
          <w:bCs w:val="1"/>
          <w:color w:val="auto"/>
        </w:rPr>
        <w:t>Three Months Ended September 30, 2019</w:t>
      </w:r>
    </w:p>
    <w:p>
      <w:pPr>
        <w:ind w:left="200" w:right="320" w:hanging="161"/>
        <w:spacing w:after="0" w:line="273" w:lineRule="auto"/>
        <w:rPr>
          <w:sz w:val="20"/>
          <w:szCs w:val="20"/>
          <w:color w:val="auto"/>
        </w:rPr>
      </w:pPr>
      <w:r>
        <w:rPr>
          <w:rFonts w:ascii="Arial" w:cs="Arial" w:eastAsia="Arial" w:hAnsi="Arial"/>
          <w:sz w:val="12"/>
          <w:szCs w:val="12"/>
          <w:color w:val="auto"/>
        </w:rPr>
        <w:t>Balance, beginning of period</w:t>
      </w:r>
    </w:p>
    <w:p>
      <w:pPr>
        <w:spacing w:after="0" w:line="10" w:lineRule="exact"/>
        <w:rPr>
          <w:sz w:val="20"/>
          <w:szCs w:val="20"/>
          <w:color w:val="auto"/>
        </w:rPr>
      </w:pPr>
    </w:p>
    <w:p>
      <w:pPr>
        <w:jc w:val="both"/>
        <w:ind w:left="200" w:right="80" w:hanging="161"/>
        <w:spacing w:after="0" w:line="262" w:lineRule="auto"/>
        <w:rPr>
          <w:sz w:val="20"/>
          <w:szCs w:val="20"/>
          <w:color w:val="auto"/>
        </w:rPr>
      </w:pPr>
      <w:r>
        <w:rPr>
          <w:rFonts w:ascii="Arial" w:cs="Arial" w:eastAsia="Arial" w:hAnsi="Arial"/>
          <w:sz w:val="11"/>
          <w:szCs w:val="11"/>
          <w:color w:val="auto"/>
        </w:rPr>
        <w:t>Total realized/unrealized gains (losses) included in net income (loss) (5)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(6)</w:t>
      </w:r>
    </w:p>
    <w:p>
      <w:pPr>
        <w:spacing w:after="0" w:line="30" w:lineRule="exact"/>
        <w:rPr>
          <w:sz w:val="20"/>
          <w:szCs w:val="20"/>
          <w:color w:val="auto"/>
        </w:rPr>
      </w:pPr>
    </w:p>
    <w:p>
      <w:pPr>
        <w:ind w:left="200" w:right="180" w:hanging="161"/>
        <w:spacing w:after="0" w:line="288" w:lineRule="auto"/>
        <w:rPr>
          <w:sz w:val="20"/>
          <w:szCs w:val="20"/>
          <w:color w:val="auto"/>
        </w:rPr>
      </w:pPr>
      <w:r>
        <w:rPr>
          <w:rFonts w:ascii="Arial" w:cs="Arial" w:eastAsia="Arial" w:hAnsi="Arial"/>
          <w:sz w:val="11"/>
          <w:szCs w:val="11"/>
          <w:color w:val="auto"/>
        </w:rPr>
        <w:t>Total realized/unrealized gains (losses) included in AOCI</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color w:val="auto"/>
        </w:rPr>
        <w:t>Purchases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Sales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Settlements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Transfers into Level 3 (8)</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1"/>
          <w:szCs w:val="11"/>
          <w:color w:val="auto"/>
        </w:rPr>
        <w:t>Transfers out of Level 3 (8)</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end of period</w:t>
      </w:r>
    </w:p>
    <w:p>
      <w:pPr>
        <w:spacing w:after="0" w:line="117" w:lineRule="exact"/>
        <w:rPr>
          <w:sz w:val="20"/>
          <w:szCs w:val="20"/>
          <w:color w:val="auto"/>
        </w:rPr>
      </w:pPr>
    </w:p>
    <w:p>
      <w:pPr>
        <w:ind w:left="220" w:right="180" w:hanging="193"/>
        <w:spacing w:after="0" w:line="311" w:lineRule="auto"/>
        <w:rPr>
          <w:sz w:val="20"/>
          <w:szCs w:val="20"/>
          <w:color w:val="auto"/>
        </w:rPr>
      </w:pPr>
      <w:r>
        <w:rPr>
          <w:rFonts w:ascii="Arial" w:cs="Arial" w:eastAsia="Arial" w:hAnsi="Arial"/>
          <w:sz w:val="11"/>
          <w:szCs w:val="11"/>
          <w:b w:val="1"/>
          <w:bCs w:val="1"/>
          <w:color w:val="auto"/>
        </w:rPr>
        <w:t>Three Months Ended September 30, 2018</w:t>
      </w:r>
    </w:p>
    <w:p>
      <w:pPr>
        <w:ind w:left="200" w:right="320" w:hanging="161"/>
        <w:spacing w:after="0" w:line="273" w:lineRule="auto"/>
        <w:rPr>
          <w:sz w:val="20"/>
          <w:szCs w:val="20"/>
          <w:color w:val="auto"/>
        </w:rPr>
      </w:pPr>
      <w:r>
        <w:rPr>
          <w:rFonts w:ascii="Arial" w:cs="Arial" w:eastAsia="Arial" w:hAnsi="Arial"/>
          <w:sz w:val="12"/>
          <w:szCs w:val="12"/>
          <w:color w:val="auto"/>
        </w:rPr>
        <w:t>Balance, beginning of period</w:t>
      </w:r>
    </w:p>
    <w:p>
      <w:pPr>
        <w:spacing w:after="0" w:line="10" w:lineRule="exact"/>
        <w:rPr>
          <w:sz w:val="20"/>
          <w:szCs w:val="20"/>
          <w:color w:val="auto"/>
        </w:rPr>
      </w:pPr>
    </w:p>
    <w:p>
      <w:pPr>
        <w:jc w:val="both"/>
        <w:ind w:left="200" w:right="80" w:hanging="161"/>
        <w:spacing w:after="0" w:line="262" w:lineRule="auto"/>
        <w:rPr>
          <w:sz w:val="20"/>
          <w:szCs w:val="20"/>
          <w:color w:val="auto"/>
        </w:rPr>
      </w:pPr>
      <w:r>
        <w:rPr>
          <w:rFonts w:ascii="Arial" w:cs="Arial" w:eastAsia="Arial" w:hAnsi="Arial"/>
          <w:sz w:val="11"/>
          <w:szCs w:val="11"/>
          <w:color w:val="auto"/>
        </w:rPr>
        <w:t>Total realized/unrealized gains (losses) included in net income (loss) (5)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(6)</w:t>
      </w:r>
    </w:p>
    <w:p>
      <w:pPr>
        <w:spacing w:after="0" w:line="30" w:lineRule="exact"/>
        <w:rPr>
          <w:sz w:val="20"/>
          <w:szCs w:val="20"/>
          <w:color w:val="auto"/>
        </w:rPr>
      </w:pPr>
    </w:p>
    <w:p>
      <w:pPr>
        <w:ind w:left="200" w:right="180" w:hanging="161"/>
        <w:spacing w:after="0" w:line="288" w:lineRule="auto"/>
        <w:rPr>
          <w:sz w:val="20"/>
          <w:szCs w:val="20"/>
          <w:color w:val="auto"/>
        </w:rPr>
      </w:pPr>
      <w:r>
        <w:rPr>
          <w:rFonts w:ascii="Arial" w:cs="Arial" w:eastAsia="Arial" w:hAnsi="Arial"/>
          <w:sz w:val="11"/>
          <w:szCs w:val="11"/>
          <w:color w:val="auto"/>
        </w:rPr>
        <w:t>Total realized/unrealized gains (losses) included in AOCI</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color w:val="auto"/>
        </w:rPr>
        <w:t>Purchases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Sales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Settlements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Transfers into Level 3 (8)</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1"/>
          <w:szCs w:val="11"/>
          <w:color w:val="auto"/>
        </w:rPr>
        <w:t>Transfers out of Level 3 (8)</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end of period</w:t>
      </w:r>
    </w:p>
    <w:p>
      <w:pPr>
        <w:spacing w:after="0" w:line="121" w:lineRule="exact"/>
        <w:rPr>
          <w:sz w:val="20"/>
          <w:szCs w:val="20"/>
          <w:color w:val="auto"/>
        </w:rPr>
      </w:pPr>
    </w:p>
    <w:p>
      <w:pPr>
        <w:ind w:left="200" w:hanging="161"/>
        <w:spacing w:after="0" w:line="272" w:lineRule="auto"/>
        <w:rPr>
          <w:sz w:val="20"/>
          <w:szCs w:val="20"/>
          <w:color w:val="auto"/>
        </w:rPr>
      </w:pPr>
      <w:r>
        <w:rPr>
          <w:rFonts w:ascii="Arial" w:cs="Arial" w:eastAsia="Arial" w:hAnsi="Arial"/>
          <w:sz w:val="11"/>
          <w:szCs w:val="11"/>
          <w:color w:val="auto"/>
        </w:rPr>
        <w:t>Changes in unrealized gains (losses) included in net income (loss) for the instruments still held at September 30, 2019 (9)</w:t>
      </w:r>
    </w:p>
    <w:p>
      <w:pPr>
        <w:spacing w:after="0" w:line="13" w:lineRule="exact"/>
        <w:rPr>
          <w:sz w:val="20"/>
          <w:szCs w:val="20"/>
          <w:color w:val="auto"/>
        </w:rPr>
      </w:pPr>
    </w:p>
    <w:p>
      <w:pPr>
        <w:ind w:left="200" w:hanging="161"/>
        <w:spacing w:after="0" w:line="272" w:lineRule="auto"/>
        <w:rPr>
          <w:sz w:val="20"/>
          <w:szCs w:val="20"/>
          <w:color w:val="auto"/>
        </w:rPr>
      </w:pPr>
      <w:r>
        <w:rPr>
          <w:rFonts w:ascii="Arial" w:cs="Arial" w:eastAsia="Arial" w:hAnsi="Arial"/>
          <w:sz w:val="11"/>
          <w:szCs w:val="11"/>
          <w:color w:val="auto"/>
        </w:rPr>
        <w:t>Changes in unrealized gains (losses) included in net income (loss) for the instruments still held at September 30, 2018 (9)</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62261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Fixed Maturity Securities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4"/>
        </w:trPr>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State and</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ind w:left="80"/>
              <w:spacing w:after="0" w:line="144" w:lineRule="exact"/>
              <w:rPr>
                <w:sz w:val="20"/>
                <w:szCs w:val="20"/>
                <w:color w:val="auto"/>
              </w:rPr>
            </w:pPr>
            <w:r>
              <w:rPr>
                <w:rFonts w:ascii="Arial" w:cs="Arial" w:eastAsia="Arial" w:hAnsi="Arial"/>
                <w:sz w:val="13"/>
                <w:szCs w:val="13"/>
                <w:b w:val="1"/>
                <w:bCs w:val="1"/>
                <w:color w:val="auto"/>
              </w:rPr>
              <w:t>Separate</w:t>
            </w:r>
          </w:p>
        </w:tc>
      </w:tr>
      <w:tr>
        <w:trPr>
          <w:trHeight w:val="135"/>
        </w:trPr>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Structured</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Political</w:t>
            </w:r>
          </w:p>
        </w:tc>
        <w:tc>
          <w:tcPr>
            <w:tcW w:w="140" w:type="dxa"/>
            <w:vAlign w:val="bottom"/>
          </w:tcPr>
          <w:p>
            <w:pPr>
              <w:spacing w:after="0"/>
              <w:rPr>
                <w:sz w:val="11"/>
                <w:szCs w:val="11"/>
                <w:color w:val="auto"/>
              </w:rPr>
            </w:pPr>
          </w:p>
        </w:tc>
        <w:tc>
          <w:tcPr>
            <w:tcW w:w="920" w:type="dxa"/>
            <w:vAlign w:val="bottom"/>
          </w:tcPr>
          <w:p>
            <w:pPr>
              <w:ind w:left="180"/>
              <w:spacing w:after="0" w:line="135" w:lineRule="exact"/>
              <w:rPr>
                <w:sz w:val="20"/>
                <w:szCs w:val="20"/>
                <w:color w:val="auto"/>
              </w:rPr>
            </w:pPr>
            <w:r>
              <w:rPr>
                <w:rFonts w:ascii="Arial" w:cs="Arial" w:eastAsia="Arial" w:hAnsi="Arial"/>
                <w:sz w:val="13"/>
                <w:szCs w:val="13"/>
                <w:b w:val="1"/>
                <w:bCs w:val="1"/>
                <w:color w:val="auto"/>
              </w:rPr>
              <w:t>Foreign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Equity</w:t>
            </w:r>
          </w:p>
        </w:tc>
        <w:tc>
          <w:tcPr>
            <w:tcW w:w="14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Short-term</w:t>
            </w:r>
          </w:p>
        </w:tc>
        <w:tc>
          <w:tcPr>
            <w:tcW w:w="220" w:type="dxa"/>
            <w:vAlign w:val="bottom"/>
          </w:tcPr>
          <w:p>
            <w:pPr>
              <w:spacing w:after="0"/>
              <w:rPr>
                <w:sz w:val="11"/>
                <w:szCs w:val="11"/>
                <w:color w:val="auto"/>
              </w:rPr>
            </w:pPr>
          </w:p>
        </w:tc>
        <w:tc>
          <w:tcPr>
            <w:tcW w:w="78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Net Embedded</w:t>
            </w:r>
          </w:p>
        </w:tc>
        <w:tc>
          <w:tcPr>
            <w:tcW w:w="140" w:type="dxa"/>
            <w:vAlign w:val="bottom"/>
          </w:tcPr>
          <w:p>
            <w:pPr>
              <w:spacing w:after="0"/>
              <w:rPr>
                <w:sz w:val="11"/>
                <w:szCs w:val="11"/>
                <w:color w:val="auto"/>
              </w:rPr>
            </w:pPr>
          </w:p>
        </w:tc>
        <w:tc>
          <w:tcPr>
            <w:tcW w:w="76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Account</w:t>
            </w:r>
          </w:p>
        </w:tc>
      </w:tr>
      <w:tr>
        <w:trPr>
          <w:trHeight w:val="174"/>
        </w:trPr>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Corporate (1)</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Securities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6"/>
              </w:rPr>
              <w:t>Subdivision</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Government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3"/>
              </w:rPr>
              <w:t>Securities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Investments</w:t>
            </w: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Derivatives (2)</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Derivatives (3)</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Assets (4)</w:t>
            </w:r>
          </w:p>
        </w:tc>
      </w:tr>
      <w:tr>
        <w:trPr>
          <w:trHeight w:val="241"/>
        </w:trPr>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4"/>
          </w:tcPr>
          <w:p>
            <w:pPr>
              <w:ind w:left="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648"/>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765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(3,121)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594"/>
        </w:trPr>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459"/>
        </w:trPr>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80"/>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826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175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92"/>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1,872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1,268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(284)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(1,241)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w:t>
            </w:r>
          </w:p>
        </w:tc>
      </w:tr>
      <w:tr>
        <w:trPr>
          <w:trHeight w:val="594"/>
        </w:trPr>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459"/>
        </w:trPr>
        <w:tc>
          <w:tcPr>
            <w:tcW w:w="140" w:type="dxa"/>
            <w:vAlign w:val="bottom"/>
          </w:tcPr>
          <w:p>
            <w:pPr>
              <w:spacing w:after="0"/>
              <w:rPr>
                <w:sz w:val="24"/>
                <w:szCs w:val="2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80"/>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1,645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1,274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69"/>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(705)</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69"/>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-5504815</wp:posOffset>
            </wp:positionV>
            <wp:extent cx="7246620"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-5093335</wp:posOffset>
            </wp:positionV>
            <wp:extent cx="7246620" cy="3771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-4424680</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-4081145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-3738245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-3395345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-3018155</wp:posOffset>
            </wp:positionV>
            <wp:extent cx="7246620"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-2434590</wp:posOffset>
            </wp:positionV>
            <wp:extent cx="7246620" cy="291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-1971675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-1628775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-1285875</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-942975</wp:posOffset>
            </wp:positionV>
            <wp:extent cx="7246620" cy="4629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60" w:space="160"/>
            <w:col w:w="9800"/>
          </w:cols>
          <w:pgMar w:left="240" w:top="288" w:right="239" w:bottom="1440" w:gutter="0" w:footer="0" w:header="0"/>
          <w:type w:val="continuous"/>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288" w:right="239" w:bottom="1440" w:gutter="0" w:footer="0" w:header="0"/>
          <w:type w:val="continuous"/>
        </w:sectPr>
      </w:pPr>
    </w:p>
    <w:bookmarkStart w:id="37" w:name="page38"/>
    <w:bookmarkEnd w:id="3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Interim Condensed Consolidated Financial Statements (Unaudited) (continued)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19685</wp:posOffset>
            </wp:positionV>
            <wp:extent cx="62261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right="180" w:hanging="193"/>
        <w:spacing w:after="0" w:line="311" w:lineRule="auto"/>
        <w:rPr>
          <w:sz w:val="20"/>
          <w:szCs w:val="20"/>
          <w:color w:val="auto"/>
        </w:rPr>
      </w:pPr>
      <w:r>
        <w:rPr>
          <w:rFonts w:ascii="Arial" w:cs="Arial" w:eastAsia="Arial" w:hAnsi="Arial"/>
          <w:sz w:val="11"/>
          <w:szCs w:val="11"/>
          <w:b w:val="1"/>
          <w:bCs w:val="1"/>
          <w:color w:val="auto"/>
        </w:rPr>
        <w:t>Nine Months Ended September 30, 2019</w:t>
      </w:r>
    </w:p>
    <w:p>
      <w:pPr>
        <w:ind w:left="200" w:right="320" w:hanging="161"/>
        <w:spacing w:after="0" w:line="273" w:lineRule="auto"/>
        <w:rPr>
          <w:sz w:val="20"/>
          <w:szCs w:val="20"/>
          <w:color w:val="auto"/>
        </w:rPr>
      </w:pPr>
      <w:r>
        <w:rPr>
          <w:rFonts w:ascii="Arial" w:cs="Arial" w:eastAsia="Arial" w:hAnsi="Arial"/>
          <w:sz w:val="12"/>
          <w:szCs w:val="12"/>
          <w:color w:val="auto"/>
        </w:rPr>
        <w:t>Balance, beginning of period</w:t>
      </w:r>
    </w:p>
    <w:p>
      <w:pPr>
        <w:spacing w:after="0" w:line="10" w:lineRule="exact"/>
        <w:rPr>
          <w:sz w:val="20"/>
          <w:szCs w:val="20"/>
          <w:color w:val="auto"/>
        </w:rPr>
      </w:pPr>
    </w:p>
    <w:p>
      <w:pPr>
        <w:jc w:val="both"/>
        <w:ind w:left="200" w:right="80" w:hanging="161"/>
        <w:spacing w:after="0" w:line="262" w:lineRule="auto"/>
        <w:rPr>
          <w:sz w:val="20"/>
          <w:szCs w:val="20"/>
          <w:color w:val="auto"/>
        </w:rPr>
      </w:pPr>
      <w:r>
        <w:rPr>
          <w:rFonts w:ascii="Arial" w:cs="Arial" w:eastAsia="Arial" w:hAnsi="Arial"/>
          <w:sz w:val="11"/>
          <w:szCs w:val="11"/>
          <w:color w:val="auto"/>
        </w:rPr>
        <w:t>Total realized/unrealized gains (losses) included in net income (loss) (5)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(6)</w:t>
      </w:r>
    </w:p>
    <w:p>
      <w:pPr>
        <w:spacing w:after="0" w:line="30" w:lineRule="exact"/>
        <w:rPr>
          <w:sz w:val="20"/>
          <w:szCs w:val="20"/>
          <w:color w:val="auto"/>
        </w:rPr>
      </w:pPr>
    </w:p>
    <w:p>
      <w:pPr>
        <w:ind w:left="200" w:right="180" w:hanging="161"/>
        <w:spacing w:after="0" w:line="288" w:lineRule="auto"/>
        <w:rPr>
          <w:sz w:val="20"/>
          <w:szCs w:val="20"/>
          <w:color w:val="auto"/>
        </w:rPr>
      </w:pPr>
      <w:r>
        <w:rPr>
          <w:rFonts w:ascii="Arial" w:cs="Arial" w:eastAsia="Arial" w:hAnsi="Arial"/>
          <w:sz w:val="11"/>
          <w:szCs w:val="11"/>
          <w:color w:val="auto"/>
        </w:rPr>
        <w:t>Total realized/unrealized gains (losses) included in AOCI</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color w:val="auto"/>
        </w:rPr>
        <w:t>Purchases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Sales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Settlements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Transfers into Level 3 (8)</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1"/>
          <w:szCs w:val="11"/>
          <w:color w:val="auto"/>
        </w:rPr>
        <w:t>Transfers out of Level 3 (8)</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end of period</w:t>
      </w:r>
    </w:p>
    <w:p>
      <w:pPr>
        <w:spacing w:after="0" w:line="117" w:lineRule="exact"/>
        <w:rPr>
          <w:sz w:val="20"/>
          <w:szCs w:val="20"/>
          <w:color w:val="auto"/>
        </w:rPr>
      </w:pPr>
    </w:p>
    <w:p>
      <w:pPr>
        <w:ind w:left="220" w:right="180" w:hanging="193"/>
        <w:spacing w:after="0" w:line="311" w:lineRule="auto"/>
        <w:rPr>
          <w:sz w:val="20"/>
          <w:szCs w:val="20"/>
          <w:color w:val="auto"/>
        </w:rPr>
      </w:pPr>
      <w:r>
        <w:rPr>
          <w:rFonts w:ascii="Arial" w:cs="Arial" w:eastAsia="Arial" w:hAnsi="Arial"/>
          <w:sz w:val="11"/>
          <w:szCs w:val="11"/>
          <w:b w:val="1"/>
          <w:bCs w:val="1"/>
          <w:color w:val="auto"/>
        </w:rPr>
        <w:t>Nine Months Ended September 30, 2018</w:t>
      </w:r>
    </w:p>
    <w:p>
      <w:pPr>
        <w:ind w:left="200" w:right="320" w:hanging="161"/>
        <w:spacing w:after="0" w:line="273" w:lineRule="auto"/>
        <w:rPr>
          <w:sz w:val="20"/>
          <w:szCs w:val="20"/>
          <w:color w:val="auto"/>
        </w:rPr>
      </w:pPr>
      <w:r>
        <w:rPr>
          <w:rFonts w:ascii="Arial" w:cs="Arial" w:eastAsia="Arial" w:hAnsi="Arial"/>
          <w:sz w:val="12"/>
          <w:szCs w:val="12"/>
          <w:color w:val="auto"/>
        </w:rPr>
        <w:t>Balance, beginning of period</w:t>
      </w:r>
    </w:p>
    <w:p>
      <w:pPr>
        <w:spacing w:after="0" w:line="10" w:lineRule="exact"/>
        <w:rPr>
          <w:sz w:val="20"/>
          <w:szCs w:val="20"/>
          <w:color w:val="auto"/>
        </w:rPr>
      </w:pPr>
    </w:p>
    <w:p>
      <w:pPr>
        <w:jc w:val="both"/>
        <w:ind w:left="200" w:right="80" w:hanging="161"/>
        <w:spacing w:after="0" w:line="262" w:lineRule="auto"/>
        <w:rPr>
          <w:sz w:val="20"/>
          <w:szCs w:val="20"/>
          <w:color w:val="auto"/>
        </w:rPr>
      </w:pPr>
      <w:r>
        <w:rPr>
          <w:rFonts w:ascii="Arial" w:cs="Arial" w:eastAsia="Arial" w:hAnsi="Arial"/>
          <w:sz w:val="11"/>
          <w:szCs w:val="11"/>
          <w:color w:val="auto"/>
        </w:rPr>
        <w:t>Total realized/unrealized gains (losses) included in net income (loss) (5)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(6)</w:t>
      </w:r>
    </w:p>
    <w:p>
      <w:pPr>
        <w:spacing w:after="0" w:line="30" w:lineRule="exact"/>
        <w:rPr>
          <w:sz w:val="20"/>
          <w:szCs w:val="20"/>
          <w:color w:val="auto"/>
        </w:rPr>
      </w:pPr>
    </w:p>
    <w:p>
      <w:pPr>
        <w:ind w:left="200" w:right="180" w:hanging="161"/>
        <w:spacing w:after="0" w:line="288" w:lineRule="auto"/>
        <w:rPr>
          <w:sz w:val="20"/>
          <w:szCs w:val="20"/>
          <w:color w:val="auto"/>
        </w:rPr>
      </w:pPr>
      <w:r>
        <w:rPr>
          <w:rFonts w:ascii="Arial" w:cs="Arial" w:eastAsia="Arial" w:hAnsi="Arial"/>
          <w:sz w:val="11"/>
          <w:szCs w:val="11"/>
          <w:color w:val="auto"/>
        </w:rPr>
        <w:t>Total realized/unrealized gains (losses) included in AOCI</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color w:val="auto"/>
        </w:rPr>
        <w:t>Purchases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Sales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Settlements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Transfers into Level 3 (8)</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1"/>
          <w:szCs w:val="11"/>
          <w:color w:val="auto"/>
        </w:rPr>
        <w:t>Transfers out of Level 3 (8)</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end of period</w:t>
      </w:r>
    </w:p>
    <w:p>
      <w:pPr>
        <w:spacing w:after="0" w:line="121" w:lineRule="exact"/>
        <w:rPr>
          <w:sz w:val="20"/>
          <w:szCs w:val="20"/>
          <w:color w:val="auto"/>
        </w:rPr>
      </w:pPr>
    </w:p>
    <w:p>
      <w:pPr>
        <w:ind w:left="200" w:hanging="161"/>
        <w:spacing w:after="0" w:line="272" w:lineRule="auto"/>
        <w:rPr>
          <w:sz w:val="20"/>
          <w:szCs w:val="20"/>
          <w:color w:val="auto"/>
        </w:rPr>
      </w:pPr>
      <w:r>
        <w:rPr>
          <w:rFonts w:ascii="Arial" w:cs="Arial" w:eastAsia="Arial" w:hAnsi="Arial"/>
          <w:sz w:val="11"/>
          <w:szCs w:val="11"/>
          <w:color w:val="auto"/>
        </w:rPr>
        <w:t>Changes in unrealized gains (losses) included in net income (loss) for the instruments still held at September 30, 2019 (9)</w:t>
      </w:r>
    </w:p>
    <w:p>
      <w:pPr>
        <w:spacing w:after="0" w:line="13" w:lineRule="exact"/>
        <w:rPr>
          <w:sz w:val="20"/>
          <w:szCs w:val="20"/>
          <w:color w:val="auto"/>
        </w:rPr>
      </w:pPr>
    </w:p>
    <w:p>
      <w:pPr>
        <w:ind w:left="200" w:hanging="161"/>
        <w:spacing w:after="0" w:line="272" w:lineRule="auto"/>
        <w:rPr>
          <w:sz w:val="20"/>
          <w:szCs w:val="20"/>
          <w:color w:val="auto"/>
        </w:rPr>
      </w:pPr>
      <w:r>
        <w:rPr>
          <w:rFonts w:ascii="Arial" w:cs="Arial" w:eastAsia="Arial" w:hAnsi="Arial"/>
          <w:sz w:val="11"/>
          <w:szCs w:val="11"/>
          <w:color w:val="auto"/>
        </w:rPr>
        <w:t>Changes in unrealized gains (losses) included in net income (loss) for the instruments still held at September 30, 2018 (9)</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Fixed Maturity Securities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4"/>
        </w:trPr>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State and</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ind w:left="80"/>
              <w:spacing w:after="0" w:line="144" w:lineRule="exact"/>
              <w:rPr>
                <w:sz w:val="20"/>
                <w:szCs w:val="20"/>
                <w:color w:val="auto"/>
              </w:rPr>
            </w:pPr>
            <w:r>
              <w:rPr>
                <w:rFonts w:ascii="Arial" w:cs="Arial" w:eastAsia="Arial" w:hAnsi="Arial"/>
                <w:sz w:val="13"/>
                <w:szCs w:val="13"/>
                <w:b w:val="1"/>
                <w:bCs w:val="1"/>
                <w:color w:val="auto"/>
              </w:rPr>
              <w:t>Separate</w:t>
            </w:r>
          </w:p>
        </w:tc>
      </w:tr>
      <w:tr>
        <w:trPr>
          <w:trHeight w:val="135"/>
        </w:trPr>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Structured</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Political</w:t>
            </w:r>
          </w:p>
        </w:tc>
        <w:tc>
          <w:tcPr>
            <w:tcW w:w="140" w:type="dxa"/>
            <w:vAlign w:val="bottom"/>
          </w:tcPr>
          <w:p>
            <w:pPr>
              <w:spacing w:after="0"/>
              <w:rPr>
                <w:sz w:val="11"/>
                <w:szCs w:val="11"/>
                <w:color w:val="auto"/>
              </w:rPr>
            </w:pPr>
          </w:p>
        </w:tc>
        <w:tc>
          <w:tcPr>
            <w:tcW w:w="92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Foreign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Equity</w:t>
            </w:r>
          </w:p>
        </w:tc>
        <w:tc>
          <w:tcPr>
            <w:tcW w:w="14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Short-term</w:t>
            </w:r>
          </w:p>
        </w:tc>
        <w:tc>
          <w:tcPr>
            <w:tcW w:w="220" w:type="dxa"/>
            <w:vAlign w:val="bottom"/>
          </w:tcPr>
          <w:p>
            <w:pPr>
              <w:spacing w:after="0"/>
              <w:rPr>
                <w:sz w:val="11"/>
                <w:szCs w:val="11"/>
                <w:color w:val="auto"/>
              </w:rPr>
            </w:pPr>
          </w:p>
        </w:tc>
        <w:tc>
          <w:tcPr>
            <w:tcW w:w="78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Net Embedded</w:t>
            </w:r>
          </w:p>
        </w:tc>
        <w:tc>
          <w:tcPr>
            <w:tcW w:w="140" w:type="dxa"/>
            <w:vAlign w:val="bottom"/>
          </w:tcPr>
          <w:p>
            <w:pPr>
              <w:spacing w:after="0"/>
              <w:rPr>
                <w:sz w:val="11"/>
                <w:szCs w:val="11"/>
                <w:color w:val="auto"/>
              </w:rPr>
            </w:pPr>
          </w:p>
        </w:tc>
        <w:tc>
          <w:tcPr>
            <w:tcW w:w="76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Account</w:t>
            </w:r>
          </w:p>
        </w:tc>
      </w:tr>
      <w:tr>
        <w:trPr>
          <w:trHeight w:val="174"/>
        </w:trPr>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Corporate (1)</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Securities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6"/>
              </w:rPr>
              <w:t>Subdivision</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3"/>
              </w:rPr>
              <w:t>Government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3"/>
              </w:rPr>
              <w:t>Securities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Investments</w:t>
            </w: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Derivatives (2)</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Derivatives (3)</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Assets (4)</w:t>
            </w:r>
          </w:p>
        </w:tc>
      </w:tr>
      <w:tr>
        <w:trPr>
          <w:trHeight w:val="241"/>
        </w:trPr>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4"/>
          </w:tcPr>
          <w:p>
            <w:pPr>
              <w:ind w:left="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648"/>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732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173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w:t>
            </w:r>
          </w:p>
        </w:tc>
      </w:tr>
      <w:tr>
        <w:trPr>
          <w:trHeight w:val="594"/>
        </w:trPr>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459"/>
        </w:trPr>
        <w:tc>
          <w:tcPr>
            <w:tcW w:w="14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80"/>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826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175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92"/>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1,997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1,230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(1,660)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w:t>
            </w:r>
          </w:p>
        </w:tc>
      </w:tr>
      <w:tr>
        <w:trPr>
          <w:trHeight w:val="594"/>
        </w:trPr>
        <w:tc>
          <w:tcPr>
            <w:tcW w:w="14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660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459"/>
        </w:trPr>
        <w:tc>
          <w:tcPr>
            <w:tcW w:w="140" w:type="dxa"/>
            <w:vAlign w:val="bottom"/>
          </w:tcPr>
          <w:p>
            <w:pPr>
              <w:spacing w:after="0"/>
              <w:rPr>
                <w:sz w:val="24"/>
                <w:szCs w:val="2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80"/>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1,645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1,274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69"/>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(1,531)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60"/>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867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-5469255</wp:posOffset>
            </wp:positionV>
            <wp:extent cx="7246620"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-5057775</wp:posOffset>
            </wp:positionV>
            <wp:extent cx="7246620" cy="3771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-4388485</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-4045585</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-3702685</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-3359785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-2981960</wp:posOffset>
            </wp:positionV>
            <wp:extent cx="7246620"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-2399030</wp:posOffset>
            </wp:positionV>
            <wp:extent cx="7246620" cy="291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-1936115</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-1592580</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-1249680</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-906780</wp:posOffset>
            </wp:positionV>
            <wp:extent cx="7246620" cy="4629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4629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10160</wp:posOffset>
            </wp:positionV>
            <wp:extent cx="62261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1460" w:space="160"/>
            <w:col w:w="9800"/>
          </w:cols>
          <w:pgMar w:left="240" w:top="288" w:right="2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-98425</wp:posOffset>
            </wp:positionV>
            <wp:extent cx="62261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93"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Comprised of U.S. and foreign corporate securities.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Freestanding derivative assets and liabilities are presented net for purposes of the rollforward.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Embedded derivative assets and liabilities are presented net for purposes of the rollforward.</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 performance related to separate account assets is fully offset by corresponding amounts credited to contract holders within separate account liabilities. Therefore, such changes in estimated fair value are not recorded in net income (loss). For the purpose of this disclosure, these changes are presented within net investment gains (losses).</w:t>
      </w:r>
    </w:p>
    <w:p>
      <w:pPr>
        <w:sectPr>
          <w:pgSz w:w="11900" w:h="16838" w:orient="portrait"/>
          <w:cols w:equalWidth="0" w:num="1">
            <w:col w:w="11420"/>
          </w:cols>
          <w:pgMar w:left="240" w:top="288" w:right="239" w:bottom="144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288" w:right="239" w:bottom="1440" w:gutter="0" w:footer="0" w:header="0"/>
          <w:type w:val="continuous"/>
        </w:sectPr>
      </w:pPr>
    </w:p>
    <w:bookmarkStart w:id="38" w:name="page39"/>
    <w:bookmarkEnd w:id="3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jc w:val="both"/>
        <w:ind w:left="500" w:hanging="492"/>
        <w:spacing w:after="0" w:line="259"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of premium/accretion of discount is included within net investment income. Impairments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and dividend accruals, as well as cash interest coupons and dividends received, are excluded from the rollforward.</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Items purchased/issued and then sold/settled in the same period are excluded from the rollforward. Fees attributed to embedded derivatives are included in settlements.</w:t>
      </w:r>
    </w:p>
    <w:p>
      <w:pPr>
        <w:spacing w:after="0" w:line="6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6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unrealized gains (losses) included in net income (loss) relate to assets and liabilities still held at the end of the respective periods. Substantially all changes in unrealized gains (losses) included in net income (loss) for net derivatives and net embedded derivatives are reported in net derivative gains (losses).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Carried at Other Than Fair Value</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payables for collateral under securities loaned and other transactions and those short-term investments that are not securities and therefore are not included in the three level hierarchy table disclosed in the “— Recurring Fair Value Measurements” section.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w w:val="99"/>
              </w:rPr>
              <w:t>September 30, 2019</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 Hierarchy</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center"/>
              <w:ind w:right="121"/>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2"/>
                <w:szCs w:val="12"/>
                <w:color w:val="auto"/>
              </w:rPr>
            </w:pPr>
          </w:p>
        </w:tc>
        <w:tc>
          <w:tcPr>
            <w:tcW w:w="116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9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281"/>
              <w:spacing w:after="0"/>
              <w:rPr>
                <w:sz w:val="20"/>
                <w:szCs w:val="20"/>
                <w:color w:val="auto"/>
              </w:rPr>
            </w:pPr>
            <w:r>
              <w:rPr>
                <w:rFonts w:ascii="Arial" w:cs="Arial" w:eastAsia="Arial" w:hAnsi="Arial"/>
                <w:sz w:val="14"/>
                <w:szCs w:val="14"/>
                <w:b w:val="1"/>
                <w:bCs w:val="1"/>
                <w:color w:val="auto"/>
                <w:w w:val="99"/>
              </w:rPr>
              <w:t>(In millions)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61"/>
              <w:spacing w:after="0"/>
              <w:rPr>
                <w:sz w:val="20"/>
                <w:szCs w:val="20"/>
                <w:color w:val="auto"/>
              </w:rPr>
            </w:pPr>
            <w:r>
              <w:rPr>
                <w:rFonts w:ascii="Arial" w:cs="Arial" w:eastAsia="Arial" w:hAnsi="Arial"/>
                <w:sz w:val="16"/>
                <w:szCs w:val="16"/>
                <w:color w:val="auto"/>
              </w:rPr>
              <w:t>15,359</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16,073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16,073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1,332</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555</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invested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61"/>
              <w:spacing w:after="0"/>
              <w:rPr>
                <w:sz w:val="20"/>
                <w:szCs w:val="20"/>
                <w:color w:val="auto"/>
              </w:rPr>
            </w:pPr>
            <w:r>
              <w:rPr>
                <w:rFonts w:ascii="Arial" w:cs="Arial" w:eastAsia="Arial" w:hAnsi="Arial"/>
                <w:sz w:val="16"/>
                <w:szCs w:val="16"/>
                <w:color w:val="auto"/>
              </w:rPr>
              <w:t>63</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50</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1,786</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47</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2,151</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2,198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15,611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15,818</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15,818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61"/>
              <w:spacing w:after="0"/>
              <w:rPr>
                <w:sz w:val="20"/>
                <w:szCs w:val="20"/>
                <w:color w:val="auto"/>
              </w:rPr>
            </w:pPr>
            <w:r>
              <w:rPr>
                <w:rFonts w:ascii="Arial" w:cs="Arial" w:eastAsia="Arial" w:hAnsi="Arial"/>
                <w:sz w:val="16"/>
                <w:szCs w:val="16"/>
                <w:color w:val="auto"/>
              </w:rPr>
              <w:t>4,365</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3,283</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4,283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862</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640</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61"/>
              <w:spacing w:after="0"/>
              <w:rPr>
                <w:sz w:val="20"/>
                <w:szCs w:val="20"/>
                <w:color w:val="auto"/>
              </w:rPr>
            </w:pPr>
            <w:r>
              <w:rPr>
                <w:rFonts w:ascii="Arial" w:cs="Arial" w:eastAsia="Arial" w:hAnsi="Arial"/>
                <w:sz w:val="16"/>
                <w:szCs w:val="16"/>
                <w:color w:val="auto"/>
              </w:rPr>
              <w:t>1,126</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1,126</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8" w:right="2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 Hierarchy</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center"/>
              <w:ind w:right="121"/>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2"/>
                <w:szCs w:val="12"/>
                <w:color w:val="auto"/>
              </w:rPr>
            </w:pPr>
          </w:p>
        </w:tc>
        <w:tc>
          <w:tcPr>
            <w:tcW w:w="116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9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281"/>
              <w:spacing w:after="0"/>
              <w:rPr>
                <w:sz w:val="20"/>
                <w:szCs w:val="20"/>
                <w:color w:val="auto"/>
              </w:rPr>
            </w:pPr>
            <w:r>
              <w:rPr>
                <w:rFonts w:ascii="Arial" w:cs="Arial" w:eastAsia="Arial" w:hAnsi="Arial"/>
                <w:sz w:val="14"/>
                <w:szCs w:val="14"/>
                <w:b w:val="1"/>
                <w:bCs w:val="1"/>
                <w:color w:val="auto"/>
                <w:w w:val="99"/>
              </w:rPr>
              <w:t>(In millions)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61"/>
              <w:spacing w:after="0"/>
              <w:rPr>
                <w:sz w:val="20"/>
                <w:szCs w:val="20"/>
                <w:color w:val="auto"/>
              </w:rPr>
            </w:pPr>
            <w:r>
              <w:rPr>
                <w:rFonts w:ascii="Arial" w:cs="Arial" w:eastAsia="Arial" w:hAnsi="Arial"/>
                <w:sz w:val="16"/>
                <w:szCs w:val="16"/>
                <w:color w:val="auto"/>
              </w:rPr>
              <w:t>13,694</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13,860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13,860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1,421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656</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959</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1,615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invested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61"/>
              <w:spacing w:after="0"/>
              <w:rPr>
                <w:sz w:val="20"/>
                <w:szCs w:val="20"/>
                <w:color w:val="auto"/>
              </w:rPr>
            </w:pPr>
            <w:r>
              <w:rPr>
                <w:rFonts w:ascii="Arial" w:cs="Arial" w:eastAsia="Arial" w:hAnsi="Arial"/>
                <w:sz w:val="16"/>
                <w:szCs w:val="16"/>
                <w:color w:val="auto"/>
              </w:rPr>
              <w:t>77</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64</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1,609</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32</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1,696</w:t>
            </w: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15,332</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13,861</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13,861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61"/>
              <w:spacing w:after="0"/>
              <w:rPr>
                <w:sz w:val="20"/>
                <w:szCs w:val="20"/>
                <w:color w:val="auto"/>
              </w:rPr>
            </w:pPr>
            <w:r>
              <w:rPr>
                <w:rFonts w:ascii="Arial" w:cs="Arial" w:eastAsia="Arial" w:hAnsi="Arial"/>
                <w:sz w:val="16"/>
                <w:szCs w:val="16"/>
                <w:color w:val="auto"/>
              </w:rPr>
              <w:t>3,963</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2,758</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3,358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330</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118</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61"/>
              <w:spacing w:after="0"/>
              <w:rPr>
                <w:sz w:val="20"/>
                <w:szCs w:val="20"/>
                <w:color w:val="auto"/>
              </w:rPr>
            </w:pPr>
            <w:r>
              <w:rPr>
                <w:rFonts w:ascii="Arial" w:cs="Arial" w:eastAsia="Arial" w:hAnsi="Arial"/>
                <w:sz w:val="16"/>
                <w:szCs w:val="16"/>
                <w:color w:val="auto"/>
              </w:rPr>
              <w:t>1,029</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1,029</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1,029</w:t>
            </w: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7, 2019, BHF entered into an amended and restated revolving credit agreement with respect to a $1.0 billion senior unsecured revolving credit facility (the “2019 Revolving Credit Facility”) scheduled to mature in May 2024, all of which may be used for revolving loans and/or letters of credit. The 2019 Revolving Credit Facility replaced BHF’s former $2.0 billion senior unsecured revolving credit facility, which was scheduled to mature in December 2021. Debt issuance costs incurred related to the 2019 Revolving Credit Facility were not significant.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1, 2019, BHF entered into a term loan agreement with respect to a $1.0 billion unsecured term loan facility (as amended, the “2019 Term Loan Facility”) scheduled to mature in February 2024. On February 1, 2019, BHF borrowed $1.0 billion under the 2019 Term Loan Facility, terminated its former term loan facility due December 2, 2019 (the “2017 Term Loan Facility”) without penalty and repaid $600 million of borrowings outstanding under the 2017 Term Loan Facility, with the remainder of the proceeds to be used for general corporate purposes. Debt issuance costs incurred related to the 2019 Term Loan Facility were not significant.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March 25, 2019, BHF issued depositary shares, each representing a 1/1,000th ownership interest in a share of BHF’s perpetual 6.600% Series A non-cumulative preferred stock (the “Series A Preferred Stock”) and in the aggregate representing 17,000 shares of Series A Preferred Stock, with a stated amount of $25,000 per share, for aggregate net cash proceeds of $412 million. Dividends, if declared, will accrue and be payable quarterly, in arrears, at an annual rate of 6.600% on the stated amount per share. In connection with the issuance of the depositary shares and the underlying Series A Preferred Stock, BHF incurred $13 million of issuance costs, which have been recorded as a reduction of additional paid-in capital.</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15, 2019, BHF declared a dividend of $412.50 per share, for a total of $7 million, on the Series A Preferred Stock, which was paid on June 25, 2019 to stockholders of record as of June 10, 2019. On August 15, 2019, BHF declared a dividend of $412.50 per share, for a total of $7 million, on the Series A Preferred Stock, which was paid on September 25, 2019 to stockholders of record as of September 10,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 2019, BHF authorized the repurchase of up to an additional $400 million of its common stock. Repurchases made under such authorization may be made through open market purchases, including pursuant to 10b5-1 plans or pursuant to accelerated stock repurchase plans, from time to time at management’s discretion in accordance with applicable federal securities laws.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8" w:right="239" w:bottom="1440" w:gutter="0" w:footer="0" w:header="0"/>
        </w:sectPr>
      </w:pPr>
    </w:p>
    <w:bookmarkStart w:id="40" w:name="page41"/>
    <w:bookmarkEnd w:id="40"/>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36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During the three months and nine months ended September 30, 2019, BHF repurchased 3,401,947 shares and 8,395,371 shares, respectively, of its common stock through open market purchases, pursuant to 10b5-1 plans, for $126 million and $314 million, respectively. At September 30, 2019, BHF had $181 million remaining under its common stock repurchase program.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changes in the balances of each component of AOCI was as follows:</w:t>
      </w:r>
    </w:p>
    <w:p>
      <w:pPr>
        <w:spacing w:after="0" w:line="275" w:lineRule="exact"/>
        <w:rPr>
          <w:sz w:val="20"/>
          <w:szCs w:val="20"/>
          <w:color w:val="auto"/>
        </w:rPr>
      </w:pPr>
    </w:p>
    <w:p>
      <w:pPr>
        <w:jc w:val="right"/>
        <w:ind w:right="3000"/>
        <w:spacing w:after="0"/>
        <w:rPr>
          <w:sz w:val="20"/>
          <w:szCs w:val="20"/>
          <w:color w:val="auto"/>
        </w:rPr>
      </w:pPr>
      <w:r>
        <w:rPr>
          <w:rFonts w:ascii="Arial" w:cs="Arial" w:eastAsia="Arial" w:hAnsi="Arial"/>
          <w:sz w:val="13"/>
          <w:szCs w:val="13"/>
          <w:b w:val="1"/>
          <w:bCs w:val="1"/>
          <w:color w:val="auto"/>
        </w:rPr>
        <w:t>Three Months Ended</w:t>
      </w:r>
    </w:p>
    <w:p>
      <w:pPr>
        <w:jc w:val="right"/>
        <w:ind w:right="3040"/>
        <w:spacing w:after="0"/>
        <w:rPr>
          <w:sz w:val="20"/>
          <w:szCs w:val="20"/>
          <w:color w:val="auto"/>
        </w:rPr>
      </w:pPr>
      <w:r>
        <w:rPr>
          <w:rFonts w:ascii="Arial" w:cs="Arial" w:eastAsia="Arial" w:hAnsi="Arial"/>
          <w:sz w:val="13"/>
          <w:szCs w:val="13"/>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10795</wp:posOffset>
            </wp:positionV>
            <wp:extent cx="45624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June 30, 2019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OCI before reclassifications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AOCI before reclassifications, net of income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reclassified from AOCI</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Amounts reclassified from AOCI, net of income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June 30, 2018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OCI before reclassifications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AOCI before reclassifications, net of income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reclassified from AOCI</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Amounts reclassified from AOCI, net of income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December 31, 2018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OCI before reclassifications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AOCI before reclassifications, net of income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reclassified from AOCI</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Amounts reclassified from AOCI, net of income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September 30, 2019</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Unrealized</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left="376"/>
              <w:spacing w:after="0"/>
              <w:rPr>
                <w:sz w:val="20"/>
                <w:szCs w:val="20"/>
                <w:color w:val="auto"/>
              </w:rPr>
            </w:pPr>
            <w:r>
              <w:rPr>
                <w:rFonts w:ascii="Arial" w:cs="Arial" w:eastAsia="Arial" w:hAnsi="Arial"/>
                <w:sz w:val="13"/>
                <w:szCs w:val="13"/>
                <w:b w:val="1"/>
                <w:bCs w:val="1"/>
                <w:color w:val="auto"/>
                <w:w w:val="88"/>
              </w:rPr>
              <w:t>Foreign</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35"/>
        </w:trPr>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Investment Gains</w:t>
            </w:r>
          </w:p>
        </w:tc>
        <w:tc>
          <w:tcPr>
            <w:tcW w:w="20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1060" w:type="dxa"/>
            <w:vAlign w:val="bottom"/>
          </w:tcPr>
          <w:p>
            <w:pPr>
              <w:jc w:val="center"/>
              <w:ind w:left="356"/>
              <w:spacing w:after="0" w:line="135" w:lineRule="exact"/>
              <w:rPr>
                <w:sz w:val="20"/>
                <w:szCs w:val="20"/>
                <w:color w:val="auto"/>
              </w:rPr>
            </w:pPr>
            <w:r>
              <w:rPr>
                <w:rFonts w:ascii="Arial" w:cs="Arial" w:eastAsia="Arial" w:hAnsi="Arial"/>
                <w:sz w:val="13"/>
                <w:szCs w:val="13"/>
                <w:b w:val="1"/>
                <w:bCs w:val="1"/>
                <w:color w:val="auto"/>
                <w:w w:val="91"/>
              </w:rPr>
              <w:t>Currency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20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120" w:type="dxa"/>
            <w:vAlign w:val="bottom"/>
          </w:tcPr>
          <w:p>
            <w:pPr>
              <w:spacing w:after="0"/>
              <w:rPr>
                <w:sz w:val="11"/>
                <w:szCs w:val="11"/>
                <w:color w:val="auto"/>
              </w:rPr>
            </w:pPr>
          </w:p>
        </w:tc>
        <w:tc>
          <w:tcPr>
            <w:tcW w:w="1060" w:type="dxa"/>
            <w:vAlign w:val="bottom"/>
          </w:tcPr>
          <w:p>
            <w:pPr>
              <w:jc w:val="center"/>
              <w:ind w:left="376"/>
              <w:spacing w:after="0" w:line="135" w:lineRule="exact"/>
              <w:rPr>
                <w:sz w:val="20"/>
                <w:szCs w:val="20"/>
                <w:color w:val="auto"/>
              </w:rPr>
            </w:pPr>
            <w:r>
              <w:rPr>
                <w:rFonts w:ascii="Arial" w:cs="Arial" w:eastAsia="Arial" w:hAnsi="Arial"/>
                <w:sz w:val="13"/>
                <w:szCs w:val="13"/>
                <w:b w:val="1"/>
                <w:bCs w:val="1"/>
                <w:color w:val="auto"/>
                <w:w w:val="88"/>
              </w:rPr>
              <w:t>Translation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Defined Benefit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4"/>
        </w:trPr>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7"/>
              </w:rPr>
              <w:t>Related Offsets (1)</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87"/>
              </w:rPr>
              <w:t>on Derivatives</w:t>
            </w: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6"/>
              </w:rPr>
              <w:t>Adjustments</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Plans Adjustment</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Total</w:t>
            </w:r>
          </w:p>
        </w:tc>
      </w:tr>
      <w:tr>
        <w:trPr>
          <w:trHeight w:val="241"/>
        </w:trPr>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16"/>
              <w:spacing w:after="0"/>
              <w:rPr>
                <w:sz w:val="20"/>
                <w:szCs w:val="20"/>
                <w:color w:val="auto"/>
              </w:rPr>
            </w:pPr>
            <w:r>
              <w:rPr>
                <w:rFonts w:ascii="Arial" w:cs="Arial" w:eastAsia="Arial" w:hAnsi="Arial"/>
                <w:sz w:val="13"/>
                <w:szCs w:val="13"/>
                <w:b w:val="1"/>
                <w:bCs w:val="1"/>
                <w:color w:val="auto"/>
                <w:w w:val="90"/>
              </w:rPr>
              <w:t>(In millions)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4"/>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51"/>
              <w:spacing w:after="0"/>
              <w:rPr>
                <w:sz w:val="20"/>
                <w:szCs w:val="20"/>
                <w:color w:val="auto"/>
              </w:rPr>
            </w:pPr>
            <w:r>
              <w:rPr>
                <w:rFonts w:ascii="Arial" w:cs="Arial" w:eastAsia="Arial" w:hAnsi="Arial"/>
                <w:sz w:val="14"/>
                <w:szCs w:val="14"/>
                <w:color w:val="auto"/>
              </w:rPr>
              <w:t>2,564</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181</w:t>
            </w:r>
          </w:p>
        </w:tc>
        <w:tc>
          <w:tcPr>
            <w:tcW w:w="1180" w:type="dxa"/>
            <w:vAlign w:val="bottom"/>
            <w:gridSpan w:val="2"/>
          </w:tcPr>
          <w:p>
            <w:pPr>
              <w:jc w:val="right"/>
              <w:ind w:right="896"/>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(20)</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2,702</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1,127</w:t>
            </w:r>
          </w:p>
        </w:tc>
      </w:tr>
      <w:tr>
        <w:trPr>
          <w:trHeight w:val="276"/>
        </w:trPr>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w:t>
            </w:r>
          </w:p>
        </w:tc>
      </w:tr>
      <w:tr>
        <w:trPr>
          <w:trHeight w:val="250"/>
        </w:trPr>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3,330</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3,592</w:t>
            </w:r>
          </w:p>
        </w:tc>
      </w:tr>
      <w:tr>
        <w:trPr>
          <w:trHeight w:val="244"/>
        </w:trPr>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76"/>
        </w:trPr>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w:t>
            </w:r>
          </w:p>
        </w:tc>
      </w:tr>
      <w:tr>
        <w:trPr>
          <w:trHeight w:val="250"/>
        </w:trPr>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37"/>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51"/>
              <w:spacing w:after="0"/>
              <w:rPr>
                <w:sz w:val="20"/>
                <w:szCs w:val="20"/>
                <w:color w:val="auto"/>
              </w:rPr>
            </w:pPr>
            <w:r>
              <w:rPr>
                <w:rFonts w:ascii="Arial" w:cs="Arial" w:eastAsia="Arial" w:hAnsi="Arial"/>
                <w:sz w:val="14"/>
                <w:szCs w:val="14"/>
                <w:color w:val="auto"/>
              </w:rPr>
              <w:t>3,306</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307</w:t>
            </w:r>
          </w:p>
        </w:tc>
        <w:tc>
          <w:tcPr>
            <w:tcW w:w="1180" w:type="dxa"/>
            <w:vAlign w:val="bottom"/>
            <w:gridSpan w:val="2"/>
          </w:tcPr>
          <w:p>
            <w:pPr>
              <w:jc w:val="right"/>
              <w:ind w:right="896"/>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3,567</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73"/>
        </w:trPr>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Three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4"/>
        </w:trPr>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September 30, 2018</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44"/>
        </w:trPr>
        <w:tc>
          <w:tcPr>
            <w:tcW w:w="160" w:type="dxa"/>
            <w:vAlign w:val="bottom"/>
          </w:tcPr>
          <w:p>
            <w:pPr>
              <w:spacing w:after="0"/>
              <w:rPr>
                <w:sz w:val="12"/>
                <w:szCs w:val="12"/>
                <w:color w:val="auto"/>
              </w:rPr>
            </w:pPr>
          </w:p>
        </w:tc>
        <w:tc>
          <w:tcPr>
            <w:tcW w:w="14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Unrealized</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256"/>
              <w:spacing w:after="0" w:line="144" w:lineRule="exact"/>
              <w:rPr>
                <w:sz w:val="20"/>
                <w:szCs w:val="20"/>
                <w:color w:val="auto"/>
              </w:rPr>
            </w:pPr>
            <w:r>
              <w:rPr>
                <w:rFonts w:ascii="Arial" w:cs="Arial" w:eastAsia="Arial" w:hAnsi="Arial"/>
                <w:sz w:val="13"/>
                <w:szCs w:val="13"/>
                <w:b w:val="1"/>
                <w:bCs w:val="1"/>
                <w:color w:val="auto"/>
                <w:w w:val="88"/>
              </w:rPr>
              <w:t>Foreign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5"/>
        </w:trPr>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Investment Gains</w:t>
            </w:r>
          </w:p>
        </w:tc>
        <w:tc>
          <w:tcPr>
            <w:tcW w:w="20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1060" w:type="dxa"/>
            <w:vAlign w:val="bottom"/>
          </w:tcPr>
          <w:p>
            <w:pPr>
              <w:jc w:val="center"/>
              <w:ind w:left="256"/>
              <w:spacing w:after="0" w:line="135" w:lineRule="exact"/>
              <w:rPr>
                <w:sz w:val="20"/>
                <w:szCs w:val="20"/>
                <w:color w:val="auto"/>
              </w:rPr>
            </w:pPr>
            <w:r>
              <w:rPr>
                <w:rFonts w:ascii="Arial" w:cs="Arial" w:eastAsia="Arial" w:hAnsi="Arial"/>
                <w:sz w:val="13"/>
                <w:szCs w:val="13"/>
                <w:b w:val="1"/>
                <w:bCs w:val="1"/>
                <w:color w:val="auto"/>
                <w:w w:val="87"/>
              </w:rPr>
              <w:t>Currency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20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120" w:type="dxa"/>
            <w:vAlign w:val="bottom"/>
          </w:tcPr>
          <w:p>
            <w:pPr>
              <w:spacing w:after="0"/>
              <w:rPr>
                <w:sz w:val="11"/>
                <w:szCs w:val="11"/>
                <w:color w:val="auto"/>
              </w:rPr>
            </w:pPr>
          </w:p>
        </w:tc>
        <w:tc>
          <w:tcPr>
            <w:tcW w:w="1060" w:type="dxa"/>
            <w:vAlign w:val="bottom"/>
          </w:tcPr>
          <w:p>
            <w:pPr>
              <w:jc w:val="center"/>
              <w:ind w:left="256"/>
              <w:spacing w:after="0" w:line="135" w:lineRule="exact"/>
              <w:rPr>
                <w:sz w:val="20"/>
                <w:szCs w:val="20"/>
                <w:color w:val="auto"/>
              </w:rPr>
            </w:pPr>
            <w:r>
              <w:rPr>
                <w:rFonts w:ascii="Arial" w:cs="Arial" w:eastAsia="Arial" w:hAnsi="Arial"/>
                <w:sz w:val="13"/>
                <w:szCs w:val="13"/>
                <w:b w:val="1"/>
                <w:bCs w:val="1"/>
                <w:color w:val="auto"/>
                <w:w w:val="88"/>
              </w:rPr>
              <w:t>Translation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Defined Benefit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4"/>
        </w:trPr>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7"/>
              </w:rPr>
              <w:t>Related Offsets (1)</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87"/>
              </w:rPr>
              <w:t>on Derivatives</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left="256"/>
              <w:spacing w:after="0"/>
              <w:rPr>
                <w:sz w:val="20"/>
                <w:szCs w:val="20"/>
                <w:color w:val="auto"/>
              </w:rPr>
            </w:pPr>
            <w:r>
              <w:rPr>
                <w:rFonts w:ascii="Arial" w:cs="Arial" w:eastAsia="Arial" w:hAnsi="Arial"/>
                <w:sz w:val="13"/>
                <w:szCs w:val="13"/>
                <w:b w:val="1"/>
                <w:bCs w:val="1"/>
                <w:color w:val="auto"/>
                <w:w w:val="88"/>
              </w:rPr>
              <w:t>Adjustments</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w w:val="92"/>
              </w:rPr>
              <w:t>Plans Adjustment</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Total</w:t>
            </w:r>
          </w:p>
        </w:tc>
      </w:tr>
      <w:tr>
        <w:trPr>
          <w:trHeight w:val="241"/>
        </w:trPr>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16"/>
              <w:spacing w:after="0"/>
              <w:rPr>
                <w:sz w:val="20"/>
                <w:szCs w:val="20"/>
                <w:color w:val="auto"/>
              </w:rPr>
            </w:pPr>
            <w:r>
              <w:rPr>
                <w:rFonts w:ascii="Arial" w:cs="Arial" w:eastAsia="Arial" w:hAnsi="Arial"/>
                <w:sz w:val="13"/>
                <w:szCs w:val="13"/>
                <w:b w:val="1"/>
                <w:bCs w:val="1"/>
                <w:color w:val="auto"/>
                <w:w w:val="90"/>
              </w:rPr>
              <w:t>(In millions)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4"/>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51"/>
              <w:spacing w:after="0"/>
              <w:rPr>
                <w:sz w:val="20"/>
                <w:szCs w:val="20"/>
                <w:color w:val="auto"/>
              </w:rPr>
            </w:pPr>
            <w:r>
              <w:rPr>
                <w:rFonts w:ascii="Arial" w:cs="Arial" w:eastAsia="Arial" w:hAnsi="Arial"/>
                <w:sz w:val="14"/>
                <w:szCs w:val="14"/>
                <w:color w:val="auto"/>
              </w:rPr>
              <w:t>690</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168</w:t>
            </w:r>
          </w:p>
        </w:tc>
        <w:tc>
          <w:tcPr>
            <w:tcW w:w="1180" w:type="dxa"/>
            <w:vAlign w:val="bottom"/>
            <w:gridSpan w:val="2"/>
          </w:tcPr>
          <w:p>
            <w:pPr>
              <w:jc w:val="right"/>
              <w:ind w:right="896"/>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w w:val="96"/>
              </w:rPr>
              <w:t>(19)</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815</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(324)</w:t>
            </w:r>
          </w:p>
        </w:tc>
      </w:tr>
      <w:tr>
        <w:trPr>
          <w:trHeight w:val="276"/>
        </w:trPr>
        <w:tc>
          <w:tcPr>
            <w:tcW w:w="160" w:type="dxa"/>
            <w:vAlign w:val="bottom"/>
          </w:tcPr>
          <w:p>
            <w:pPr>
              <w:spacing w:after="0"/>
              <w:rPr>
                <w:sz w:val="24"/>
                <w:szCs w:val="24"/>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68</w:t>
            </w:r>
          </w:p>
        </w:tc>
      </w:tr>
      <w:tr>
        <w:trPr>
          <w:trHeight w:val="250"/>
        </w:trPr>
        <w:tc>
          <w:tcPr>
            <w:tcW w:w="1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(25)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559</w:t>
            </w:r>
          </w:p>
        </w:tc>
      </w:tr>
      <w:tr>
        <w:trPr>
          <w:trHeight w:val="244"/>
        </w:trPr>
        <w:tc>
          <w:tcPr>
            <w:tcW w:w="16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76"/>
        </w:trPr>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w:t>
            </w:r>
          </w:p>
        </w:tc>
      </w:tr>
      <w:tr>
        <w:trPr>
          <w:trHeight w:val="250"/>
        </w:trPr>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3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896"/>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(25)</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552</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73"/>
        </w:trPr>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Nine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4"/>
        </w:trPr>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September 30, 2019</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44"/>
        </w:trPr>
        <w:tc>
          <w:tcPr>
            <w:tcW w:w="160" w:type="dxa"/>
            <w:vAlign w:val="bottom"/>
          </w:tcPr>
          <w:p>
            <w:pPr>
              <w:spacing w:after="0"/>
              <w:rPr>
                <w:sz w:val="12"/>
                <w:szCs w:val="12"/>
                <w:color w:val="auto"/>
              </w:rPr>
            </w:pPr>
          </w:p>
        </w:tc>
        <w:tc>
          <w:tcPr>
            <w:tcW w:w="14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Unrealized</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376"/>
              <w:spacing w:after="0" w:line="144" w:lineRule="exact"/>
              <w:rPr>
                <w:sz w:val="20"/>
                <w:szCs w:val="20"/>
                <w:color w:val="auto"/>
              </w:rPr>
            </w:pPr>
            <w:r>
              <w:rPr>
                <w:rFonts w:ascii="Arial" w:cs="Arial" w:eastAsia="Arial" w:hAnsi="Arial"/>
                <w:sz w:val="13"/>
                <w:szCs w:val="13"/>
                <w:b w:val="1"/>
                <w:bCs w:val="1"/>
                <w:color w:val="auto"/>
                <w:w w:val="88"/>
              </w:rPr>
              <w:t>Foreign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5"/>
        </w:trPr>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Investment Gains</w:t>
            </w:r>
          </w:p>
        </w:tc>
        <w:tc>
          <w:tcPr>
            <w:tcW w:w="20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1060" w:type="dxa"/>
            <w:vAlign w:val="bottom"/>
          </w:tcPr>
          <w:p>
            <w:pPr>
              <w:jc w:val="center"/>
              <w:ind w:left="356"/>
              <w:spacing w:after="0" w:line="135" w:lineRule="exact"/>
              <w:rPr>
                <w:sz w:val="20"/>
                <w:szCs w:val="20"/>
                <w:color w:val="auto"/>
              </w:rPr>
            </w:pPr>
            <w:r>
              <w:rPr>
                <w:rFonts w:ascii="Arial" w:cs="Arial" w:eastAsia="Arial" w:hAnsi="Arial"/>
                <w:sz w:val="13"/>
                <w:szCs w:val="13"/>
                <w:b w:val="1"/>
                <w:bCs w:val="1"/>
                <w:color w:val="auto"/>
                <w:w w:val="91"/>
              </w:rPr>
              <w:t>Currency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20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120" w:type="dxa"/>
            <w:vAlign w:val="bottom"/>
          </w:tcPr>
          <w:p>
            <w:pPr>
              <w:spacing w:after="0"/>
              <w:rPr>
                <w:sz w:val="11"/>
                <w:szCs w:val="11"/>
                <w:color w:val="auto"/>
              </w:rPr>
            </w:pPr>
          </w:p>
        </w:tc>
        <w:tc>
          <w:tcPr>
            <w:tcW w:w="1060" w:type="dxa"/>
            <w:vAlign w:val="bottom"/>
          </w:tcPr>
          <w:p>
            <w:pPr>
              <w:jc w:val="center"/>
              <w:ind w:left="376"/>
              <w:spacing w:after="0" w:line="135" w:lineRule="exact"/>
              <w:rPr>
                <w:sz w:val="20"/>
                <w:szCs w:val="20"/>
                <w:color w:val="auto"/>
              </w:rPr>
            </w:pPr>
            <w:r>
              <w:rPr>
                <w:rFonts w:ascii="Arial" w:cs="Arial" w:eastAsia="Arial" w:hAnsi="Arial"/>
                <w:sz w:val="13"/>
                <w:szCs w:val="13"/>
                <w:b w:val="1"/>
                <w:bCs w:val="1"/>
                <w:color w:val="auto"/>
                <w:w w:val="88"/>
              </w:rPr>
              <w:t>Translation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Defined Benefit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4"/>
        </w:trPr>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7"/>
              </w:rPr>
              <w:t>Related Offsets (1)</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87"/>
              </w:rPr>
              <w:t>on Derivatives</w:t>
            </w: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6"/>
              </w:rPr>
              <w:t>Adjustments</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Plans Adjustment</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Total</w:t>
            </w:r>
          </w:p>
        </w:tc>
      </w:tr>
      <w:tr>
        <w:trPr>
          <w:trHeight w:val="241"/>
        </w:trPr>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16"/>
              <w:spacing w:after="0"/>
              <w:rPr>
                <w:sz w:val="20"/>
                <w:szCs w:val="20"/>
                <w:color w:val="auto"/>
              </w:rPr>
            </w:pPr>
            <w:r>
              <w:rPr>
                <w:rFonts w:ascii="Arial" w:cs="Arial" w:eastAsia="Arial" w:hAnsi="Arial"/>
                <w:sz w:val="13"/>
                <w:szCs w:val="13"/>
                <w:b w:val="1"/>
                <w:bCs w:val="1"/>
                <w:color w:val="auto"/>
                <w:w w:val="90"/>
              </w:rPr>
              <w:t>(In millions)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4"/>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51"/>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187</w:t>
            </w:r>
          </w:p>
        </w:tc>
        <w:tc>
          <w:tcPr>
            <w:tcW w:w="1180" w:type="dxa"/>
            <w:vAlign w:val="bottom"/>
            <w:gridSpan w:val="2"/>
          </w:tcPr>
          <w:p>
            <w:pPr>
              <w:jc w:val="right"/>
              <w:ind w:right="896"/>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(27)</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(20)</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716</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color w:val="auto"/>
              </w:rPr>
              <w:t>3,515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3,717</w:t>
            </w:r>
          </w:p>
        </w:tc>
      </w:tr>
      <w:tr>
        <w:trPr>
          <w:trHeight w:val="276"/>
        </w:trPr>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(738)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w:t>
            </w:r>
          </w:p>
        </w:tc>
      </w:tr>
      <w:tr>
        <w:trPr>
          <w:trHeight w:val="250"/>
        </w:trPr>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3,353</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3,653</w:t>
            </w:r>
          </w:p>
        </w:tc>
      </w:tr>
      <w:tr>
        <w:trPr>
          <w:trHeight w:val="244"/>
        </w:trPr>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76"/>
        </w:trPr>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w:t>
            </w:r>
          </w:p>
        </w:tc>
      </w:tr>
      <w:tr>
        <w:trPr>
          <w:trHeight w:val="250"/>
        </w:trPr>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r>
      <w:tr>
        <w:trPr>
          <w:trHeight w:val="237"/>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51"/>
              <w:spacing w:after="0"/>
              <w:rPr>
                <w:sz w:val="20"/>
                <w:szCs w:val="20"/>
                <w:color w:val="auto"/>
              </w:rPr>
            </w:pPr>
            <w:r>
              <w:rPr>
                <w:rFonts w:ascii="Arial" w:cs="Arial" w:eastAsia="Arial" w:hAnsi="Arial"/>
                <w:sz w:val="14"/>
                <w:szCs w:val="14"/>
                <w:color w:val="auto"/>
              </w:rPr>
              <w:t>3,306</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307</w:t>
            </w:r>
          </w:p>
        </w:tc>
        <w:tc>
          <w:tcPr>
            <w:tcW w:w="1180" w:type="dxa"/>
            <w:vAlign w:val="bottom"/>
            <w:gridSpan w:val="2"/>
          </w:tcPr>
          <w:p>
            <w:pPr>
              <w:jc w:val="right"/>
              <w:ind w:right="896"/>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3,567</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-6002655</wp:posOffset>
            </wp:positionV>
            <wp:extent cx="72466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-5659120</wp:posOffset>
            </wp:positionV>
            <wp:extent cx="72466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-5316220</wp:posOffset>
            </wp:positionV>
            <wp:extent cx="72466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-4973320</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-3695700</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-3352800</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-3009265</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-2666365</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-1388745</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-1045845</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-702310</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-359410</wp:posOffset>
            </wp:positionV>
            <wp:extent cx="72466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180"/>
          </w:cols>
          <w:pgMar w:left="240" w:top="288"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288" w:right="239" w:bottom="1440" w:gutter="0" w:footer="0" w:header="0"/>
          <w:type w:val="continuous"/>
        </w:sectPr>
      </w:pPr>
    </w:p>
    <w:bookmarkStart w:id="41" w:name="page42"/>
    <w:bookmarkEnd w:id="4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200" w:lineRule="exact"/>
        <w:rPr>
          <w:sz w:val="20"/>
          <w:szCs w:val="20"/>
          <w:color w:val="auto"/>
        </w:rPr>
      </w:pPr>
    </w:p>
    <w:p>
      <w:pPr>
        <w:spacing w:after="0" w:line="322" w:lineRule="exact"/>
        <w:rPr>
          <w:sz w:val="20"/>
          <w:szCs w:val="20"/>
          <w:color w:val="auto"/>
        </w:rPr>
      </w:pPr>
    </w:p>
    <w:p>
      <w:pPr>
        <w:jc w:val="right"/>
        <w:ind w:right="3040"/>
        <w:spacing w:after="0"/>
        <w:rPr>
          <w:sz w:val="20"/>
          <w:szCs w:val="20"/>
          <w:color w:val="auto"/>
        </w:rPr>
      </w:pPr>
      <w:r>
        <w:rPr>
          <w:rFonts w:ascii="Arial" w:cs="Arial" w:eastAsia="Arial" w:hAnsi="Arial"/>
          <w:sz w:val="13"/>
          <w:szCs w:val="13"/>
          <w:b w:val="1"/>
          <w:bCs w:val="1"/>
          <w:color w:val="auto"/>
        </w:rPr>
        <w:t>Nine Months Ended</w:t>
      </w:r>
    </w:p>
    <w:p>
      <w:pPr>
        <w:jc w:val="right"/>
        <w:ind w:right="3040"/>
        <w:spacing w:after="0"/>
        <w:rPr>
          <w:sz w:val="20"/>
          <w:szCs w:val="20"/>
          <w:color w:val="auto"/>
        </w:rPr>
      </w:pPr>
      <w:r>
        <w:rPr>
          <w:rFonts w:ascii="Arial" w:cs="Arial" w:eastAsia="Arial" w:hAnsi="Arial"/>
          <w:sz w:val="13"/>
          <w:szCs w:val="13"/>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10795</wp:posOffset>
            </wp:positionV>
            <wp:extent cx="45624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 w:lineRule="exact"/>
        <w:rPr>
          <w:sz w:val="20"/>
          <w:szCs w:val="20"/>
          <w:color w:val="auto"/>
        </w:rPr>
      </w:pPr>
    </w:p>
    <w:tbl>
      <w:tblPr>
        <w:tblLayout w:type="fixed"/>
        <w:tblInd w:w="4240" w:type="dxa"/>
        <w:tblCellMar>
          <w:top w:w="0" w:type="dxa"/>
          <w:left w:w="0" w:type="dxa"/>
          <w:bottom w:w="0" w:type="dxa"/>
          <w:right w:w="0" w:type="dxa"/>
        </w:tblCellMar>
      </w:tblPr>
      <w:tr>
        <w:trPr>
          <w:trHeight w:val="149"/>
        </w:trPr>
        <w:tc>
          <w:tcPr>
            <w:tcW w:w="158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Unrealized</w:t>
            </w:r>
          </w:p>
        </w:tc>
        <w:tc>
          <w:tcPr>
            <w:tcW w:w="1400" w:type="dxa"/>
            <w:vAlign w:val="bottom"/>
          </w:tcPr>
          <w:p>
            <w:pPr>
              <w:spacing w:after="0"/>
              <w:rPr>
                <w:sz w:val="13"/>
                <w:szCs w:val="13"/>
                <w:color w:val="auto"/>
              </w:rPr>
            </w:pPr>
          </w:p>
        </w:tc>
        <w:tc>
          <w:tcPr>
            <w:tcW w:w="1440" w:type="dxa"/>
            <w:vAlign w:val="bottom"/>
          </w:tcPr>
          <w:p>
            <w:pPr>
              <w:jc w:val="center"/>
              <w:ind w:left="157"/>
              <w:spacing w:after="0"/>
              <w:rPr>
                <w:sz w:val="20"/>
                <w:szCs w:val="20"/>
                <w:color w:val="auto"/>
              </w:rPr>
            </w:pPr>
            <w:r>
              <w:rPr>
                <w:rFonts w:ascii="Arial" w:cs="Arial" w:eastAsia="Arial" w:hAnsi="Arial"/>
                <w:sz w:val="13"/>
                <w:szCs w:val="13"/>
                <w:b w:val="1"/>
                <w:bCs w:val="1"/>
                <w:color w:val="auto"/>
                <w:w w:val="88"/>
              </w:rPr>
              <w:t>Foreign</w:t>
            </w:r>
          </w:p>
        </w:tc>
        <w:tc>
          <w:tcPr>
            <w:tcW w:w="15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35"/>
        </w:trPr>
        <w:tc>
          <w:tcPr>
            <w:tcW w:w="1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6"/>
              </w:rPr>
              <w:t>Investment Gains</w:t>
            </w:r>
          </w:p>
        </w:tc>
        <w:tc>
          <w:tcPr>
            <w:tcW w:w="14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Unrealized</w:t>
            </w:r>
          </w:p>
        </w:tc>
        <w:tc>
          <w:tcPr>
            <w:tcW w:w="144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auto"/>
                <w:w w:val="87"/>
              </w:rPr>
              <w:t>Currency</w:t>
            </w:r>
          </w:p>
        </w:tc>
        <w:tc>
          <w:tcPr>
            <w:tcW w:w="15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35"/>
        </w:trPr>
        <w:tc>
          <w:tcPr>
            <w:tcW w:w="1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14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144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5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8"/>
              </w:rPr>
              <w:t>Defined Benefit</w:t>
            </w:r>
          </w:p>
        </w:tc>
        <w:tc>
          <w:tcPr>
            <w:tcW w:w="1180" w:type="dxa"/>
            <w:vAlign w:val="bottom"/>
          </w:tcPr>
          <w:p>
            <w:pPr>
              <w:spacing w:after="0"/>
              <w:rPr>
                <w:sz w:val="11"/>
                <w:szCs w:val="11"/>
                <w:color w:val="auto"/>
              </w:rPr>
            </w:pPr>
          </w:p>
        </w:tc>
      </w:tr>
      <w:tr>
        <w:trPr>
          <w:trHeight w:val="174"/>
        </w:trPr>
        <w:tc>
          <w:tcPr>
            <w:tcW w:w="15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7"/>
              </w:rPr>
              <w:t>Related Offsets (1)</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on Derivatives</w:t>
            </w:r>
          </w:p>
        </w:tc>
        <w:tc>
          <w:tcPr>
            <w:tcW w:w="1440" w:type="dxa"/>
            <w:vAlign w:val="bottom"/>
            <w:tcBorders>
              <w:bottom w:val="single" w:sz="8" w:color="auto"/>
            </w:tcBorders>
          </w:tcPr>
          <w:p>
            <w:pPr>
              <w:jc w:val="center"/>
              <w:ind w:left="157"/>
              <w:spacing w:after="0"/>
              <w:rPr>
                <w:sz w:val="20"/>
                <w:szCs w:val="20"/>
                <w:color w:val="auto"/>
              </w:rPr>
            </w:pPr>
            <w:r>
              <w:rPr>
                <w:rFonts w:ascii="Arial" w:cs="Arial" w:eastAsia="Arial" w:hAnsi="Arial"/>
                <w:sz w:val="13"/>
                <w:szCs w:val="13"/>
                <w:b w:val="1"/>
                <w:bCs w:val="1"/>
                <w:color w:val="auto"/>
                <w:w w:val="88"/>
              </w:rPr>
              <w:t>Adjustments</w:t>
            </w:r>
          </w:p>
        </w:tc>
        <w:tc>
          <w:tcPr>
            <w:tcW w:w="15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7"/>
              </w:rPr>
              <w:t>Plans Adjustment</w:t>
            </w: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Total</w:t>
            </w:r>
          </w:p>
        </w:tc>
      </w:tr>
      <w:tr>
        <w:trPr>
          <w:trHeight w:val="241"/>
        </w:trPr>
        <w:tc>
          <w:tcPr>
            <w:tcW w:w="1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40" w:type="dxa"/>
            <w:vAlign w:val="bottom"/>
          </w:tcPr>
          <w:p>
            <w:pPr>
              <w:ind w:left="300"/>
              <w:spacing w:after="0"/>
              <w:rPr>
                <w:sz w:val="20"/>
                <w:szCs w:val="20"/>
                <w:color w:val="auto"/>
              </w:rPr>
            </w:pPr>
            <w:r>
              <w:rPr>
                <w:rFonts w:ascii="Arial" w:cs="Arial" w:eastAsia="Arial" w:hAnsi="Arial"/>
                <w:sz w:val="13"/>
                <w:szCs w:val="13"/>
                <w:b w:val="1"/>
                <w:bCs w:val="1"/>
                <w:color w:val="auto"/>
              </w:rPr>
              <w:t>(In millions)</w:t>
            </w:r>
          </w:p>
        </w:tc>
        <w:tc>
          <w:tcPr>
            <w:tcW w:w="158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60" w:type="dxa"/>
            <w:vAlign w:val="bottom"/>
          </w:tcPr>
          <w:p>
            <w:pPr>
              <w:ind w:left="40"/>
              <w:spacing w:after="0"/>
              <w:rPr>
                <w:sz w:val="20"/>
                <w:szCs w:val="20"/>
                <w:color w:val="auto"/>
              </w:rPr>
            </w:pPr>
            <w:r>
              <w:rPr>
                <w:rFonts w:ascii="Arial" w:cs="Arial" w:eastAsia="Arial" w:hAnsi="Arial"/>
                <w:sz w:val="14"/>
                <w:szCs w:val="14"/>
                <w:color w:val="auto"/>
              </w:rPr>
              <w:t>Balance, December 31, 2017</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160" w:type="dxa"/>
            <w:vAlign w:val="bottom"/>
          </w:tcPr>
          <w:p>
            <w:pPr>
              <w:ind w:left="200"/>
              <w:spacing w:after="0"/>
              <w:rPr>
                <w:sz w:val="20"/>
                <w:szCs w:val="20"/>
                <w:color w:val="auto"/>
              </w:rPr>
            </w:pPr>
            <w:r>
              <w:rPr>
                <w:rFonts w:ascii="Arial" w:cs="Arial" w:eastAsia="Arial" w:hAnsi="Arial"/>
                <w:sz w:val="14"/>
                <w:szCs w:val="14"/>
                <w:color w:val="auto"/>
                <w:w w:val="96"/>
              </w:rPr>
              <w:t>Cumulative effect of change in accounting principle, net of income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160" w:type="dxa"/>
            <w:vAlign w:val="bottom"/>
          </w:tcPr>
          <w:p>
            <w:pPr>
              <w:ind w:left="360"/>
              <w:spacing w:after="0"/>
              <w:rPr>
                <w:sz w:val="20"/>
                <w:szCs w:val="20"/>
                <w:color w:val="auto"/>
              </w:rPr>
            </w:pPr>
            <w:r>
              <w:rPr>
                <w:rFonts w:ascii="Arial" w:cs="Arial" w:eastAsia="Arial" w:hAnsi="Arial"/>
                <w:sz w:val="14"/>
                <w:szCs w:val="14"/>
                <w:color w:val="auto"/>
              </w:rPr>
              <w:t>tax</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40"/>
              <w:spacing w:after="0"/>
              <w:rPr>
                <w:sz w:val="20"/>
                <w:szCs w:val="20"/>
                <w:color w:val="auto"/>
              </w:rPr>
            </w:pPr>
            <w:r>
              <w:rPr>
                <w:rFonts w:ascii="Arial" w:cs="Arial" w:eastAsia="Arial" w:hAnsi="Arial"/>
                <w:sz w:val="14"/>
                <w:szCs w:val="14"/>
                <w:color w:val="auto"/>
              </w:rPr>
              <w:t>Balance, January 1, 2018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Arial" w:cs="Arial" w:eastAsia="Arial" w:hAnsi="Arial"/>
                <w:sz w:val="14"/>
                <w:szCs w:val="14"/>
                <w:color w:val="auto"/>
              </w:rPr>
              <w:t>OCI before reclassifications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Arial" w:cs="Arial" w:eastAsia="Arial" w:hAnsi="Arial"/>
                <w:sz w:val="14"/>
                <w:szCs w:val="14"/>
                <w:color w:val="auto"/>
              </w:rPr>
              <w:t>Deferred income tax benefit (expense)</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200"/>
              <w:spacing w:after="0"/>
              <w:rPr>
                <w:sz w:val="20"/>
                <w:szCs w:val="20"/>
                <w:color w:val="auto"/>
              </w:rPr>
            </w:pPr>
            <w:r>
              <w:rPr>
                <w:rFonts w:ascii="Arial" w:cs="Arial" w:eastAsia="Arial" w:hAnsi="Arial"/>
                <w:sz w:val="14"/>
                <w:szCs w:val="14"/>
                <w:color w:val="auto"/>
              </w:rPr>
              <w:t>AOCI before reclassifications, net of income tax</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Arial" w:cs="Arial" w:eastAsia="Arial" w:hAnsi="Arial"/>
                <w:sz w:val="14"/>
                <w:szCs w:val="14"/>
                <w:color w:val="auto"/>
              </w:rPr>
              <w:t>Amounts reclassified from AOCI</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Arial" w:cs="Arial" w:eastAsia="Arial" w:hAnsi="Arial"/>
                <w:sz w:val="14"/>
                <w:szCs w:val="14"/>
                <w:color w:val="auto"/>
              </w:rPr>
              <w:t>Deferred income tax benefit (expense)</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200"/>
              <w:spacing w:after="0"/>
              <w:rPr>
                <w:sz w:val="20"/>
                <w:szCs w:val="20"/>
                <w:color w:val="auto"/>
              </w:rPr>
            </w:pPr>
            <w:r>
              <w:rPr>
                <w:rFonts w:ascii="Arial" w:cs="Arial" w:eastAsia="Arial" w:hAnsi="Arial"/>
                <w:sz w:val="14"/>
                <w:szCs w:val="14"/>
                <w:color w:val="auto"/>
              </w:rPr>
              <w:t>Amounts reclassified from AOCI, net of income tax</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Arial" w:cs="Arial" w:eastAsia="Arial" w:hAnsi="Arial"/>
                <w:sz w:val="14"/>
                <w:szCs w:val="14"/>
                <w:color w:val="auto"/>
              </w:rPr>
              <w:t>Balance, September 30, 2018</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4"/>
                <w:szCs w:val="14"/>
                <w:color w:val="auto"/>
              </w:rPr>
              <w:t>__________________</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1,572</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5"/>
                <w:szCs w:val="15"/>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1,676</w:t>
            </w:r>
          </w:p>
        </w:tc>
      </w:tr>
      <w:tr>
        <w:trPr>
          <w:trHeight w:val="357"/>
        </w:trPr>
        <w:tc>
          <w:tcPr>
            <w:tcW w:w="620" w:type="dxa"/>
            <w:vAlign w:val="bottom"/>
          </w:tcPr>
          <w:p>
            <w:pPr>
              <w:jc w:val="right"/>
              <w:ind w:right="128"/>
              <w:spacing w:after="0"/>
              <w:rPr>
                <w:sz w:val="20"/>
                <w:szCs w:val="20"/>
                <w:color w:val="auto"/>
              </w:rPr>
            </w:pPr>
            <w:r>
              <w:rPr>
                <w:rFonts w:ascii="Arial" w:cs="Arial" w:eastAsia="Arial" w:hAnsi="Arial"/>
                <w:sz w:val="14"/>
                <w:szCs w:val="14"/>
                <w:color w:val="auto"/>
              </w:rPr>
              <w:t>(79)</w:t>
            </w:r>
          </w:p>
        </w:tc>
        <w:tc>
          <w:tcPr>
            <w:tcW w:w="5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44"/>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1,493</w:t>
            </w:r>
          </w:p>
        </w:tc>
        <w:tc>
          <w:tcPr>
            <w:tcW w:w="5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1,597</w:t>
            </w:r>
          </w:p>
        </w:tc>
      </w:tr>
      <w:tr>
        <w:trPr>
          <w:trHeight w:val="270"/>
        </w:trPr>
        <w:tc>
          <w:tcPr>
            <w:tcW w:w="620" w:type="dxa"/>
            <w:vAlign w:val="bottom"/>
          </w:tcPr>
          <w:p>
            <w:pPr>
              <w:jc w:val="right"/>
              <w:ind w:right="128"/>
              <w:spacing w:after="0"/>
              <w:rPr>
                <w:sz w:val="20"/>
                <w:szCs w:val="20"/>
                <w:color w:val="auto"/>
              </w:rPr>
            </w:pPr>
            <w:r>
              <w:rPr>
                <w:rFonts w:ascii="Arial" w:cs="Arial" w:eastAsia="Arial" w:hAnsi="Arial"/>
                <w:sz w:val="14"/>
                <w:szCs w:val="14"/>
                <w:color w:val="auto"/>
                <w:w w:val="90"/>
              </w:rPr>
              <w:t>(1,448)</w:t>
            </w:r>
          </w:p>
        </w:tc>
        <w:tc>
          <w:tcPr>
            <w:tcW w:w="5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(1,418)</w:t>
            </w:r>
          </w:p>
        </w:tc>
      </w:tr>
      <w:tr>
        <w:trPr>
          <w:trHeight w:val="276"/>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325</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318</w:t>
            </w:r>
          </w:p>
        </w:tc>
      </w:tr>
      <w:tr>
        <w:trPr>
          <w:trHeight w:val="250"/>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370</w:t>
            </w:r>
          </w:p>
        </w:tc>
        <w:tc>
          <w:tcPr>
            <w:tcW w:w="5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497</w:t>
            </w:r>
          </w:p>
        </w:tc>
      </w:tr>
      <w:tr>
        <w:trPr>
          <w:trHeight w:val="244"/>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138</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73</w:t>
            </w:r>
          </w:p>
        </w:tc>
      </w:tr>
      <w:tr>
        <w:trPr>
          <w:trHeight w:val="276"/>
        </w:trPr>
        <w:tc>
          <w:tcPr>
            <w:tcW w:w="620" w:type="dxa"/>
            <w:vAlign w:val="bottom"/>
          </w:tcPr>
          <w:p>
            <w:pPr>
              <w:jc w:val="right"/>
              <w:ind w:right="128"/>
              <w:spacing w:after="0"/>
              <w:rPr>
                <w:sz w:val="20"/>
                <w:szCs w:val="20"/>
                <w:color w:val="auto"/>
              </w:rPr>
            </w:pPr>
            <w:r>
              <w:rPr>
                <w:rFonts w:ascii="Arial" w:cs="Arial" w:eastAsia="Arial" w:hAnsi="Arial"/>
                <w:sz w:val="14"/>
                <w:szCs w:val="14"/>
                <w:color w:val="auto"/>
              </w:rPr>
              <w:t>(32)</w:t>
            </w: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250"/>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106</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55</w:t>
            </w:r>
          </w:p>
        </w:tc>
      </w:tr>
      <w:tr>
        <w:trPr>
          <w:trHeight w:val="237"/>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476</w:t>
            </w:r>
          </w:p>
        </w:tc>
        <w:tc>
          <w:tcPr>
            <w:tcW w:w="5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552</w:t>
            </w:r>
          </w:p>
        </w:tc>
      </w:tr>
      <w:tr>
        <w:trPr>
          <w:trHeight w:val="20"/>
        </w:trPr>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-1045845</wp:posOffset>
            </wp:positionV>
            <wp:extent cx="7246620" cy="1046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04648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-1388745</wp:posOffset>
            </wp:positionV>
            <wp:extent cx="72466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4520" w:space="720"/>
            <w:col w:w="6180"/>
          </w:cols>
          <w:pgMar w:left="240" w:top="288" w:right="239" w:bottom="1440" w:gutter="0" w:footer="0" w:header="0"/>
          <w:type w:val="continuous"/>
        </w:sectPr>
      </w:pPr>
    </w:p>
    <w:p>
      <w:pPr>
        <w:ind w:left="340" w:right="3100" w:hanging="332"/>
        <w:spacing w:after="0" w:line="428" w:lineRule="auto"/>
        <w:tabs>
          <w:tab w:leader="none" w:pos="502"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See Note 4 for information on offsets to investments related to future policy benefits, DAC, VOBA and DSI. Information regarding amounts reclassified out of each component of AOCI was as follows:</w:t>
      </w:r>
    </w:p>
    <w:p>
      <w:pPr>
        <w:sectPr>
          <w:pgSz w:w="11900" w:h="16838" w:orient="portrait"/>
          <w:cols w:equalWidth="0" w:num="1">
            <w:col w:w="11420"/>
          </w:cols>
          <w:pgMar w:left="240" w:top="288" w:right="239" w:bottom="1440" w:gutter="0" w:footer="0" w:header="0"/>
          <w:type w:val="continuous"/>
        </w:sect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AOCI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301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Net unrealized investment gains (losses), before income tax</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 (expense) benefit</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Net unrealized investment gains (losses), net of income tax</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Unrealized gains (losses) on derivatives - cash flow hedges: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swaps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swaps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forwards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forwards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swaps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Gains (losses) on cash flow hedges, before income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 (expense) benefit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Gains (losses) on cash flow hedges, net of income tax</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reclassifications, net of income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6"/>
              </w:rPr>
              <w:t>Consolidated Statements of</w:t>
            </w:r>
          </w:p>
        </w:tc>
      </w:tr>
      <w:tr>
        <w:trPr>
          <w:trHeight w:val="135"/>
        </w:trPr>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Operations and Comprehensive Income</w:t>
            </w:r>
          </w:p>
        </w:tc>
      </w:tr>
      <w:tr>
        <w:trPr>
          <w:trHeight w:val="174"/>
        </w:trPr>
        <w:tc>
          <w:tcPr>
            <w:tcW w:w="7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Amounts Reclassified from AOCI</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(Loss) Locations</w:t>
            </w:r>
          </w:p>
        </w:tc>
      </w:tr>
      <w:tr>
        <w:trPr>
          <w:trHeight w:val="144"/>
        </w:trPr>
        <w:tc>
          <w:tcPr>
            <w:tcW w:w="1860" w:type="dxa"/>
            <w:vAlign w:val="bottom"/>
            <w:gridSpan w:val="2"/>
          </w:tcPr>
          <w:p>
            <w:pPr>
              <w:jc w:val="center"/>
              <w:ind w:left="317"/>
              <w:spacing w:after="0" w:line="144" w:lineRule="exact"/>
              <w:rPr>
                <w:sz w:val="20"/>
                <w:szCs w:val="20"/>
                <w:color w:val="auto"/>
              </w:rPr>
            </w:pPr>
            <w:r>
              <w:rPr>
                <w:rFonts w:ascii="Arial" w:cs="Arial" w:eastAsia="Arial" w:hAnsi="Arial"/>
                <w:sz w:val="13"/>
                <w:szCs w:val="13"/>
                <w:b w:val="1"/>
                <w:bCs w:val="1"/>
                <w:color w:val="auto"/>
                <w:w w:val="90"/>
              </w:rPr>
              <w:t>Three Months 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20" w:type="dxa"/>
            <w:vAlign w:val="bottom"/>
            <w:gridSpan w:val="4"/>
          </w:tcPr>
          <w:p>
            <w:pPr>
              <w:jc w:val="center"/>
              <w:ind w:right="2297"/>
              <w:spacing w:after="0" w:line="144" w:lineRule="exact"/>
              <w:rPr>
                <w:sz w:val="20"/>
                <w:szCs w:val="20"/>
                <w:color w:val="auto"/>
              </w:rPr>
            </w:pPr>
            <w:r>
              <w:rPr>
                <w:rFonts w:ascii="Arial" w:cs="Arial" w:eastAsia="Arial" w:hAnsi="Arial"/>
                <w:sz w:val="13"/>
                <w:szCs w:val="13"/>
                <w:b w:val="1"/>
                <w:bCs w:val="1"/>
                <w:color w:val="auto"/>
                <w:w w:val="88"/>
              </w:rPr>
              <w:t>Nine Months Ended</w:t>
            </w:r>
          </w:p>
        </w:tc>
      </w:tr>
      <w:tr>
        <w:trPr>
          <w:trHeight w:val="174"/>
        </w:trPr>
        <w:tc>
          <w:tcPr>
            <w:tcW w:w="7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17"/>
              <w:spacing w:after="0"/>
              <w:rPr>
                <w:sz w:val="20"/>
                <w:szCs w:val="20"/>
                <w:color w:val="auto"/>
              </w:rPr>
            </w:pPr>
            <w:r>
              <w:rPr>
                <w:rFonts w:ascii="Arial" w:cs="Arial" w:eastAsia="Arial" w:hAnsi="Arial"/>
                <w:sz w:val="13"/>
                <w:szCs w:val="13"/>
                <w:b w:val="1"/>
                <w:bCs w:val="1"/>
                <w:color w:val="auto"/>
                <w:w w:val="85"/>
              </w:rPr>
              <w:t>September 30,</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ind w:left="637"/>
              <w:spacing w:after="0"/>
              <w:rPr>
                <w:sz w:val="20"/>
                <w:szCs w:val="20"/>
                <w:color w:val="auto"/>
              </w:rPr>
            </w:pPr>
            <w:r>
              <w:rPr>
                <w:rFonts w:ascii="Arial" w:cs="Arial" w:eastAsia="Arial" w:hAnsi="Arial"/>
                <w:sz w:val="13"/>
                <w:szCs w:val="13"/>
                <w:b w:val="1"/>
                <w:bCs w:val="1"/>
                <w:color w:val="auto"/>
                <w:w w:val="87"/>
              </w:rPr>
              <w:t>September 30,</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64"/>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1940" w:type="dxa"/>
            <w:vAlign w:val="bottom"/>
            <w:tcBorders>
              <w:bottom w:val="single" w:sz="8" w:color="auto"/>
            </w:tcBorders>
            <w:gridSpan w:val="3"/>
          </w:tcPr>
          <w:p>
            <w:pPr>
              <w:jc w:val="right"/>
              <w:ind w:right="797"/>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w w:val="82"/>
              </w:rPr>
              <w:t>2018</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241"/>
        </w:trPr>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940" w:type="dxa"/>
            <w:vAlign w:val="bottom"/>
            <w:gridSpan w:val="3"/>
          </w:tcPr>
          <w:p>
            <w:pPr>
              <w:jc w:val="center"/>
              <w:ind w:right="1097"/>
              <w:spacing w:after="0"/>
              <w:rPr>
                <w:sz w:val="20"/>
                <w:szCs w:val="20"/>
                <w:color w:val="auto"/>
              </w:rPr>
            </w:pPr>
            <w:r>
              <w:rPr>
                <w:rFonts w:ascii="Arial" w:cs="Arial" w:eastAsia="Arial" w:hAnsi="Arial"/>
                <w:sz w:val="13"/>
                <w:szCs w:val="13"/>
                <w:b w:val="1"/>
                <w:bCs w:val="1"/>
                <w:color w:val="auto"/>
                <w:w w:val="90"/>
              </w:rPr>
              <w:t>(In millions)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10160</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(137)</w:t>
            </w:r>
          </w:p>
        </w:tc>
        <w:tc>
          <w:tcPr>
            <w:tcW w:w="1840" w:type="dxa"/>
            <w:vAlign w:val="bottom"/>
          </w:tcPr>
          <w:p>
            <w:pPr>
              <w:ind w:left="140"/>
              <w:spacing w:after="0"/>
              <w:rPr>
                <w:sz w:val="20"/>
                <w:szCs w:val="20"/>
                <w:color w:val="auto"/>
              </w:rPr>
            </w:pPr>
            <w:r>
              <w:rPr>
                <w:rFonts w:ascii="Arial" w:cs="Arial" w:eastAsia="Arial" w:hAnsi="Arial"/>
                <w:sz w:val="14"/>
                <w:szCs w:val="14"/>
                <w:color w:val="auto"/>
                <w:w w:val="91"/>
              </w:rPr>
              <w:t>Net investment gains (losses)</w:t>
            </w:r>
          </w:p>
        </w:tc>
      </w:tr>
      <w:tr>
        <w:trPr>
          <w:trHeight w:val="270"/>
        </w:trPr>
        <w:tc>
          <w:tcPr>
            <w:tcW w:w="44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840" w:type="dxa"/>
            <w:vAlign w:val="bottom"/>
          </w:tcPr>
          <w:p>
            <w:pPr>
              <w:ind w:left="140"/>
              <w:spacing w:after="0"/>
              <w:rPr>
                <w:sz w:val="20"/>
                <w:szCs w:val="20"/>
                <w:color w:val="auto"/>
              </w:rPr>
            </w:pPr>
            <w:r>
              <w:rPr>
                <w:rFonts w:ascii="Arial" w:cs="Arial" w:eastAsia="Arial" w:hAnsi="Arial"/>
                <w:sz w:val="14"/>
                <w:szCs w:val="14"/>
                <w:color w:val="auto"/>
              </w:rPr>
              <w:t>Net investment income</w:t>
            </w:r>
          </w:p>
        </w:tc>
      </w:tr>
      <w:tr>
        <w:trPr>
          <w:trHeight w:val="276"/>
        </w:trPr>
        <w:tc>
          <w:tcPr>
            <w:tcW w:w="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840" w:type="dxa"/>
            <w:vAlign w:val="bottom"/>
          </w:tcPr>
          <w:p>
            <w:pPr>
              <w:ind w:left="140"/>
              <w:spacing w:after="0"/>
              <w:rPr>
                <w:sz w:val="20"/>
                <w:szCs w:val="20"/>
                <w:color w:val="auto"/>
              </w:rPr>
            </w:pPr>
            <w:r>
              <w:rPr>
                <w:rFonts w:ascii="Arial" w:cs="Arial" w:eastAsia="Arial" w:hAnsi="Arial"/>
                <w:sz w:val="14"/>
                <w:szCs w:val="14"/>
                <w:color w:val="auto"/>
                <w:w w:val="95"/>
              </w:rPr>
              <w:t>Net derivative gains (losses)</w:t>
            </w:r>
          </w:p>
        </w:tc>
      </w:tr>
      <w:tr>
        <w:trPr>
          <w:trHeight w:val="244"/>
        </w:trPr>
        <w:tc>
          <w:tcPr>
            <w:tcW w:w="44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(138)</w:t>
            </w:r>
          </w:p>
        </w:tc>
        <w:tc>
          <w:tcPr>
            <w:tcW w:w="1840" w:type="dxa"/>
            <w:vAlign w:val="bottom"/>
          </w:tcPr>
          <w:p>
            <w:pPr>
              <w:spacing w:after="0"/>
              <w:rPr>
                <w:sz w:val="21"/>
                <w:szCs w:val="21"/>
                <w:color w:val="auto"/>
              </w:rPr>
            </w:pPr>
          </w:p>
        </w:tc>
      </w:tr>
      <w:tr>
        <w:trPr>
          <w:trHeight w:val="276"/>
        </w:trPr>
        <w:tc>
          <w:tcPr>
            <w:tcW w:w="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1840" w:type="dxa"/>
            <w:vAlign w:val="bottom"/>
          </w:tcPr>
          <w:p>
            <w:pPr>
              <w:spacing w:after="0"/>
              <w:rPr>
                <w:sz w:val="24"/>
                <w:szCs w:val="24"/>
                <w:color w:val="auto"/>
              </w:rPr>
            </w:pPr>
          </w:p>
        </w:tc>
      </w:tr>
      <w:tr>
        <w:trPr>
          <w:trHeight w:val="250"/>
        </w:trPr>
        <w:tc>
          <w:tcPr>
            <w:tcW w:w="4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840" w:type="dxa"/>
            <w:vAlign w:val="bottom"/>
          </w:tcPr>
          <w:p>
            <w:pPr>
              <w:spacing w:after="0"/>
              <w:rPr>
                <w:sz w:val="21"/>
                <w:szCs w:val="21"/>
                <w:color w:val="auto"/>
              </w:rPr>
            </w:pPr>
          </w:p>
        </w:tc>
      </w:tr>
      <w:tr>
        <w:trPr>
          <w:trHeight w:val="528"/>
        </w:trPr>
        <w:tc>
          <w:tcPr>
            <w:tcW w:w="44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840" w:type="dxa"/>
            <w:vAlign w:val="bottom"/>
          </w:tcPr>
          <w:p>
            <w:pPr>
              <w:ind w:left="140"/>
              <w:spacing w:after="0"/>
              <w:rPr>
                <w:sz w:val="20"/>
                <w:szCs w:val="20"/>
                <w:color w:val="auto"/>
              </w:rPr>
            </w:pPr>
            <w:r>
              <w:rPr>
                <w:rFonts w:ascii="Arial" w:cs="Arial" w:eastAsia="Arial" w:hAnsi="Arial"/>
                <w:sz w:val="14"/>
                <w:szCs w:val="14"/>
                <w:color w:val="auto"/>
                <w:w w:val="95"/>
              </w:rPr>
              <w:t>Net derivative gains (losses)</w:t>
            </w:r>
          </w:p>
        </w:tc>
      </w:tr>
      <w:tr>
        <w:trPr>
          <w:trHeight w:val="270"/>
        </w:trPr>
        <w:tc>
          <w:tcPr>
            <w:tcW w:w="44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840" w:type="dxa"/>
            <w:vAlign w:val="bottom"/>
          </w:tcPr>
          <w:p>
            <w:pPr>
              <w:ind w:left="140"/>
              <w:spacing w:after="0"/>
              <w:rPr>
                <w:sz w:val="20"/>
                <w:szCs w:val="20"/>
                <w:color w:val="auto"/>
              </w:rPr>
            </w:pPr>
            <w:r>
              <w:rPr>
                <w:rFonts w:ascii="Arial" w:cs="Arial" w:eastAsia="Arial" w:hAnsi="Arial"/>
                <w:sz w:val="14"/>
                <w:szCs w:val="14"/>
                <w:color w:val="auto"/>
              </w:rPr>
              <w:t>Net investment income</w:t>
            </w:r>
          </w:p>
        </w:tc>
      </w:tr>
      <w:tr>
        <w:trPr>
          <w:trHeight w:val="270"/>
        </w:trPr>
        <w:tc>
          <w:tcPr>
            <w:tcW w:w="44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840" w:type="dxa"/>
            <w:vAlign w:val="bottom"/>
          </w:tcPr>
          <w:p>
            <w:pPr>
              <w:ind w:left="140"/>
              <w:spacing w:after="0"/>
              <w:rPr>
                <w:sz w:val="20"/>
                <w:szCs w:val="20"/>
                <w:color w:val="auto"/>
              </w:rPr>
            </w:pPr>
            <w:r>
              <w:rPr>
                <w:rFonts w:ascii="Arial" w:cs="Arial" w:eastAsia="Arial" w:hAnsi="Arial"/>
                <w:sz w:val="14"/>
                <w:szCs w:val="14"/>
                <w:color w:val="auto"/>
                <w:w w:val="95"/>
              </w:rPr>
              <w:t>Net derivative gains (losses)</w:t>
            </w:r>
          </w:p>
        </w:tc>
      </w:tr>
      <w:tr>
        <w:trPr>
          <w:trHeight w:val="270"/>
        </w:trPr>
        <w:tc>
          <w:tcPr>
            <w:tcW w:w="44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840" w:type="dxa"/>
            <w:vAlign w:val="bottom"/>
          </w:tcPr>
          <w:p>
            <w:pPr>
              <w:ind w:left="140"/>
              <w:spacing w:after="0"/>
              <w:rPr>
                <w:sz w:val="20"/>
                <w:szCs w:val="20"/>
                <w:color w:val="auto"/>
              </w:rPr>
            </w:pPr>
            <w:r>
              <w:rPr>
                <w:rFonts w:ascii="Arial" w:cs="Arial" w:eastAsia="Arial" w:hAnsi="Arial"/>
                <w:sz w:val="14"/>
                <w:szCs w:val="14"/>
                <w:color w:val="auto"/>
              </w:rPr>
              <w:t>Net investment income</w:t>
            </w:r>
          </w:p>
        </w:tc>
      </w:tr>
      <w:tr>
        <w:trPr>
          <w:trHeight w:val="276"/>
        </w:trPr>
        <w:tc>
          <w:tcPr>
            <w:tcW w:w="44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840" w:type="dxa"/>
            <w:vAlign w:val="bottom"/>
          </w:tcPr>
          <w:p>
            <w:pPr>
              <w:ind w:left="140"/>
              <w:spacing w:after="0"/>
              <w:rPr>
                <w:sz w:val="20"/>
                <w:szCs w:val="20"/>
                <w:color w:val="auto"/>
              </w:rPr>
            </w:pPr>
            <w:r>
              <w:rPr>
                <w:rFonts w:ascii="Arial" w:cs="Arial" w:eastAsia="Arial" w:hAnsi="Arial"/>
                <w:sz w:val="14"/>
                <w:szCs w:val="14"/>
                <w:color w:val="auto"/>
                <w:w w:val="95"/>
              </w:rPr>
              <w:t>Net derivative gains (losses)</w:t>
            </w:r>
          </w:p>
        </w:tc>
      </w:tr>
      <w:tr>
        <w:trPr>
          <w:trHeight w:val="244"/>
        </w:trPr>
        <w:tc>
          <w:tcPr>
            <w:tcW w:w="4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c>
          <w:tcPr>
            <w:tcW w:w="1840" w:type="dxa"/>
            <w:vAlign w:val="bottom"/>
          </w:tcPr>
          <w:p>
            <w:pPr>
              <w:spacing w:after="0"/>
              <w:rPr>
                <w:sz w:val="21"/>
                <w:szCs w:val="21"/>
                <w:color w:val="auto"/>
              </w:rPr>
            </w:pPr>
          </w:p>
        </w:tc>
      </w:tr>
      <w:tr>
        <w:trPr>
          <w:trHeight w:val="276"/>
        </w:trPr>
        <w:tc>
          <w:tcPr>
            <w:tcW w:w="44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1840" w:type="dxa"/>
            <w:vAlign w:val="bottom"/>
          </w:tcPr>
          <w:p>
            <w:pPr>
              <w:spacing w:after="0"/>
              <w:rPr>
                <w:sz w:val="24"/>
                <w:szCs w:val="24"/>
                <w:color w:val="auto"/>
              </w:rPr>
            </w:pPr>
          </w:p>
        </w:tc>
      </w:tr>
      <w:tr>
        <w:trPr>
          <w:trHeight w:val="250"/>
        </w:trPr>
        <w:tc>
          <w:tcPr>
            <w:tcW w:w="4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1840" w:type="dxa"/>
            <w:vAlign w:val="bottom"/>
          </w:tcPr>
          <w:p>
            <w:pPr>
              <w:spacing w:after="0"/>
              <w:rPr>
                <w:sz w:val="21"/>
                <w:szCs w:val="21"/>
                <w:color w:val="auto"/>
              </w:rPr>
            </w:pPr>
          </w:p>
        </w:tc>
      </w:tr>
      <w:tr>
        <w:trPr>
          <w:trHeight w:val="237"/>
        </w:trPr>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840" w:type="dxa"/>
            <w:vAlign w:val="bottom"/>
          </w:tcPr>
          <w:p>
            <w:pPr>
              <w:spacing w:after="0"/>
              <w:rPr>
                <w:sz w:val="20"/>
                <w:szCs w:val="20"/>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-2597785</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-2254885</wp:posOffset>
            </wp:positionV>
            <wp:extent cx="72466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-1911985</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-1560195</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-1217295</wp:posOffset>
            </wp:positionV>
            <wp:extent cx="72466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-874395</wp:posOffset>
            </wp:positionV>
            <wp:extent cx="72466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-530860</wp:posOffset>
            </wp:positionV>
            <wp:extent cx="72466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-187960</wp:posOffset>
            </wp:positionV>
            <wp:extent cx="72466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840"/>
          </w:cols>
          <w:pgMar w:left="240" w:top="288"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288" w:right="239" w:bottom="1440" w:gutter="0" w:footer="0" w:header="0"/>
          <w:type w:val="continuous"/>
        </w:sectPr>
      </w:pPr>
    </w:p>
    <w:bookmarkStart w:id="42" w:name="page43"/>
    <w:bookmarkEnd w:id="4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Revenues and Other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revenues consisted primarily of 12b-1 fees of $84 million and $251 million for the three months and nine months ended September 30, 2019, respectively, and $91 million and $275 million for the three months and nine months ended September 30, 2018, respectively, of which substantially all were reported in the Annuities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other expenses was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40" w:type="dxa"/>
            <w:vAlign w:val="bottom"/>
            <w:gridSpan w:val="4"/>
          </w:tcPr>
          <w:p>
            <w:pPr>
              <w:jc w:val="right"/>
              <w:ind w:right="16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62"/>
              <w:spacing w:after="0"/>
              <w:rPr>
                <w:sz w:val="20"/>
                <w:szCs w:val="20"/>
                <w:color w:val="auto"/>
              </w:rPr>
            </w:pPr>
            <w:r>
              <w:rPr>
                <w:rFonts w:ascii="Arial" w:cs="Arial" w:eastAsia="Arial" w:hAnsi="Arial"/>
                <w:sz w:val="14"/>
                <w:szCs w:val="14"/>
                <w:b w:val="1"/>
                <w:bCs w:val="1"/>
                <w:color w:val="auto"/>
                <w:w w:val="96"/>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60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Contracted services and other labor costs</w:t>
            </w:r>
          </w:p>
        </w:tc>
        <w:tc>
          <w:tcPr>
            <w:tcW w:w="86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189</w:t>
            </w:r>
          </w:p>
        </w:tc>
      </w:tr>
      <w:tr>
        <w:trPr>
          <w:trHeight w:val="33"/>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Transition services agreements</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Establishment costs</w:t>
            </w:r>
          </w:p>
        </w:tc>
        <w:tc>
          <w:tcPr>
            <w:tcW w:w="86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190</w:t>
            </w:r>
          </w:p>
        </w:tc>
      </w:tr>
      <w:tr>
        <w:trPr>
          <w:trHeight w:val="33"/>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 and other taxes, licenses and fees</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Separate account fees</w:t>
            </w:r>
          </w:p>
        </w:tc>
        <w:tc>
          <w:tcPr>
            <w:tcW w:w="86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401</w:t>
            </w:r>
          </w:p>
        </w:tc>
      </w:tr>
      <w:tr>
        <w:trPr>
          <w:trHeight w:val="33"/>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Volume related costs, excluding compensation, net of DAC capitalization</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Interest expense on debt</w:t>
            </w:r>
          </w:p>
        </w:tc>
        <w:tc>
          <w:tcPr>
            <w:tcW w:w="86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113</w:t>
            </w:r>
          </w:p>
        </w:tc>
      </w:tr>
      <w:tr>
        <w:trPr>
          <w:trHeight w:val="33"/>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w:t>
            </w:r>
          </w:p>
        </w:tc>
      </w:tr>
      <w:tr>
        <w:trPr>
          <w:trHeight w:val="217"/>
        </w:trPr>
        <w:tc>
          <w:tcPr>
            <w:tcW w:w="6060" w:type="dxa"/>
            <w:vAlign w:val="bottom"/>
          </w:tcPr>
          <w:p>
            <w:pPr>
              <w:ind w:left="180"/>
              <w:spacing w:after="0"/>
              <w:rPr>
                <w:sz w:val="20"/>
                <w:szCs w:val="20"/>
                <w:color w:val="auto"/>
              </w:rPr>
            </w:pPr>
            <w:r>
              <w:rPr>
                <w:rFonts w:ascii="Arial" w:cs="Arial" w:eastAsia="Arial" w:hAnsi="Arial"/>
                <w:sz w:val="16"/>
                <w:szCs w:val="16"/>
                <w:color w:val="auto"/>
              </w:rPr>
              <w:t>Total other expenses</w:t>
            </w:r>
          </w:p>
        </w:tc>
        <w:tc>
          <w:tcPr>
            <w:tcW w:w="860" w:type="dxa"/>
            <w:vAlign w:val="bottom"/>
            <w:tcBorders>
              <w:top w:val="single" w:sz="8" w:color="auto"/>
            </w:tcBorders>
          </w:tcPr>
          <w:p>
            <w:pPr>
              <w:jc w:val="right"/>
              <w:ind w:right="683"/>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1,824</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1,974</w:t>
            </w:r>
          </w:p>
        </w:tc>
      </w:tr>
      <w:tr>
        <w:trPr>
          <w:trHeight w:val="33"/>
        </w:trPr>
        <w:tc>
          <w:tcPr>
            <w:tcW w:w="60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34" w:right="239" w:bottom="1440" w:gutter="0" w:footer="0" w:header="0"/>
        </w:sectPr>
      </w:pPr>
    </w:p>
    <w:bookmarkStart w:id="43" w:name="page44"/>
    <w:bookmarkEnd w:id="4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calculation of earnings per common share: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5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6"/>
                <w:szCs w:val="16"/>
                <w:color w:val="auto"/>
              </w:rPr>
            </w:pPr>
          </w:p>
        </w:tc>
        <w:tc>
          <w:tcPr>
            <w:tcW w:w="25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7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r>
      <w:tr>
        <w:trPr>
          <w:trHeight w:val="250"/>
        </w:trPr>
        <w:tc>
          <w:tcPr>
            <w:tcW w:w="5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gridSpan w:val="6"/>
          </w:tcPr>
          <w:p>
            <w:pPr>
              <w:ind w:left="60"/>
              <w:spacing w:after="0"/>
              <w:rPr>
                <w:sz w:val="20"/>
                <w:szCs w:val="20"/>
                <w:color w:val="auto"/>
              </w:rPr>
            </w:pPr>
            <w:r>
              <w:rPr>
                <w:rFonts w:ascii="Arial" w:cs="Arial" w:eastAsia="Arial" w:hAnsi="Arial"/>
                <w:sz w:val="14"/>
                <w:szCs w:val="14"/>
                <w:b w:val="1"/>
                <w:bCs w:val="1"/>
                <w:color w:val="auto"/>
                <w:w w:val="93"/>
              </w:rPr>
              <w:t>(In millions, except share and per share data)</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(577)</w:t>
            </w: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5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110,915,416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119,657,443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114,195,767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119,734,128</w:t>
            </w:r>
          </w:p>
        </w:tc>
      </w:tr>
      <w:tr>
        <w:trPr>
          <w:trHeight w:val="237"/>
        </w:trPr>
        <w:tc>
          <w:tcPr>
            <w:tcW w:w="5700" w:type="dxa"/>
            <w:vAlign w:val="bottom"/>
          </w:tcPr>
          <w:p>
            <w:pPr>
              <w:ind w:left="180"/>
              <w:spacing w:after="0"/>
              <w:rPr>
                <w:sz w:val="20"/>
                <w:szCs w:val="20"/>
                <w:color w:val="auto"/>
              </w:rPr>
            </w:pPr>
            <w:r>
              <w:rPr>
                <w:rFonts w:ascii="Arial" w:cs="Arial" w:eastAsia="Arial" w:hAnsi="Arial"/>
                <w:sz w:val="16"/>
                <w:szCs w:val="16"/>
                <w:color w:val="auto"/>
              </w:rPr>
              <w:t>Dilutive effect of share-based awards</w:t>
            </w:r>
          </w:p>
        </w:tc>
        <w:tc>
          <w:tcPr>
            <w:tcW w:w="24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612,064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546,931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111,527,480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119,657,443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114,742,698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119,734,128</w:t>
            </w: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5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9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6.09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(4.82)</w:t>
            </w:r>
          </w:p>
        </w:tc>
      </w:tr>
      <w:tr>
        <w:trPr>
          <w:trHeight w:val="237"/>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(4.82)</w:t>
            </w: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Basic loss per common share equaled diluted loss per common share for the three months and nine months ended September 30, 2018. The diluted shares were not utilized in the per share calculation for these periods, as the inclusion of such shares would have an antidilutive effect.</w:t>
      </w:r>
    </w:p>
    <w:p>
      <w:pPr>
        <w:spacing w:after="0" w:line="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months and nine months ended September 30, 2019, weighted average shares used for calculating earnings per diluted common share excludes 196,492 out-of-the-money stock options, as the inclusion of such shares would be antidilutive to the earnings per common share calculation due to the average share price for the three months and nine months ended September 30,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117"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The Company is a defendant in a number of litigation matters. In some of the matters, large and/or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70"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8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September 30, 2019.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34" w:right="239" w:bottom="1440" w:gutter="0" w:footer="0" w:header="0"/>
        </w:sectPr>
      </w:pPr>
    </w:p>
    <w:bookmarkStart w:id="44" w:name="page45"/>
    <w:bookmarkEnd w:id="44"/>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 Be Made</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For some loss contingency matters, the Company is able to estimate a reasonably possible range of loss. For such matters where a loss is believed to be reasonably possible, but not probable, no accrual has been made. As of September 30, 2019, the Company estimates the aggregate range of reasonably possible losses in excess of amounts accrued for these matters to be $0 to $10 million.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Cannot Be Made</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Sales Practices Claims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Summary</w:t>
      </w:r>
    </w:p>
    <w:p>
      <w:pPr>
        <w:spacing w:after="0" w:line="117"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Various litigation,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46"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It is not possible to predict the ultimate outcome of all pending investigations and legal proceedings. In some of the matters referred to previously, large and/or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 Commitments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Company commits to lend funds under mortgage loan commitments. The amounts of these mortgage loan commitments were $235 million and $492 million at September 30, 2019 and December 31, 2018,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Commitments to Fund Partnership Investments, Bank Credit Facilities, Bridge Loans and Private Corporate Bond Investments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Company commits to fund partnership investments and to lend funds under bank credit facilities and private corporate bond investments. The amounts of these unfunded commitments were $1.9 billion at both September 30, 2019 and December 31,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34" w:right="239" w:bottom="1440" w:gutter="0" w:footer="0" w:header="0"/>
        </w:sectPr>
      </w:pPr>
    </w:p>
    <w:bookmarkStart w:id="45" w:name="page46"/>
    <w:bookmarkEnd w:id="45"/>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$122 million, with a cumulative maximum of $128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recorded liabilities were $1 million and $2 million at September 30, 2019 and December 31, 2018, respectively, for indemnities, guarantees and commitments.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income and expense from affiliated transactions with MetLife prior to the MetLife Divestiture (see Note 1) for the periods indicated: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gridSpan w:val="2"/>
          </w:tcPr>
          <w:p>
            <w:pPr>
              <w:jc w:val="right"/>
              <w:ind w:right="462"/>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gridSpan w:val="2"/>
          </w:tcPr>
          <w:p>
            <w:pPr>
              <w:jc w:val="center"/>
              <w:ind w:left="23"/>
              <w:spacing w:after="0"/>
              <w:rPr>
                <w:sz w:val="20"/>
                <w:szCs w:val="20"/>
                <w:color w:val="auto"/>
              </w:rPr>
            </w:pPr>
            <w:r>
              <w:rPr>
                <w:rFonts w:ascii="Arial" w:cs="Arial" w:eastAsia="Arial" w:hAnsi="Arial"/>
                <w:sz w:val="14"/>
                <w:szCs w:val="14"/>
                <w:b w:val="1"/>
                <w:bCs w:val="1"/>
                <w:color w:val="auto"/>
                <w:w w:val="93"/>
              </w:rPr>
              <w:t>Nine Months Ended</w:t>
            </w:r>
          </w:p>
        </w:tc>
        <w:tc>
          <w:tcPr>
            <w:tcW w:w="1140" w:type="dxa"/>
            <w:vAlign w:val="bottom"/>
          </w:tcPr>
          <w:p>
            <w:pPr>
              <w:spacing w:after="0"/>
              <w:rPr>
                <w:sz w:val="14"/>
                <w:szCs w:val="14"/>
                <w:color w:val="auto"/>
              </w:rPr>
            </w:pPr>
          </w:p>
        </w:tc>
      </w:tr>
      <w:tr>
        <w:trPr>
          <w:trHeight w:val="192"/>
        </w:trPr>
        <w:tc>
          <w:tcPr>
            <w:tcW w:w="4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662"/>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left="43"/>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4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40" w:type="dxa"/>
            <w:vAlign w:val="bottom"/>
            <w:gridSpan w:val="3"/>
          </w:tcPr>
          <w:p>
            <w:pPr>
              <w:jc w:val="center"/>
              <w:ind w:right="242"/>
              <w:spacing w:after="0"/>
              <w:rPr>
                <w:sz w:val="20"/>
                <w:szCs w:val="20"/>
                <w:color w:val="auto"/>
              </w:rPr>
            </w:pPr>
            <w:r>
              <w:rPr>
                <w:rFonts w:ascii="Arial" w:cs="Arial" w:eastAsia="Arial" w:hAnsi="Arial"/>
                <w:sz w:val="14"/>
                <w:szCs w:val="14"/>
                <w:b w:val="1"/>
                <w:bCs w:val="1"/>
                <w:color w:val="auto"/>
                <w:w w:val="96"/>
              </w:rPr>
              <w:t>(In millions)</w:t>
            </w: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(1)</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center"/>
              <w:ind w:right="86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Expense (2)</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Pr>
          <w:p>
            <w:pPr>
              <w:ind w:left="3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62"/>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60" w:type="dxa"/>
            <w:vAlign w:val="bottom"/>
          </w:tcPr>
          <w:p>
            <w:pPr>
              <w:jc w:val="center"/>
              <w:ind w:right="862"/>
              <w:spacing w:after="0"/>
              <w:rPr>
                <w:sz w:val="20"/>
                <w:szCs w:val="20"/>
                <w:color w:val="auto"/>
              </w:rPr>
            </w:pPr>
            <w:r>
              <w:rPr>
                <w:rFonts w:ascii="Arial" w:cs="Arial" w:eastAsia="Arial" w:hAnsi="Arial"/>
                <w:sz w:val="16"/>
                <w:szCs w:val="16"/>
                <w:color w:val="auto"/>
                <w:w w:val="89"/>
              </w:rPr>
              <w:t>$</w:t>
            </w:r>
          </w:p>
        </w:tc>
        <w:tc>
          <w:tcPr>
            <w:tcW w:w="520" w:type="dxa"/>
            <w:vAlign w:val="bottom"/>
          </w:tcPr>
          <w:p>
            <w:pPr>
              <w:ind w:lef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133</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3"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Primarily includes the net impact of reinsurance ceded to MetLife.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Primarily includes costs incurred with MetLife related to shared services, offset by reinsurance ceded to MetLife.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34" w:right="2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Index to Management’s Discussion and Analysis of Financial Condition and Results of Operations</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50"/>
        </w:trPr>
        <w:tc>
          <w:tcPr>
            <w:tcW w:w="4440" w:type="dxa"/>
            <w:vAlign w:val="bottom"/>
            <w:gridSpan w:val="1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Introduction</w:t>
              </w:r>
            </w:hyperlink>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460" w:type="dxa"/>
            <w:vAlign w:val="bottom"/>
            <w:gridSpan w:val="3"/>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Executive Summary</w:t>
              </w:r>
            </w:hyperlink>
          </w:p>
        </w:tc>
        <w:tc>
          <w:tcPr>
            <w:tcW w:w="2980" w:type="dxa"/>
            <w:vAlign w:val="bottom"/>
            <w:gridSpan w:val="8"/>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Industry Trends</w:t>
              </w:r>
            </w:hyperlink>
          </w:p>
        </w:tc>
        <w:tc>
          <w:tcPr>
            <w:tcW w:w="320" w:type="dxa"/>
            <w:vAlign w:val="bottom"/>
          </w:tcPr>
          <w:p>
            <w:pPr>
              <w:spacing w:after="0"/>
              <w:rPr>
                <w:sz w:val="21"/>
                <w:szCs w:val="21"/>
                <w:color w:val="auto"/>
              </w:rPr>
            </w:pPr>
          </w:p>
        </w:tc>
        <w:tc>
          <w:tcPr>
            <w:tcW w:w="2980" w:type="dxa"/>
            <w:vAlign w:val="bottom"/>
            <w:gridSpan w:val="8"/>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40" w:type="dxa"/>
            <w:vAlign w:val="bottom"/>
            <w:gridSpan w:val="1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Summary of Critical Accounting Estimates</w:t>
              </w:r>
            </w:hyperlink>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20" w:type="dxa"/>
            <w:vAlign w:val="bottom"/>
            <w:gridSpan w:val="9"/>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Non-GAAP and Other Financial Disclosures</w:t>
              </w:r>
            </w:hyperlink>
          </w:p>
        </w:tc>
        <w:tc>
          <w:tcPr>
            <w:tcW w:w="1220" w:type="dxa"/>
            <w:vAlign w:val="bottom"/>
            <w:gridSpan w:val="2"/>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560" w:type="dxa"/>
            <w:vAlign w:val="bottom"/>
            <w:gridSpan w:val="4"/>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Results of Operations</w:t>
              </w:r>
            </w:hyperlink>
          </w:p>
        </w:tc>
        <w:tc>
          <w:tcPr>
            <w:tcW w:w="1660" w:type="dxa"/>
            <w:vAlign w:val="bottom"/>
            <w:gridSpan w:val="5"/>
          </w:tcPr>
          <w:p>
            <w:pPr>
              <w:spacing w:after="0"/>
              <w:rPr>
                <w:sz w:val="21"/>
                <w:szCs w:val="21"/>
                <w:color w:val="auto"/>
              </w:rPr>
            </w:pPr>
          </w:p>
        </w:tc>
        <w:tc>
          <w:tcPr>
            <w:tcW w:w="1220" w:type="dxa"/>
            <w:vAlign w:val="bottom"/>
            <w:gridSpan w:val="2"/>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560" w:type="dxa"/>
            <w:vAlign w:val="bottom"/>
            <w:gridSpan w:val="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Investments</w:t>
              </w:r>
            </w:hyperlink>
          </w:p>
        </w:tc>
        <w:tc>
          <w:tcPr>
            <w:tcW w:w="2880" w:type="dxa"/>
            <w:vAlign w:val="bottom"/>
            <w:gridSpan w:val="7"/>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65</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20" w:type="dxa"/>
            <w:vAlign w:val="bottom"/>
          </w:tcPr>
          <w:p>
            <w:pPr>
              <w:spacing w:after="0"/>
              <w:rPr>
                <w:rFonts w:ascii="Arial" w:cs="Arial" w:eastAsia="Arial" w:hAnsi="Arial"/>
                <w:sz w:val="18"/>
                <w:szCs w:val="18"/>
                <w:color w:val="0000EE"/>
                <w:w w:val="87"/>
              </w:rPr>
            </w:pPr>
            <w:hyperlink w:anchor="page74">
              <w:r>
                <w:rPr>
                  <w:rFonts w:ascii="Arial" w:cs="Arial" w:eastAsia="Arial" w:hAnsi="Arial"/>
                  <w:sz w:val="18"/>
                  <w:szCs w:val="18"/>
                  <w:color w:val="0000EE"/>
                  <w:w w:val="87"/>
                </w:rPr>
                <w:t>Derivatives</w:t>
              </w:r>
            </w:hyperlink>
          </w:p>
        </w:tc>
        <w:tc>
          <w:tcPr>
            <w:tcW w:w="3620" w:type="dxa"/>
            <w:vAlign w:val="bottom"/>
            <w:gridSpan w:val="10"/>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73</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400" w:type="dxa"/>
            <w:vAlign w:val="bottom"/>
            <w:gridSpan w:val="7"/>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Off-Balance Sheet Arrangements</w:t>
              </w:r>
            </w:hyperlink>
          </w:p>
        </w:tc>
        <w:tc>
          <w:tcPr>
            <w:tcW w:w="2040" w:type="dxa"/>
            <w:vAlign w:val="bottom"/>
            <w:gridSpan w:val="4"/>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75</w:t>
              </w:r>
            </w:hyperlink>
          </w:p>
        </w:tc>
        <w:tc>
          <w:tcPr>
            <w:tcW w:w="100" w:type="dxa"/>
            <w:vAlign w:val="bottom"/>
          </w:tcPr>
          <w:p>
            <w:pPr>
              <w:spacing w:after="0"/>
              <w:rPr>
                <w:sz w:val="21"/>
                <w:szCs w:val="21"/>
                <w:color w:val="auto"/>
              </w:rPr>
            </w:pPr>
          </w:p>
        </w:tc>
      </w:tr>
      <w:tr>
        <w:trPr>
          <w:trHeight w:val="20"/>
        </w:trPr>
        <w:tc>
          <w:tcPr>
            <w:tcW w:w="168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400" w:type="dxa"/>
            <w:vAlign w:val="bottom"/>
            <w:gridSpan w:val="7"/>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Policyholder Liabilities</w:t>
              </w:r>
            </w:hyperlink>
          </w:p>
        </w:tc>
        <w:tc>
          <w:tcPr>
            <w:tcW w:w="2040" w:type="dxa"/>
            <w:vAlign w:val="bottom"/>
            <w:gridSpan w:val="4"/>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75</w:t>
              </w:r>
            </w:hyperlink>
          </w:p>
        </w:tc>
        <w:tc>
          <w:tcPr>
            <w:tcW w:w="100" w:type="dxa"/>
            <w:vAlign w:val="bottom"/>
          </w:tcPr>
          <w:p>
            <w:pPr>
              <w:spacing w:after="0"/>
              <w:rPr>
                <w:sz w:val="21"/>
                <w:szCs w:val="21"/>
                <w:color w:val="auto"/>
              </w:rPr>
            </w:pPr>
          </w:p>
        </w:tc>
      </w:tr>
      <w:tr>
        <w:trPr>
          <w:trHeight w:val="20"/>
        </w:trPr>
        <w:tc>
          <w:tcPr>
            <w:tcW w:w="1680" w:type="dxa"/>
            <w:vAlign w:val="bottom"/>
            <w:gridSpan w:val="5"/>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320" w:type="dxa"/>
            <w:vAlign w:val="bottom"/>
            <w:gridSpan w:val="6"/>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Liquidity and Capital Resources</w:t>
              </w:r>
            </w:hyperlink>
          </w:p>
        </w:tc>
        <w:tc>
          <w:tcPr>
            <w:tcW w:w="2120" w:type="dxa"/>
            <w:vAlign w:val="bottom"/>
            <w:gridSpan w:val="5"/>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78</w:t>
              </w:r>
            </w:hyperlink>
          </w:p>
        </w:tc>
        <w:tc>
          <w:tcPr>
            <w:tcW w:w="100" w:type="dxa"/>
            <w:vAlign w:val="bottom"/>
          </w:tcPr>
          <w:p>
            <w:pPr>
              <w:spacing w:after="0"/>
              <w:rPr>
                <w:sz w:val="21"/>
                <w:szCs w:val="21"/>
                <w:color w:val="auto"/>
              </w:rPr>
            </w:pPr>
          </w:p>
        </w:tc>
      </w:tr>
      <w:tr>
        <w:trPr>
          <w:trHeight w:val="20"/>
        </w:trPr>
        <w:tc>
          <w:tcPr>
            <w:tcW w:w="2320" w:type="dxa"/>
            <w:vAlign w:val="bottom"/>
            <w:gridSpan w:val="6"/>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40" w:type="dxa"/>
            <w:vAlign w:val="bottom"/>
            <w:gridSpan w:val="11"/>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Note Regarding Forward-Looking Statements</w:t>
              </w:r>
            </w:hyperlink>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86</w:t>
              </w:r>
            </w:hyperlink>
          </w:p>
        </w:tc>
        <w:tc>
          <w:tcPr>
            <w:tcW w:w="100" w:type="dxa"/>
            <w:vAlign w:val="bottom"/>
          </w:tcPr>
          <w:p>
            <w:pPr>
              <w:spacing w:after="0"/>
              <w:rPr>
                <w:sz w:val="21"/>
                <w:szCs w:val="21"/>
                <w:color w:val="auto"/>
              </w:rPr>
            </w:pPr>
          </w:p>
        </w:tc>
      </w:tr>
      <w:tr>
        <w:trPr>
          <w:trHeight w:val="507"/>
        </w:trPr>
        <w:tc>
          <w:tcPr>
            <w:tcW w:w="8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6300" w:type="dxa"/>
            <w:vAlign w:val="bottom"/>
          </w:tcPr>
          <w:p>
            <w:pPr>
              <w:jc w:val="right"/>
              <w:ind w:right="489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60"/>
          </w:cols>
          <w:pgMar w:left="240" w:top="126" w:right="49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purposes of this discussion, unless otherwise mentioned or unless the context indicates otherwise, “Brighthouse,” “Brighthouse Financial,” the “Company,” “we,” “our” and “us” refer to Brighthouse Financial, Inc. a corporation incorporated in Delaware in 2016, and its subsidiaries. We use the term “BHF” to refer solely to Brighthouse Financial, Inc., and not to any of its subsidiaries. Until August 4, 2017, BHF was a wholly-owned subsidiary of MetLife, Inc. (together with its subsidiaries and affiliates, “MetLife”). Following this summary is a discussion addressing the consolidated results of operations and financial condition of the Company for the periods indicated. This Management’s Discussion and Analysis of Financial Condition and Results of Operations should be read in conjunction with (i) the unaudited interim condensed consolidated financial statements and related notes included elsewhere herein; (ii) our Annual Report on Form 10-K for the year ended December 31, 2018, filed with the U.S. Securities and Exchange Commission (“SEC”) on February 26, 2019 (the “2018 Annual Report”); (iii) our Quarterly Report on Form 10-Q for the quarter ended March 31, 2019 (the “First Quarter Form 10-Q”) filed with the SEC on May 7, 2019; (iv) our Quarterly Report on Form 10-Q for the quarter ended June 30, 2019 (the “Second Quarter Form 10-Q”) filed with the SEC on August 6, 2019; and (v) our current reports on Form 8-K filed in 2019.</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term “Separation” refers to the separation of MetLife’s former Brighthouse Financial segment from MetLife’s other businesses and the creation of a separate, publicly traded company, BHF, as well as the distribution on August 4, 2017 of 96,776,670, or 80.8%, of the 119,773,106 shares of BHF common stock outstanding immediately prior to the distribution date by MetLife, Inc. to holders of MetLife, Inc. common stock as of the record date for the distribution. The term “MetLife Divestiture” refers to the disposition by MetLife, Inc. on June 14, 2018 of all its remaining shares of BHF common stock. Effective with the MetLife Divestiture, MetLife, Inc. and its subsidiaries and affiliates are no longer considered related parties to BHF and its subsidiaries and affiliates.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discussing our Results of Operations, we present background information and definitions that we believe are useful to understanding the discussion of our financial results. This information precedes the Results of Operations and is most beneficial when read in the sequence presented. A summary of key informational sections is as follows:</w:t>
      </w:r>
    </w:p>
    <w:p>
      <w:pPr>
        <w:spacing w:after="0" w:line="7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Summary” provides information regarding our business, segments and results as discussed in the Results of Operations.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“Industry Trends” discusses updates and changes to a number of trends and uncertainties included in the 2018 Annual Report that we believe may materially affect our future financial condition, results of operations or cash flows.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“Summary of Critical Accounting Estimates” explains the most critical estimates and judgments applied in determining our GAAP results.</w:t>
      </w:r>
    </w:p>
    <w:p>
      <w:pPr>
        <w:spacing w:after="0" w:line="128" w:lineRule="exact"/>
        <w:rPr>
          <w:rFonts w:ascii="Arial" w:cs="Arial" w:eastAsia="Arial" w:hAnsi="Arial"/>
          <w:sz w:val="17"/>
          <w:szCs w:val="17"/>
          <w:color w:val="auto"/>
        </w:rPr>
      </w:pPr>
    </w:p>
    <w:p>
      <w:pPr>
        <w:jc w:val="both"/>
        <w:ind w:left="660" w:hanging="328"/>
        <w:spacing w:after="0" w:line="276"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“Non-GAAP and Other Financial Disclosures” defines key financial measures presented in the Results of Operations that are not calculated in accordance with accounting principles generally accepted in the United States of America (“GAAP”) but are used by management in evaluating company and segment performance. As described in this section, adjusted earnings is presented by key business activities which are derived from, but different than, the line items presented in the GAAP statement of operations. This section also refers to certain other terms used to describe our insurance business and financial and operating metrics, but is not intended to be exhaustive.</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amounts presented in prior periods within the foregoing discussions of our financial results have been reclassified to conform with the current year presentation.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one of the largest providers of annuity and life insurance products in the United States through multiple independent distribution channels and marketing arrangements with a diverse network of distribution partners.</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operating purposes, we have established three segments: (i) Annuities, (ii) Life and (iii) Run-off, which consists of operations relating to products we are not actively selling and which are separately managed. In addition, we report certain of our results of operations in Corporate &amp; Other.</w:t>
      </w:r>
    </w:p>
    <w:p>
      <w:pPr>
        <w:spacing w:after="0" w:line="3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Management’s Discussion and Analysis of Financial Condition and Results of Operations is intended to help the reader understand the results of operations, financial condition and cash flows of Brighthouse for the periods indicated. See “Management’s Discussion and Analysis of Financial Condition and Results of Operations — Executive Summary — Overview,” and “Business — Segments and Corporate &amp; Other” included in the 2018 Annual Report along with Note 2 of the Notes to the Interim Condensed Consolidated Financial Statements for further information on our segments and Corporate &amp; Other.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6" w:right="2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table below presents a summary of our net income (loss) available to shareholders and adjusted earnings, a non-GAAP financial measure. See “— Non-GAAP and Other Financial Disclosures.” For a detailed discussion of our results see “— Results of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Net income (loss) available to shareholders before provision for income tax</w:t>
            </w: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880" w:type="dxa"/>
            <w:vAlign w:val="bottom"/>
          </w:tcPr>
          <w:p>
            <w:pPr>
              <w:spacing w:after="0"/>
              <w:rPr>
                <w:sz w:val="20"/>
                <w:szCs w:val="20"/>
                <w:color w:val="auto"/>
              </w:rPr>
            </w:pPr>
          </w:p>
        </w:tc>
        <w:tc>
          <w:tcPr>
            <w:tcW w:w="600" w:type="dxa"/>
            <w:vAlign w:val="bottom"/>
          </w:tcPr>
          <w:p>
            <w:pPr>
              <w:jc w:val="right"/>
              <w:ind w:right="121"/>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60"/>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33"/>
        </w:trPr>
        <w:tc>
          <w:tcPr>
            <w:tcW w:w="5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(1)</w:t>
            </w: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Pre-tax adjusted earnings, less net income attributable to noncontrolling</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interests and preferred stock dividends</w:t>
            </w: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880" w:type="dxa"/>
            <w:vAlign w:val="bottom"/>
          </w:tcPr>
          <w:p>
            <w:pPr>
              <w:spacing w:after="0"/>
              <w:rPr>
                <w:sz w:val="20"/>
                <w:szCs w:val="20"/>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33"/>
        </w:trPr>
        <w:tc>
          <w:tcPr>
            <w:tcW w:w="5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earnings</w:t>
            </w: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30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right="20" w:hanging="49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use the term “net income (loss) available to shareholders” to refer to “net income (loss) available to Brighthouse Financial, Inc.’s common shareholders” throughout the results of operations discussions.</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For the three months ended September 30, 2019, we had net income available to shareholders of $676 million and adjusted earnings were a loss of $169 million, compared to a net loss available to shareholders of $271 million and adjusted earnings of $270 million for the three months ended September 30, 2018. The net income available to shareholders for the three months ended September 30, 2019 was driven primarily by declining long-term interest rates which resulted in favorable comparative changes in the estimated fair value of the universal life with secondary guarantees (“ULSG”) hedging program and net favorable changes in guaranteed minimum living benefits (“GMLB”) riders (“GMLB Riders”), partially offset by an unfavorable impact from our annual actuarial review (“AAR”) which is reflected in the adjusted earnings loss. For the nine months ended September 30, 2019, we had net income available to shareholders of $316 million and adjusted earnings of $317 million, compared to a net loss available to shareholders of $577 million and adjusted earnings of $706 million for the nine months ended September 30, 2018. The net income available to shareholders for the nine months ended September 30, 2019 was driven by favorable comparative changes in the estimated fair value of the ULSG hedging program due to declining long-term interest rates and net investment gains, partially offset by lower adjusted earnings, which included an unfavorable impact from the AAR and net unfavorable results in GMLB Riders as impacts from higher equity markets more than offset the impacts from declining long-term interest rates.</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 of the Notes to the Interim Condensed Consolidated Financial Statements for information regarding the adoption of new accounting pronouncements in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the 2018 Annual Report, as amended or supplemented by such information in the First Quarter Form 10-Q and the Second Quarter Form 10-Q, for a comprehensive discussion of some of the key general trends and uncertainties that have influenced the development of our business and our historical financial performance and that we believe will continue to influence our business and results of operations in the future. In addition, significant changes or updates in certain of these trends and uncertainties are discussed below.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6" w:right="2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Our life insurance companies are regulated primarily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(“ERISA”), consumer protection laws, securities, broker-dealer and investment advisor regulations, as well as environmental and unclaimed property laws and regulations. See “Business — Regulation,” as well as “Risk Factors — Regulatory and Legal Risks” included in our 2018 Annual Report, as amended or supplemented herein and in our Second Quarter Form 10-Q under the heading “Management’s Discussion and Analysis of Financial Condition and Results of Operations — Industry Trends — Regulatory Developments”.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Standard of Conduct Regulation</w:t>
      </w:r>
    </w:p>
    <w:p>
      <w:pPr>
        <w:spacing w:after="0" w:line="117" w:lineRule="exact"/>
        <w:rPr>
          <w:sz w:val="20"/>
          <w:szCs w:val="20"/>
          <w:color w:val="auto"/>
        </w:rPr>
      </w:pPr>
    </w:p>
    <w:p>
      <w:pPr>
        <w:jc w:val="both"/>
        <w:ind w:left="180" w:firstLine="324"/>
        <w:spacing w:after="0" w:line="284" w:lineRule="auto"/>
        <w:rPr>
          <w:sz w:val="20"/>
          <w:szCs w:val="20"/>
          <w:color w:val="auto"/>
        </w:rPr>
      </w:pPr>
      <w:r>
        <w:rPr>
          <w:rFonts w:ascii="Arial" w:cs="Arial" w:eastAsia="Arial" w:hAnsi="Arial"/>
          <w:sz w:val="16"/>
          <w:szCs w:val="16"/>
          <w:color w:val="auto"/>
        </w:rPr>
        <w:t>As a result of overlapping efforts by the Department of Labor (the “DOL”), the National Association of Insurance Commissioners (the “NAIC”), individual states, and the SEC to impose fiduciary-like requirements in connection with the sale of annuities, life insurance policies and securities, there have been a number of proposed or adopted changes to the laws and regulations that govern the conduct of our business and the firms that distribute our products. While we manufacture annuity and life insurance products, we do not directly distribute our products to consumers. However, regulations establishing standards of conduct in connection with the distribution and sale of these products could affect our business by imposing greater compliance, oversight, disclosure and notification requirements on our distributors and/or us, which may in either case increase our costs or limit distribution of our products. Earlier this year, the DOL indicated that it may issue a new proposed rule on fiduciary investment advice under ERISA in 2019. At this time, we cannot predict the content or form of any such rule or its impact on our business, results of operations and financial condition. See “Business — Regulation</w:t>
      </w:r>
    </w:p>
    <w:p>
      <w:pPr>
        <w:spacing w:after="0" w:line="1"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 Standard of Conduct Regulation — Department of Labor Fiduciary Rule” and “Risk Factors — Regulatory and Legal Risks — Our insurance business is highly regulated, and changes in regulation and in supervisory and enforcement policies may materially impact our capitalization or cash flows, reduce our profitability and limit our growth” in our 2018 Annual Report.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adopt accounting policies and make estimates and assumptions that affect amounts reported on the Interim Condensed Consolidated Financial Statements.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most critical estimates include those used in determining:</w:t>
      </w:r>
    </w:p>
    <w:p>
      <w:pPr>
        <w:spacing w:after="0" w:line="171" w:lineRule="exact"/>
        <w:rPr>
          <w:sz w:val="20"/>
          <w:szCs w:val="20"/>
          <w:color w:val="auto"/>
        </w:rPr>
      </w:pPr>
    </w:p>
    <w:p>
      <w:pPr>
        <w:ind w:left="660" w:hanging="49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liabilities for future policy benefits;</w:t>
      </w:r>
    </w:p>
    <w:p>
      <w:pPr>
        <w:spacing w:after="0" w:line="171" w:lineRule="exact"/>
        <w:rPr>
          <w:rFonts w:ascii="Arial" w:cs="Arial" w:eastAsia="Arial" w:hAnsi="Arial"/>
          <w:sz w:val="18"/>
          <w:szCs w:val="18"/>
          <w:color w:val="auto"/>
        </w:rPr>
      </w:pPr>
    </w:p>
    <w:p>
      <w:pPr>
        <w:ind w:left="660" w:hanging="49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accounting for reinsurance;</w:t>
      </w:r>
    </w:p>
    <w:p>
      <w:pPr>
        <w:spacing w:after="0" w:line="171" w:lineRule="exact"/>
        <w:rPr>
          <w:rFonts w:ascii="Arial" w:cs="Arial" w:eastAsia="Arial" w:hAnsi="Arial"/>
          <w:sz w:val="18"/>
          <w:szCs w:val="18"/>
          <w:color w:val="auto"/>
        </w:rPr>
      </w:pPr>
    </w:p>
    <w:p>
      <w:pPr>
        <w:ind w:left="660" w:hanging="49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capitalization and amortization of deferred policy acquisition costs (“DAC”) and amortization of value of business acquired (“VOBA”);</w:t>
      </w:r>
    </w:p>
    <w:p>
      <w:pPr>
        <w:spacing w:after="0" w:line="171" w:lineRule="exact"/>
        <w:rPr>
          <w:rFonts w:ascii="Arial" w:cs="Arial" w:eastAsia="Arial" w:hAnsi="Arial"/>
          <w:sz w:val="18"/>
          <w:szCs w:val="18"/>
          <w:color w:val="auto"/>
        </w:rPr>
      </w:pPr>
    </w:p>
    <w:p>
      <w:pPr>
        <w:ind w:left="660" w:hanging="49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estimated fair values of investments in the absence of quoted market values;</w:t>
      </w:r>
    </w:p>
    <w:p>
      <w:pPr>
        <w:spacing w:after="0" w:line="171" w:lineRule="exact"/>
        <w:rPr>
          <w:rFonts w:ascii="Arial" w:cs="Arial" w:eastAsia="Arial" w:hAnsi="Arial"/>
          <w:sz w:val="18"/>
          <w:szCs w:val="18"/>
          <w:color w:val="auto"/>
        </w:rPr>
      </w:pPr>
    </w:p>
    <w:p>
      <w:pPr>
        <w:ind w:left="660" w:hanging="49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 impairments;</w:t>
      </w:r>
    </w:p>
    <w:p>
      <w:pPr>
        <w:spacing w:after="0" w:line="171" w:lineRule="exact"/>
        <w:rPr>
          <w:rFonts w:ascii="Arial" w:cs="Arial" w:eastAsia="Arial" w:hAnsi="Arial"/>
          <w:sz w:val="18"/>
          <w:szCs w:val="18"/>
          <w:color w:val="auto"/>
        </w:rPr>
      </w:pPr>
    </w:p>
    <w:p>
      <w:pPr>
        <w:ind w:left="660" w:hanging="490"/>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estimated fair values of freestanding derivatives and the recognition and estimated fair value of embedded derivatives requiring bifurcation;</w:t>
      </w:r>
    </w:p>
    <w:p>
      <w:pPr>
        <w:spacing w:after="0" w:line="182" w:lineRule="exact"/>
        <w:rPr>
          <w:rFonts w:ascii="Arial" w:cs="Arial" w:eastAsia="Arial" w:hAnsi="Arial"/>
          <w:sz w:val="17"/>
          <w:szCs w:val="17"/>
          <w:color w:val="auto"/>
        </w:rPr>
      </w:pPr>
    </w:p>
    <w:p>
      <w:pPr>
        <w:ind w:left="660" w:hanging="49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measurement of income taxes and the valuation of deferred tax assets; and</w:t>
      </w:r>
    </w:p>
    <w:p>
      <w:pPr>
        <w:spacing w:after="0" w:line="171" w:lineRule="exact"/>
        <w:rPr>
          <w:rFonts w:ascii="Arial" w:cs="Arial" w:eastAsia="Arial" w:hAnsi="Arial"/>
          <w:sz w:val="18"/>
          <w:szCs w:val="18"/>
          <w:color w:val="auto"/>
        </w:rPr>
      </w:pPr>
    </w:p>
    <w:p>
      <w:pPr>
        <w:ind w:left="660" w:hanging="49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liabilities for litigation and regulatory matters.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above critical accounting estimates are described in “Management’s Discussion and Analysis of Financial Condition and Results of Operations — Summary of Critical Accounting Estimates” and Note 1 of the Notes to the Consolidated and Combined Financial Statements included in the 2018 Annual Report.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6" w:right="2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and Other Financial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definitions of the non-GAAP and other financial measures may differ from those used by other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Disclosures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Adjusted Earnings</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In this report, we present adjusted earnings, which excludes net income (loss) attributable to noncontrolling interests and preferred stock dividends, as a measure of our performance that is not calculated in accordance with GAAP. We believe that this non-GAAP financial measure highlights our results of operations and the underlying profitability drivers of our business, as well as enhances the understanding of our performance by the investor community. However,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7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Adjusted earnings, which may be positive or negative, is used by management to evaluate performance, allocate resources and facilitate comparisons to industry results. This financial measure focuses on our primary businesses principally by excluding the impact of market volatility, which could distort trends.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Net derivative gains (losses) except earned income on derivatives and amortization of premium on derivatives that are hedges of investments or that are used to replicate certain investments, but do not qualify for hedge accounting treatment (“Investment Hedge Adjustments”); and</w:t>
      </w:r>
    </w:p>
    <w:p>
      <w:pPr>
        <w:spacing w:after="0" w:line="15"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variable annuity guaranteed minimum income benefits (“GMIBs”) fees (“GMIB Fees”) and amortization of unearned revenue related to net investment gains (losses) and net derivative gains (losses).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Amortization of DAC and VOBA related to (i) net investment gains (losses), (ii) net derivative gains (losses), (iii) GMIB Fees and GMIB Costs and (iv) Market Value Adjustments.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tax impact of the adjustments mentioned is calculated net of the statutory tax rate, which could differ from our effective tax rate.</w:t>
      </w:r>
    </w:p>
    <w:p>
      <w:pPr>
        <w:spacing w:after="0" w:line="117" w:lineRule="exact"/>
        <w:rPr>
          <w:sz w:val="20"/>
          <w:szCs w:val="20"/>
          <w:color w:val="auto"/>
        </w:rPr>
      </w:pPr>
    </w:p>
    <w:p>
      <w:pPr>
        <w:ind w:left="180" w:firstLine="324"/>
        <w:spacing w:after="0" w:line="342" w:lineRule="auto"/>
        <w:rPr>
          <w:sz w:val="20"/>
          <w:szCs w:val="20"/>
          <w:color w:val="auto"/>
        </w:rPr>
      </w:pPr>
      <w:r>
        <w:rPr>
          <w:rFonts w:ascii="Arial" w:cs="Arial" w:eastAsia="Arial" w:hAnsi="Arial"/>
          <w:sz w:val="16"/>
          <w:szCs w:val="16"/>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Component of Adjusted Earnings</w:t>
            </w:r>
          </w:p>
        </w:tc>
        <w:tc>
          <w:tcPr>
            <w:tcW w:w="72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b w:val="1"/>
                <w:bCs w:val="1"/>
                <w:color w:val="auto"/>
              </w:rPr>
              <w:t>How Derived from GAAP (1)</w:t>
            </w:r>
          </w:p>
        </w:tc>
      </w:tr>
      <w:tr>
        <w:trPr>
          <w:trHeight w:val="229"/>
        </w:trPr>
        <w:tc>
          <w:tcPr>
            <w:tcW w:w="20" w:type="dxa"/>
            <w:vAlign w:val="bottom"/>
          </w:tcPr>
          <w:p>
            <w:pPr>
              <w:spacing w:after="0"/>
              <w:rPr>
                <w:sz w:val="19"/>
                <w:szCs w:val="19"/>
                <w:color w:val="auto"/>
              </w:rPr>
            </w:pPr>
          </w:p>
        </w:tc>
        <w:tc>
          <w:tcPr>
            <w:tcW w:w="4120" w:type="dxa"/>
            <w:vAlign w:val="bottom"/>
          </w:tcPr>
          <w:p>
            <w:pPr>
              <w:ind w:left="260"/>
              <w:spacing w:after="0"/>
              <w:rPr>
                <w:sz w:val="20"/>
                <w:szCs w:val="20"/>
                <w:color w:val="auto"/>
              </w:rPr>
            </w:pPr>
            <w:r>
              <w:rPr>
                <w:rFonts w:ascii="Arial" w:cs="Arial" w:eastAsia="Arial" w:hAnsi="Arial"/>
                <w:sz w:val="18"/>
                <w:szCs w:val="18"/>
                <w:color w:val="auto"/>
              </w:rPr>
              <w:t>(i) Fee income</w:t>
            </w: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Universal life and investment-type policy fee</w:t>
            </w:r>
            <w:r>
              <w:rPr>
                <w:rFonts w:ascii="Arial" w:cs="Arial" w:eastAsia="Arial" w:hAnsi="Arial"/>
                <w:sz w:val="18"/>
                <w:szCs w:val="18"/>
                <w:color w:val="auto"/>
              </w:rPr>
              <w:t>s (excluding (a) unearned revenue</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w w:val="91"/>
              </w:rPr>
              <w:t>adjustments related to net investment gains (losses) and net derivative gains (losses)</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w w:val="93"/>
              </w:rPr>
              <w:t xml:space="preserve">and (b) GMIB Fees) plus </w:t>
            </w:r>
            <w:r>
              <w:rPr>
                <w:rFonts w:ascii="Arial" w:cs="Arial" w:eastAsia="Arial" w:hAnsi="Arial"/>
                <w:sz w:val="18"/>
                <w:szCs w:val="18"/>
                <w:i w:val="1"/>
                <w:iCs w:val="1"/>
                <w:color w:val="auto"/>
                <w:w w:val="93"/>
              </w:rPr>
              <w:t>Other revenues</w:t>
            </w:r>
            <w:r>
              <w:rPr>
                <w:rFonts w:ascii="Arial" w:cs="Arial" w:eastAsia="Arial" w:hAnsi="Arial"/>
                <w:sz w:val="18"/>
                <w:szCs w:val="18"/>
                <w:color w:val="auto"/>
                <w:w w:val="93"/>
              </w:rPr>
              <w:t xml:space="preserve"> (excluding other revenues associated with</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rPr>
              <w:t>related party reinsurance) and amortization of deferred gain on reinsurance.</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(ii) Net investment spread</w:t>
            </w: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i w:val="1"/>
                <w:iCs w:val="1"/>
                <w:color w:val="auto"/>
              </w:rPr>
              <w:t>Net investment income</w:t>
            </w:r>
            <w:r>
              <w:rPr>
                <w:rFonts w:ascii="Arial" w:cs="Arial" w:eastAsia="Arial" w:hAnsi="Arial"/>
                <w:sz w:val="18"/>
                <w:szCs w:val="18"/>
                <w:color w:val="auto"/>
              </w:rPr>
              <w:t xml:space="preserve"> plus Investment Hedge Adjustments and interest received on</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 xml:space="preserve">ceded fixed annuity reinsurance deposit funds reduced by </w:t>
            </w:r>
            <w:r>
              <w:rPr>
                <w:rFonts w:ascii="Arial" w:cs="Arial" w:eastAsia="Arial" w:hAnsi="Arial"/>
                <w:sz w:val="18"/>
                <w:szCs w:val="18"/>
                <w:i w:val="1"/>
                <w:iCs w:val="1"/>
                <w:color w:val="auto"/>
              </w:rPr>
              <w:t>Interest credited to</w:t>
            </w:r>
          </w:p>
        </w:tc>
      </w:t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i w:val="1"/>
                <w:iCs w:val="1"/>
                <w:color w:val="auto"/>
              </w:rPr>
              <w:t xml:space="preserve">policyholder account balances </w:t>
            </w:r>
            <w:r>
              <w:rPr>
                <w:rFonts w:ascii="Arial" w:cs="Arial" w:eastAsia="Arial" w:hAnsi="Arial"/>
                <w:sz w:val="18"/>
                <w:szCs w:val="18"/>
                <w:color w:val="auto"/>
              </w:rPr>
              <w:t>and interest on future policy benefits.</w:t>
            </w:r>
          </w:p>
        </w:tc>
      </w:tr>
      <w:tr>
        <w:trPr>
          <w:trHeight w:val="229"/>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(iii) Insurance-related activities</w:t>
            </w: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i w:val="1"/>
                <w:iCs w:val="1"/>
                <w:color w:val="auto"/>
              </w:rPr>
              <w:t>Premiums</w:t>
            </w:r>
            <w:r>
              <w:rPr>
                <w:rFonts w:ascii="Arial" w:cs="Arial" w:eastAsia="Arial" w:hAnsi="Arial"/>
                <w:sz w:val="18"/>
                <w:szCs w:val="18"/>
                <w:color w:val="auto"/>
              </w:rPr>
              <w:t xml:space="preserve"> less </w:t>
            </w:r>
            <w:r>
              <w:rPr>
                <w:rFonts w:ascii="Arial" w:cs="Arial" w:eastAsia="Arial" w:hAnsi="Arial"/>
                <w:sz w:val="18"/>
                <w:szCs w:val="18"/>
                <w:i w:val="1"/>
                <w:iCs w:val="1"/>
                <w:color w:val="auto"/>
              </w:rPr>
              <w:t>Policyholder benefits and claims</w:t>
            </w:r>
            <w:r>
              <w:rPr>
                <w:rFonts w:ascii="Arial" w:cs="Arial" w:eastAsia="Arial" w:hAnsi="Arial"/>
                <w:sz w:val="18"/>
                <w:szCs w:val="18"/>
                <w:color w:val="auto"/>
              </w:rPr>
              <w:t xml:space="preserve"> (excluding (a) GMIB Costs, (b)</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w w:val="93"/>
              </w:rPr>
              <w:t>Market Value Adjustments, (c) interest on future policy benefits and (d) amortization</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w w:val="98"/>
              </w:rPr>
              <w:t>of deferred gain on reinsurance) plus the pass through of performance of ceded</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rPr>
              <w:t>separate account assets.</w:t>
            </w: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(iv) Amortization of DAC and VOBA</w:t>
            </w: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i w:val="1"/>
                <w:iCs w:val="1"/>
                <w:color w:val="auto"/>
              </w:rPr>
              <w:t>Amortization of DAC and VOBA</w:t>
            </w:r>
            <w:r>
              <w:rPr>
                <w:rFonts w:ascii="Arial" w:cs="Arial" w:eastAsia="Arial" w:hAnsi="Arial"/>
                <w:sz w:val="18"/>
                <w:szCs w:val="18"/>
                <w:color w:val="auto"/>
              </w:rPr>
              <w:t xml:space="preserve"> (excluding amounts related to (a) net investment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2"/>
              </w:rPr>
              <w:t>gains (losses), (b) net derivative gains (losses), (c) GMIB Fees and GMIB Costs and</w:t>
            </w:r>
          </w:p>
        </w:tc>
      </w:t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 Market Value Adjustments).</w:t>
            </w:r>
          </w:p>
        </w:tc>
      </w:tr>
      <w:tr>
        <w:trPr>
          <w:trHeight w:val="243"/>
        </w:trPr>
        <w:tc>
          <w:tcPr>
            <w:tcW w:w="20" w:type="dxa"/>
            <w:vAlign w:val="bottom"/>
          </w:tcPr>
          <w:p>
            <w:pPr>
              <w:spacing w:after="0"/>
              <w:rPr>
                <w:sz w:val="21"/>
                <w:szCs w:val="21"/>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(v) Other expenses, net of DAC capitalization</w:t>
            </w:r>
          </w:p>
        </w:tc>
        <w:tc>
          <w:tcPr>
            <w:tcW w:w="7280" w:type="dxa"/>
            <w:vAlign w:val="bottom"/>
          </w:tcPr>
          <w:p>
            <w:pPr>
              <w:ind w:left="780"/>
              <w:spacing w:after="0"/>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i w:val="1"/>
                <w:iCs w:val="1"/>
                <w:color w:val="auto"/>
              </w:rPr>
              <w:t>Other expenses</w:t>
            </w:r>
            <w:r>
              <w:rPr>
                <w:rFonts w:ascii="Arial" w:cs="Arial" w:eastAsia="Arial" w:hAnsi="Arial"/>
                <w:sz w:val="18"/>
                <w:szCs w:val="18"/>
                <w:color w:val="auto"/>
              </w:rPr>
              <w:t xml:space="preserve"> reduced by capitalization of DAC.</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(vi) Provision for income tax expense (benefit)</w:t>
            </w:r>
          </w:p>
        </w:tc>
        <w:tc>
          <w:tcPr>
            <w:tcW w:w="7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(vi) Tax impact of the above items.</w:t>
            </w:r>
          </w:p>
        </w:tc>
      </w:tr>
      <w:tr>
        <w:trPr>
          <w:trHeight w:val="182"/>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______________</w:t>
            </w:r>
          </w:p>
        </w:tc>
        <w:tc>
          <w:tcPr>
            <w:tcW w:w="7280" w:type="dxa"/>
            <w:vAlign w:val="bottom"/>
          </w:tcPr>
          <w:p>
            <w:pPr>
              <w:spacing w:after="0"/>
              <w:rPr>
                <w:sz w:val="15"/>
                <w:szCs w:val="15"/>
                <w:color w:val="auto"/>
              </w:rPr>
            </w:pPr>
          </w:p>
        </w:tc>
      </w:tr>
    </w:tbl>
    <w:p>
      <w:pPr>
        <w:spacing w:after="0" w:line="73"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Italicized items indicate GAAP statement of operations line items.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Consistent with GAAP guidance for segment reporting, adjusted earnings is also our GAAP measure of segment performance. Accordingly, we report adjusted earnings by segment in Note 2 of the Notes to the Interim Condensed Consolidated Financial Statements.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Adjusted Net Investment Income</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We present adjusted net investment income, which is not calculated in accordance with GAAP. We present adjusted net investment income to measure our performance for management purposes, and we believe it enhances the understanding of our investment portfolio results. Adjusted net investment income represents net investment income including Investment Hedge Adjustments. For a reconciliation of adjusted net investment income to net investment income, the most directly comparable GAAP measure, see footnote 3 to the summary yield table located in “— Investments — Current Environment — Investment Portfolio Results.”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Disclosures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additional information is relevant to an understanding of our performance results:</w:t>
      </w:r>
    </w:p>
    <w:p>
      <w:pPr>
        <w:spacing w:after="0" w:line="117" w:lineRule="exact"/>
        <w:rPr>
          <w:sz w:val="20"/>
          <w:szCs w:val="20"/>
          <w:color w:val="auto"/>
        </w:rPr>
      </w:pPr>
    </w:p>
    <w:p>
      <w:pPr>
        <w:jc w:val="both"/>
        <w:ind w:left="820" w:right="20" w:hanging="326"/>
        <w:spacing w:after="0" w:line="257"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sometimes refer to sales activity for various products. Statistical sales information for life sales are calculated using the LIMRA (Life Insurance Marketing and Research Association) definition of sales for core direct sales, excluding company-sponsored internal exchanges, corporate-owned life insurance, bank-owned life insurance, and private placement variable universal life insurance. Annuity sales consist of 10% of direct statutory premiums, excluding company-sponsored internal exchanges. These sales statistics do not correspond to revenues under GAAP, but are used as relevant measures of business activity.</w:t>
      </w:r>
    </w:p>
    <w:p>
      <w:pPr>
        <w:spacing w:after="0" w:line="80" w:lineRule="exact"/>
        <w:rPr>
          <w:rFonts w:ascii="Arial" w:cs="Arial" w:eastAsia="Arial" w:hAnsi="Arial"/>
          <w:sz w:val="18"/>
          <w:szCs w:val="18"/>
          <w:color w:val="auto"/>
        </w:rPr>
      </w:pPr>
    </w:p>
    <w:p>
      <w:pPr>
        <w:jc w:val="both"/>
        <w:ind w:left="820" w:hanging="326"/>
        <w:spacing w:after="0" w:line="279" w:lineRule="auto"/>
        <w:tabs>
          <w:tab w:leader="none" w:pos="8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Similar to adjusted net investment income, we present net investment income yields as a performance measure we believe enhances the understanding of our investment portfolio results. Net investment income yields are calculated on adjusted net investment income as a percent of average quarterly asset carrying values. Asset carrying values exclude unrealized gains (losses), collateral received in connection with our securities lending program, freestanding derivative assets, and collateral received from derivative counterparties.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Actuarial Review</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Generally, in the third quarter of each year we conduct an AAR. The most significant impact from the 2019 AAR reflected the change in the long-term general account earned rate for GAAP, which lowered the base 10-year U.S. Treasury rate from 4.25% to 3.75%, which had the largest impact to our ULSG business in the Run-off segment. For our variable annuity business, in addition to the update in the long-term general account earned rate, we updated assumptions regarding separate account fund allocations and volatility, as well as maintenance expenses. In our life business, we updated assumptions related to mortality and expenses.</w:t>
      </w:r>
    </w:p>
    <w:p>
      <w:pPr>
        <w:spacing w:after="0" w:line="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result of the 2018 AAR, our variable annuity business reflected the alignment to the statutory variable annuity capital reform framework. These changes included lower lapse and utilization assumptions (consistent with updated Brighthouse policyholder experience and industry participants), as well as updates to the equity market scenario generator, as reflected in the framework. We also updated the tax rate to reflect the statutory tax rate change due to the 2017 tax reform. In our life business, we updated assumptions related to market returns, policyholder behavior and expenses.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presents the impact on pre-tax adjusted earnings and net income (loss) before provision for income tax from the AAR for the nine months ended September 30, 2019 and 2018. The impact related to GMLBs is included in net income (loss), but is not included in pre-tax adjusted earnings. See “— Non-GAAP and Other Financial Disclosures.”</w:t>
      </w:r>
    </w:p>
    <w:p>
      <w:pPr>
        <w:spacing w:after="0" w:line="227"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13335</wp:posOffset>
            </wp:positionV>
            <wp:extent cx="29584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5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920"/>
              <w:spacing w:after="0"/>
              <w:rPr>
                <w:sz w:val="20"/>
                <w:szCs w:val="20"/>
                <w:color w:val="auto"/>
              </w:rPr>
            </w:pPr>
            <w:r>
              <w:rPr>
                <w:rFonts w:ascii="Arial" w:cs="Arial" w:eastAsia="Arial" w:hAnsi="Arial"/>
                <w:sz w:val="14"/>
                <w:szCs w:val="14"/>
                <w:b w:val="1"/>
                <w:bCs w:val="1"/>
                <w:color w:val="auto"/>
              </w:rPr>
              <w:t>2018</w:t>
            </w:r>
          </w:p>
        </w:tc>
      </w:tr>
      <w:tr>
        <w:trPr>
          <w:trHeight w:val="250"/>
        </w:trPr>
        <w:tc>
          <w:tcPr>
            <w:tcW w:w="67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8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spacing w:after="0"/>
              <w:rPr>
                <w:sz w:val="21"/>
                <w:szCs w:val="2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GMLBs</w:t>
            </w:r>
          </w:p>
        </w:tc>
        <w:tc>
          <w:tcPr>
            <w:tcW w:w="1580" w:type="dxa"/>
            <w:vAlign w:val="bottom"/>
            <w:tcBorders>
              <w:bottom w:val="single" w:sz="8" w:color="CCEEFF"/>
            </w:tcBorders>
            <w:shd w:val="clear" w:color="auto" w:fill="CCEEFF"/>
          </w:tcPr>
          <w:p>
            <w:pPr>
              <w:jc w:val="right"/>
              <w:ind w:right="140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24"/>
        </w:trPr>
        <w:tc>
          <w:tcPr>
            <w:tcW w:w="6760" w:type="dxa"/>
            <w:vAlign w:val="bottom"/>
          </w:tcPr>
          <w:p>
            <w:pPr>
              <w:ind w:left="40"/>
              <w:spacing w:after="0"/>
              <w:rPr>
                <w:sz w:val="20"/>
                <w:szCs w:val="20"/>
                <w:color w:val="auto"/>
              </w:rPr>
            </w:pPr>
            <w:r>
              <w:rPr>
                <w:rFonts w:ascii="Arial" w:cs="Arial" w:eastAsia="Arial" w:hAnsi="Arial"/>
                <w:sz w:val="16"/>
                <w:szCs w:val="16"/>
                <w:color w:val="auto"/>
              </w:rPr>
              <w:t>Included in pre-tax adjusted earnings:</w:t>
            </w: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7"/>
        </w:trPr>
        <w:tc>
          <w:tcPr>
            <w:tcW w:w="67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50"/>
        </w:trPr>
        <w:tc>
          <w:tcPr>
            <w:tcW w:w="6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annuity business</w:t>
            </w: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r>
      <w:tr>
        <w:trPr>
          <w:trHeight w:val="237"/>
        </w:trPr>
        <w:tc>
          <w:tcPr>
            <w:tcW w:w="6760" w:type="dxa"/>
            <w:vAlign w:val="bottom"/>
          </w:tcPr>
          <w:p>
            <w:pPr>
              <w:ind w:left="200"/>
              <w:spacing w:after="0"/>
              <w:rPr>
                <w:sz w:val="20"/>
                <w:szCs w:val="20"/>
                <w:color w:val="auto"/>
              </w:rPr>
            </w:pPr>
            <w:r>
              <w:rPr>
                <w:rFonts w:ascii="Arial" w:cs="Arial" w:eastAsia="Arial" w:hAnsi="Arial"/>
                <w:sz w:val="16"/>
                <w:szCs w:val="16"/>
                <w:color w:val="auto"/>
              </w:rPr>
              <w:t>Life business</w:t>
            </w:r>
          </w:p>
        </w:tc>
        <w:tc>
          <w:tcPr>
            <w:tcW w:w="15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33"/>
        </w:trPr>
        <w:tc>
          <w:tcPr>
            <w:tcW w:w="6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Run-off</w:t>
            </w:r>
          </w:p>
        </w:tc>
        <w:tc>
          <w:tcPr>
            <w:tcW w:w="15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6760" w:type="dxa"/>
            <w:vAlign w:val="bottom"/>
          </w:tcPr>
          <w:p>
            <w:pPr>
              <w:ind w:left="40"/>
              <w:spacing w:after="0"/>
              <w:rPr>
                <w:sz w:val="20"/>
                <w:szCs w:val="20"/>
                <w:color w:val="auto"/>
              </w:rPr>
            </w:pPr>
            <w:r>
              <w:rPr>
                <w:rFonts w:ascii="Arial" w:cs="Arial" w:eastAsia="Arial" w:hAnsi="Arial"/>
                <w:sz w:val="16"/>
                <w:szCs w:val="16"/>
                <w:color w:val="auto"/>
              </w:rPr>
              <w:t>Total included in pre-tax adjusted earnings</w:t>
            </w:r>
          </w:p>
        </w:tc>
        <w:tc>
          <w:tcPr>
            <w:tcW w:w="15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186</w:t>
            </w:r>
          </w:p>
        </w:tc>
      </w:tr>
      <w:tr>
        <w:trPr>
          <w:trHeight w:val="33"/>
        </w:trPr>
        <w:tc>
          <w:tcPr>
            <w:tcW w:w="67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5"/>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impact on net income (loss) available to shareholders before provision for income tax</w:t>
            </w:r>
          </w:p>
        </w:tc>
        <w:tc>
          <w:tcPr>
            <w:tcW w:w="1580" w:type="dxa"/>
            <w:vAlign w:val="bottom"/>
            <w:tcBorders>
              <w:bottom w:val="single" w:sz="8" w:color="CCEEFF"/>
            </w:tcBorders>
            <w:shd w:val="clear" w:color="auto" w:fill="CCEEFF"/>
          </w:tcPr>
          <w:p>
            <w:pPr>
              <w:jc w:val="right"/>
              <w:ind w:right="140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and Nine Months Ended September 30, 2019 and 2018</w:t>
      </w:r>
    </w:p>
    <w:p>
      <w:pPr>
        <w:spacing w:after="0" w:line="1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 xml:space="preserve">Business Overview. </w:t>
      </w:r>
      <w:r>
        <w:rPr>
          <w:rFonts w:ascii="Arial" w:cs="Arial" w:eastAsia="Arial" w:hAnsi="Arial"/>
          <w:sz w:val="17"/>
          <w:szCs w:val="17"/>
          <w:color w:val="auto"/>
        </w:rPr>
        <w:t>Annuity sales increased 28% compared to the first nine months of 2018 driven by higher sales of our suite of structured annuities</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products marketed under various names (collectively, “Shield Annuities” or “Shield”), fixed indexed annuities and fixed annuities.</w:t>
      </w:r>
    </w:p>
    <w:p>
      <w:pPr>
        <w:spacing w:after="0" w:line="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otherwise noted, all amounts in the following discussions of our results of operations are stated before income tax except for adjusted earnings, which are presented net of income tax.</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Nine Months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60" w:type="dxa"/>
            <w:vAlign w:val="bottom"/>
            <w:gridSpan w:val="3"/>
          </w:tcPr>
          <w:p>
            <w:pPr>
              <w:jc w:val="right"/>
              <w:ind w:right="602"/>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Premiums</w:t>
            </w:r>
          </w:p>
        </w:tc>
        <w:tc>
          <w:tcPr>
            <w:tcW w:w="100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214</w:t>
            </w:r>
          </w:p>
        </w:tc>
        <w:tc>
          <w:tcPr>
            <w:tcW w:w="140" w:type="dxa"/>
            <w:vAlign w:val="bottom"/>
          </w:tcPr>
          <w:p>
            <w:pPr>
              <w:spacing w:after="0"/>
              <w:rPr>
                <w:sz w:val="20"/>
                <w:szCs w:val="20"/>
                <w:color w:val="auto"/>
              </w:rPr>
            </w:pP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20"/>
                <w:szCs w:val="20"/>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Universal life and investment-type product policy fees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867</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928</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2,681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2,476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investment gains (losses)</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derivative gains (losses)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1,057</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17"/>
        </w:trPr>
        <w:tc>
          <w:tcPr>
            <w:tcW w:w="4700" w:type="dxa"/>
            <w:vAlign w:val="bottom"/>
          </w:tcPr>
          <w:p>
            <w:pPr>
              <w:ind w:left="200"/>
              <w:spacing w:after="0"/>
              <w:rPr>
                <w:sz w:val="20"/>
                <w:szCs w:val="20"/>
                <w:color w:val="auto"/>
              </w:rPr>
            </w:pPr>
            <w:r>
              <w:rPr>
                <w:rFonts w:ascii="Arial" w:cs="Arial" w:eastAsia="Arial" w:hAnsi="Arial"/>
                <w:sz w:val="16"/>
                <w:szCs w:val="16"/>
                <w:color w:val="auto"/>
              </w:rPr>
              <w:t>Total revenues</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3,187</w:t>
            </w: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1,422</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6,248</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4,939</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7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Policyholder benefits and claims</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1,319</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2,936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2,373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credited to policyholder account balances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272</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Capitalization of DAC</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(93)</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DAC and VOBA</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Interest expense on debt</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655</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217"/>
        </w:trPr>
        <w:tc>
          <w:tcPr>
            <w:tcW w:w="4700" w:type="dxa"/>
            <w:vAlign w:val="bottom"/>
          </w:tcPr>
          <w:p>
            <w:pPr>
              <w:ind w:left="200"/>
              <w:spacing w:after="0"/>
              <w:rPr>
                <w:sz w:val="20"/>
                <w:szCs w:val="20"/>
                <w:color w:val="auto"/>
              </w:rPr>
            </w:pPr>
            <w:r>
              <w:rPr>
                <w:rFonts w:ascii="Arial" w:cs="Arial" w:eastAsia="Arial" w:hAnsi="Arial"/>
                <w:sz w:val="16"/>
                <w:szCs w:val="16"/>
                <w:color w:val="auto"/>
              </w:rPr>
              <w:t>Total expenses</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2,383</w:t>
            </w: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1,790</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5,928</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5,737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provision for income tax</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804</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119</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685</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 attributable to Brighthouse Financial, Inc.</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683</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Less: Preferred stock dividends</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 (loss) available to Brighthouse Financial, Inc.’s</w:t>
            </w:r>
          </w:p>
        </w:tc>
        <w:tc>
          <w:tcPr>
            <w:tcW w:w="1000" w:type="dxa"/>
            <w:vAlign w:val="bottom"/>
            <w:vMerge w:val="restart"/>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676</w:t>
            </w: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common shareholders</w:t>
            </w: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net income (loss) available to shareholders.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20" w:type="dxa"/>
            <w:vAlign w:val="bottom"/>
            <w:gridSpan w:val="3"/>
          </w:tcPr>
          <w:p>
            <w:pPr>
              <w:jc w:val="right"/>
              <w:ind w:right="402"/>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Nine Months Ended</w:t>
            </w:r>
          </w:p>
        </w:tc>
        <w:tc>
          <w:tcPr>
            <w:tcW w:w="960" w:type="dxa"/>
            <w:vAlign w:val="bottom"/>
          </w:tcPr>
          <w:p>
            <w:pPr>
              <w:spacing w:after="0"/>
              <w:rPr>
                <w:sz w:val="14"/>
                <w:szCs w:val="14"/>
                <w:color w:val="auto"/>
              </w:rPr>
            </w:pPr>
          </w:p>
        </w:tc>
      </w:tr>
      <w:tr>
        <w:trPr>
          <w:trHeight w:val="192"/>
        </w:trPr>
        <w:tc>
          <w:tcPr>
            <w:tcW w:w="4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4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20" w:type="dxa"/>
            <w:vAlign w:val="bottom"/>
            <w:gridSpan w:val="3"/>
          </w:tcPr>
          <w:p>
            <w:pPr>
              <w:jc w:val="right"/>
              <w:ind w:right="603"/>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GMLB Riders</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419</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derivative instruments</w:t>
            </w:r>
          </w:p>
        </w:tc>
        <w:tc>
          <w:tcPr>
            <w:tcW w:w="1000" w:type="dxa"/>
            <w:vAlign w:val="bottom"/>
          </w:tcPr>
          <w:p>
            <w:pPr>
              <w:spacing w:after="0"/>
              <w:rPr>
                <w:sz w:val="20"/>
                <w:szCs w:val="20"/>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636</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1,116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adjustments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46</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Pre-tax adjusted earnings, less net income attributable to</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9"/>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noncontrolling interests and preferred stock dividends</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819</w:t>
            </w:r>
          </w:p>
        </w:tc>
      </w:tr>
      <w:tr>
        <w:trPr>
          <w:trHeight w:val="200"/>
        </w:trPr>
        <w:tc>
          <w:tcPr>
            <w:tcW w:w="4700" w:type="dxa"/>
            <w:vAlign w:val="bottom"/>
          </w:tcPr>
          <w:p>
            <w:pPr>
              <w:ind w:left="40"/>
              <w:spacing w:after="0"/>
              <w:rPr>
                <w:sz w:val="20"/>
                <w:szCs w:val="20"/>
                <w:color w:val="auto"/>
              </w:rPr>
            </w:pPr>
            <w:r>
              <w:rPr>
                <w:rFonts w:ascii="Arial" w:cs="Arial" w:eastAsia="Arial" w:hAnsi="Arial"/>
                <w:sz w:val="16"/>
                <w:szCs w:val="16"/>
                <w:color w:val="auto"/>
              </w:rPr>
              <w:t>Net income (loss) available to shareholders before provision for</w:t>
            </w:r>
          </w:p>
        </w:tc>
        <w:tc>
          <w:tcPr>
            <w:tcW w:w="10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06"/>
        </w:trPr>
        <w:tc>
          <w:tcPr>
            <w:tcW w:w="4700" w:type="dxa"/>
            <w:vAlign w:val="bottom"/>
          </w:tcPr>
          <w:p>
            <w:pPr>
              <w:ind w:left="200"/>
              <w:spacing w:after="0"/>
              <w:rPr>
                <w:sz w:val="20"/>
                <w:szCs w:val="20"/>
                <w:color w:val="auto"/>
              </w:rPr>
            </w:pPr>
            <w:r>
              <w:rPr>
                <w:rFonts w:ascii="Arial" w:cs="Arial" w:eastAsia="Arial" w:hAnsi="Arial"/>
                <w:sz w:val="16"/>
                <w:szCs w:val="16"/>
                <w:color w:val="auto"/>
              </w:rPr>
              <w:t>income tax</w:t>
            </w:r>
          </w:p>
        </w:tc>
        <w:tc>
          <w:tcPr>
            <w:tcW w:w="1000" w:type="dxa"/>
            <w:vAlign w:val="bottom"/>
          </w:tcPr>
          <w:p>
            <w:pPr>
              <w:spacing w:after="0"/>
              <w:rPr>
                <w:sz w:val="17"/>
                <w:szCs w:val="17"/>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795</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(803)</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119</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17"/>
        </w:trPr>
        <w:tc>
          <w:tcPr>
            <w:tcW w:w="4700" w:type="dxa"/>
            <w:vAlign w:val="bottom"/>
          </w:tcPr>
          <w:p>
            <w:pPr>
              <w:ind w:left="180"/>
              <w:spacing w:after="0"/>
              <w:rPr>
                <w:sz w:val="20"/>
                <w:szCs w:val="20"/>
                <w:color w:val="auto"/>
              </w:rPr>
            </w:pPr>
            <w:r>
              <w:rPr>
                <w:rFonts w:ascii="Arial" w:cs="Arial" w:eastAsia="Arial" w:hAnsi="Arial"/>
                <w:sz w:val="16"/>
                <w:szCs w:val="16"/>
                <w:color w:val="auto"/>
              </w:rPr>
              <w:t>Net income (loss) available to shareholders</w:t>
            </w:r>
          </w:p>
        </w:tc>
        <w:tc>
          <w:tcPr>
            <w:tcW w:w="1000" w:type="dxa"/>
            <w:vAlign w:val="bottom"/>
            <w:tcBorders>
              <w:top w:val="single" w:sz="8" w:color="auto"/>
            </w:tcBorders>
          </w:tcPr>
          <w:p>
            <w:pPr>
              <w:jc w:val="right"/>
              <w:ind w:right="802"/>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676</w:t>
            </w:r>
          </w:p>
        </w:tc>
        <w:tc>
          <w:tcPr>
            <w:tcW w:w="140" w:type="dxa"/>
            <w:vAlign w:val="bottom"/>
          </w:tcPr>
          <w:p>
            <w:pPr>
              <w:spacing w:after="0"/>
              <w:rPr>
                <w:sz w:val="18"/>
                <w:szCs w:val="18"/>
                <w:color w:val="auto"/>
              </w:rPr>
            </w:pPr>
          </w:p>
        </w:tc>
        <w:tc>
          <w:tcPr>
            <w:tcW w:w="1060" w:type="dxa"/>
            <w:vAlign w:val="bottom"/>
            <w:tcBorders>
              <w:top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ind w:right="803"/>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(577)</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2019 Compared with the Three Months Ended September 30, 2018</w:t>
      </w:r>
    </w:p>
    <w:p>
      <w:pPr>
        <w:spacing w:after="0" w:line="117" w:lineRule="exact"/>
        <w:rPr>
          <w:sz w:val="20"/>
          <w:szCs w:val="20"/>
          <w:color w:val="auto"/>
        </w:rPr>
      </w:pPr>
    </w:p>
    <w:p>
      <w:pPr>
        <w:ind w:left="180" w:firstLine="324"/>
        <w:spacing w:after="0" w:line="308" w:lineRule="auto"/>
        <w:rPr>
          <w:sz w:val="20"/>
          <w:szCs w:val="20"/>
          <w:color w:val="auto"/>
        </w:rPr>
      </w:pPr>
      <w:r>
        <w:rPr>
          <w:rFonts w:ascii="Arial" w:cs="Arial" w:eastAsia="Arial" w:hAnsi="Arial"/>
          <w:sz w:val="17"/>
          <w:szCs w:val="17"/>
          <w:color w:val="auto"/>
        </w:rPr>
        <w:t>Net income available to shareholders before provision for income tax was $795 million ($676 million, net of income tax) an increase of $1.2 billion ($947 million, net of income tax) from a loss before provision for income tax of $370 million ($271 million, net of income tax) in the prior period.</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in income before provision for income tax was driven by the following key favorable items:</w:t>
      </w:r>
    </w:p>
    <w:p>
      <w:pPr>
        <w:spacing w:after="0" w:line="117" w:lineRule="exact"/>
        <w:rPr>
          <w:sz w:val="20"/>
          <w:szCs w:val="20"/>
          <w:color w:val="auto"/>
        </w:rPr>
      </w:pPr>
    </w:p>
    <w:p>
      <w:pPr>
        <w:ind w:left="1300" w:hanging="320"/>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earnings from GMLB Riders, discussed in greater detail in “— GMLB Riders for the Three Months and Nine Months Ended September 30, 2019 and 2018”;</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current period gains on interest rate swaptions and swaps in our ULSG hedging program from declining long-term interest rates; and</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higher net investment gains reflecting current period net gains on sales of fixed maturity securities compared to prior period losses.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in income before provision for income tax was partially offset by lower adjusted earnings discussed in greater detail below.</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in the current period led to an effective tax rate of 15%, compared to 27% in the prior period. Our effective tax rate primarily differs from the statutory tax rate due to the impacts of the dividends received deductions and tax credits.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2019 Compared with the Nine Months Ended September 30, 2018</w:t>
      </w:r>
    </w:p>
    <w:p>
      <w:pPr>
        <w:spacing w:after="0" w:line="117" w:lineRule="exact"/>
        <w:rPr>
          <w:sz w:val="20"/>
          <w:szCs w:val="20"/>
          <w:color w:val="auto"/>
        </w:rPr>
      </w:pPr>
    </w:p>
    <w:p>
      <w:pPr>
        <w:ind w:left="180" w:firstLine="324"/>
        <w:spacing w:after="0" w:line="308" w:lineRule="auto"/>
        <w:rPr>
          <w:sz w:val="20"/>
          <w:szCs w:val="20"/>
          <w:color w:val="auto"/>
        </w:rPr>
      </w:pPr>
      <w:r>
        <w:rPr>
          <w:rFonts w:ascii="Arial" w:cs="Arial" w:eastAsia="Arial" w:hAnsi="Arial"/>
          <w:sz w:val="17"/>
          <w:szCs w:val="17"/>
          <w:color w:val="auto"/>
        </w:rPr>
        <w:t>Net income available to shareholders before provision for income tax was $302 million ($316 million, net of income tax), an increase of $1.1 billion ($893 million, net of income tax) from a loss before provision for income tax of $803 million ($577 million, net of income tax) in the prior period.</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in income before provision for income tax was driven by the following key favorable items:</w:t>
      </w:r>
    </w:p>
    <w:p>
      <w:pPr>
        <w:spacing w:after="0" w:line="117" w:lineRule="exact"/>
        <w:rPr>
          <w:sz w:val="20"/>
          <w:szCs w:val="20"/>
          <w:color w:val="auto"/>
        </w:rPr>
      </w:pPr>
    </w:p>
    <w:p>
      <w:pPr>
        <w:ind w:left="1300" w:hanging="320"/>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current period gains on interest rate swaps and swaptions in our ULSG hedging program from declining long-term interest rates;</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change in net investment gains (losses) reflecting:</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current period net gains on sales of fixed maturity securities compared to prior period losses; and</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current period net mark-to-market gains on equity securities compared to prior period net losses,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960" w:hanging="331"/>
        <w:spacing w:after="0"/>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prior period net gains on real estate joint ventures.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in income before provision for income tax was partially offset by the following key unfavorable items:</w:t>
      </w:r>
    </w:p>
    <w:p>
      <w:pPr>
        <w:spacing w:after="0" w:line="117" w:lineRule="exact"/>
        <w:rPr>
          <w:sz w:val="20"/>
          <w:szCs w:val="20"/>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adjusted earnings, discussed in greater detail below;</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losses from GMLB Riders, discussed in greater detail in “— GMLB Riders for the Three Months and Nine Months Ended September 30, 2019 and 2018”;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00" w:right="20" w:hanging="320"/>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policyholder benefits and claims, included in other adjustments, resulting from the adjustment for market performance related to participating products in the Run-off segment.</w:t>
      </w:r>
    </w:p>
    <w:p>
      <w:pPr>
        <w:spacing w:after="0" w:line="62"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Certain one-time tax adjustments recognized in the current period, primarily due to a revaluation of certain Separation-related liabilities, resulted in an unusually low effective tax rate of 5%, compared to 28% in the prior period. In addition to such one-time tax adjustments, our effective tax rate differs from the statutory tax rate due to the ongoing impacts of the dividends received deductions and tax credits.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Shareholders to Adjusted Earnings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2019</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Annuities</w:t>
            </w:r>
          </w:p>
        </w:tc>
        <w:tc>
          <w:tcPr>
            <w:tcW w:w="200" w:type="dxa"/>
            <w:vAlign w:val="bottom"/>
          </w:tcPr>
          <w:p>
            <w:pPr>
              <w:spacing w:after="0"/>
              <w:rPr>
                <w:sz w:val="14"/>
                <w:szCs w:val="14"/>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Run-off</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Corporate &amp;</w:t>
            </w:r>
          </w:p>
        </w:tc>
        <w:tc>
          <w:tcPr>
            <w:tcW w:w="240" w:type="dxa"/>
            <w:vAlign w:val="bottom"/>
          </w:tcPr>
          <w:p>
            <w:pPr>
              <w:spacing w:after="0"/>
              <w:rPr>
                <w:sz w:val="14"/>
                <w:szCs w:val="14"/>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37"/>
        </w:trPr>
        <w:tc>
          <w:tcPr>
            <w:tcW w:w="5580" w:type="dxa"/>
            <w:vAlign w:val="bottom"/>
            <w:gridSpan w:val="3"/>
          </w:tcPr>
          <w:p>
            <w:pPr>
              <w:ind w:left="40"/>
              <w:spacing w:after="0"/>
              <w:rPr>
                <w:sz w:val="20"/>
                <w:szCs w:val="20"/>
                <w:color w:val="auto"/>
              </w:rPr>
            </w:pPr>
            <w:r>
              <w:rPr>
                <w:rFonts w:ascii="Arial" w:cs="Arial" w:eastAsia="Arial" w:hAnsi="Arial"/>
                <w:sz w:val="16"/>
                <w:szCs w:val="16"/>
                <w:color w:val="auto"/>
              </w:rPr>
              <w:t>Add: Provision for income tax expense (benefit)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37"/>
        </w:trPr>
        <w:tc>
          <w:tcPr>
            <w:tcW w:w="5580" w:type="dxa"/>
            <w:vAlign w:val="bottom"/>
            <w:gridSpan w:val="3"/>
          </w:tcPr>
          <w:p>
            <w:pPr>
              <w:ind w:left="40"/>
              <w:spacing w:after="0"/>
              <w:rPr>
                <w:sz w:val="20"/>
                <w:szCs w:val="20"/>
                <w:color w:val="auto"/>
              </w:rPr>
            </w:pPr>
            <w:r>
              <w:rPr>
                <w:rFonts w:ascii="Arial" w:cs="Arial" w:eastAsia="Arial" w:hAnsi="Arial"/>
                <w:sz w:val="16"/>
                <w:szCs w:val="16"/>
                <w:color w:val="auto"/>
              </w:rPr>
              <w:t>Less: GMLB Riders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37"/>
        </w:trPr>
        <w:tc>
          <w:tcPr>
            <w:tcW w:w="5580" w:type="dxa"/>
            <w:vAlign w:val="bottom"/>
            <w:gridSpan w:val="3"/>
          </w:tcPr>
          <w:p>
            <w:pPr>
              <w:ind w:left="40"/>
              <w:spacing w:after="0"/>
              <w:rPr>
                <w:sz w:val="20"/>
                <w:szCs w:val="20"/>
                <w:color w:val="auto"/>
              </w:rPr>
            </w:pPr>
            <w:r>
              <w:rPr>
                <w:rFonts w:ascii="Arial" w:cs="Arial" w:eastAsia="Arial" w:hAnsi="Arial"/>
                <w:sz w:val="16"/>
                <w:szCs w:val="16"/>
                <w:color w:val="auto"/>
              </w:rPr>
              <w:t>Less: Net investment gains (losses)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0"/>
        </w:trPr>
        <w:tc>
          <w:tcPr>
            <w:tcW w:w="5580" w:type="dxa"/>
            <w:vAlign w:val="bottom"/>
            <w:gridSpan w:val="3"/>
          </w:tcPr>
          <w:p>
            <w:pPr>
              <w:ind w:left="40"/>
              <w:spacing w:after="0"/>
              <w:rPr>
                <w:sz w:val="20"/>
                <w:szCs w:val="20"/>
                <w:color w:val="auto"/>
              </w:rPr>
            </w:pPr>
            <w:r>
              <w:rPr>
                <w:rFonts w:ascii="Arial" w:cs="Arial" w:eastAsia="Arial" w:hAnsi="Arial"/>
                <w:sz w:val="16"/>
                <w:szCs w:val="16"/>
                <w:color w:val="auto"/>
                <w:w w:val="96"/>
              </w:rPr>
              <w:t>Pre-tax adjusted earnings, less net income attributable to noncontrolling interests</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400" w:type="dxa"/>
            <w:vAlign w:val="bottom"/>
            <w:gridSpan w:val="2"/>
          </w:tcPr>
          <w:p>
            <w:pPr>
              <w:ind w:left="20"/>
              <w:spacing w:after="0"/>
              <w:rPr>
                <w:sz w:val="20"/>
                <w:szCs w:val="20"/>
                <w:color w:val="auto"/>
              </w:rPr>
            </w:pPr>
            <w:r>
              <w:rPr>
                <w:rFonts w:ascii="Arial" w:cs="Arial" w:eastAsia="Arial" w:hAnsi="Arial"/>
                <w:sz w:val="16"/>
                <w:szCs w:val="16"/>
                <w:color w:val="auto"/>
              </w:rPr>
              <w:t>and preferred stock dividends</w:t>
            </w:r>
          </w:p>
        </w:tc>
        <w:tc>
          <w:tcPr>
            <w:tcW w:w="2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7"/>
        </w:trPr>
        <w:tc>
          <w:tcPr>
            <w:tcW w:w="5580" w:type="dxa"/>
            <w:vAlign w:val="bottom"/>
            <w:gridSpan w:val="3"/>
          </w:tcPr>
          <w:p>
            <w:pPr>
              <w:ind w:left="40"/>
              <w:spacing w:after="0"/>
              <w:rPr>
                <w:sz w:val="20"/>
                <w:szCs w:val="20"/>
                <w:color w:val="auto"/>
              </w:rPr>
            </w:pPr>
            <w:r>
              <w:rPr>
                <w:rFonts w:ascii="Arial" w:cs="Arial" w:eastAsia="Arial" w:hAnsi="Arial"/>
                <w:sz w:val="16"/>
                <w:szCs w:val="16"/>
                <w:color w:val="auto"/>
              </w:rPr>
              <w:t>Adjusted earnings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Three Months Ended September 30, 2018</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0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540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6"/>
        </w:trPr>
        <w:tc>
          <w:tcPr>
            <w:tcW w:w="180" w:type="dxa"/>
            <w:vAlign w:val="bottom"/>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Annuities</w:t>
            </w:r>
          </w:p>
        </w:tc>
        <w:tc>
          <w:tcPr>
            <w:tcW w:w="200" w:type="dxa"/>
            <w:vAlign w:val="bottom"/>
          </w:tcPr>
          <w:p>
            <w:pPr>
              <w:spacing w:after="0"/>
              <w:rPr>
                <w:sz w:val="24"/>
                <w:szCs w:val="24"/>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24"/>
                <w:szCs w:val="2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Run-off</w:t>
            </w: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Corporate &amp;</w:t>
            </w:r>
          </w:p>
        </w:tc>
        <w:tc>
          <w:tcPr>
            <w:tcW w:w="240" w:type="dxa"/>
            <w:vAlign w:val="bottom"/>
          </w:tcPr>
          <w:p>
            <w:pPr>
              <w:spacing w:after="0"/>
              <w:rPr>
                <w:sz w:val="24"/>
                <w:szCs w:val="24"/>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37"/>
        </w:trPr>
        <w:tc>
          <w:tcPr>
            <w:tcW w:w="5580" w:type="dxa"/>
            <w:vAlign w:val="bottom"/>
            <w:gridSpan w:val="3"/>
          </w:tcPr>
          <w:p>
            <w:pPr>
              <w:ind w:left="40"/>
              <w:spacing w:after="0"/>
              <w:rPr>
                <w:sz w:val="20"/>
                <w:szCs w:val="20"/>
                <w:color w:val="auto"/>
              </w:rPr>
            </w:pPr>
            <w:r>
              <w:rPr>
                <w:rFonts w:ascii="Arial" w:cs="Arial" w:eastAsia="Arial" w:hAnsi="Arial"/>
                <w:sz w:val="16"/>
                <w:szCs w:val="16"/>
                <w:color w:val="auto"/>
              </w:rPr>
              <w:t>Add: Provision for income tax expense (benefit)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37"/>
        </w:trPr>
        <w:tc>
          <w:tcPr>
            <w:tcW w:w="5580" w:type="dxa"/>
            <w:vAlign w:val="bottom"/>
            <w:gridSpan w:val="3"/>
          </w:tcPr>
          <w:p>
            <w:pPr>
              <w:ind w:left="40"/>
              <w:spacing w:after="0"/>
              <w:rPr>
                <w:sz w:val="20"/>
                <w:szCs w:val="20"/>
                <w:color w:val="auto"/>
              </w:rPr>
            </w:pPr>
            <w:r>
              <w:rPr>
                <w:rFonts w:ascii="Arial" w:cs="Arial" w:eastAsia="Arial" w:hAnsi="Arial"/>
                <w:sz w:val="16"/>
                <w:szCs w:val="16"/>
                <w:color w:val="auto"/>
              </w:rPr>
              <w:t>Less: GMLB Riders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5580" w:type="dxa"/>
            <w:vAlign w:val="bottom"/>
            <w:gridSpan w:val="3"/>
          </w:tcPr>
          <w:p>
            <w:pPr>
              <w:ind w:left="40"/>
              <w:spacing w:after="0"/>
              <w:rPr>
                <w:sz w:val="20"/>
                <w:szCs w:val="20"/>
                <w:color w:val="auto"/>
              </w:rPr>
            </w:pPr>
            <w:r>
              <w:rPr>
                <w:rFonts w:ascii="Arial" w:cs="Arial" w:eastAsia="Arial" w:hAnsi="Arial"/>
                <w:sz w:val="16"/>
                <w:szCs w:val="16"/>
                <w:color w:val="auto"/>
              </w:rPr>
              <w:t>Less: Net investment gains (losses)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0"/>
        </w:trPr>
        <w:tc>
          <w:tcPr>
            <w:tcW w:w="5580" w:type="dxa"/>
            <w:vAlign w:val="bottom"/>
            <w:gridSpan w:val="3"/>
          </w:tcPr>
          <w:p>
            <w:pPr>
              <w:ind w:left="40"/>
              <w:spacing w:after="0"/>
              <w:rPr>
                <w:sz w:val="20"/>
                <w:szCs w:val="20"/>
                <w:color w:val="auto"/>
              </w:rPr>
            </w:pPr>
            <w:r>
              <w:rPr>
                <w:rFonts w:ascii="Arial" w:cs="Arial" w:eastAsia="Arial" w:hAnsi="Arial"/>
                <w:sz w:val="16"/>
                <w:szCs w:val="16"/>
                <w:color w:val="auto"/>
                <w:w w:val="96"/>
              </w:rPr>
              <w:t>Pre-tax adjusted earnings, less net income attributable to noncontrolling interests</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400" w:type="dxa"/>
            <w:vAlign w:val="bottom"/>
            <w:gridSpan w:val="2"/>
          </w:tcPr>
          <w:p>
            <w:pPr>
              <w:ind w:left="20"/>
              <w:spacing w:after="0"/>
              <w:rPr>
                <w:sz w:val="20"/>
                <w:szCs w:val="20"/>
                <w:color w:val="auto"/>
              </w:rPr>
            </w:pPr>
            <w:r>
              <w:rPr>
                <w:rFonts w:ascii="Arial" w:cs="Arial" w:eastAsia="Arial" w:hAnsi="Arial"/>
                <w:sz w:val="16"/>
                <w:szCs w:val="16"/>
                <w:color w:val="auto"/>
              </w:rPr>
              <w:t>and preferred stock dividends</w:t>
            </w:r>
          </w:p>
        </w:tc>
        <w:tc>
          <w:tcPr>
            <w:tcW w:w="2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5580" w:type="dxa"/>
            <w:vAlign w:val="bottom"/>
            <w:gridSpan w:val="3"/>
          </w:tcPr>
          <w:p>
            <w:pPr>
              <w:ind w:left="40"/>
              <w:spacing w:after="0"/>
              <w:rPr>
                <w:sz w:val="20"/>
                <w:szCs w:val="20"/>
                <w:color w:val="auto"/>
              </w:rPr>
            </w:pPr>
            <w:r>
              <w:rPr>
                <w:rFonts w:ascii="Arial" w:cs="Arial" w:eastAsia="Arial" w:hAnsi="Arial"/>
                <w:sz w:val="16"/>
                <w:szCs w:val="16"/>
                <w:color w:val="auto"/>
              </w:rPr>
              <w:t>Adjusted earnings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2019</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Annuities</w:t>
            </w:r>
          </w:p>
        </w:tc>
        <w:tc>
          <w:tcPr>
            <w:tcW w:w="200" w:type="dxa"/>
            <w:vAlign w:val="bottom"/>
          </w:tcPr>
          <w:p>
            <w:pPr>
              <w:spacing w:after="0"/>
              <w:rPr>
                <w:sz w:val="14"/>
                <w:szCs w:val="14"/>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Run-off</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Corporate &amp;</w:t>
            </w:r>
          </w:p>
        </w:tc>
        <w:tc>
          <w:tcPr>
            <w:tcW w:w="260" w:type="dxa"/>
            <w:vAlign w:val="bottom"/>
          </w:tcPr>
          <w:p>
            <w:pPr>
              <w:spacing w:after="0"/>
              <w:rPr>
                <w:sz w:val="14"/>
                <w:szCs w:val="14"/>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Add: Provision for income tax expense (benefit)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Less: GMLB Riders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(1,144)</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Less: Net investment gains (losses)</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0"/>
        </w:trPr>
        <w:tc>
          <w:tcPr>
            <w:tcW w:w="5620" w:type="dxa"/>
            <w:vAlign w:val="bottom"/>
            <w:gridSpan w:val="3"/>
          </w:tcPr>
          <w:p>
            <w:pPr>
              <w:ind w:left="40"/>
              <w:spacing w:after="0"/>
              <w:rPr>
                <w:sz w:val="20"/>
                <w:szCs w:val="20"/>
                <w:color w:val="auto"/>
              </w:rPr>
            </w:pPr>
            <w:r>
              <w:rPr>
                <w:rFonts w:ascii="Arial" w:cs="Arial" w:eastAsia="Arial" w:hAnsi="Arial"/>
                <w:sz w:val="16"/>
                <w:szCs w:val="16"/>
                <w:color w:val="auto"/>
                <w:w w:val="97"/>
              </w:rPr>
              <w:t>Pre-tax adjusted earnings, less net income attributable to noncontrolling interests</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440" w:type="dxa"/>
            <w:vAlign w:val="bottom"/>
            <w:gridSpan w:val="2"/>
          </w:tcPr>
          <w:p>
            <w:pPr>
              <w:ind w:left="20"/>
              <w:spacing w:after="0"/>
              <w:rPr>
                <w:sz w:val="20"/>
                <w:szCs w:val="20"/>
                <w:color w:val="auto"/>
              </w:rPr>
            </w:pPr>
            <w:r>
              <w:rPr>
                <w:rFonts w:ascii="Arial" w:cs="Arial" w:eastAsia="Arial" w:hAnsi="Arial"/>
                <w:sz w:val="16"/>
                <w:szCs w:val="16"/>
                <w:color w:val="auto"/>
              </w:rPr>
              <w:t>and preferred stock dividends</w:t>
            </w:r>
          </w:p>
        </w:tc>
        <w:tc>
          <w:tcPr>
            <w:tcW w:w="18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Adjusted earnings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Nine Months Ended September 30, 2018</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4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54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6"/>
        </w:trPr>
        <w:tc>
          <w:tcPr>
            <w:tcW w:w="180" w:type="dxa"/>
            <w:vAlign w:val="bottom"/>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Annuities</w:t>
            </w:r>
          </w:p>
        </w:tc>
        <w:tc>
          <w:tcPr>
            <w:tcW w:w="200" w:type="dxa"/>
            <w:vAlign w:val="bottom"/>
          </w:tcPr>
          <w:p>
            <w:pPr>
              <w:spacing w:after="0"/>
              <w:rPr>
                <w:sz w:val="24"/>
                <w:szCs w:val="24"/>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24"/>
                <w:szCs w:val="2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Run-off</w:t>
            </w: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Corporate &amp;</w:t>
            </w:r>
          </w:p>
        </w:tc>
        <w:tc>
          <w:tcPr>
            <w:tcW w:w="260" w:type="dxa"/>
            <w:vAlign w:val="bottom"/>
          </w:tcPr>
          <w:p>
            <w:pPr>
              <w:spacing w:after="0"/>
              <w:rPr>
                <w:sz w:val="24"/>
                <w:szCs w:val="24"/>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Add: Provision for income tax expense (benefit)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Less: GMLB Riders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Less: Net investment gains (losses)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0"/>
        </w:trPr>
        <w:tc>
          <w:tcPr>
            <w:tcW w:w="5620" w:type="dxa"/>
            <w:vAlign w:val="bottom"/>
            <w:gridSpan w:val="3"/>
          </w:tcPr>
          <w:p>
            <w:pPr>
              <w:ind w:left="40"/>
              <w:spacing w:after="0"/>
              <w:rPr>
                <w:sz w:val="20"/>
                <w:szCs w:val="20"/>
                <w:color w:val="auto"/>
              </w:rPr>
            </w:pPr>
            <w:r>
              <w:rPr>
                <w:rFonts w:ascii="Arial" w:cs="Arial" w:eastAsia="Arial" w:hAnsi="Arial"/>
                <w:sz w:val="16"/>
                <w:szCs w:val="16"/>
                <w:color w:val="auto"/>
                <w:w w:val="97"/>
              </w:rPr>
              <w:t>Pre-tax adjusted earnings, less net income attributable to noncontrolling interests</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440" w:type="dxa"/>
            <w:vAlign w:val="bottom"/>
            <w:gridSpan w:val="2"/>
          </w:tcPr>
          <w:p>
            <w:pPr>
              <w:ind w:left="20"/>
              <w:spacing w:after="0"/>
              <w:rPr>
                <w:sz w:val="20"/>
                <w:szCs w:val="20"/>
                <w:color w:val="auto"/>
              </w:rPr>
            </w:pPr>
            <w:r>
              <w:rPr>
                <w:rFonts w:ascii="Arial" w:cs="Arial" w:eastAsia="Arial" w:hAnsi="Arial"/>
                <w:sz w:val="16"/>
                <w:szCs w:val="16"/>
                <w:color w:val="auto"/>
              </w:rPr>
              <w:t>and preferred stock dividends</w:t>
            </w:r>
          </w:p>
        </w:tc>
        <w:tc>
          <w:tcPr>
            <w:tcW w:w="18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Adjusted earnings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6" w:right="2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and Nine Months Ended September 30, 2019 and 2018 — Adjusted Earnings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3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r>
      <w:tr>
        <w:trPr>
          <w:trHeight w:val="250"/>
        </w:trPr>
        <w:tc>
          <w:tcPr>
            <w:tcW w:w="5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893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2,713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3,040</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40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1,227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1,037</w:t>
            </w:r>
          </w:p>
        </w:tc>
      </w:tr>
      <w:tr>
        <w:trPr>
          <w:trHeight w:val="33"/>
        </w:trPr>
        <w:tc>
          <w:tcPr>
            <w:tcW w:w="5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(380)</w:t>
            </w:r>
          </w:p>
        </w:tc>
      </w:tr>
      <w:tr>
        <w:trPr>
          <w:trHeight w:val="33"/>
        </w:trPr>
        <w:tc>
          <w:tcPr>
            <w:tcW w:w="5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(1,974)</w:t>
            </w:r>
          </w:p>
        </w:tc>
      </w:tr>
      <w:tr>
        <w:trPr>
          <w:trHeight w:val="220"/>
        </w:trPr>
        <w:tc>
          <w:tcPr>
            <w:tcW w:w="5380" w:type="dxa"/>
            <w:vAlign w:val="bottom"/>
          </w:tcPr>
          <w:p>
            <w:pPr>
              <w:ind w:left="40"/>
              <w:spacing w:after="0"/>
              <w:rPr>
                <w:sz w:val="20"/>
                <w:szCs w:val="20"/>
                <w:color w:val="auto"/>
              </w:rPr>
            </w:pPr>
            <w:r>
              <w:rPr>
                <w:rFonts w:ascii="Arial" w:cs="Arial" w:eastAsia="Arial" w:hAnsi="Arial"/>
                <w:sz w:val="16"/>
                <w:szCs w:val="16"/>
                <w:color w:val="auto"/>
                <w:w w:val="98"/>
              </w:rPr>
              <w:t>Less: Net income (loss) attributable to noncontrolling interests and preferred</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5380" w:type="dxa"/>
            <w:vAlign w:val="bottom"/>
          </w:tcPr>
          <w:p>
            <w:pPr>
              <w:ind w:left="200"/>
              <w:spacing w:after="0"/>
              <w:rPr>
                <w:sz w:val="20"/>
                <w:szCs w:val="20"/>
                <w:color w:val="auto"/>
              </w:rPr>
            </w:pPr>
            <w:r>
              <w:rPr>
                <w:rFonts w:ascii="Arial" w:cs="Arial" w:eastAsia="Arial" w:hAnsi="Arial"/>
                <w:sz w:val="16"/>
                <w:szCs w:val="16"/>
                <w:color w:val="auto"/>
              </w:rPr>
              <w:t>stock dividends</w:t>
            </w:r>
          </w:p>
        </w:tc>
        <w:tc>
          <w:tcPr>
            <w:tcW w:w="400" w:type="dxa"/>
            <w:vAlign w:val="bottom"/>
          </w:tcPr>
          <w:p>
            <w:pPr>
              <w:spacing w:after="0"/>
              <w:rPr>
                <w:sz w:val="17"/>
                <w:szCs w:val="17"/>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33"/>
        </w:trPr>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0"/>
        </w:trPr>
        <w:tc>
          <w:tcPr>
            <w:tcW w:w="5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Pre-tax adjusted earnings, less net income attributable to noncontrolling</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9"/>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interests and preferred stock dividends</w:t>
            </w:r>
          </w:p>
        </w:tc>
        <w:tc>
          <w:tcPr>
            <w:tcW w:w="4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819</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113</w:t>
            </w:r>
          </w:p>
        </w:tc>
      </w:tr>
      <w:tr>
        <w:trPr>
          <w:trHeight w:val="33"/>
        </w:trPr>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Adjusted earnings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2019 Compared with the Three Months Ended September 30,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a loss of $169 million, a decrease of $439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unfavorable impacts were:</w:t>
      </w:r>
    </w:p>
    <w:p>
      <w:pPr>
        <w:spacing w:after="0" w:line="117" w:lineRule="exact"/>
        <w:rPr>
          <w:sz w:val="20"/>
          <w:szCs w:val="20"/>
          <w:color w:val="auto"/>
        </w:rPr>
      </w:pPr>
    </w:p>
    <w:p>
      <w:pPr>
        <w:ind w:left="1300" w:hanging="320"/>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w:t>
      </w:r>
    </w:p>
    <w:p>
      <w:pPr>
        <w:spacing w:after="0" w:line="117" w:lineRule="exact"/>
        <w:rPr>
          <w:rFonts w:ascii="Arial" w:cs="Arial" w:eastAsia="Arial" w:hAnsi="Arial"/>
          <w:sz w:val="18"/>
          <w:szCs w:val="18"/>
          <w:color w:val="auto"/>
        </w:rPr>
      </w:pPr>
    </w:p>
    <w:p>
      <w:pPr>
        <w:ind w:left="1460" w:right="540" w:firstLine="169"/>
        <w:spacing w:after="0" w:line="375" w:lineRule="auto"/>
        <w:tabs>
          <w:tab w:leader="none" w:pos="194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 increase in liability balances resulting from changes in connection with the AAR in our Run-off and Annuities segments, partially offset by</w:t>
      </w:r>
    </w:p>
    <w:p>
      <w:pPr>
        <w:spacing w:after="0" w:line="1" w:lineRule="exact"/>
        <w:rPr>
          <w:rFonts w:ascii="Arial" w:cs="Arial" w:eastAsia="Arial" w:hAnsi="Arial"/>
          <w:sz w:val="18"/>
          <w:szCs w:val="18"/>
          <w:color w:val="auto"/>
        </w:rPr>
      </w:pPr>
    </w:p>
    <w:p>
      <w:pPr>
        <w:ind w:left="1960" w:hanging="331"/>
        <w:spacing w:after="0"/>
        <w:tabs>
          <w:tab w:leader="none" w:pos="19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 decrease in liability balances, primarily in our Run-off segment, from the net impact of recapture transactions in the prior period;</w:t>
      </w:r>
    </w:p>
    <w:p>
      <w:pPr>
        <w:spacing w:after="0" w:line="140" w:lineRule="exact"/>
        <w:rPr>
          <w:rFonts w:ascii="Arial" w:cs="Arial" w:eastAsia="Arial" w:hAnsi="Arial"/>
          <w:sz w:val="16"/>
          <w:szCs w:val="16"/>
          <w:color w:val="auto"/>
        </w:rPr>
      </w:pPr>
    </w:p>
    <w:p>
      <w:pPr>
        <w:ind w:left="1300" w:hanging="320"/>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amortization of DAC and VOBA, primarily in our Annuities segment, driven by:</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 unfavorable impact in the current period in connection with the AAR; and</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less favorable equity market performance in the current period;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fee income due to:</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higher ceded cost of insurance fees on certain ULSG business driven by the aging in-force; and</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lower asset-based fees resulting from lower average separate account balances, a portion of which are offset in other expenses.</w:t>
      </w:r>
    </w:p>
    <w:p>
      <w:pPr>
        <w:spacing w:after="0" w:line="140"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decrease in adjusted earnings was partially offset by higher net investment spread and lower other expenses from lower establishment costs in the current period related to planned technology expenses.</w:t>
      </w:r>
    </w:p>
    <w:p>
      <w:pPr>
        <w:spacing w:after="0" w:line="62"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in the current period led to an effective tax rate of 38%, compared to 13% in the prior period. Our effective tax rate primarily differs from the statutory tax rate due to the impacts of the dividends received deductions and tax credits.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2019 Compared with the Nine Months Ended September 30,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$317 million, a decrease of $389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unfavorable impacts were:</w:t>
      </w:r>
    </w:p>
    <w:p>
      <w:pPr>
        <w:spacing w:after="0" w:line="117" w:lineRule="exact"/>
        <w:rPr>
          <w:sz w:val="20"/>
          <w:szCs w:val="20"/>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w:t>
      </w:r>
    </w:p>
    <w:p>
      <w:pPr>
        <w:spacing w:after="0" w:line="117" w:lineRule="exact"/>
        <w:rPr>
          <w:rFonts w:ascii="Arial" w:cs="Arial" w:eastAsia="Arial" w:hAnsi="Arial"/>
          <w:sz w:val="18"/>
          <w:szCs w:val="18"/>
          <w:color w:val="auto"/>
        </w:rPr>
      </w:pPr>
    </w:p>
    <w:p>
      <w:pPr>
        <w:ind w:left="1460" w:right="540" w:firstLine="169"/>
        <w:spacing w:after="0" w:line="402" w:lineRule="auto"/>
        <w:tabs>
          <w:tab w:leader="none" w:pos="194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 increase in liability balances resulting from changes in connection with the AAR in our Run-off and Annuities segments, partially offset by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60" w:hanging="331"/>
        <w:spacing w:after="0"/>
        <w:tabs>
          <w:tab w:leader="none" w:pos="19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 decrease in liability balances, primarily in our Run-off segment, from the net impact of recapture transactions in the prior period;</w:t>
      </w:r>
    </w:p>
    <w:p>
      <w:pPr>
        <w:spacing w:after="0" w:line="140" w:lineRule="exact"/>
        <w:rPr>
          <w:rFonts w:ascii="Arial" w:cs="Arial" w:eastAsia="Arial" w:hAnsi="Arial"/>
          <w:sz w:val="16"/>
          <w:szCs w:val="16"/>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fee income due to:</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lower asset-based fees resulting from lower average separate account balances, a portion of which are offset in other expenses; and</w:t>
      </w:r>
    </w:p>
    <w:p>
      <w:pPr>
        <w:spacing w:after="0" w:line="140" w:lineRule="exact"/>
        <w:rPr>
          <w:rFonts w:ascii="Arial" w:cs="Arial" w:eastAsia="Arial" w:hAnsi="Arial"/>
          <w:sz w:val="16"/>
          <w:szCs w:val="16"/>
          <w:color w:val="auto"/>
        </w:rPr>
      </w:pPr>
    </w:p>
    <w:p>
      <w:pPr>
        <w:ind w:left="1960" w:hanging="331"/>
        <w:spacing w:after="0"/>
        <w:tabs>
          <w:tab w:leader="none" w:pos="19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lower fee income in our ULSG business due to the net reimbursement of fees for recapture transactions in the prior period;</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higher amortization of DAC and VOBA driven by an unfavorable net impact in the current period in connection with the AAR.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adjusted earnings was partially offset by:</w:t>
      </w:r>
    </w:p>
    <w:p>
      <w:pPr>
        <w:spacing w:after="0" w:line="117" w:lineRule="exact"/>
        <w:rPr>
          <w:sz w:val="20"/>
          <w:szCs w:val="20"/>
          <w:color w:val="auto"/>
        </w:rPr>
      </w:pPr>
    </w:p>
    <w:p>
      <w:pPr>
        <w:ind w:left="1300" w:hanging="320"/>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net investment spread reflecting:</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higher average invested assets from positive net flows; and</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repositioning of the investment portfolio out of U.S. Treasuries into higher yielding assets;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lower establishment costs in the current period related to planned technology expenses;</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exit of various transition service agreements with MetLife; and</w:t>
      </w:r>
    </w:p>
    <w:p>
      <w:pPr>
        <w:spacing w:after="0" w:line="117" w:lineRule="exact"/>
        <w:rPr>
          <w:rFonts w:ascii="Arial" w:cs="Arial" w:eastAsia="Arial" w:hAnsi="Arial"/>
          <w:sz w:val="18"/>
          <w:szCs w:val="18"/>
          <w:color w:val="auto"/>
        </w:rPr>
      </w:pPr>
    </w:p>
    <w:p>
      <w:pPr>
        <w:ind w:left="1960" w:hanging="331"/>
        <w:spacing w:after="0" w:line="277" w:lineRule="auto"/>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lower asset-based variable annuity expenses resulting from lower average separate account balances, a portion of which are offset in fee income.</w:t>
      </w:r>
    </w:p>
    <w:p>
      <w:pPr>
        <w:spacing w:after="0" w:line="62"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Certain one-time tax adjustments recognized in the current period, primarily due to a revaluation of certain Separation-related liabilities, resulted in an unusually low effective tax rate of 4%, compared to 14% in the prior period. In addition to such one-time tax adjustments, our effective tax rate differs from the statutory tax rate due to the ongoing impacts of the dividends received deductions and tax credits.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Segments and Corporate &amp; Other Results for the Three Months and Nine Months Ended September 30, 2019 and 2018 — Adjusted Earnings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our Annuities segment: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8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w w:val="98"/>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Nine Months Ended</w:t>
            </w:r>
          </w:p>
        </w:tc>
        <w:tc>
          <w:tcPr>
            <w:tcW w:w="1060" w:type="dxa"/>
            <w:vAlign w:val="bottom"/>
          </w:tcPr>
          <w:p>
            <w:pPr>
              <w:spacing w:after="0"/>
              <w:rPr>
                <w:sz w:val="14"/>
                <w:szCs w:val="14"/>
                <w:color w:val="auto"/>
              </w:rPr>
            </w:pPr>
          </w:p>
        </w:tc>
      </w:tr>
      <w:tr>
        <w:trPr>
          <w:trHeight w:val="192"/>
        </w:trPr>
        <w:tc>
          <w:tcPr>
            <w:tcW w:w="4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250"/>
        </w:trPr>
        <w:tc>
          <w:tcPr>
            <w:tcW w:w="436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2018</w:t>
            </w:r>
          </w:p>
        </w:tc>
      </w:tr>
      <w:tr>
        <w:trPr>
          <w:trHeight w:val="250"/>
        </w:trPr>
        <w:tc>
          <w:tcPr>
            <w:tcW w:w="4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gridSpan w:val="3"/>
          </w:tcPr>
          <w:p>
            <w:pPr>
              <w:jc w:val="right"/>
              <w:ind w:right="642"/>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715</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1,977</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2,166</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102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565</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1020" w:type="dxa"/>
            <w:vAlign w:val="bottom"/>
          </w:tcPr>
          <w:p>
            <w:pPr>
              <w:spacing w:after="0"/>
              <w:rPr>
                <w:sz w:val="20"/>
                <w:szCs w:val="20"/>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(1,242)</w:t>
            </w:r>
          </w:p>
        </w:tc>
      </w:tr>
      <w:tr>
        <w:trPr>
          <w:trHeight w:val="217"/>
        </w:trPr>
        <w:tc>
          <w:tcPr>
            <w:tcW w:w="4360" w:type="dxa"/>
            <w:vAlign w:val="bottom"/>
          </w:tcPr>
          <w:p>
            <w:pPr>
              <w:ind w:left="200"/>
              <w:spacing w:after="0"/>
              <w:rPr>
                <w:sz w:val="20"/>
                <w:szCs w:val="20"/>
                <w:color w:val="auto"/>
              </w:rPr>
            </w:pPr>
            <w:r>
              <w:rPr>
                <w:rFonts w:ascii="Arial" w:cs="Arial" w:eastAsia="Arial" w:hAnsi="Arial"/>
                <w:sz w:val="16"/>
                <w:szCs w:val="16"/>
                <w:color w:val="auto"/>
              </w:rPr>
              <w:t>Pre-tax adjusted earnings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1,025</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r>
      <w:tr>
        <w:trPr>
          <w:trHeight w:val="217"/>
        </w:trPr>
        <w:tc>
          <w:tcPr>
            <w:tcW w:w="4360" w:type="dxa"/>
            <w:vAlign w:val="bottom"/>
          </w:tcPr>
          <w:p>
            <w:pPr>
              <w:ind w:left="200"/>
              <w:spacing w:after="0"/>
              <w:rPr>
                <w:sz w:val="20"/>
                <w:szCs w:val="20"/>
                <w:color w:val="auto"/>
              </w:rPr>
            </w:pPr>
            <w:r>
              <w:rPr>
                <w:rFonts w:ascii="Arial" w:cs="Arial" w:eastAsia="Arial" w:hAnsi="Arial"/>
                <w:sz w:val="16"/>
                <w:szCs w:val="16"/>
                <w:color w:val="auto"/>
              </w:rPr>
              <w:t>Adjusted earnings</w:t>
            </w:r>
          </w:p>
        </w:tc>
        <w:tc>
          <w:tcPr>
            <w:tcW w:w="1020" w:type="dxa"/>
            <w:vAlign w:val="bottom"/>
            <w:tcBorders>
              <w:top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ind w:right="982"/>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848</w:t>
            </w:r>
          </w:p>
        </w:tc>
      </w:tr>
      <w:tr>
        <w:trPr>
          <w:trHeight w:val="33"/>
        </w:trPr>
        <w:tc>
          <w:tcPr>
            <w:tcW w:w="4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 significant portion of our adjusted earnings is driven by separate account balances related to our variable annuity business. Most directly, these balances determine asset-based fee income, but they also impact DAC amortization and asset-based commissions. Below is a rollforward of our variable annuities separate account balances. Variable annuities separate account balances decreased for the three months ended September 30, 2019 and increased for the nine months ended September 30, 2019. The three month decrease was driven by negative net flows and policy charges, partially offset by positive equity market performance. The nine month increase was driven by positive equity market performance, partially offset by negative net flows and policy charges.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580" w:type="dxa"/>
            <w:vAlign w:val="bottom"/>
          </w:tcPr>
          <w:p>
            <w:pPr>
              <w:jc w:val="right"/>
              <w:ind w:right="261"/>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2019</w:t>
            </w: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w w:val="91"/>
              </w:rPr>
              <w:t>September 30, 2019</w:t>
            </w:r>
          </w:p>
        </w:tc>
      </w:tr>
      <w:tr>
        <w:trPr>
          <w:trHeight w:val="250"/>
        </w:trPr>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99,013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91,923</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Deposits</w:t>
            </w:r>
          </w:p>
        </w:tc>
        <w:tc>
          <w:tcPr>
            <w:tcW w:w="220" w:type="dxa"/>
            <w:vAlign w:val="bottom"/>
          </w:tcPr>
          <w:p>
            <w:pPr>
              <w:spacing w:after="0"/>
              <w:rPr>
                <w:sz w:val="20"/>
                <w:szCs w:val="20"/>
                <w:color w:val="auto"/>
              </w:rPr>
            </w:pPr>
          </w:p>
        </w:tc>
        <w:tc>
          <w:tcPr>
            <w:tcW w:w="1740" w:type="dxa"/>
            <w:vAlign w:val="bottom"/>
          </w:tcPr>
          <w:p>
            <w:pPr>
              <w:jc w:val="right"/>
              <w:ind w:right="41"/>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959</w:t>
            </w:r>
          </w:p>
        </w:tc>
      </w:tr>
      <w:tr>
        <w:trPr>
          <w:trHeight w:val="33"/>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Withdrawals, surrenders and contract benefits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(2,430)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(7,212)</w:t>
            </w:r>
          </w:p>
        </w:tc>
      </w:tr>
      <w:tr>
        <w:trPr>
          <w:trHeight w:val="217"/>
        </w:trPr>
        <w:tc>
          <w:tcPr>
            <w:tcW w:w="7440" w:type="dxa"/>
            <w:vAlign w:val="bottom"/>
          </w:tcPr>
          <w:p>
            <w:pPr>
              <w:ind w:left="200"/>
              <w:spacing w:after="0"/>
              <w:rPr>
                <w:sz w:val="20"/>
                <w:szCs w:val="20"/>
                <w:color w:val="auto"/>
              </w:rPr>
            </w:pPr>
            <w:r>
              <w:rPr>
                <w:rFonts w:ascii="Arial" w:cs="Arial" w:eastAsia="Arial" w:hAnsi="Arial"/>
                <w:sz w:val="16"/>
                <w:szCs w:val="16"/>
                <w:color w:val="auto"/>
              </w:rPr>
              <w:t>Net flows</w:t>
            </w:r>
          </w:p>
        </w:tc>
        <w:tc>
          <w:tcPr>
            <w:tcW w:w="2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(2,108)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(6,253)</w:t>
            </w:r>
          </w:p>
        </w:tc>
      </w:tr>
      <w:tr>
        <w:trPr>
          <w:trHeight w:val="33"/>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performance</w:t>
            </w:r>
          </w:p>
        </w:tc>
        <w:tc>
          <w:tcPr>
            <w:tcW w:w="2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13,150</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Policy charges</w:t>
            </w:r>
          </w:p>
        </w:tc>
        <w:tc>
          <w:tcPr>
            <w:tcW w:w="220" w:type="dxa"/>
            <w:vAlign w:val="bottom"/>
          </w:tcPr>
          <w:p>
            <w:pPr>
              <w:spacing w:after="0"/>
              <w:rPr>
                <w:sz w:val="20"/>
                <w:szCs w:val="20"/>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(1,855)</w:t>
            </w:r>
          </w:p>
        </w:tc>
      </w:tr>
      <w:tr>
        <w:trPr>
          <w:trHeight w:val="33"/>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transfers from (to) general account</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17"/>
        </w:trPr>
        <w:tc>
          <w:tcPr>
            <w:tcW w:w="7440" w:type="dxa"/>
            <w:vAlign w:val="bottom"/>
          </w:tcPr>
          <w:p>
            <w:pPr>
              <w:ind w:left="200"/>
              <w:spacing w:after="0"/>
              <w:rPr>
                <w:sz w:val="20"/>
                <w:szCs w:val="20"/>
                <w:color w:val="auto"/>
              </w:rPr>
            </w:pPr>
            <w:r>
              <w:rPr>
                <w:rFonts w:ascii="Arial" w:cs="Arial" w:eastAsia="Arial" w:hAnsi="Arial"/>
                <w:sz w:val="16"/>
                <w:szCs w:val="16"/>
                <w:color w:val="auto"/>
              </w:rPr>
              <w:t>Balance, end of period</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96,752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96,752</w:t>
            </w:r>
          </w:p>
        </w:tc>
      </w:tr>
      <w:tr>
        <w:trPr>
          <w:trHeight w:val="73"/>
        </w:trPr>
        <w:tc>
          <w:tcPr>
            <w:tcW w:w="74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r>
      <w:tr>
        <w:trPr>
          <w:trHeight w:val="278"/>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Average balance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41"/>
              <w:spacing w:after="0"/>
              <w:rPr>
                <w:sz w:val="20"/>
                <w:szCs w:val="20"/>
                <w:color w:val="auto"/>
              </w:rPr>
            </w:pPr>
            <w:r>
              <w:rPr>
                <w:rFonts w:ascii="Arial" w:cs="Arial" w:eastAsia="Arial" w:hAnsi="Arial"/>
                <w:sz w:val="16"/>
                <w:szCs w:val="16"/>
                <w:color w:val="auto"/>
              </w:rPr>
              <w:t>97,813</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97,488</w:t>
            </w:r>
          </w:p>
        </w:tc>
      </w:tr>
      <w:tr>
        <w:trPr>
          <w:trHeight w:val="33"/>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2019 Compared with the Three Months Ended September 30,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$203 million for the current period, a decrease of $198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unfavorable impacts were:</w:t>
      </w:r>
    </w:p>
    <w:p>
      <w:pPr>
        <w:spacing w:after="0" w:line="117" w:lineRule="exact"/>
        <w:rPr>
          <w:sz w:val="20"/>
          <w:szCs w:val="20"/>
          <w:color w:val="auto"/>
        </w:rPr>
      </w:pPr>
    </w:p>
    <w:p>
      <w:pPr>
        <w:ind w:left="1300" w:hanging="32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amortization of DAC and VOBA driven by:</w:t>
      </w:r>
    </w:p>
    <w:p>
      <w:pPr>
        <w:spacing w:after="0" w:line="117" w:lineRule="exact"/>
        <w:rPr>
          <w:rFonts w:ascii="Arial" w:cs="Arial" w:eastAsia="Arial" w:hAnsi="Arial"/>
          <w:sz w:val="18"/>
          <w:szCs w:val="18"/>
          <w:color w:val="auto"/>
        </w:rPr>
      </w:pPr>
    </w:p>
    <w:p>
      <w:pPr>
        <w:ind w:left="1960" w:hanging="331"/>
        <w:spacing w:after="0" w:line="277" w:lineRule="auto"/>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unfavorable impact in the current period resulting primarily from changes in the long-term general account earned rate assumptions made in connection with the AAR; and</w:t>
      </w:r>
    </w:p>
    <w:p>
      <w:pPr>
        <w:spacing w:after="0" w:line="62" w:lineRule="exact"/>
        <w:rPr>
          <w:rFonts w:ascii="Arial" w:cs="Arial" w:eastAsia="Arial" w:hAnsi="Arial"/>
          <w:sz w:val="18"/>
          <w:szCs w:val="18"/>
          <w:color w:val="auto"/>
        </w:rPr>
      </w:pPr>
    </w:p>
    <w:p>
      <w:pPr>
        <w:ind w:left="1960" w:hanging="331"/>
        <w:spacing w:after="0"/>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less favorable equity market performance in the current period;</w:t>
      </w:r>
    </w:p>
    <w:p>
      <w:pPr>
        <w:spacing w:after="0" w:line="117" w:lineRule="exact"/>
        <w:rPr>
          <w:rFonts w:ascii="Arial" w:cs="Arial" w:eastAsia="Arial" w:hAnsi="Arial"/>
          <w:sz w:val="18"/>
          <w:szCs w:val="18"/>
          <w:color w:val="auto"/>
        </w:rPr>
      </w:pPr>
    </w:p>
    <w:p>
      <w:pPr>
        <w:ind w:left="1300" w:right="20" w:hanging="320"/>
        <w:spacing w:after="0" w:line="308"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higher net costs associated with insurance-related activities driven by an increase in net guaranteed minimum death benefit (“GMDB”) costs resulting from favorable prior period changes in mortality and withdrawal assumptions made in connection with the AAR; and</w:t>
      </w:r>
    </w:p>
    <w:p>
      <w:pPr>
        <w:spacing w:after="0" w:line="38" w:lineRule="exact"/>
        <w:rPr>
          <w:rFonts w:ascii="Arial" w:cs="Arial" w:eastAsia="Arial" w:hAnsi="Arial"/>
          <w:sz w:val="17"/>
          <w:szCs w:val="17"/>
          <w:color w:val="auto"/>
        </w:rPr>
      </w:pPr>
    </w:p>
    <w:p>
      <w:pPr>
        <w:ind w:left="1300" w:hanging="320"/>
        <w:spacing w:after="0"/>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lower asset-based fees resulting from lower average separate account balances, a portion of which are offset in other expenses.</w:t>
      </w:r>
    </w:p>
    <w:p>
      <w:pPr>
        <w:spacing w:after="0" w:line="129"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decrease in adjusted earnings was partially offset by higher net investment spread from higher average invested assets due to positive net flows in the general account and the repositioning of the investment portfolio out of U.S. Treasuries into higher yielding assets.</w:t>
      </w:r>
    </w:p>
    <w:p>
      <w:pPr>
        <w:spacing w:after="0" w:line="62"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in the current period led to an effective tax rate of 20%, compared to 18% in the prior period. Our effective tax rate primarily differs from the statutory tax rate due to the impacts of the dividends received deductions and tax credits.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2019 Compared with the Nine Months Ended September 30,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$763 million for the current period, a decrease of $85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unfavorable impacts were:</w:t>
      </w:r>
    </w:p>
    <w:p>
      <w:pPr>
        <w:spacing w:after="0" w:line="117" w:lineRule="exact"/>
        <w:rPr>
          <w:sz w:val="20"/>
          <w:szCs w:val="20"/>
          <w:color w:val="auto"/>
        </w:rPr>
      </w:pP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lower asset-based fees from lower average separate account balances, a portion of which is offset in other expenses;</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amortization of DAC and VOBA resulting primarily from changes in the long-term general account earned rate assumptions made in connection with the AAR;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higher paid claims, net of reinsurance;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60" w:hanging="331"/>
        <w:spacing w:after="0" w:line="277" w:lineRule="auto"/>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net GMDB costs resulting from favorable prior period changes in mortality and withdrawal assumptions made in connection with the AAR.</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favorable impacts were:</w:t>
      </w:r>
    </w:p>
    <w:p>
      <w:pPr>
        <w:spacing w:after="0" w:line="117" w:lineRule="exact"/>
        <w:rPr>
          <w:sz w:val="20"/>
          <w:szCs w:val="20"/>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net investment spread driven by:</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higher average invested assets resulting due to positive net flows in the general account;</w:t>
      </w:r>
    </w:p>
    <w:p>
      <w:pPr>
        <w:spacing w:after="0" w:line="117" w:lineRule="exact"/>
        <w:rPr>
          <w:rFonts w:ascii="Arial" w:cs="Arial" w:eastAsia="Arial" w:hAnsi="Arial"/>
          <w:sz w:val="18"/>
          <w:szCs w:val="18"/>
          <w:color w:val="auto"/>
        </w:rPr>
      </w:pPr>
    </w:p>
    <w:p>
      <w:pPr>
        <w:ind w:left="1960" w:hanging="331"/>
        <w:spacing w:after="0" w:line="277" w:lineRule="auto"/>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higher investment income due to the repositioning of the investment portfolio out of U.S. Treasuries into higher yielding assets; and</w:t>
      </w:r>
    </w:p>
    <w:p>
      <w:pPr>
        <w:spacing w:after="0" w:line="62" w:lineRule="exact"/>
        <w:rPr>
          <w:rFonts w:ascii="Arial" w:cs="Arial" w:eastAsia="Arial" w:hAnsi="Arial"/>
          <w:sz w:val="18"/>
          <w:szCs w:val="18"/>
          <w:color w:val="auto"/>
        </w:rPr>
      </w:pPr>
    </w:p>
    <w:p>
      <w:pPr>
        <w:ind w:left="1960" w:hanging="331"/>
        <w:spacing w:after="0"/>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higher returns on other limited partnership interests;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7" w:lineRule="exact"/>
        <w:rPr>
          <w:rFonts w:ascii="Arial" w:cs="Arial" w:eastAsia="Arial" w:hAnsi="Arial"/>
          <w:sz w:val="18"/>
          <w:szCs w:val="18"/>
          <w:color w:val="auto"/>
        </w:rPr>
      </w:pPr>
    </w:p>
    <w:p>
      <w:pPr>
        <w:ind w:left="1960" w:hanging="331"/>
        <w:spacing w:after="0" w:line="277" w:lineRule="auto"/>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lower asset-based variable annuity expenses resulting from lower average separate account balances, a portion of which are offset in fee income; and</w:t>
      </w:r>
    </w:p>
    <w:p>
      <w:pPr>
        <w:spacing w:after="0" w:line="62" w:lineRule="exact"/>
        <w:rPr>
          <w:rFonts w:ascii="Arial" w:cs="Arial" w:eastAsia="Arial" w:hAnsi="Arial"/>
          <w:sz w:val="18"/>
          <w:szCs w:val="18"/>
          <w:color w:val="auto"/>
        </w:rPr>
      </w:pPr>
    </w:p>
    <w:p>
      <w:pPr>
        <w:ind w:left="1960" w:hanging="331"/>
        <w:spacing w:after="0"/>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exit of various transition service agreements with MetLife;</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960" w:hanging="331"/>
        <w:spacing w:after="0"/>
        <w:tabs>
          <w:tab w:leader="none" w:pos="1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in the allocation of corporate expenses in the current period.</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in the current period led to an effective tax rate of 19%, compared to 17% in the prior period. Our effective tax rate primarily differs from the statutory tax rate due to the impacts of the dividends received deductions and tax credits.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our Life segment: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gridSpan w:val="3"/>
          </w:tcPr>
          <w:p>
            <w:pPr>
              <w:jc w:val="right"/>
              <w:ind w:right="462"/>
              <w:spacing w:after="0"/>
              <w:rPr>
                <w:sz w:val="20"/>
                <w:szCs w:val="20"/>
                <w:color w:val="auto"/>
              </w:rPr>
            </w:pPr>
            <w:r>
              <w:rPr>
                <w:rFonts w:ascii="Arial" w:cs="Arial" w:eastAsia="Arial" w:hAnsi="Arial"/>
                <w:sz w:val="14"/>
                <w:szCs w:val="14"/>
                <w:b w:val="1"/>
                <w:bCs w:val="1"/>
                <w:color w:val="auto"/>
                <w:w w:val="98"/>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Nine Months Ended</w:t>
            </w:r>
          </w:p>
        </w:tc>
        <w:tc>
          <w:tcPr>
            <w:tcW w:w="1060" w:type="dxa"/>
            <w:vAlign w:val="bottom"/>
          </w:tcPr>
          <w:p>
            <w:pPr>
              <w:spacing w:after="0"/>
              <w:rPr>
                <w:sz w:val="14"/>
                <w:szCs w:val="14"/>
                <w:color w:val="auto"/>
              </w:rPr>
            </w:pPr>
          </w:p>
        </w:tc>
      </w:tr>
      <w:tr>
        <w:trPr>
          <w:trHeight w:val="192"/>
        </w:trPr>
        <w:tc>
          <w:tcPr>
            <w:tcW w:w="4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2018</w:t>
            </w:r>
          </w:p>
        </w:tc>
      </w:tr>
      <w:tr>
        <w:trPr>
          <w:trHeight w:val="250"/>
        </w:trPr>
        <w:tc>
          <w:tcPr>
            <w:tcW w:w="4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00" w:type="dxa"/>
            <w:vAlign w:val="bottom"/>
            <w:gridSpan w:val="3"/>
          </w:tcPr>
          <w:p>
            <w:pPr>
              <w:jc w:val="right"/>
              <w:ind w:right="642"/>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102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154</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102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7"/>
        </w:trPr>
        <w:tc>
          <w:tcPr>
            <w:tcW w:w="4360" w:type="dxa"/>
            <w:vAlign w:val="bottom"/>
          </w:tcPr>
          <w:p>
            <w:pPr>
              <w:ind w:left="200"/>
              <w:spacing w:after="0"/>
              <w:rPr>
                <w:sz w:val="20"/>
                <w:szCs w:val="20"/>
                <w:color w:val="auto"/>
              </w:rPr>
            </w:pPr>
            <w:r>
              <w:rPr>
                <w:rFonts w:ascii="Arial" w:cs="Arial" w:eastAsia="Arial" w:hAnsi="Arial"/>
                <w:sz w:val="16"/>
                <w:szCs w:val="16"/>
                <w:color w:val="auto"/>
              </w:rPr>
              <w:t>Pre-tax adjusted earnings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205</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r>
      <w:tr>
        <w:trPr>
          <w:trHeight w:val="217"/>
        </w:trPr>
        <w:tc>
          <w:tcPr>
            <w:tcW w:w="4360" w:type="dxa"/>
            <w:vAlign w:val="bottom"/>
          </w:tcPr>
          <w:p>
            <w:pPr>
              <w:ind w:left="200"/>
              <w:spacing w:after="0"/>
              <w:rPr>
                <w:sz w:val="20"/>
                <w:szCs w:val="20"/>
                <w:color w:val="auto"/>
              </w:rPr>
            </w:pPr>
            <w:r>
              <w:rPr>
                <w:rFonts w:ascii="Arial" w:cs="Arial" w:eastAsia="Arial" w:hAnsi="Arial"/>
                <w:sz w:val="16"/>
                <w:szCs w:val="16"/>
                <w:color w:val="auto"/>
              </w:rPr>
              <w:t>Adjusted earnings</w:t>
            </w:r>
          </w:p>
        </w:tc>
        <w:tc>
          <w:tcPr>
            <w:tcW w:w="1020" w:type="dxa"/>
            <w:vAlign w:val="bottom"/>
            <w:tcBorders>
              <w:top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200" w:type="dxa"/>
            <w:vAlign w:val="bottom"/>
            <w:tcBorders>
              <w:top w:val="single" w:sz="8" w:color="auto"/>
            </w:tcBorders>
          </w:tcPr>
          <w:p>
            <w:pPr>
              <w:jc w:val="right"/>
              <w:ind w:right="102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164</w:t>
            </w:r>
          </w:p>
        </w:tc>
      </w:tr>
      <w:tr>
        <w:trPr>
          <w:trHeight w:val="33"/>
        </w:trPr>
        <w:tc>
          <w:tcPr>
            <w:tcW w:w="4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2019 Compared with the Three Months Ended September 30,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$73 million for the current period, an increase of $12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favorable impacts were:</w:t>
      </w:r>
    </w:p>
    <w:p>
      <w:pPr>
        <w:spacing w:after="0" w:line="117" w:lineRule="exact"/>
        <w:rPr>
          <w:sz w:val="20"/>
          <w:szCs w:val="20"/>
          <w:color w:val="auto"/>
        </w:rPr>
      </w:pPr>
    </w:p>
    <w:p>
      <w:pPr>
        <w:ind w:left="1300" w:hanging="320"/>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lower amortization of DAC and VOBA primarily from changes in expense and mortality assumptions made in connection with the AAR;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decrease in the allocation of corporate expenses in the current period.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in adjusted earnings was partially offset by:</w:t>
      </w:r>
    </w:p>
    <w:p>
      <w:pPr>
        <w:spacing w:after="0" w:line="117" w:lineRule="exact"/>
        <w:rPr>
          <w:sz w:val="20"/>
          <w:szCs w:val="20"/>
          <w:color w:val="auto"/>
        </w:rPr>
      </w:pPr>
    </w:p>
    <w:p>
      <w:pPr>
        <w:ind w:left="1300" w:hanging="320"/>
        <w:spacing w:after="0"/>
        <w:tabs>
          <w:tab w:leader="none" w:pos="1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lower unearned revenue amortization from changes in expense and mortality assumptions made in connection with the AAR; and</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paid claims, net of reinsurance.</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in the current period led to an effective tax rate of 20%, compared to 22% in the prior period. Our effective tax rate primarily differs from the statutory tax rate due to the impacts of the dividends received deductions and tax credits.</w:t>
      </w:r>
    </w:p>
    <w:p>
      <w:pPr>
        <w:sectPr>
          <w:pgSz w:w="11900" w:h="16838" w:orient="portrait"/>
          <w:cols w:equalWidth="0" w:num="1">
            <w:col w:w="11420"/>
          </w:cols>
          <w:pgMar w:left="240" w:top="12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6" w:right="239" w:bottom="1440" w:gutter="0" w:footer="0" w:header="0"/>
          <w:type w:val="continuous"/>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2019 Compared with the Nine Months Ended September 30,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$156 million for the current period, a decrease of $8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unfavorable impacts were:</w:t>
      </w:r>
    </w:p>
    <w:p>
      <w:pPr>
        <w:spacing w:after="0" w:line="117" w:lineRule="exact"/>
        <w:rPr>
          <w:sz w:val="20"/>
          <w:szCs w:val="20"/>
          <w:color w:val="auto"/>
        </w:rPr>
      </w:pPr>
    </w:p>
    <w:p>
      <w:pPr>
        <w:ind w:left="1300" w:hanging="320"/>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lower fee income due to:</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lower unearned revenue amortization from changes in expense and mortality assumptions made in connection with the AAR; and</w:t>
      </w:r>
    </w:p>
    <w:p>
      <w:pPr>
        <w:spacing w:after="0" w:line="140" w:lineRule="exact"/>
        <w:rPr>
          <w:rFonts w:ascii="Arial" w:cs="Arial" w:eastAsia="Arial" w:hAnsi="Arial"/>
          <w:sz w:val="16"/>
          <w:szCs w:val="16"/>
          <w:color w:val="auto"/>
        </w:rPr>
      </w:pPr>
    </w:p>
    <w:p>
      <w:pPr>
        <w:ind w:left="1960" w:hanging="331"/>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reimbursement of fees for recaptured universal life business in the prior period;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 higher paid claims, net of reinsurance.</w:t>
      </w:r>
    </w:p>
    <w:p>
      <w:pPr>
        <w:spacing w:after="0" w:line="200" w:lineRule="exact"/>
        <w:rPr>
          <w:sz w:val="20"/>
          <w:szCs w:val="20"/>
          <w:color w:val="auto"/>
        </w:rPr>
      </w:pPr>
    </w:p>
    <w:p>
      <w:pPr>
        <w:spacing w:after="0" w:line="241" w:lineRule="exact"/>
        <w:rPr>
          <w:sz w:val="20"/>
          <w:szCs w:val="20"/>
          <w:color w:val="auto"/>
        </w:rPr>
      </w:pPr>
    </w:p>
    <w:p>
      <w:pPr>
        <w:ind w:left="1300" w:hanging="320"/>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lower amortization of DAC and VOBA primarily from changes in expense and mortality assumptions made in connection with the AAR;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decrease in the allocation of corporate expenses in the current period.</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led to an effective tax rate of 20% in both the current and prior period. Our effective tax rate primarily differs from the statutory tax rate due to the impacts of the dividends received deductions and tax credits.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our Run-off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8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w w:val="98"/>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4"/>
                <w:szCs w:val="14"/>
                <w:color w:val="auto"/>
              </w:rPr>
            </w:pPr>
          </w:p>
        </w:tc>
      </w:tr>
      <w:tr>
        <w:trPr>
          <w:trHeight w:val="192"/>
        </w:trPr>
        <w:tc>
          <w:tcPr>
            <w:tcW w:w="4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2018</w:t>
            </w:r>
          </w:p>
        </w:tc>
      </w:tr>
      <w:tr>
        <w:trPr>
          <w:trHeight w:val="250"/>
        </w:trPr>
        <w:tc>
          <w:tcPr>
            <w:tcW w:w="4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544</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616</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102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280</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10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7"/>
        </w:trPr>
        <w:tc>
          <w:tcPr>
            <w:tcW w:w="4360" w:type="dxa"/>
            <w:vAlign w:val="bottom"/>
          </w:tcPr>
          <w:p>
            <w:pPr>
              <w:ind w:left="200"/>
              <w:spacing w:after="0"/>
              <w:rPr>
                <w:sz w:val="20"/>
                <w:szCs w:val="20"/>
                <w:color w:val="auto"/>
              </w:rPr>
            </w:pPr>
            <w:r>
              <w:rPr>
                <w:rFonts w:ascii="Arial" w:cs="Arial" w:eastAsia="Arial" w:hAnsi="Arial"/>
                <w:sz w:val="16"/>
                <w:szCs w:val="16"/>
                <w:color w:val="auto"/>
              </w:rPr>
              <w:t>Pre-tax adjusted earnings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4360" w:type="dxa"/>
            <w:vAlign w:val="bottom"/>
          </w:tcPr>
          <w:p>
            <w:pPr>
              <w:ind w:left="200"/>
              <w:spacing w:after="0"/>
              <w:rPr>
                <w:sz w:val="20"/>
                <w:szCs w:val="20"/>
                <w:color w:val="auto"/>
              </w:rPr>
            </w:pPr>
            <w:r>
              <w:rPr>
                <w:rFonts w:ascii="Arial" w:cs="Arial" w:eastAsia="Arial" w:hAnsi="Arial"/>
                <w:sz w:val="16"/>
                <w:szCs w:val="16"/>
                <w:color w:val="auto"/>
              </w:rPr>
              <w:t>Adjusted earnings</w:t>
            </w:r>
          </w:p>
        </w:tc>
        <w:tc>
          <w:tcPr>
            <w:tcW w:w="1020" w:type="dxa"/>
            <w:vAlign w:val="bottom"/>
            <w:tcBorders>
              <w:top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ind w:right="982"/>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33"/>
        </w:trPr>
        <w:tc>
          <w:tcPr>
            <w:tcW w:w="4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2019 Compared with the Three Months Ended September 30,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a loss of $426 million for the current period, a higher loss of $321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unfavorable impacts were:</w:t>
      </w:r>
    </w:p>
    <w:p>
      <w:pPr>
        <w:spacing w:after="0" w:line="117" w:lineRule="exact"/>
        <w:rPr>
          <w:sz w:val="20"/>
          <w:szCs w:val="20"/>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primarily in our ULSG business, due to:</w:t>
      </w:r>
    </w:p>
    <w:p>
      <w:pPr>
        <w:spacing w:after="0" w:line="117" w:lineRule="exact"/>
        <w:rPr>
          <w:sz w:val="20"/>
          <w:szCs w:val="20"/>
          <w:color w:val="auto"/>
        </w:rPr>
      </w:pPr>
    </w:p>
    <w:p>
      <w:pPr>
        <w:ind w:left="1960" w:hanging="331"/>
        <w:spacing w:after="0" w:line="277" w:lineRule="auto"/>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in liability balances resulting from changes in the long-term general account earned rate assumptions made in connection with the AAR,</w:t>
      </w:r>
    </w:p>
    <w:p>
      <w:pPr>
        <w:spacing w:after="0" w:line="6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960" w:hanging="331"/>
        <w:spacing w:after="0"/>
        <w:tabs>
          <w:tab w:leader="none" w:pos="1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decrease in liability balances from the net impact of recapture transactions in the prior period;</w:t>
      </w:r>
    </w:p>
    <w:p>
      <w:pPr>
        <w:spacing w:after="0" w:line="117" w:lineRule="exact"/>
        <w:rPr>
          <w:rFonts w:ascii="Arial" w:cs="Arial" w:eastAsia="Arial" w:hAnsi="Arial"/>
          <w:sz w:val="18"/>
          <w:szCs w:val="18"/>
          <w:color w:val="auto"/>
        </w:rPr>
      </w:pPr>
    </w:p>
    <w:p>
      <w:pPr>
        <w:ind w:left="500" w:right="1780" w:firstLine="480"/>
        <w:spacing w:after="0" w:line="375" w:lineRule="auto"/>
        <w:tabs>
          <w:tab w:leader="none" w:pos="131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lower fee income due to higher ceded cost of insurance fees on certain ULSG business driven by the aging in-force. The decrease in adjusted earnings was partially offset by:</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in the net investment spread due to:</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60" w:hanging="331"/>
        <w:spacing w:after="0"/>
        <w:tabs>
          <w:tab w:leader="none" w:pos="1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higher investment income due to the repositioning of the investment portfolio out of U.S. Treasuries into higher yielding assets.</w:t>
      </w:r>
    </w:p>
    <w:p>
      <w:pPr>
        <w:spacing w:after="0" w:line="140"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led to an effective tax rate of 22% in both the current and prior period. Our effective tax rate primarily differs from the statutory tax rate due to the impacts of the dividends received deductions and tax credits.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2019 Compared with the Nine Months Ended September 30,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a loss of $460 million for the current period, a higher loss of $399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unfavorable impacts were:</w:t>
      </w:r>
    </w:p>
    <w:p>
      <w:pPr>
        <w:spacing w:after="0" w:line="117" w:lineRule="exact"/>
        <w:rPr>
          <w:sz w:val="20"/>
          <w:szCs w:val="20"/>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primarily in our ULSG business due to:</w:t>
      </w:r>
    </w:p>
    <w:p>
      <w:pPr>
        <w:spacing w:after="0" w:line="117" w:lineRule="exact"/>
        <w:rPr>
          <w:rFonts w:ascii="Arial" w:cs="Arial" w:eastAsia="Arial" w:hAnsi="Arial"/>
          <w:sz w:val="18"/>
          <w:szCs w:val="18"/>
          <w:color w:val="auto"/>
        </w:rPr>
      </w:pPr>
    </w:p>
    <w:p>
      <w:pPr>
        <w:ind w:left="1960" w:hanging="331"/>
        <w:spacing w:after="0" w:line="277" w:lineRule="auto"/>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 increase in liability balances resulting from changes in the long-term general account earned rate assumptions made in connection with the AAR; and</w:t>
      </w:r>
    </w:p>
    <w:p>
      <w:pPr>
        <w:spacing w:after="0" w:line="62" w:lineRule="exact"/>
        <w:rPr>
          <w:rFonts w:ascii="Arial" w:cs="Arial" w:eastAsia="Arial" w:hAnsi="Arial"/>
          <w:sz w:val="18"/>
          <w:szCs w:val="18"/>
          <w:color w:val="auto"/>
        </w:rPr>
      </w:pPr>
    </w:p>
    <w:p>
      <w:pPr>
        <w:ind w:left="1960" w:hanging="331"/>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unfavorable mortality due to higher claim severity and lower reinsurance recoveries in the current period,</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960" w:hanging="331"/>
        <w:spacing w:after="0"/>
        <w:tabs>
          <w:tab w:leader="none" w:pos="1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decrease in liability balances from the net impact of recapture transactions in the prior period;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lower fee income in our ULSG business due to the net reimbursement of fees for recapture transactions in the prior period;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lower net investment spread due to:</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lower returns on other limited partnership interests driven by lower equity market performance compared to prior period; and</w:t>
      </w:r>
    </w:p>
    <w:p>
      <w:pPr>
        <w:spacing w:after="0" w:line="128" w:lineRule="exact"/>
        <w:rPr>
          <w:rFonts w:ascii="Arial" w:cs="Arial" w:eastAsia="Arial" w:hAnsi="Arial"/>
          <w:sz w:val="17"/>
          <w:szCs w:val="17"/>
          <w:color w:val="auto"/>
        </w:rPr>
      </w:pPr>
    </w:p>
    <w:p>
      <w:pPr>
        <w:ind w:left="1960" w:hanging="331"/>
        <w:spacing w:after="0"/>
        <w:tabs>
          <w:tab w:leader="none" w:pos="1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lower income on interest rate derivatives.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in the current period led to an effective tax rate of 22%, compared to 23% in the prior period. Our effective tax rate primarily differs from the statutory tax rate due to the impacts of the dividends received deductions and tax credits.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Corporate &amp; Other:</w:t>
      </w:r>
    </w:p>
    <w:p>
      <w:pPr>
        <w:spacing w:after="0" w:line="258" w:lineRule="exact"/>
        <w:rPr>
          <w:sz w:val="20"/>
          <w:szCs w:val="20"/>
          <w:color w:val="auto"/>
        </w:rPr>
      </w:pPr>
    </w:p>
    <w:tbl>
      <w:tblPr>
        <w:tblLayout w:type="fixed"/>
        <w:tblInd w:w="51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740" w:type="dxa"/>
            <w:vAlign w:val="bottom"/>
          </w:tcPr>
          <w:p>
            <w:pPr>
              <w:jc w:val="center"/>
              <w:ind w:right="328"/>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40" w:type="dxa"/>
            <w:vAlign w:val="bottom"/>
          </w:tcPr>
          <w:p>
            <w:pPr>
              <w:jc w:val="center"/>
              <w:ind w:right="788"/>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9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748"/>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2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244"/>
        </w:trPr>
        <w:tc>
          <w:tcPr>
            <w:tcW w:w="9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(In millions)</w:t>
            </w:r>
          </w:p>
        </w:tc>
        <w:tc>
          <w:tcPr>
            <w:tcW w:w="21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29" w:lineRule="exact"/>
        <w:rPr>
          <w:sz w:val="20"/>
          <w:szCs w:val="20"/>
          <w:color w:val="auto"/>
        </w:rPr>
      </w:pPr>
    </w:p>
    <w:p>
      <w:pPr>
        <w:ind w:left="40"/>
        <w:spacing w:after="0"/>
        <w:tabs>
          <w:tab w:leader="none" w:pos="5160" w:val="left"/>
        </w:tabs>
        <w:rPr>
          <w:sz w:val="20"/>
          <w:szCs w:val="20"/>
          <w:color w:val="auto"/>
        </w:rPr>
      </w:pPr>
      <w:r>
        <w:rPr>
          <w:rFonts w:ascii="Arial" w:cs="Arial" w:eastAsia="Arial" w:hAnsi="Arial"/>
          <w:sz w:val="16"/>
          <w:szCs w:val="16"/>
          <w:color w:val="auto"/>
        </w:rPr>
        <w:t>Fee income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investment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Insurance-related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DAC and VOBA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expenses, net of DAC capitalization</w:t>
      </w:r>
    </w:p>
    <w:p>
      <w:pPr>
        <w:spacing w:after="0" w:line="86" w:lineRule="exact"/>
        <w:rPr>
          <w:sz w:val="20"/>
          <w:szCs w:val="20"/>
          <w:color w:val="auto"/>
        </w:rPr>
      </w:pPr>
    </w:p>
    <w:p>
      <w:pPr>
        <w:ind w:left="200" w:right="600" w:hanging="161"/>
        <w:spacing w:after="0" w:line="293" w:lineRule="auto"/>
        <w:rPr>
          <w:sz w:val="20"/>
          <w:szCs w:val="20"/>
          <w:color w:val="auto"/>
        </w:rPr>
      </w:pPr>
      <w:r>
        <w:rPr>
          <w:rFonts w:ascii="Arial" w:cs="Arial" w:eastAsia="Arial" w:hAnsi="Arial"/>
          <w:sz w:val="16"/>
          <w:szCs w:val="16"/>
          <w:color w:val="auto"/>
        </w:rPr>
        <w:t>Less: Net income (loss) attributable to noncontrolling interests and preferred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360" w:right="740" w:hanging="161"/>
        <w:spacing w:after="0" w:line="293" w:lineRule="auto"/>
        <w:rPr>
          <w:sz w:val="20"/>
          <w:szCs w:val="20"/>
          <w:color w:val="auto"/>
        </w:rPr>
      </w:pPr>
      <w:r>
        <w:rPr>
          <w:rFonts w:ascii="Arial" w:cs="Arial" w:eastAsia="Arial" w:hAnsi="Arial"/>
          <w:sz w:val="16"/>
          <w:szCs w:val="16"/>
          <w:color w:val="auto"/>
        </w:rPr>
        <w:t>Pre-tax adjusted earnings, less net income attributable to noncontrolling interests and preferred stock dividends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200"/>
        <w:spacing w:after="0"/>
        <w:tabs>
          <w:tab w:leader="none" w:pos="5160" w:val="left"/>
        </w:tabs>
        <w:rPr>
          <w:sz w:val="20"/>
          <w:szCs w:val="20"/>
          <w:color w:val="auto"/>
        </w:rPr>
      </w:pPr>
      <w:r>
        <w:rPr>
          <w:rFonts w:ascii="Arial" w:cs="Arial" w:eastAsia="Arial" w:hAnsi="Arial"/>
          <w:sz w:val="16"/>
          <w:szCs w:val="16"/>
          <w:color w:val="auto"/>
        </w:rPr>
        <w:t>Adjusted earnings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6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460" w:type="dxa"/>
            <w:vAlign w:val="bottom"/>
          </w:tcPr>
          <w:p>
            <w:pPr>
              <w:jc w:val="right"/>
              <w:ind w:right="159"/>
              <w:spacing w:after="0"/>
              <w:rPr>
                <w:sz w:val="20"/>
                <w:szCs w:val="20"/>
                <w:color w:val="auto"/>
              </w:rPr>
            </w:pPr>
            <w:r>
              <w:rPr>
                <w:rFonts w:ascii="Arial" w:cs="Arial" w:eastAsia="Arial" w:hAnsi="Arial"/>
                <w:sz w:val="16"/>
                <w:szCs w:val="16"/>
                <w:color w:val="auto"/>
              </w:rPr>
              <w:t>23</w:t>
            </w:r>
          </w:p>
        </w:tc>
        <w:tc>
          <w:tcPr>
            <w:tcW w:w="58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270"/>
        </w:trPr>
        <w:tc>
          <w:tcPr>
            <w:tcW w:w="460" w:type="dxa"/>
            <w:vAlign w:val="bottom"/>
          </w:tcPr>
          <w:p>
            <w:pPr>
              <w:jc w:val="right"/>
              <w:ind w:right="159"/>
              <w:spacing w:after="0"/>
              <w:rPr>
                <w:sz w:val="20"/>
                <w:szCs w:val="20"/>
                <w:color w:val="auto"/>
              </w:rPr>
            </w:pPr>
            <w:r>
              <w:rPr>
                <w:rFonts w:ascii="Arial" w:cs="Arial" w:eastAsia="Arial" w:hAnsi="Arial"/>
                <w:sz w:val="16"/>
                <w:szCs w:val="16"/>
                <w:color w:val="auto"/>
              </w:rPr>
              <w:t>5</w:t>
            </w:r>
          </w:p>
        </w:tc>
        <w:tc>
          <w:tcPr>
            <w:tcW w:w="58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70"/>
        </w:trPr>
        <w:tc>
          <w:tcPr>
            <w:tcW w:w="46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460" w:type="dxa"/>
            <w:vAlign w:val="bottom"/>
          </w:tcPr>
          <w:p>
            <w:pPr>
              <w:jc w:val="right"/>
              <w:ind w:right="119"/>
              <w:spacing w:after="0"/>
              <w:rPr>
                <w:sz w:val="20"/>
                <w:szCs w:val="20"/>
                <w:color w:val="auto"/>
              </w:rPr>
            </w:pPr>
            <w:r>
              <w:rPr>
                <w:rFonts w:ascii="Arial" w:cs="Arial" w:eastAsia="Arial" w:hAnsi="Arial"/>
                <w:sz w:val="16"/>
                <w:szCs w:val="16"/>
                <w:color w:val="auto"/>
                <w:w w:val="84"/>
              </w:rPr>
              <w:t>(93)</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459"/>
        </w:trPr>
        <w:tc>
          <w:tcPr>
            <w:tcW w:w="460" w:type="dxa"/>
            <w:vAlign w:val="bottom"/>
          </w:tcPr>
          <w:p>
            <w:pPr>
              <w:jc w:val="right"/>
              <w:ind w:right="159"/>
              <w:spacing w:after="0"/>
              <w:rPr>
                <w:sz w:val="20"/>
                <w:szCs w:val="20"/>
                <w:color w:val="auto"/>
              </w:rPr>
            </w:pPr>
            <w:r>
              <w:rPr>
                <w:rFonts w:ascii="Arial" w:cs="Arial" w:eastAsia="Arial" w:hAnsi="Arial"/>
                <w:sz w:val="16"/>
                <w:szCs w:val="16"/>
                <w:color w:val="auto"/>
              </w:rPr>
              <w:t>9</w:t>
            </w:r>
          </w:p>
        </w:tc>
        <w:tc>
          <w:tcPr>
            <w:tcW w:w="5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4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06"/>
        </w:trPr>
        <w:tc>
          <w:tcPr>
            <w:tcW w:w="460" w:type="dxa"/>
            <w:vAlign w:val="bottom"/>
          </w:tcPr>
          <w:p>
            <w:pPr>
              <w:jc w:val="right"/>
              <w:ind w:right="119"/>
              <w:spacing w:after="0"/>
              <w:rPr>
                <w:sz w:val="20"/>
                <w:szCs w:val="20"/>
                <w:color w:val="auto"/>
              </w:rPr>
            </w:pPr>
            <w:r>
              <w:rPr>
                <w:rFonts w:ascii="Arial" w:cs="Arial" w:eastAsia="Arial" w:hAnsi="Arial"/>
                <w:sz w:val="16"/>
                <w:szCs w:val="16"/>
                <w:color w:val="auto"/>
                <w:w w:val="84"/>
              </w:rPr>
              <w:t>(76)</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70"/>
        </w:trPr>
        <w:tc>
          <w:tcPr>
            <w:tcW w:w="460" w:type="dxa"/>
            <w:vAlign w:val="bottom"/>
          </w:tcPr>
          <w:p>
            <w:pPr>
              <w:jc w:val="right"/>
              <w:ind w:right="119"/>
              <w:spacing w:after="0"/>
              <w:rPr>
                <w:sz w:val="20"/>
                <w:szCs w:val="20"/>
                <w:color w:val="auto"/>
              </w:rPr>
            </w:pPr>
            <w:r>
              <w:rPr>
                <w:rFonts w:ascii="Arial" w:cs="Arial" w:eastAsia="Arial" w:hAnsi="Arial"/>
                <w:sz w:val="16"/>
                <w:szCs w:val="16"/>
                <w:color w:val="auto"/>
                <w:w w:val="84"/>
              </w:rPr>
              <w:t>(57)</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4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460" w:type="dxa"/>
            <w:vAlign w:val="bottom"/>
          </w:tcPr>
          <w:p>
            <w:pPr>
              <w:jc w:val="right"/>
              <w:ind w:right="119"/>
              <w:spacing w:after="0"/>
              <w:rPr>
                <w:sz w:val="20"/>
                <w:szCs w:val="20"/>
                <w:color w:val="auto"/>
              </w:rPr>
            </w:pPr>
            <w:r>
              <w:rPr>
                <w:rFonts w:ascii="Arial" w:cs="Arial" w:eastAsia="Arial" w:hAnsi="Arial"/>
                <w:sz w:val="16"/>
                <w:szCs w:val="16"/>
                <w:color w:val="auto"/>
                <w:w w:val="84"/>
              </w:rPr>
              <w:t>(19)</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33"/>
        </w:trPr>
        <w:tc>
          <w:tcPr>
            <w:tcW w:w="4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-739775</wp:posOffset>
            </wp:positionH>
            <wp:positionV relativeFrom="paragraph">
              <wp:posOffset>-8255</wp:posOffset>
            </wp:positionV>
            <wp:extent cx="9518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600" w:space="720"/>
            <w:col w:w="5100"/>
          </w:cols>
          <w:pgMar w:left="240" w:top="126" w:right="239" w:bottom="1440" w:gutter="0" w:footer="0" w:header="0"/>
          <w:type w:val="continuous"/>
        </w:sectPr>
      </w:pPr>
    </w:p>
    <w:p>
      <w:pPr>
        <w:ind w:left="180"/>
        <w:spacing w:after="0"/>
        <w:rPr>
          <w:sz w:val="20"/>
          <w:szCs w:val="20"/>
          <w:color w:val="auto"/>
        </w:rPr>
      </w:pPr>
      <w:r>
        <w:rPr>
          <w:rFonts w:ascii="Arial" w:cs="Arial" w:eastAsia="Arial" w:hAnsi="Arial"/>
          <w:sz w:val="15"/>
          <w:szCs w:val="15"/>
          <w:b w:val="1"/>
          <w:bCs w:val="1"/>
          <w:i w:val="1"/>
          <w:iCs w:val="1"/>
          <w:u w:val="single" w:color="auto"/>
          <w:color w:val="auto"/>
        </w:rPr>
        <w:t>Three Months Ended September 30, 2019 Compared with the Three Months Ended September 30, 2018</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Adjusted earnings were a loss of $19 million, an improvement of $68 million from the prior period.</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favorable impacts were:</w:t>
      </w:r>
    </w:p>
    <w:p>
      <w:pPr>
        <w:spacing w:after="0" w:line="117" w:lineRule="exact"/>
        <w:rPr>
          <w:sz w:val="20"/>
          <w:szCs w:val="20"/>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6" w:right="239" w:bottom="1440" w:gutter="0" w:footer="0" w:header="0"/>
          <w:type w:val="continuous"/>
        </w:sectPr>
      </w:pPr>
    </w:p>
    <w:bookmarkStart w:id="63" w:name="page64"/>
    <w:bookmarkEnd w:id="6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460" w:right="3180" w:firstLine="169"/>
        <w:spacing w:after="0" w:line="375" w:lineRule="auto"/>
        <w:tabs>
          <w:tab w:leader="none" w:pos="1946" w:val="left"/>
        </w:tabs>
        <w:numPr>
          <w:ilvl w:val="1"/>
          <w:numId w:val="59"/>
        </w:numPr>
        <w:rPr>
          <w:rFonts w:ascii="Arial" w:cs="Arial" w:eastAsia="Arial" w:hAnsi="Arial"/>
          <w:sz w:val="18"/>
          <w:szCs w:val="18"/>
          <w:color w:val="auto"/>
        </w:rPr>
      </w:pPr>
      <w:r>
        <w:rPr>
          <w:rFonts w:ascii="Arial" w:cs="Arial" w:eastAsia="Arial" w:hAnsi="Arial"/>
          <w:sz w:val="18"/>
          <w:szCs w:val="18"/>
          <w:color w:val="auto"/>
        </w:rPr>
        <w:t>lower establishment costs in the current period related to planned technology expenses, partially offset by</w:t>
      </w:r>
    </w:p>
    <w:p>
      <w:pPr>
        <w:spacing w:after="0" w:line="1" w:lineRule="exact"/>
        <w:rPr>
          <w:rFonts w:ascii="Arial" w:cs="Arial" w:eastAsia="Arial" w:hAnsi="Arial"/>
          <w:sz w:val="18"/>
          <w:szCs w:val="18"/>
          <w:color w:val="auto"/>
        </w:rPr>
      </w:pPr>
    </w:p>
    <w:p>
      <w:pPr>
        <w:ind w:left="1960" w:hanging="331"/>
        <w:spacing w:after="0"/>
        <w:tabs>
          <w:tab w:leader="none" w:pos="1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interest expense recorded in the current period on a prior period tax liability associated with the Separation;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higher net investment spread reflecting positive returns on short-term investments,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300" w:hanging="320"/>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benefit in the prior period related to Separation-related tax agreements with MetLife, which was recognized in other revenue.</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Certain one-time tax adjustments recognized in the current period, primarily due to a revaluation of certain Separation-related liabilities, resulted in an unusually high effective tax rate of 75%, compared to 27% in the prior period, for which both rates represent a tax benefit. In addition to such one-time tax adjustments, our effective tax rate primarily differs from the statutory tax rate due to the ongoing impacts of the dividends received deductions and tax credits.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2019 Compared with the Nine Months Ended September 30,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a loss of $142 million, an improvement of $103 million from the prior period.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favorable impacts were:</w:t>
      </w:r>
    </w:p>
    <w:p>
      <w:pPr>
        <w:spacing w:after="0" w:line="117" w:lineRule="exact"/>
        <w:rPr>
          <w:sz w:val="20"/>
          <w:szCs w:val="20"/>
          <w:color w:val="auto"/>
        </w:rPr>
      </w:pPr>
    </w:p>
    <w:p>
      <w:pPr>
        <w:ind w:left="1300" w:hanging="320"/>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lower establishment costs in the current period related to planned technology expenses; and</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lower branding expenses associated with the Separation,</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960" w:hanging="331"/>
        <w:spacing w:after="0"/>
        <w:tabs>
          <w:tab w:leader="none" w:pos="19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higher interest on debt that was issued in both the first quarter of 2019 and the third quarter of 2018;</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higher net investment spread reflecting positive returns on short-term investments;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higher fee income due to reimbursement of pension liabilities from MetLife, which was reported in other expenses in the prior period.</w:t>
      </w:r>
    </w:p>
    <w:p>
      <w:pPr>
        <w:spacing w:after="0" w:line="129"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Certain one-time tax adjustments recognized in the current period, primarily due to a revaluation of certain Separation-related liabilities, resulted in an unusually high effective tax rate of 41%, compared to 26% in the prior period, for which both rates represent a tax benefit. In addition to such one-time tax adjustments, our effective tax rate primarily differs from the statutory tax rate due to the ongoing impacts of the dividends received deductions and tax credits.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GMLB Riders for the Three Months and Nine Months Ended September 30, 2019 and 2018</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presents the overall impact to income (loss) available to shareholders before provision for income tax from the performance of GMLB Riders, which includes (i) changes in carrying value of the GAAP liabilities, (ii) the mark-to-market of hedges and reinsurance, (iii) fees and (iv) associated DAC offsets: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8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w w:val="98"/>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Nine Months Ended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gridSpan w:val="3"/>
          </w:tcPr>
          <w:p>
            <w:pPr>
              <w:jc w:val="right"/>
              <w:ind w:right="642"/>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(1)</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(810)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(1,856)</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Hedging program</w:t>
            </w:r>
          </w:p>
        </w:tc>
        <w:tc>
          <w:tcPr>
            <w:tcW w:w="102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Ceded reinsurance</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Fees (2)</w:t>
            </w:r>
          </w:p>
        </w:tc>
        <w:tc>
          <w:tcPr>
            <w:tcW w:w="102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GMLB DAC</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44"/>
        </w:trPr>
        <w:tc>
          <w:tcPr>
            <w:tcW w:w="4360" w:type="dxa"/>
            <w:vAlign w:val="bottom"/>
          </w:tcPr>
          <w:p>
            <w:pPr>
              <w:ind w:left="180"/>
              <w:spacing w:after="0"/>
              <w:rPr>
                <w:sz w:val="20"/>
                <w:szCs w:val="20"/>
                <w:color w:val="auto"/>
              </w:rPr>
            </w:pPr>
            <w:r>
              <w:rPr>
                <w:rFonts w:ascii="Arial" w:cs="Arial" w:eastAsia="Arial" w:hAnsi="Arial"/>
                <w:sz w:val="16"/>
                <w:szCs w:val="16"/>
                <w:color w:val="auto"/>
              </w:rPr>
              <w:t>Total GMLB Riders</w:t>
            </w:r>
          </w:p>
        </w:tc>
        <w:tc>
          <w:tcPr>
            <w:tcW w:w="1020" w:type="dxa"/>
            <w:vAlign w:val="bottom"/>
            <w:tcBorders>
              <w:top w:val="single" w:sz="8" w:color="auto"/>
              <w:bottom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ind w:right="982"/>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12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4"/>
                <w:szCs w:val="14"/>
                <w:color w:val="auto"/>
              </w:rPr>
              <w:t>______________</w:t>
            </w: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3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changes in estimated fair value of the Shield Annuities embedded derivatives of ($15) million and ($918) million for the three months and nine months ended September 30, 2019, respectively, and ($462) million and ($531) million for the three months and nine months ended September 30, 2018, respectively.</w:t>
      </w:r>
    </w:p>
    <w:p>
      <w:pPr>
        <w:spacing w:after="0" w:line="73" w:lineRule="exact"/>
        <w:rPr>
          <w:rFonts w:ascii="Arial" w:cs="Arial" w:eastAsia="Arial" w:hAnsi="Arial"/>
          <w:sz w:val="18"/>
          <w:szCs w:val="18"/>
          <w:color w:val="auto"/>
        </w:rPr>
      </w:pPr>
    </w:p>
    <w:p>
      <w:pPr>
        <w:ind w:left="500" w:hanging="492"/>
        <w:spacing w:after="0" w:line="342" w:lineRule="auto"/>
        <w:tabs>
          <w:tab w:leader="none" w:pos="5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Excludes living benefit fees, included as a component of adjusted earnings of $16 million and $48 million for the three months and nine months ended September 30, 2019, respectively, and $18 million and $53 million for the three months and nine months ended September 30, 2018, respectively.</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2019 Compared with the Three Months Ended September 30,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Comparative results from GMLB Riders were favorable by $1.0 billion, primarily driven by:</w:t>
      </w:r>
    </w:p>
    <w:p>
      <w:pPr>
        <w:spacing w:after="0" w:line="117" w:lineRule="exact"/>
        <w:rPr>
          <w:sz w:val="20"/>
          <w:szCs w:val="20"/>
          <w:color w:val="auto"/>
        </w:rPr>
      </w:pPr>
    </w:p>
    <w:p>
      <w:pPr>
        <w:ind w:left="1300" w:right="20" w:hanging="320"/>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net favorable changes in the GMLB hedging program in excess of increases to the variable annuity liability reserves primarily due to lower interest rates in the current period;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favorable changes in the estimated fair value of the Shield liability reserves.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Favorable changes in the GMLB hedging program resulted primarily from current period market factors which included lower interest rates, reduced market volatility and lower relative equity markets.</w:t>
      </w:r>
    </w:p>
    <w:p>
      <w:pPr>
        <w:spacing w:after="0" w:line="62"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Favorable changes in Shield liability reserves were primarily due to a charge recognized in the prior period in connection with the AAR and lower relative equity markets in the current period.</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2019 Compared with the Nine Months Ended September 30,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Comparative results from GMLB Riders were unfavorable by $136 million, primarily driven by:</w:t>
      </w:r>
    </w:p>
    <w:p>
      <w:pPr>
        <w:spacing w:after="0" w:line="117" w:lineRule="exact"/>
        <w:rPr>
          <w:sz w:val="20"/>
          <w:szCs w:val="20"/>
          <w:color w:val="auto"/>
        </w:rPr>
      </w:pPr>
    </w:p>
    <w:p>
      <w:pPr>
        <w:ind w:left="1300" w:hanging="32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net unfavorable change in the estimated fair value of variable annuity liability reserves;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unfavorable changes in Shield liability reserves,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300" w:hanging="320"/>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net favorable change in the GMLB hedging program;</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favorable changes in GMLB DAC;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favorable changes in the ceded reinsurance.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Higher relative equity markets in the current period significantly impacted the following:</w:t>
      </w:r>
    </w:p>
    <w:p>
      <w:pPr>
        <w:spacing w:after="0" w:line="117" w:lineRule="exact"/>
        <w:rPr>
          <w:sz w:val="20"/>
          <w:szCs w:val="20"/>
          <w:color w:val="auto"/>
        </w:rPr>
      </w:pPr>
    </w:p>
    <w:p>
      <w:pPr>
        <w:ind w:left="1300" w:hanging="320"/>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freestanding derivatives in our GMLB hedging program;</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the Shield liability reserves, net of favorable changes to the estimated fair value of the related hedges;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unfavorable changes in GMLB DAC,</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favorable changes to the estimated fair value of the variable annuity liability reserve.</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6" w:right="239" w:bottom="1440" w:gutter="0" w:footer="0" w:header="0"/>
          <w:type w:val="continuous"/>
        </w:sectPr>
      </w:pPr>
    </w:p>
    <w:bookmarkStart w:id="65" w:name="page66"/>
    <w:bookmarkEnd w:id="6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Lower interest rates in the current period significantly impacted the following:</w:t>
      </w:r>
    </w:p>
    <w:p>
      <w:pPr>
        <w:spacing w:after="0" w:line="117" w:lineRule="exact"/>
        <w:rPr>
          <w:sz w:val="20"/>
          <w:szCs w:val="20"/>
          <w:color w:val="auto"/>
        </w:rPr>
      </w:pPr>
    </w:p>
    <w:p>
      <w:pPr>
        <w:ind w:left="1300" w:hanging="320"/>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favorable changes to the estimated fair value of freestanding derivatives in our GMLB hedging program;</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favorable changes to GMLB DAC;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favorable changes in ceded reinsurance,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variable annuity liability reserves.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AAR resulted in favorable changes in the current period primarily due to higher reserves recognized in the prior period, net of a corresponding decrease in GMLB DAC relative to the prior 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Risks</w:t>
      </w:r>
    </w:p>
    <w:p>
      <w:pPr>
        <w:spacing w:after="0" w:line="11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primary investment objective is to optimize risk-adjusted net investment income and risk-adjusted total return while appropriately matching assets and liabilities. In addition, the investment process is designed to ensure that the portfolio has an appropriate level of liquidity, quality and diversification.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the following primary sources of investment risks:</w:t>
      </w:r>
    </w:p>
    <w:p>
      <w:pPr>
        <w:spacing w:after="0" w:line="117"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credit risk, relating to the uncertainty associated with the continued ability of a given obligor to make timely payments of principal and interest;</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interest rate risk, relating to the market price and cash flow variability associated with changes in market interest rates. Changes in market interest rates will impact the net unrealized gain or loss position of our fixed income investment portfolio and the rates of return we receive on both new funds invested and reinvestment of existing funds;</w:t>
      </w:r>
    </w:p>
    <w:p>
      <w:pPr>
        <w:spacing w:after="0" w:line="7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market valuation risk, relating to the variability in the estimated fair value of investments associated with changes in market factors such as credit spreads and equity market levels. A widening of credit spreads will adversely impact the net unrealized gain (loss) position of the fixed income investment portfolio, will increase losses associated with credit-based non-qualifying derivatives where we assume credit exposure, and, if credit spreads widen significantly or for an extended period of time, will likely result in higher other-than-temporary impairment (“OTTI”). Credit spread tightening will reduce net investment income associated with new purchases of fixed maturity securities and will favorably impact the net unrealized gain (loss) position of the fixed income investment portfolio;</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liquidity risk, relating to the diminished ability to sell certain investments, in times of strained market conditions;</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real estate risk, relating to commercial, agricultural and residential real estate, and stemming from factors, which include, but are not limited to, market conditions, including the demand and supply of leasable commercial space, creditworthiness of borrowers and their tenants and joint venture partners, capital markets volatility and inherent interest rate movements;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currency risk, relating to the variability in currency exchange rates for non-U.S. dollar denominated investments;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financial and operational integration risks while we transition to a multiple manager investment platform, and following such transition, we will continue to be subject to the risks related to using external investment managers.</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manage these risks through asset-type allocation and industry and issuer diversification. Risk limits are also used to promote diversification by asset sector, avoid concentrations in any single issuer and limit overall aggregate credit and equity risk exposure. Real estate risk is managed through geographic and property type and product type diversification. We manage interest rate risk as part of our Asset Liability Management (“ALM”) strategies. Product design, such as the use of market value adjustment features and surrender charges, is also utilized to manage interest rate risk. These strategies include maintaining an investment portfolio with diversified maturities that targets a weighted average duration that reflects the duration of our estimated liability cash flow profile. For certain of our liability portfolios, it is not possible to invest assets to the full liability duration, thereby creating some asset/liability mismatch. We also use certain derivatives in the management of currency, credit, interest rate, and equity market risks.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Following the Separation, MetLife Investment Management, LLC (“MIM,” formerly known as MetLife Investment Advisors, LLC) managed our investment portfolio pursuant to several investment management agreements. On February 5, 2019, we terminated several existing investment management agreements with MIM and entered into a new investment management agreement (as amended, the “Investment Management Agreement”) with MIM, pursuant to which MIM, on a sub-advisory basis, manages the investment of the assets comprising a portion of the general account portfolio and certain separate account assets of our insurance subsidiaries, as well as assets of BHF and our non-insurance subsidiaries. As part of the termination of the prior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investment management agreements, we brought our derivatives trading, which had previously been managed by MIM, in-house. The Investment Management Agreement marks one of the initial steps in the transition of our investment portfolio to a multi-manager platform, which is expected to continue in stages throughout 2019. The Investment Management Agreement allows us flexibility to partially terminate investment management services for specified investments upon prior notice to MIM and we have accordingly terminated certain services under the Investment Management Agreement as we have engaged a select group of experienced external asset management firms to provide such services.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business and results of operations are materially affected by conditions in capital markets and the economy, generally. See “Management’s Discussion and Analysis of Financial Condition and Results of Operations — Industry Trends and Uncertainties — Financial and Economic Environment” included in the 2018 Annual Report.</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U.S. insurance company, we are affected by the monetary policy of the Federal Reserve Board in the United States. The Federal Reserve may increase or decrease the federal funds rate in the future, which may have an impact on the pricing levels of risk-bearing investments and may adversely impact the level of product sales. We are also affected by the monetary policy of central banks around the world due to the diversification of our investment portfolio.</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 Portfolio Results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following summary yield table presents the yield and net investment income for our investment portfolio for the periods indicated. As described below, this table reflects certain differences from the presentation of net investment income presented in the GAAP statement of operations. This summary yield table presentation is consistent with how we measure our investment performance for management purposes, and we believe it enhances understanding of our investment portfolio results.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60" w:type="dxa"/>
            <w:vAlign w:val="bottom"/>
          </w:tcPr>
          <w:p>
            <w:pPr>
              <w:spacing w:after="0"/>
              <w:rPr>
                <w:sz w:val="22"/>
                <w:szCs w:val="22"/>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Yield%</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Yield%</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Yield%</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Yield%</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50"/>
        </w:trPr>
        <w:tc>
          <w:tcPr>
            <w:tcW w:w="3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income (1)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951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2,757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2,576</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Investment fees and expenses (2)</w:t>
            </w:r>
          </w:p>
        </w:tc>
        <w:tc>
          <w:tcPr>
            <w:tcW w:w="1000" w:type="dxa"/>
            <w:vAlign w:val="bottom"/>
          </w:tcPr>
          <w:p>
            <w:pPr>
              <w:jc w:val="right"/>
              <w:ind w:right="83"/>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000" w:type="dxa"/>
            <w:vAlign w:val="bottom"/>
          </w:tcPr>
          <w:p>
            <w:pPr>
              <w:jc w:val="right"/>
              <w:ind w:right="83"/>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3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investment income (3), (4)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2,681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2,489</w:t>
            </w:r>
          </w:p>
        </w:tc>
        <w:tc>
          <w:tcPr>
            <w:tcW w:w="0" w:type="dxa"/>
            <w:vAlign w:val="bottom"/>
          </w:tcPr>
          <w:p>
            <w:pPr>
              <w:spacing w:after="0"/>
              <w:rPr>
                <w:sz w:val="1"/>
                <w:szCs w:val="1"/>
                <w:color w:val="auto"/>
              </w:rPr>
            </w:pPr>
          </w:p>
        </w:tc>
      </w:tr>
      <w:tr>
        <w:trPr>
          <w:trHeight w:val="20"/>
        </w:trPr>
        <w:tc>
          <w:tcPr>
            <w:tcW w:w="3160" w:type="dxa"/>
            <w:vAlign w:val="bottom"/>
            <w:vMerge w:val="restart"/>
          </w:tcPr>
          <w:p>
            <w:pPr>
              <w:jc w:val="right"/>
              <w:ind w:right="2001"/>
              <w:spacing w:after="0"/>
              <w:rPr>
                <w:sz w:val="20"/>
                <w:szCs w:val="20"/>
                <w:color w:val="auto"/>
              </w:rPr>
            </w:pPr>
            <w:r>
              <w:rPr>
                <w:rFonts w:ascii="Arial" w:cs="Arial" w:eastAsia="Arial" w:hAnsi="Arial"/>
                <w:sz w:val="14"/>
                <w:szCs w:val="14"/>
                <w:color w:val="auto"/>
                <w:w w:val="90"/>
              </w:rPr>
              <w:t>_______________</w:t>
            </w: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1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59"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Investment income yields are calculated as investment income as a percent of average quarterly asset carrying values. Investment income excludes recognized gains and losses and reflects the adjustments presented in footnote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spacing w:after="0" w:line="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Investment fee and expense yields are calculated as investment fees and expenses as a percent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Adjusted net investment income included in yield calculations includes Investment Hedge Adjustments.</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Adjusted net investment income presented in the yield table varies from the most directly comparable GAAP measure due to certain reclassifications, as presented below.</w:t>
      </w:r>
    </w:p>
    <w:p>
      <w:pPr>
        <w:spacing w:after="0" w:line="25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520" w:type="dxa"/>
            <w:vAlign w:val="bottom"/>
            <w:gridSpan w:val="4"/>
          </w:tcPr>
          <w:p>
            <w:pPr>
              <w:jc w:val="right"/>
              <w:ind w:right="282"/>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gridSpan w:val="3"/>
          </w:tcPr>
          <w:p>
            <w:pPr>
              <w:jc w:val="right"/>
              <w:ind w:right="222"/>
              <w:spacing w:after="0"/>
              <w:rPr>
                <w:sz w:val="20"/>
                <w:szCs w:val="20"/>
                <w:color w:val="auto"/>
              </w:rPr>
            </w:pPr>
            <w:r>
              <w:rPr>
                <w:rFonts w:ascii="Arial" w:cs="Arial" w:eastAsia="Arial" w:hAnsi="Arial"/>
                <w:sz w:val="14"/>
                <w:szCs w:val="14"/>
                <w:b w:val="1"/>
                <w:bCs w:val="1"/>
                <w:color w:val="auto"/>
                <w:w w:val="93"/>
              </w:rPr>
              <w:t>Nine Months Ended</w:t>
            </w:r>
          </w:p>
        </w:tc>
        <w:tc>
          <w:tcPr>
            <w:tcW w:w="520" w:type="dxa"/>
            <w:vAlign w:val="bottom"/>
          </w:tcPr>
          <w:p>
            <w:pPr>
              <w:spacing w:after="0"/>
              <w:rPr>
                <w:sz w:val="14"/>
                <w:szCs w:val="14"/>
                <w:color w:val="auto"/>
              </w:rPr>
            </w:pPr>
          </w:p>
        </w:tc>
      </w:tr>
      <w:tr>
        <w:trPr>
          <w:trHeight w:val="192"/>
        </w:trPr>
        <w:tc>
          <w:tcPr>
            <w:tcW w:w="49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82"/>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50"/>
        </w:trPr>
        <w:tc>
          <w:tcPr>
            <w:tcW w:w="4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20" w:type="dxa"/>
            <w:vAlign w:val="bottom"/>
            <w:gridSpan w:val="3"/>
          </w:tcPr>
          <w:p>
            <w:pPr>
              <w:jc w:val="right"/>
              <w:ind w:right="46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5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98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928</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2,681</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2,476</w:t>
            </w:r>
          </w:p>
        </w:tc>
      </w:tr>
      <w:tr>
        <w:trPr>
          <w:trHeight w:val="237"/>
        </w:trPr>
        <w:tc>
          <w:tcPr>
            <w:tcW w:w="4920" w:type="dxa"/>
            <w:vAlign w:val="bottom"/>
          </w:tcPr>
          <w:p>
            <w:pPr>
              <w:ind w:left="20"/>
              <w:spacing w:after="0"/>
              <w:rPr>
                <w:sz w:val="20"/>
                <w:szCs w:val="20"/>
                <w:color w:val="auto"/>
              </w:rPr>
            </w:pPr>
            <w:r>
              <w:rPr>
                <w:rFonts w:ascii="Arial" w:cs="Arial" w:eastAsia="Arial" w:hAnsi="Arial"/>
                <w:sz w:val="16"/>
                <w:szCs w:val="16"/>
                <w:color w:val="auto"/>
              </w:rPr>
              <w:t>Less: Investment hedge adjustments</w:t>
            </w:r>
          </w:p>
        </w:tc>
        <w:tc>
          <w:tcPr>
            <w:tcW w:w="98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4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Other incremental net investment income</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4920" w:type="dxa"/>
            <w:vAlign w:val="bottom"/>
          </w:tcPr>
          <w:p>
            <w:pPr>
              <w:ind w:left="20"/>
              <w:spacing w:after="0"/>
              <w:rPr>
                <w:sz w:val="20"/>
                <w:szCs w:val="20"/>
                <w:color w:val="auto"/>
              </w:rPr>
            </w:pPr>
            <w:r>
              <w:rPr>
                <w:rFonts w:ascii="Arial" w:cs="Arial" w:eastAsia="Arial" w:hAnsi="Arial"/>
                <w:sz w:val="16"/>
                <w:szCs w:val="16"/>
                <w:color w:val="auto"/>
              </w:rPr>
              <w:t>Adjusted net investment income — in the above yield table</w:t>
            </w:r>
          </w:p>
        </w:tc>
        <w:tc>
          <w:tcPr>
            <w:tcW w:w="98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928</w:t>
            </w:r>
          </w:p>
        </w:tc>
        <w:tc>
          <w:tcPr>
            <w:tcW w:w="14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2,681</w:t>
            </w: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2,489</w:t>
            </w:r>
          </w:p>
        </w:tc>
      </w:tr>
      <w:tr>
        <w:trPr>
          <w:trHeight w:val="20"/>
        </w:trPr>
        <w:tc>
          <w:tcPr>
            <w:tcW w:w="4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See “— Results of Operations — Consolidated Results for the Three Months and Nine Months Ended September 30, 2019 and 2018 — Adjusted Earnings” for an analysis of the period over period changes in net investment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AFS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fixed maturity securities available-for-sale (“AFS”) by type (public or private) held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3"/>
              </w:rPr>
              <w:t>September 30, 2019</w:t>
            </w: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5"/>
              </w:rPr>
              <w:t>December 31, 2018</w:t>
            </w:r>
          </w:p>
        </w:tc>
        <w:tc>
          <w:tcPr>
            <w:tcW w:w="1020" w:type="dxa"/>
            <w:vAlign w:val="bottom"/>
            <w:tcBorders>
              <w:bottom w:val="single" w:sz="8" w:color="auto"/>
            </w:tcBorders>
          </w:tcPr>
          <w:p>
            <w:pPr>
              <w:spacing w:after="0"/>
              <w:rPr>
                <w:sz w:val="16"/>
                <w:szCs w:val="16"/>
                <w:color w:val="auto"/>
              </w:rPr>
            </w:pPr>
          </w:p>
        </w:tc>
      </w:tr>
      <w:tr>
        <w:trPr>
          <w:trHeight w:val="152"/>
        </w:trPr>
        <w:tc>
          <w:tcPr>
            <w:tcW w:w="4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gridSpan w:val="3"/>
          </w:tcPr>
          <w:p>
            <w:pPr>
              <w:ind w:left="200"/>
              <w:spacing w:after="0" w:line="153" w:lineRule="exact"/>
              <w:rPr>
                <w:sz w:val="20"/>
                <w:szCs w:val="20"/>
                <w:color w:val="auto"/>
              </w:rPr>
            </w:pPr>
            <w:r>
              <w:rPr>
                <w:rFonts w:ascii="Arial" w:cs="Arial" w:eastAsia="Arial" w:hAnsi="Arial"/>
                <w:sz w:val="14"/>
                <w:szCs w:val="14"/>
                <w:b w:val="1"/>
                <w:bCs w:val="1"/>
                <w:color w:val="auto"/>
              </w:rPr>
              <w:t>Estimated</w:t>
            </w:r>
          </w:p>
        </w:tc>
        <w:tc>
          <w:tcPr>
            <w:tcW w:w="42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 of</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40" w:type="dxa"/>
            <w:vAlign w:val="bottom"/>
            <w:gridSpan w:val="3"/>
          </w:tcPr>
          <w:p>
            <w:pPr>
              <w:ind w:left="200"/>
              <w:spacing w:after="0" w:line="153" w:lineRule="exact"/>
              <w:rPr>
                <w:sz w:val="20"/>
                <w:szCs w:val="20"/>
                <w:color w:val="auto"/>
              </w:rPr>
            </w:pPr>
            <w:r>
              <w:rPr>
                <w:rFonts w:ascii="Arial" w:cs="Arial" w:eastAsia="Arial" w:hAnsi="Arial"/>
                <w:sz w:val="14"/>
                <w:szCs w:val="14"/>
                <w:b w:val="1"/>
                <w:bCs w:val="1"/>
                <w:color w:val="auto"/>
              </w:rPr>
              <w:t>Estimated</w:t>
            </w:r>
          </w:p>
        </w:tc>
        <w:tc>
          <w:tcPr>
            <w:tcW w:w="1020" w:type="dxa"/>
            <w:vAlign w:val="bottom"/>
          </w:tcPr>
          <w:p>
            <w:pPr>
              <w:jc w:val="right"/>
              <w:ind w:right="583"/>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Total</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Total</w:t>
            </w:r>
          </w:p>
        </w:tc>
      </w:tr>
      <w:tr>
        <w:trPr>
          <w:trHeight w:val="250"/>
        </w:trPr>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40" w:type="dxa"/>
            <w:vAlign w:val="bottom"/>
            <w:gridSpan w:val="6"/>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Pr>
          <w:p>
            <w:pPr>
              <w:spacing w:after="0"/>
              <w:rPr>
                <w:sz w:val="21"/>
                <w:szCs w:val="21"/>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Fixed maturity securities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37"/>
        </w:trPr>
        <w:tc>
          <w:tcPr>
            <w:tcW w:w="4620" w:type="dxa"/>
            <w:vAlign w:val="bottom"/>
          </w:tcPr>
          <w:p>
            <w:pPr>
              <w:ind w:left="280"/>
              <w:spacing w:after="0"/>
              <w:rPr>
                <w:sz w:val="20"/>
                <w:szCs w:val="20"/>
                <w:color w:val="auto"/>
              </w:rPr>
            </w:pPr>
            <w:r>
              <w:rPr>
                <w:rFonts w:ascii="Arial" w:cs="Arial" w:eastAsia="Arial" w:hAnsi="Arial"/>
                <w:sz w:val="16"/>
                <w:szCs w:val="16"/>
                <w:color w:val="auto"/>
              </w:rPr>
              <w:t>Publicly-traded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83"/>
              <w:spacing w:after="0"/>
              <w:rPr>
                <w:sz w:val="20"/>
                <w:szCs w:val="20"/>
                <w:color w:val="auto"/>
              </w:rPr>
            </w:pPr>
            <w:r>
              <w:rPr>
                <w:rFonts w:ascii="Arial" w:cs="Arial" w:eastAsia="Arial" w:hAnsi="Arial"/>
                <w:sz w:val="16"/>
                <w:szCs w:val="16"/>
                <w:color w:val="auto"/>
              </w:rPr>
              <w:t>58,097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03"/>
              <w:spacing w:after="0"/>
              <w:rPr>
                <w:sz w:val="20"/>
                <w:szCs w:val="20"/>
                <w:color w:val="auto"/>
              </w:rPr>
            </w:pPr>
            <w:r>
              <w:rPr>
                <w:rFonts w:ascii="Arial" w:cs="Arial" w:eastAsia="Arial" w:hAnsi="Arial"/>
                <w:sz w:val="16"/>
                <w:szCs w:val="16"/>
                <w:color w:val="auto"/>
              </w:rPr>
              <w:t>51,939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83.0%</w:t>
            </w:r>
          </w:p>
        </w:tc>
      </w:tr>
      <w:tr>
        <w:trPr>
          <w:trHeight w:val="33"/>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Privately-placed</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12,626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10,669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17.0</w:t>
            </w:r>
          </w:p>
        </w:tc>
      </w:tr>
      <w:tr>
        <w:trPr>
          <w:trHeight w:val="244"/>
        </w:trPr>
        <w:tc>
          <w:tcPr>
            <w:tcW w:w="4620" w:type="dxa"/>
            <w:vAlign w:val="bottom"/>
          </w:tcPr>
          <w:p>
            <w:pPr>
              <w:ind w:left="760"/>
              <w:spacing w:after="0"/>
              <w:rPr>
                <w:sz w:val="20"/>
                <w:szCs w:val="20"/>
                <w:color w:val="auto"/>
              </w:rPr>
            </w:pPr>
            <w:r>
              <w:rPr>
                <w:rFonts w:ascii="Arial" w:cs="Arial" w:eastAsia="Arial" w:hAnsi="Arial"/>
                <w:sz w:val="16"/>
                <w:szCs w:val="16"/>
                <w:color w:val="auto"/>
              </w:rPr>
              <w:t>Total fixed maturity securities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70,723</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6"/>
                <w:szCs w:val="16"/>
                <w:color w:val="auto"/>
              </w:rPr>
              <w:t>62,608</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0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206"/>
        </w:trPr>
        <w:tc>
          <w:tcPr>
            <w:tcW w:w="3760" w:type="dxa"/>
            <w:vAlign w:val="bottom"/>
          </w:tcPr>
          <w:p>
            <w:pPr>
              <w:spacing w:after="0"/>
              <w:rPr>
                <w:sz w:val="20"/>
                <w:szCs w:val="20"/>
                <w:color w:val="auto"/>
              </w:rPr>
            </w:pPr>
            <w:r>
              <w:rPr>
                <w:rFonts w:ascii="Arial" w:cs="Arial" w:eastAsia="Arial" w:hAnsi="Arial"/>
                <w:sz w:val="16"/>
                <w:szCs w:val="16"/>
                <w:color w:val="auto"/>
              </w:rPr>
              <w:t>Percentage of cash and invested assets</w:t>
            </w:r>
          </w:p>
        </w:tc>
        <w:tc>
          <w:tcPr>
            <w:tcW w:w="3200" w:type="dxa"/>
            <w:vAlign w:val="bottom"/>
          </w:tcPr>
          <w:p>
            <w:pPr>
              <w:jc w:val="right"/>
              <w:ind w:right="1439"/>
              <w:spacing w:after="0"/>
              <w:rPr>
                <w:sz w:val="20"/>
                <w:szCs w:val="20"/>
                <w:color w:val="auto"/>
              </w:rPr>
            </w:pPr>
            <w:r>
              <w:rPr>
                <w:rFonts w:ascii="Arial" w:cs="Arial" w:eastAsia="Arial" w:hAnsi="Arial"/>
                <w:sz w:val="16"/>
                <w:szCs w:val="16"/>
                <w:color w:val="auto"/>
              </w:rPr>
              <w:t>70.1%</w:t>
            </w:r>
          </w:p>
        </w:tc>
        <w:tc>
          <w:tcPr>
            <w:tcW w:w="1940" w:type="dxa"/>
            <w:vAlign w:val="bottom"/>
          </w:tcPr>
          <w:p>
            <w:pPr>
              <w:jc w:val="right"/>
              <w:spacing w:after="0"/>
              <w:rPr>
                <w:sz w:val="20"/>
                <w:szCs w:val="20"/>
                <w:color w:val="auto"/>
              </w:rPr>
            </w:pPr>
            <w:r>
              <w:rPr>
                <w:rFonts w:ascii="Arial" w:cs="Arial" w:eastAsia="Arial" w:hAnsi="Arial"/>
                <w:sz w:val="16"/>
                <w:szCs w:val="16"/>
                <w:color w:val="auto"/>
              </w:rPr>
              <w:t>71.7%</w:t>
            </w:r>
          </w:p>
        </w:tc>
      </w:tr>
    </w:tbl>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Valuation of Securities. </w:t>
      </w:r>
      <w:r>
        <w:rPr>
          <w:rFonts w:ascii="Arial" w:cs="Arial" w:eastAsia="Arial" w:hAnsi="Arial"/>
          <w:sz w:val="18"/>
          <w:szCs w:val="18"/>
          <w:color w:val="auto"/>
        </w:rPr>
        <w:t>See Note 6 of the Notes to the Interim Condensed Consolidated Financial Statements for further information on our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and procedures including our formal process to challenge any prices received from independent pricing services that are not considered representative of estimated fair value.</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AFS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Financial Statements for information about fixed maturity securities AFS by sector, contractual maturities and continuous gross unrealized losses.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Credit Quality — Ratings</w:t>
      </w:r>
    </w:p>
    <w:p>
      <w:pPr>
        <w:spacing w:after="0" w:line="11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See “Management’s Discussion and Analysis of Financial Condition and Results of Operations — Investments — Fixed Maturity AFS — Fixed Maturity Securities Credit Quality — Ratings” included in the 2018 Annual Report for a discussion of the credit quality ratings assigned by Nationally Recognized Statistical Rating Organizations (“NRSRO”), credit quality designations assigned by and methodologies used by the Securities Valuation Office of the NAIC for fixed maturity securities and the revised methodologies adopted by the NAIC for certain residential mortgage-backed securities (“RMBS”), commercial mortgage-backed securities (“CMBS”) and asset-backed securities (“ABS”) (collectively, “Structured Securities”).</w:t>
      </w:r>
    </w:p>
    <w:p>
      <w:pPr>
        <w:spacing w:after="0" w:line="64"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revised NAIC methodologies, as well as the percentage, based on estimated fair value that each NAIC designation is comprised of at:</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September 30, 2019</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2018</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NAIC</w:t>
            </w:r>
          </w:p>
        </w:tc>
        <w:tc>
          <w:tcPr>
            <w:tcW w:w="18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NRSRO Rating</w:t>
            </w:r>
          </w:p>
        </w:tc>
        <w:tc>
          <w:tcPr>
            <w:tcW w:w="16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1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Estimated Fair</w:t>
            </w:r>
          </w:p>
        </w:tc>
        <w:tc>
          <w:tcPr>
            <w:tcW w:w="94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Unrealized</w:t>
            </w:r>
          </w:p>
        </w:tc>
        <w:tc>
          <w:tcPr>
            <w:tcW w:w="11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Estimated Fair</w:t>
            </w:r>
          </w:p>
        </w:tc>
        <w:tc>
          <w:tcPr>
            <w:tcW w:w="840" w:type="dxa"/>
            <w:vAlign w:val="bottom"/>
          </w:tcPr>
          <w:p>
            <w:pPr>
              <w:jc w:val="right"/>
              <w:ind w:right="201"/>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Designation</w:t>
            </w:r>
          </w:p>
        </w:tc>
        <w:tc>
          <w:tcPr>
            <w:tcW w:w="1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c>
          <w:tcPr>
            <w:tcW w:w="22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840" w:type="dxa"/>
            <w:vAlign w:val="bottom"/>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Aaa/Aa/A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40,592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46,592</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40,218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42,172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Baa</w:t>
            </w:r>
          </w:p>
        </w:tc>
        <w:tc>
          <w:tcPr>
            <w:tcW w:w="1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19,599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1,552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21,151</w:t>
            </w:r>
          </w:p>
        </w:tc>
        <w:tc>
          <w:tcPr>
            <w:tcW w:w="120" w:type="dxa"/>
            <w:vAlign w:val="bottom"/>
          </w:tcPr>
          <w:p>
            <w:pPr>
              <w:spacing w:after="0"/>
              <w:rPr>
                <w:sz w:val="20"/>
                <w:szCs w:val="20"/>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17,656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17,534</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33"/>
        </w:trPr>
        <w:tc>
          <w:tcPr>
            <w:tcW w:w="9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Subtotal investment grade</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60,191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67,743</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95.8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57,874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59,706</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Ba</w:t>
            </w:r>
          </w:p>
        </w:tc>
        <w:tc>
          <w:tcPr>
            <w:tcW w:w="1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2,065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2,117</w:t>
            </w:r>
          </w:p>
        </w:tc>
        <w:tc>
          <w:tcPr>
            <w:tcW w:w="120" w:type="dxa"/>
            <w:vAlign w:val="bottom"/>
          </w:tcPr>
          <w:p>
            <w:pPr>
              <w:spacing w:after="0"/>
              <w:rPr>
                <w:sz w:val="20"/>
                <w:szCs w:val="20"/>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2,073</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Caa and lower</w:t>
            </w:r>
          </w:p>
        </w:tc>
        <w:tc>
          <w:tcPr>
            <w:tcW w:w="1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 or near default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880" w:type="dxa"/>
            <w:vAlign w:val="bottom"/>
            <w:gridSpan w:val="4"/>
          </w:tcPr>
          <w:p>
            <w:pPr>
              <w:ind w:left="40"/>
              <w:spacing w:after="0"/>
              <w:rPr>
                <w:sz w:val="20"/>
                <w:szCs w:val="20"/>
                <w:color w:val="auto"/>
              </w:rPr>
            </w:pPr>
            <w:r>
              <w:rPr>
                <w:rFonts w:ascii="Arial" w:cs="Arial" w:eastAsia="Arial" w:hAnsi="Arial"/>
                <w:sz w:val="16"/>
                <w:szCs w:val="16"/>
                <w:color w:val="auto"/>
              </w:rPr>
              <w:t>Subtotal below investment grade</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2,924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2,980</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3,046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2,902</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9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63,115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7,608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70,723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60,920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62,608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580" w:type="dxa"/>
            <w:vAlign w:val="bottom"/>
            <w:tcBorders>
              <w:bottom w:val="single" w:sz="8" w:color="auto"/>
            </w:tcBorders>
            <w:gridSpan w:val="12"/>
          </w:tcPr>
          <w:p>
            <w:pPr>
              <w:jc w:val="center"/>
              <w:ind w:left="580"/>
              <w:spacing w:after="0"/>
              <w:rPr>
                <w:sz w:val="20"/>
                <w:szCs w:val="20"/>
                <w:color w:val="auto"/>
              </w:rPr>
            </w:pPr>
            <w:r>
              <w:rPr>
                <w:rFonts w:ascii="Arial" w:cs="Arial" w:eastAsia="Arial" w:hAnsi="Arial"/>
                <w:sz w:val="14"/>
                <w:szCs w:val="14"/>
                <w:b w:val="1"/>
                <w:bCs w:val="1"/>
                <w:color w:val="auto"/>
                <w:w w:val="95"/>
              </w:rPr>
              <w:t>Fixed Maturity Securities — by Sector &amp; Credit Quality Rating</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80" w:type="dxa"/>
            <w:vAlign w:val="bottom"/>
          </w:tcPr>
          <w:p>
            <w:pPr>
              <w:ind w:left="40"/>
              <w:spacing w:after="0"/>
              <w:rPr>
                <w:sz w:val="20"/>
                <w:szCs w:val="20"/>
                <w:color w:val="auto"/>
              </w:rPr>
            </w:pPr>
            <w:r>
              <w:rPr>
                <w:rFonts w:ascii="Arial" w:cs="Arial" w:eastAsia="Arial" w:hAnsi="Arial"/>
                <w:sz w:val="14"/>
                <w:szCs w:val="14"/>
                <w:b w:val="1"/>
                <w:bCs w:val="1"/>
                <w:color w:val="auto"/>
              </w:rPr>
              <w:t>NAIC Designation</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2"/>
        </w:trPr>
        <w:tc>
          <w:tcPr>
            <w:tcW w:w="3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NRSRO Rating</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Aaa/Aa/A</w:t>
            </w:r>
          </w:p>
        </w:tc>
        <w:tc>
          <w:tcPr>
            <w:tcW w:w="260" w:type="dxa"/>
            <w:vAlign w:val="bottom"/>
          </w:tcPr>
          <w:p>
            <w:pPr>
              <w:spacing w:after="0"/>
              <w:rPr>
                <w:sz w:val="13"/>
                <w:szCs w:val="13"/>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Baa</w:t>
            </w:r>
          </w:p>
        </w:tc>
        <w:tc>
          <w:tcPr>
            <w:tcW w:w="280" w:type="dxa"/>
            <w:vAlign w:val="bottom"/>
          </w:tcPr>
          <w:p>
            <w:pPr>
              <w:spacing w:after="0"/>
              <w:rPr>
                <w:sz w:val="13"/>
                <w:szCs w:val="13"/>
                <w:color w:val="auto"/>
              </w:rPr>
            </w:pPr>
          </w:p>
        </w:tc>
        <w:tc>
          <w:tcPr>
            <w:tcW w:w="78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Ba</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B</w:t>
            </w:r>
          </w:p>
        </w:tc>
        <w:tc>
          <w:tcPr>
            <w:tcW w:w="160" w:type="dxa"/>
            <w:vAlign w:val="bottom"/>
          </w:tcPr>
          <w:p>
            <w:pPr>
              <w:spacing w:after="0"/>
              <w:rPr>
                <w:sz w:val="13"/>
                <w:szCs w:val="13"/>
                <w:color w:val="auto"/>
              </w:rPr>
            </w:pPr>
          </w:p>
        </w:tc>
        <w:tc>
          <w:tcPr>
            <w:tcW w:w="10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Caa and</w:t>
            </w:r>
          </w:p>
        </w:tc>
        <w:tc>
          <w:tcPr>
            <w:tcW w:w="180" w:type="dxa"/>
            <w:vAlign w:val="bottom"/>
          </w:tcPr>
          <w:p>
            <w:pPr>
              <w:spacing w:after="0"/>
              <w:rPr>
                <w:sz w:val="13"/>
                <w:szCs w:val="13"/>
                <w:color w:val="auto"/>
              </w:rPr>
            </w:pPr>
          </w:p>
        </w:tc>
        <w:tc>
          <w:tcPr>
            <w:tcW w:w="9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In or Near</w:t>
            </w:r>
          </w:p>
        </w:tc>
        <w:tc>
          <w:tcPr>
            <w:tcW w:w="160" w:type="dxa"/>
            <w:vAlign w:val="bottom"/>
          </w:tcPr>
          <w:p>
            <w:pPr>
              <w:spacing w:after="0"/>
              <w:rPr>
                <w:sz w:val="13"/>
                <w:szCs w:val="13"/>
                <w:color w:val="auto"/>
              </w:rPr>
            </w:pPr>
          </w:p>
        </w:tc>
        <w:tc>
          <w:tcPr>
            <w:tcW w:w="90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3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Lower</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Default</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3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2019</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U.S. corporate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15,087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13,669</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1,486</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30,902</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and agency</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7,674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7,746</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RMBS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9,093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9,215</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corporate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9,650</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CMBS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5,484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5,579</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political subdivision</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3,989</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ABS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1,917</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government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17"/>
        </w:trPr>
        <w:tc>
          <w:tcPr>
            <w:tcW w:w="3380" w:type="dxa"/>
            <w:vAlign w:val="bottom"/>
          </w:tcPr>
          <w:p>
            <w:pPr>
              <w:ind w:left="20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46,592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21,151</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2,117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70,723</w:t>
            </w:r>
          </w:p>
        </w:tc>
        <w:tc>
          <w:tcPr>
            <w:tcW w:w="0" w:type="dxa"/>
            <w:vAlign w:val="bottom"/>
          </w:tcPr>
          <w:p>
            <w:pPr>
              <w:spacing w:after="0"/>
              <w:rPr>
                <w:sz w:val="1"/>
                <w:szCs w:val="1"/>
                <w:color w:val="auto"/>
              </w:rPr>
            </w:pPr>
          </w:p>
        </w:tc>
      </w:tr>
      <w:tr>
        <w:trPr>
          <w:trHeight w:val="73"/>
        </w:trPr>
        <w:tc>
          <w:tcPr>
            <w:tcW w:w="33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380" w:type="dxa"/>
            <w:vAlign w:val="bottom"/>
            <w:tcBorders>
              <w:bottom w:val="single" w:sz="8" w:color="CCEEFF"/>
            </w:tcBorders>
            <w:shd w:val="clear" w:color="auto" w:fill="CCEEFF"/>
          </w:tcPr>
          <w:p>
            <w:pPr>
              <w:ind w:left="200"/>
              <w:spacing w:after="0" w:line="177" w:lineRule="exact"/>
              <w:rPr>
                <w:sz w:val="20"/>
                <w:szCs w:val="20"/>
                <w:color w:val="auto"/>
              </w:rPr>
            </w:pPr>
            <w:r>
              <w:rPr>
                <w:rFonts w:ascii="Arial" w:cs="Arial" w:eastAsia="Arial" w:hAnsi="Arial"/>
                <w:sz w:val="16"/>
                <w:szCs w:val="16"/>
                <w:color w:val="auto"/>
              </w:rPr>
              <w:t>Percentage of total</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corporate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11,277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1,417</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24,473</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U.S. government and agency</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8,921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9,095</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RMBS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8,547</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Foreign corporate</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2,427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5,089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8,026</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CMBS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State and political subdivision</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3,437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3,597</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2,126</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Foreign government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1,496</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42,172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2,073</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62,608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6"/>
                <w:szCs w:val="16"/>
                <w:color w:val="auto"/>
              </w:rPr>
              <w:t>Percentage of total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U.S. and Foreign Corporate Fixed Maturity Securities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We maintain a diversified portfolio of corporate fixed maturity securities across industries and issuers. This portfolio does not have any exposure to any single issuer in excess of 1% of total investments and the top ten holdings in aggregate comprise 2% of total investments at September 30, 2019 and December 31, 2018. The tables below present our U.S. and foreign corporate securities holdings by industry at: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3"/>
              </w:rPr>
              <w:t>September 30, 2019</w:t>
            </w:r>
          </w:p>
        </w:tc>
        <w:tc>
          <w:tcPr>
            <w:tcW w:w="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3"/>
              </w:rPr>
              <w:t>December 31, 2018</w:t>
            </w:r>
          </w:p>
        </w:tc>
        <w:tc>
          <w:tcPr>
            <w:tcW w:w="1020" w:type="dxa"/>
            <w:vAlign w:val="bottom"/>
            <w:tcBorders>
              <w:bottom w:val="single" w:sz="8" w:color="auto"/>
            </w:tcBorders>
          </w:tcPr>
          <w:p>
            <w:pPr>
              <w:spacing w:after="0"/>
              <w:rPr>
                <w:sz w:val="16"/>
                <w:szCs w:val="16"/>
                <w:color w:val="auto"/>
              </w:rPr>
            </w:pPr>
          </w:p>
        </w:tc>
      </w:tr>
      <w:tr>
        <w:trPr>
          <w:trHeight w:val="152"/>
        </w:trPr>
        <w:tc>
          <w:tcPr>
            <w:tcW w:w="4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gridSpan w:val="3"/>
          </w:tcPr>
          <w:p>
            <w:pPr>
              <w:ind w:left="160"/>
              <w:spacing w:after="0" w:line="153" w:lineRule="exact"/>
              <w:rPr>
                <w:sz w:val="20"/>
                <w:szCs w:val="20"/>
                <w:color w:val="auto"/>
              </w:rPr>
            </w:pPr>
            <w:r>
              <w:rPr>
                <w:rFonts w:ascii="Arial" w:cs="Arial" w:eastAsia="Arial" w:hAnsi="Arial"/>
                <w:sz w:val="14"/>
                <w:szCs w:val="14"/>
                <w:b w:val="1"/>
                <w:bCs w:val="1"/>
                <w:color w:val="auto"/>
              </w:rPr>
              <w:t>Estimated</w:t>
            </w:r>
          </w:p>
        </w:tc>
        <w:tc>
          <w:tcPr>
            <w:tcW w:w="4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 of</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3"/>
          </w:tcPr>
          <w:p>
            <w:pPr>
              <w:ind w:left="180"/>
              <w:spacing w:after="0" w:line="153" w:lineRule="exact"/>
              <w:rPr>
                <w:sz w:val="20"/>
                <w:szCs w:val="20"/>
                <w:color w:val="auto"/>
              </w:rPr>
            </w:pPr>
            <w:r>
              <w:rPr>
                <w:rFonts w:ascii="Arial" w:cs="Arial" w:eastAsia="Arial" w:hAnsi="Arial"/>
                <w:sz w:val="14"/>
                <w:szCs w:val="14"/>
                <w:b w:val="1"/>
                <w:bCs w:val="1"/>
                <w:color w:val="auto"/>
              </w:rPr>
              <w:t>Estimated</w:t>
            </w:r>
          </w:p>
        </w:tc>
        <w:tc>
          <w:tcPr>
            <w:tcW w:w="1020" w:type="dxa"/>
            <w:vAlign w:val="bottom"/>
          </w:tcPr>
          <w:p>
            <w:pPr>
              <w:jc w:val="right"/>
              <w:ind w:right="581"/>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4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Total</w:t>
            </w:r>
          </w:p>
        </w:tc>
      </w:tr>
      <w:tr>
        <w:trPr>
          <w:trHeight w:val="250"/>
        </w:trPr>
        <w:tc>
          <w:tcPr>
            <w:tcW w:w="4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20" w:type="dxa"/>
            <w:vAlign w:val="bottom"/>
            <w:gridSpan w:val="6"/>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Pr>
          <w:p>
            <w:pPr>
              <w:spacing w:after="0"/>
              <w:rPr>
                <w:sz w:val="21"/>
                <w:szCs w:val="21"/>
                <w:color w:val="auto"/>
              </w:rPr>
            </w:pP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12,453</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9,896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37"/>
        </w:trPr>
        <w:tc>
          <w:tcPr>
            <w:tcW w:w="4660" w:type="dxa"/>
            <w:vAlign w:val="bottom"/>
          </w:tcPr>
          <w:p>
            <w:pPr>
              <w:ind w:left="40"/>
              <w:spacing w:after="0"/>
              <w:rPr>
                <w:sz w:val="20"/>
                <w:szCs w:val="20"/>
                <w:color w:val="auto"/>
              </w:rPr>
            </w:pPr>
            <w:r>
              <w:rPr>
                <w:rFonts w:ascii="Arial" w:cs="Arial" w:eastAsia="Arial" w:hAnsi="Arial"/>
                <w:sz w:val="16"/>
                <w:szCs w:val="16"/>
                <w:color w:val="auto"/>
              </w:rPr>
              <w:t>Consumer</w:t>
            </w:r>
          </w:p>
        </w:tc>
        <w:tc>
          <w:tcPr>
            <w:tcW w:w="3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9,737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8,290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25.5</w:t>
            </w:r>
          </w:p>
        </w:tc>
      </w:tr>
      <w:tr>
        <w:trPr>
          <w:trHeight w:val="33"/>
        </w:trPr>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9,315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7,209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22.2</w:t>
            </w:r>
          </w:p>
        </w:tc>
      </w:tr>
      <w:tr>
        <w:trPr>
          <w:trHeight w:val="237"/>
        </w:trPr>
        <w:tc>
          <w:tcPr>
            <w:tcW w:w="4660" w:type="dxa"/>
            <w:vAlign w:val="bottom"/>
          </w:tcPr>
          <w:p>
            <w:pPr>
              <w:ind w:left="40"/>
              <w:spacing w:after="0"/>
              <w:rPr>
                <w:sz w:val="20"/>
                <w:szCs w:val="20"/>
                <w:color w:val="auto"/>
              </w:rPr>
            </w:pPr>
            <w:r>
              <w:rPr>
                <w:rFonts w:ascii="Arial" w:cs="Arial" w:eastAsia="Arial" w:hAnsi="Arial"/>
                <w:sz w:val="16"/>
                <w:szCs w:val="16"/>
                <w:color w:val="auto"/>
              </w:rPr>
              <w:t>Utility</w:t>
            </w:r>
          </w:p>
        </w:tc>
        <w:tc>
          <w:tcPr>
            <w:tcW w:w="3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6,159</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4,770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14.7</w:t>
            </w:r>
          </w:p>
        </w:tc>
      </w:tr>
      <w:tr>
        <w:trPr>
          <w:trHeight w:val="33"/>
        </w:trPr>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2,888</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2,334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7.2</w:t>
            </w:r>
          </w:p>
        </w:tc>
      </w:tr>
      <w:tr>
        <w:trPr>
          <w:trHeight w:val="217"/>
        </w:trPr>
        <w:tc>
          <w:tcPr>
            <w:tcW w:w="4660" w:type="dxa"/>
            <w:vAlign w:val="bottom"/>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40,552</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32,499</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Structured Securities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We held $16.7 billion and $15.9 billion of Structured Securities, at estimated fair value, at September 30, 2019 and December 31, 2018, respectively, as presented in the RMBS, CMBS and ABS sections below.</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RMBS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RMBS holdings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September 30, 2019</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1180" w:type="dxa"/>
            <w:vAlign w:val="bottom"/>
            <w:tcBorders>
              <w:bottom w:val="single" w:sz="8" w:color="auto"/>
            </w:tcBorders>
          </w:tcPr>
          <w:p>
            <w:pPr>
              <w:spacing w:after="0"/>
              <w:rPr>
                <w:sz w:val="16"/>
                <w:szCs w:val="16"/>
                <w:color w:val="auto"/>
              </w:rPr>
            </w:pPr>
          </w:p>
        </w:tc>
      </w:tr>
      <w:tr>
        <w:trPr>
          <w:trHeight w:val="152"/>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Estimated</w:t>
            </w:r>
          </w:p>
        </w:tc>
        <w:tc>
          <w:tcPr>
            <w:tcW w:w="118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Net Unrealized</w:t>
            </w: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Estimated</w:t>
            </w:r>
          </w:p>
        </w:tc>
        <w:tc>
          <w:tcPr>
            <w:tcW w:w="116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180" w:type="dxa"/>
            <w:vAlign w:val="bottom"/>
          </w:tcPr>
          <w:p>
            <w:pPr>
              <w:jc w:val="right"/>
              <w:ind w:right="141"/>
              <w:spacing w:after="0" w:line="153" w:lineRule="exact"/>
              <w:rPr>
                <w:sz w:val="20"/>
                <w:szCs w:val="20"/>
                <w:color w:val="auto"/>
              </w:rPr>
            </w:pPr>
            <w:r>
              <w:rPr>
                <w:rFonts w:ascii="Arial" w:cs="Arial" w:eastAsia="Arial" w:hAnsi="Arial"/>
                <w:sz w:val="14"/>
                <w:szCs w:val="14"/>
                <w:b w:val="1"/>
                <w:bCs w:val="1"/>
                <w:color w:val="auto"/>
                <w:w w:val="96"/>
              </w:rPr>
              <w:t>Net Unrealized</w:t>
            </w:r>
          </w:p>
        </w:tc>
      </w:tr>
      <w:tr>
        <w:trPr>
          <w:trHeight w:val="192"/>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Gains (Losses)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3"/>
              </w:rPr>
              <w:t>Gains (Losses)</w:t>
            </w:r>
          </w:p>
        </w:tc>
      </w:tr>
      <w:tr>
        <w:trPr>
          <w:trHeight w:val="250"/>
        </w:trPr>
        <w:tc>
          <w:tcPr>
            <w:tcW w:w="4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0" w:type="dxa"/>
            <w:vAlign w:val="bottom"/>
            <w:gridSpan w:val="5"/>
          </w:tcPr>
          <w:p>
            <w:pPr>
              <w:ind w:left="620"/>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By security type:</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37"/>
        </w:trPr>
        <w:tc>
          <w:tcPr>
            <w:tcW w:w="4020" w:type="dxa"/>
            <w:vAlign w:val="bottom"/>
          </w:tcPr>
          <w:p>
            <w:pPr>
              <w:ind w:left="200"/>
              <w:spacing w:after="0"/>
              <w:rPr>
                <w:sz w:val="20"/>
                <w:szCs w:val="20"/>
                <w:color w:val="auto"/>
              </w:rPr>
            </w:pPr>
            <w:r>
              <w:rPr>
                <w:rFonts w:ascii="Arial" w:cs="Arial" w:eastAsia="Arial" w:hAnsi="Arial"/>
                <w:sz w:val="16"/>
                <w:szCs w:val="16"/>
                <w:color w:val="auto"/>
              </w:rPr>
              <w:t>Collateralized mortgage obligations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5,027</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4,885</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174</w:t>
            </w: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Pass-through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4,188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3,662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7"/>
        </w:trPr>
        <w:tc>
          <w:tcPr>
            <w:tcW w:w="4020" w:type="dxa"/>
            <w:vAlign w:val="bottom"/>
          </w:tcPr>
          <w:p>
            <w:pPr>
              <w:ind w:left="360"/>
              <w:spacing w:after="0"/>
              <w:rPr>
                <w:sz w:val="20"/>
                <w:szCs w:val="20"/>
                <w:color w:val="auto"/>
              </w:rPr>
            </w:pPr>
            <w:r>
              <w:rPr>
                <w:rFonts w:ascii="Arial" w:cs="Arial" w:eastAsia="Arial" w:hAnsi="Arial"/>
                <w:sz w:val="16"/>
                <w:szCs w:val="16"/>
                <w:color w:val="auto"/>
              </w:rPr>
              <w:t>Total RMBS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9,215</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8,547</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119</w:t>
            </w:r>
          </w:p>
        </w:tc>
      </w:tr>
      <w:tr>
        <w:trPr>
          <w:trHeight w:val="73"/>
        </w:trPr>
        <w:tc>
          <w:tcPr>
            <w:tcW w:w="40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177"/>
        </w:trPr>
        <w:tc>
          <w:tcPr>
            <w:tcW w:w="40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By risk profile:</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74"/>
        </w:trPr>
        <w:tc>
          <w:tcPr>
            <w:tcW w:w="4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r>
      <w:tr>
        <w:trPr>
          <w:trHeight w:val="237"/>
        </w:trPr>
        <w:tc>
          <w:tcPr>
            <w:tcW w:w="4020" w:type="dxa"/>
            <w:vAlign w:val="bottom"/>
          </w:tcPr>
          <w:p>
            <w:pPr>
              <w:ind w:left="200"/>
              <w:spacing w:after="0"/>
              <w:rPr>
                <w:sz w:val="20"/>
                <w:szCs w:val="20"/>
                <w:color w:val="auto"/>
              </w:rPr>
            </w:pPr>
            <w:r>
              <w:rPr>
                <w:rFonts w:ascii="Arial" w:cs="Arial" w:eastAsia="Arial" w:hAnsi="Arial"/>
                <w:sz w:val="16"/>
                <w:szCs w:val="16"/>
                <w:color w:val="auto"/>
              </w:rPr>
              <w:t>Agency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7,183</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6,396</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Prime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r>
      <w:tr>
        <w:trPr>
          <w:trHeight w:val="237"/>
        </w:trPr>
        <w:tc>
          <w:tcPr>
            <w:tcW w:w="4020" w:type="dxa"/>
            <w:vAlign w:val="bottom"/>
          </w:tcPr>
          <w:p>
            <w:pPr>
              <w:ind w:left="200"/>
              <w:spacing w:after="0"/>
              <w:rPr>
                <w:sz w:val="20"/>
                <w:szCs w:val="20"/>
                <w:color w:val="auto"/>
              </w:rPr>
            </w:pPr>
            <w:r>
              <w:rPr>
                <w:rFonts w:ascii="Arial" w:cs="Arial" w:eastAsia="Arial" w:hAnsi="Arial"/>
                <w:sz w:val="16"/>
                <w:szCs w:val="16"/>
                <w:color w:val="auto"/>
              </w:rPr>
              <w:t>Alt-A</w:t>
            </w: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938</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79</w:t>
            </w: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Sub-prime</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915</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917</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w:t>
            </w:r>
          </w:p>
        </w:tc>
      </w:tr>
      <w:tr>
        <w:trPr>
          <w:trHeight w:val="217"/>
        </w:trPr>
        <w:tc>
          <w:tcPr>
            <w:tcW w:w="4020" w:type="dxa"/>
            <w:vAlign w:val="bottom"/>
          </w:tcPr>
          <w:p>
            <w:pPr>
              <w:ind w:left="360"/>
              <w:spacing w:after="0"/>
              <w:rPr>
                <w:sz w:val="20"/>
                <w:szCs w:val="20"/>
                <w:color w:val="auto"/>
              </w:rPr>
            </w:pPr>
            <w:r>
              <w:rPr>
                <w:rFonts w:ascii="Arial" w:cs="Arial" w:eastAsia="Arial" w:hAnsi="Arial"/>
                <w:sz w:val="16"/>
                <w:szCs w:val="16"/>
                <w:color w:val="auto"/>
              </w:rPr>
              <w:t>Total RMBS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9,215</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8,547</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119</w:t>
            </w:r>
          </w:p>
        </w:tc>
      </w:tr>
      <w:tr>
        <w:trPr>
          <w:trHeight w:val="73"/>
        </w:trPr>
        <w:tc>
          <w:tcPr>
            <w:tcW w:w="40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177"/>
        </w:trPr>
        <w:tc>
          <w:tcPr>
            <w:tcW w:w="40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Ratings profile:</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74"/>
        </w:trPr>
        <w:tc>
          <w:tcPr>
            <w:tcW w:w="4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r>
      <w:tr>
        <w:trPr>
          <w:trHeight w:val="237"/>
        </w:trPr>
        <w:tc>
          <w:tcPr>
            <w:tcW w:w="4020" w:type="dxa"/>
            <w:vAlign w:val="bottom"/>
          </w:tcPr>
          <w:p>
            <w:pPr>
              <w:ind w:left="200"/>
              <w:spacing w:after="0"/>
              <w:rPr>
                <w:sz w:val="20"/>
                <w:szCs w:val="20"/>
                <w:color w:val="auto"/>
              </w:rPr>
            </w:pPr>
            <w:r>
              <w:rPr>
                <w:rFonts w:ascii="Arial" w:cs="Arial" w:eastAsia="Arial" w:hAnsi="Arial"/>
                <w:sz w:val="16"/>
                <w:szCs w:val="16"/>
                <w:color w:val="auto"/>
              </w:rPr>
              <w:t>Rated Aaa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7,289</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6,529</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4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Designated NAIC 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9,093</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8,395</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33"/>
        </w:trPr>
        <w:tc>
          <w:tcPr>
            <w:tcW w:w="4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Historically, we have managed our exposure to sub-prime RMBS holdings by focusing primarily on senior tranche securities, stress 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 The estimated fair value of our sub-prime RMBS holdings purchased since 2012 was $883 million at both September 30, 2019 and December 31, 2018, with unrealized gains (losses) of $65 million and $50 million at September 30, 2019 and December 31, 2018,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CMBS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CMBS holdings are diversified by vintage year. The following tables present our CMBS holdings by vintage year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4"/>
                <w:szCs w:val="14"/>
                <w:b w:val="1"/>
                <w:bCs w:val="1"/>
                <w:color w:val="auto"/>
              </w:rPr>
              <w:t>September 30, 2019</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Amortized Cost</w:t>
            </w:r>
          </w:p>
        </w:tc>
        <w:tc>
          <w:tcPr>
            <w:tcW w:w="12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Estimated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Amortized Cost</w:t>
            </w:r>
          </w:p>
        </w:tc>
        <w:tc>
          <w:tcPr>
            <w:tcW w:w="560" w:type="dxa"/>
            <w:vAlign w:val="bottom"/>
          </w:tcPr>
          <w:p>
            <w:pPr>
              <w:spacing w:after="0"/>
              <w:rPr>
                <w:sz w:val="13"/>
                <w:szCs w:val="13"/>
                <w:color w:val="auto"/>
              </w:rPr>
            </w:pPr>
          </w:p>
        </w:tc>
        <w:tc>
          <w:tcPr>
            <w:tcW w:w="1240" w:type="dxa"/>
            <w:vAlign w:val="bottom"/>
          </w:tcPr>
          <w:p>
            <w:pPr>
              <w:jc w:val="right"/>
              <w:ind w:right="520"/>
              <w:spacing w:after="0" w:line="15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20" w:type="dxa"/>
            <w:vAlign w:val="bottom"/>
            <w:gridSpan w:val="5"/>
          </w:tcPr>
          <w:p>
            <w:pPr>
              <w:spacing w:after="0"/>
              <w:rPr>
                <w:sz w:val="20"/>
                <w:szCs w:val="20"/>
                <w:color w:val="auto"/>
              </w:rPr>
            </w:pPr>
            <w:r>
              <w:rPr>
                <w:rFonts w:ascii="Arial" w:cs="Arial" w:eastAsia="Arial" w:hAnsi="Arial"/>
                <w:sz w:val="14"/>
                <w:szCs w:val="14"/>
                <w:b w:val="1"/>
                <w:bCs w:val="1"/>
                <w:color w:val="auto"/>
              </w:rPr>
              <w:t>(Dollars in millions)</w:t>
            </w: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2003 - 2010</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6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2011</w:t>
            </w:r>
          </w:p>
        </w:tc>
        <w:tc>
          <w:tcPr>
            <w:tcW w:w="28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2012</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2013</w:t>
            </w:r>
          </w:p>
        </w:tc>
        <w:tc>
          <w:tcPr>
            <w:tcW w:w="28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2015</w:t>
            </w:r>
          </w:p>
        </w:tc>
        <w:tc>
          <w:tcPr>
            <w:tcW w:w="28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942</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996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2017</w:t>
            </w:r>
          </w:p>
        </w:tc>
        <w:tc>
          <w:tcPr>
            <w:tcW w:w="28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2019</w:t>
            </w:r>
          </w:p>
        </w:tc>
        <w:tc>
          <w:tcPr>
            <w:tcW w:w="28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5,241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6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5,292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CMBS rated Aaa using rating agency ratings were $4.1 billion, or 73.9% of total CMBS, and designated NAIC 1 were $5.5 billion, or 98.3% of total CMBS, at September 30, 2019. CMBS rated Aaa using rating agency ratings were $3.5 billion, or 66.9% of total CMBS, and designated NAIC 1 were $5.2 billion, or 98.8% of total CMBS at December 31, 2018.</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ABS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ABS are diversified both by collateral type and by issuer. The following table presents our ABS holdings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September 30, 2019</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0"/>
              </w:rPr>
              <w:t>December 31, 2018</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130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Net Unrealized</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1300" w:type="dxa"/>
            <w:vAlign w:val="bottom"/>
            <w:gridSpan w:val="3"/>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180" w:type="dxa"/>
            <w:vAlign w:val="bottom"/>
          </w:tcPr>
          <w:p>
            <w:pPr>
              <w:jc w:val="right"/>
              <w:ind w:right="141"/>
              <w:spacing w:after="0" w:line="153" w:lineRule="exact"/>
              <w:rPr>
                <w:sz w:val="20"/>
                <w:szCs w:val="20"/>
                <w:color w:val="auto"/>
              </w:rPr>
            </w:pPr>
            <w:r>
              <w:rPr>
                <w:rFonts w:ascii="Arial" w:cs="Arial" w:eastAsia="Arial" w:hAnsi="Arial"/>
                <w:sz w:val="14"/>
                <w:szCs w:val="14"/>
                <w:b w:val="1"/>
                <w:bCs w:val="1"/>
                <w:color w:val="auto"/>
                <w:w w:val="96"/>
              </w:rPr>
              <w:t>Net Unrealized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Gains (Losses)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ind w:left="620"/>
              <w:spacing w:after="0"/>
              <w:rPr>
                <w:sz w:val="20"/>
                <w:szCs w:val="20"/>
                <w:color w:val="auto"/>
              </w:rPr>
            </w:pPr>
            <w:r>
              <w:rPr>
                <w:rFonts w:ascii="Arial" w:cs="Arial" w:eastAsia="Arial" w:hAnsi="Arial"/>
                <w:sz w:val="14"/>
                <w:szCs w:val="14"/>
                <w:b w:val="1"/>
                <w:bCs w:val="1"/>
                <w:color w:val="auto"/>
              </w:rPr>
              <w:t>(Dollars 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60" w:type="dxa"/>
            <w:vAlign w:val="bottom"/>
          </w:tcPr>
          <w:p>
            <w:pPr>
              <w:ind w:left="40"/>
              <w:spacing w:after="0"/>
              <w:rPr>
                <w:sz w:val="20"/>
                <w:szCs w:val="20"/>
                <w:color w:val="auto"/>
              </w:rPr>
            </w:pPr>
            <w:r>
              <w:rPr>
                <w:rFonts w:ascii="Arial" w:cs="Arial" w:eastAsia="Arial" w:hAnsi="Arial"/>
                <w:sz w:val="16"/>
                <w:szCs w:val="16"/>
                <w:color w:val="auto"/>
              </w:rPr>
              <w:t>By collateral type: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Collateralized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Automobile loans</w:t>
            </w: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Consumer loans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Student loans</w:t>
            </w: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Credit card loans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Other loans</w:t>
            </w: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1,917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2,126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Ratings profile: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Rated Aaa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Designated NAIC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1,645</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1,851</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Fixed Maturity Securities AFS for OTTI and Evaluating Temporarily Impaired Fixed Maturity Securities AFS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Financial Statements for information about the evaluation of fixed maturity securities AFS and equity securities for OTTI and evaluation of temporarily impaired AFS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We monitor the estimated fair value of the securities loaned on a daily basis with additional collateral obtained</w:t>
      </w:r>
    </w:p>
    <w:p>
      <w:pPr>
        <w:sectPr>
          <w:pgSz w:w="11900" w:h="16838" w:orient="portrait"/>
          <w:cols w:equalWidth="0" w:num="1">
            <w:col w:w="11420"/>
          </w:cols>
          <w:pgMar w:left="240" w:top="12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6" w:right="239" w:bottom="1440" w:gutter="0" w:footer="0" w:header="0"/>
          <w:type w:val="continuous"/>
        </w:sectPr>
      </w:pPr>
    </w:p>
    <w:bookmarkStart w:id="71" w:name="page72"/>
    <w:bookmarkEnd w:id="7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 Liquidity and Capital Resources — The Company — Primary Uses of Liquidity and Capital — Securities Lending” and Note 4 of the Notes to the Interim Condensed Consolidated Financial Statements for information regarding our securities lending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mortgage loans are principally collateralized by commercial, agricultural and residential properties. Mortgage loans and the related valuation allowances are summarized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September 30, 2019</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December 31, 2018</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Recorded</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88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Valuation</w:t>
            </w:r>
          </w:p>
        </w:tc>
        <w:tc>
          <w:tcPr>
            <w:tcW w:w="128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86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Valuation</w:t>
            </w:r>
          </w:p>
        </w:tc>
        <w:tc>
          <w:tcPr>
            <w:tcW w:w="1180" w:type="dxa"/>
            <w:vAlign w:val="bottom"/>
          </w:tcPr>
          <w:p>
            <w:pPr>
              <w:jc w:val="center"/>
              <w:ind w:left="43"/>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80" w:type="dxa"/>
            <w:vAlign w:val="bottom"/>
          </w:tcPr>
          <w:p>
            <w:pPr>
              <w:jc w:val="center"/>
              <w:ind w:left="43"/>
              <w:spacing w:after="0" w:line="149"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Investment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5"/>
              </w:rPr>
              <w:t>Allowance</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5"/>
              </w:rPr>
              <w:t>Allowance</w:t>
            </w:r>
          </w:p>
        </w:tc>
        <w:tc>
          <w:tcPr>
            <w:tcW w:w="1180" w:type="dxa"/>
            <w:vAlign w:val="bottom"/>
            <w:tcBorders>
              <w:bottom w:val="single" w:sz="8" w:color="auto"/>
            </w:tcBorders>
          </w:tcPr>
          <w:p>
            <w:pPr>
              <w:jc w:val="center"/>
              <w:ind w:left="43"/>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0" w:type="dxa"/>
            <w:vAlign w:val="bottom"/>
            <w:gridSpan w:val="5"/>
          </w:tcPr>
          <w:p>
            <w:pPr>
              <w:ind w:left="620"/>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9,473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8,529</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2340" w:type="dxa"/>
            <w:vAlign w:val="bottom"/>
          </w:tcPr>
          <w:p>
            <w:pPr>
              <w:ind w:left="40"/>
              <w:spacing w:after="0"/>
              <w:rPr>
                <w:sz w:val="20"/>
                <w:szCs w:val="20"/>
                <w:color w:val="auto"/>
              </w:rPr>
            </w:pPr>
            <w:r>
              <w:rPr>
                <w:rFonts w:ascii="Arial" w:cs="Arial" w:eastAsia="Arial" w:hAnsi="Arial"/>
                <w:sz w:val="16"/>
                <w:szCs w:val="16"/>
                <w:color w:val="auto"/>
              </w:rPr>
              <w:t>Agricultural</w:t>
            </w:r>
          </w:p>
        </w:tc>
        <w:tc>
          <w:tcPr>
            <w:tcW w:w="1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3,291</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10</w:t>
            </w:r>
          </w:p>
        </w:tc>
        <w:tc>
          <w:tcPr>
            <w:tcW w:w="116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2,946</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9</w:t>
            </w:r>
          </w:p>
        </w:tc>
        <w:tc>
          <w:tcPr>
            <w:tcW w:w="11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2,659</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2,276</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4"/>
        </w:trPr>
        <w:tc>
          <w:tcPr>
            <w:tcW w:w="2340" w:type="dxa"/>
            <w:vAlign w:val="bottom"/>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15,423</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64</w:t>
            </w:r>
          </w:p>
        </w:tc>
        <w:tc>
          <w:tcPr>
            <w:tcW w:w="11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13,751</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57</w:t>
            </w:r>
          </w:p>
        </w:tc>
        <w:tc>
          <w:tcPr>
            <w:tcW w:w="118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diversify our mortgage loan portfolio by both geographic region and property type to reduce the risk of concentration. The percentage of our commercial and agricultural mortgage loan portfolios collateralized by properties located in the U.S. were 96% and 97% at September 30, 2019 and December 31, 2018, respectively, and the remainder was collateralized by properties located outside of the U.S. The carrying value as a percentage of total commercial and agricultural mortgage loans for the top three states in the U.S. is as follows at: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4"/>
              </w:rPr>
              <w:t>September 30, 2019</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7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State</w:t>
            </w: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60"/>
        </w:trPr>
        <w:tc>
          <w:tcPr>
            <w:tcW w:w="7120" w:type="dxa"/>
            <w:vAlign w:val="bottom"/>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00" w:type="dxa"/>
            <w:vAlign w:val="bottom"/>
            <w:shd w:val="clear" w:color="auto" w:fill="CCEEFF"/>
          </w:tcPr>
          <w:p>
            <w:pPr>
              <w:spacing w:after="0"/>
              <w:rPr>
                <w:sz w:val="5"/>
                <w:szCs w:val="5"/>
                <w:color w:val="auto"/>
              </w:rPr>
            </w:pPr>
          </w:p>
        </w:tc>
      </w:tr>
      <w:tr>
        <w:trPr>
          <w:trHeight w:val="237"/>
        </w:trPr>
        <w:tc>
          <w:tcPr>
            <w:tcW w:w="8840" w:type="dxa"/>
            <w:vAlign w:val="bottom"/>
            <w:gridSpan w:val="2"/>
          </w:tcPr>
          <w:p>
            <w:pPr>
              <w:ind w:left="40"/>
              <w:spacing w:after="0"/>
              <w:rPr>
                <w:sz w:val="20"/>
                <w:szCs w:val="20"/>
                <w:color w:val="auto"/>
              </w:rPr>
            </w:pPr>
            <w:r>
              <w:rPr>
                <w:rFonts w:ascii="Arial" w:cs="Arial" w:eastAsia="Arial" w:hAnsi="Arial"/>
                <w:sz w:val="16"/>
                <w:szCs w:val="16"/>
                <w:color w:val="auto"/>
              </w:rPr>
              <w:t>California</w:t>
            </w:r>
          </w:p>
        </w:tc>
        <w:tc>
          <w:tcPr>
            <w:tcW w:w="3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7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New York</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8840" w:type="dxa"/>
            <w:vAlign w:val="bottom"/>
            <w:gridSpan w:val="2"/>
          </w:tcPr>
          <w:p>
            <w:pPr>
              <w:ind w:left="40"/>
              <w:spacing w:after="0"/>
              <w:rPr>
                <w:sz w:val="20"/>
                <w:szCs w:val="20"/>
                <w:color w:val="auto"/>
              </w:rPr>
            </w:pPr>
            <w:r>
              <w:rPr>
                <w:rFonts w:ascii="Arial" w:cs="Arial" w:eastAsia="Arial" w:hAnsi="Arial"/>
                <w:sz w:val="16"/>
                <w:szCs w:val="16"/>
                <w:color w:val="auto"/>
              </w:rPr>
              <w:t>Texas</w:t>
            </w: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we manage risk when originating commercial and agricultural mortgage loans by generally lending up to 75% of the estimated fair value of the underlying real estate collateral.</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manage our residential mortgage loan portfolio in a similar manner to reduce risk of concentration. All residential mortgage loans were collateralized by properties located in the U.S. at both September 30, 2019 and December 31, 2018. The carrying value as a percentage of total residential mortgage loans for the top three states in the U.S. is as follows at: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4"/>
              </w:rPr>
              <w:t>September 30, 2019</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7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State</w:t>
            </w: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60"/>
        </w:trPr>
        <w:tc>
          <w:tcPr>
            <w:tcW w:w="7120" w:type="dxa"/>
            <w:vAlign w:val="bottom"/>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00" w:type="dxa"/>
            <w:vAlign w:val="bottom"/>
            <w:shd w:val="clear" w:color="auto" w:fill="CCEEFF"/>
          </w:tcPr>
          <w:p>
            <w:pPr>
              <w:spacing w:after="0"/>
              <w:rPr>
                <w:sz w:val="5"/>
                <w:szCs w:val="5"/>
                <w:color w:val="auto"/>
              </w:rPr>
            </w:pPr>
          </w:p>
        </w:tc>
      </w:tr>
      <w:tr>
        <w:trPr>
          <w:trHeight w:val="237"/>
        </w:trPr>
        <w:tc>
          <w:tcPr>
            <w:tcW w:w="8840" w:type="dxa"/>
            <w:vAlign w:val="bottom"/>
            <w:gridSpan w:val="2"/>
          </w:tcPr>
          <w:p>
            <w:pPr>
              <w:ind w:left="40"/>
              <w:spacing w:after="0"/>
              <w:rPr>
                <w:sz w:val="20"/>
                <w:szCs w:val="20"/>
                <w:color w:val="auto"/>
              </w:rPr>
            </w:pPr>
            <w:r>
              <w:rPr>
                <w:rFonts w:ascii="Arial" w:cs="Arial" w:eastAsia="Arial" w:hAnsi="Arial"/>
                <w:sz w:val="16"/>
                <w:szCs w:val="16"/>
                <w:color w:val="auto"/>
              </w:rPr>
              <w:t>California</w:t>
            </w:r>
          </w:p>
        </w:tc>
        <w:tc>
          <w:tcPr>
            <w:tcW w:w="38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7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8840" w:type="dxa"/>
            <w:vAlign w:val="bottom"/>
            <w:gridSpan w:val="2"/>
          </w:tcPr>
          <w:p>
            <w:pPr>
              <w:ind w:left="40"/>
              <w:spacing w:after="0"/>
              <w:rPr>
                <w:sz w:val="20"/>
                <w:szCs w:val="20"/>
                <w:color w:val="auto"/>
              </w:rPr>
            </w:pPr>
            <w:r>
              <w:rPr>
                <w:rFonts w:ascii="Arial" w:cs="Arial" w:eastAsia="Arial" w:hAnsi="Arial"/>
                <w:sz w:val="16"/>
                <w:szCs w:val="16"/>
                <w:color w:val="auto"/>
              </w:rPr>
              <w:t>New York</w:t>
            </w:r>
          </w:p>
        </w:tc>
        <w:tc>
          <w:tcPr>
            <w:tcW w:w="3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6" w:right="2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Commercial Mortgage Loans by Geographic Region and Property Type</w:t>
      </w:r>
      <w:r>
        <w:rPr>
          <w:rFonts w:ascii="Arial" w:cs="Arial" w:eastAsia="Arial" w:hAnsi="Arial"/>
          <w:sz w:val="17"/>
          <w:szCs w:val="17"/>
          <w:color w:val="auto"/>
        </w:rPr>
        <w:t>. Commercial mortgage loans are the largest component of the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asset class. The tables below present the diversification across geographic regions and property types of commercial mortgage loans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September 30, 2019</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400" w:type="dxa"/>
            <w:vAlign w:val="bottom"/>
          </w:tcPr>
          <w:p>
            <w:pPr>
              <w:jc w:val="right"/>
              <w:ind w:right="488"/>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2"/>
              </w:rPr>
              <w:t>(Dollars in millions)</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Region</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Pacific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2,592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2,550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Middle Atlantic</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1,867</w:t>
            </w:r>
          </w:p>
        </w:tc>
        <w:tc>
          <w:tcPr>
            <w:tcW w:w="15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South Atlantic</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1,704</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1,316</w:t>
            </w:r>
          </w:p>
        </w:tc>
        <w:tc>
          <w:tcPr>
            <w:tcW w:w="1520" w:type="dxa"/>
            <w:vAlign w:val="bottom"/>
            <w:gridSpan w:val="2"/>
          </w:tcPr>
          <w:p>
            <w:pPr>
              <w:jc w:val="right"/>
              <w:ind w:right="88"/>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West South Central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801</w:t>
            </w:r>
          </w:p>
        </w:tc>
        <w:tc>
          <w:tcPr>
            <w:tcW w:w="15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Mountain</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404</w:t>
            </w:r>
          </w:p>
        </w:tc>
        <w:tc>
          <w:tcPr>
            <w:tcW w:w="1520" w:type="dxa"/>
            <w:vAlign w:val="bottom"/>
            <w:gridSpan w:val="2"/>
          </w:tcPr>
          <w:p>
            <w:pPr>
              <w:jc w:val="right"/>
              <w:ind w:right="88"/>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East North Central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473</w:t>
            </w:r>
          </w:p>
        </w:tc>
        <w:tc>
          <w:tcPr>
            <w:tcW w:w="15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389</w:t>
            </w:r>
          </w:p>
        </w:tc>
        <w:tc>
          <w:tcPr>
            <w:tcW w:w="1520" w:type="dxa"/>
            <w:vAlign w:val="bottom"/>
            <w:gridSpan w:val="2"/>
          </w:tcPr>
          <w:p>
            <w:pPr>
              <w:jc w:val="right"/>
              <w:ind w:right="88"/>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England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w:t>
            </w:r>
          </w:p>
        </w:tc>
        <w:tc>
          <w:tcPr>
            <w:tcW w:w="15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West North Central</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127</w:t>
            </w:r>
          </w:p>
        </w:tc>
        <w:tc>
          <w:tcPr>
            <w:tcW w:w="1520" w:type="dxa"/>
            <w:vAlign w:val="bottom"/>
            <w:gridSpan w:val="2"/>
          </w:tcPr>
          <w:p>
            <w:pPr>
              <w:jc w:val="right"/>
              <w:ind w:right="88"/>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East South Central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15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Multi-Region and Other</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146</w:t>
            </w:r>
          </w:p>
        </w:tc>
        <w:tc>
          <w:tcPr>
            <w:tcW w:w="1520" w:type="dxa"/>
            <w:vAlign w:val="bottom"/>
            <w:gridSpan w:val="2"/>
          </w:tcPr>
          <w:p>
            <w:pPr>
              <w:jc w:val="right"/>
              <w:ind w:right="88"/>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recorded investment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9,473</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8,529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Less: valuation allowances</w:t>
            </w: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Carrying value, net of valuation allowances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9,426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8,487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Property Type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Office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3,903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Retail</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2,168</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2,064</w:t>
            </w:r>
          </w:p>
        </w:tc>
        <w:tc>
          <w:tcPr>
            <w:tcW w:w="1520" w:type="dxa"/>
            <w:vAlign w:val="bottom"/>
            <w:gridSpan w:val="2"/>
          </w:tcPr>
          <w:p>
            <w:pPr>
              <w:jc w:val="right"/>
              <w:ind w:right="88"/>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Apartment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1,480</w:t>
            </w:r>
          </w:p>
        </w:tc>
        <w:tc>
          <w:tcPr>
            <w:tcW w:w="15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Hotel</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744</w:t>
            </w:r>
          </w:p>
        </w:tc>
        <w:tc>
          <w:tcPr>
            <w:tcW w:w="1520" w:type="dxa"/>
            <w:vAlign w:val="bottom"/>
            <w:gridSpan w:val="2"/>
          </w:tcPr>
          <w:p>
            <w:pPr>
              <w:jc w:val="right"/>
              <w:ind w:right="88"/>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c>
          <w:tcPr>
            <w:tcW w:w="15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520" w:type="dxa"/>
            <w:vAlign w:val="bottom"/>
            <w:gridSpan w:val="2"/>
          </w:tcPr>
          <w:p>
            <w:pPr>
              <w:jc w:val="right"/>
              <w:ind w:right="88"/>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recorded investment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9,473</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8,529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Less: valuation allowances</w:t>
            </w: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Carrying value, net of valuation allowances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9,426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8,487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Mortgage Loan Credit Quality — Monitoring Process</w:t>
      </w:r>
      <w:r>
        <w:rPr>
          <w:rFonts w:ascii="Arial" w:cs="Arial" w:eastAsia="Arial" w:hAnsi="Arial"/>
          <w:sz w:val="18"/>
          <w:szCs w:val="18"/>
          <w:color w:val="auto"/>
        </w:rPr>
        <w:t>. Our investment manager monitors our mortgage loan investments on an ongoing basis,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loans that are current, past due, restructured and under foreclosure. Quarterly, we conduct a formal review of the portfolio with our investment manager. See Note 4 of the Notes to the Interim Condensed Consolidated Financial Statements for information on mortgage loans by credit quality indicator, past due and nonaccrual mortgage loans, as well as impaired mortgage loans.</w:t>
      </w:r>
    </w:p>
    <w:p>
      <w:pPr>
        <w:spacing w:after="0" w:line="7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investment manager reviews our commercial mortgage loans on an ongoing basis. These reviews may include an analysis of the property financial statements and rent roll, lease rollover analysis, property inspections, market analysis, estimated valuations of the underlying collateral, loan-to-value ratios, debt service coverage ratios and tenant creditworthiness. The monitoring process focuses on higher risk loans, which include those that are classified as restructured, delinquent or in foreclosure, as well as loans with higher loan-to-value ratios and lower debt service coverage ratios. The monitoring process for agricultural mortgage loans is generally similar, with a focus on higher risk loans, such as loans with higher loan-to-value ratios, including reviews on a geographic and sector basis. We review our residential mortgage loans on an ongoing basis. See Note 6 of the Notes to Consolidated and Combined Financial Statements included in the 2018 Annual Report for information on our evaluation of residential mortgage loans and related valuation allowance methodology.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Loan-to-value ratios and debt 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For our commercial mortgage loans, our average loan-to-value ratio was 52% at both September 30, 2019 and December 31, 2018, and our average debt service coverage ratio was 2.2x at both September 30, 2019 and December 31, 2018. The debt 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47% and 46% at September 30, 2019 and December 31, 2018, respectively. The values utilized in calculating the agricultural mortgage loan loan-to-value ratio are developed in connection with the ongoing review of the agricultural loan portfolio and are routinely updated.</w:t>
      </w:r>
    </w:p>
    <w:p>
      <w:pPr>
        <w:spacing w:after="0" w:line="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Mortgage Loan Valuation Allowances</w:t>
      </w:r>
      <w:r>
        <w:rPr>
          <w:rFonts w:ascii="Arial" w:cs="Arial" w:eastAsia="Arial" w:hAnsi="Arial"/>
          <w:sz w:val="16"/>
          <w:szCs w:val="16"/>
          <w:color w:val="auto"/>
        </w:rPr>
        <w:t>. See Notes 4 and 6 of the Notes to the Interim Condensed Consolidated Financial Statements for information about</w:t>
      </w:r>
      <w:r>
        <w:rPr>
          <w:rFonts w:ascii="Arial" w:cs="Arial" w:eastAsia="Arial" w:hAnsi="Arial"/>
          <w:sz w:val="16"/>
          <w:szCs w:val="16"/>
          <w:i w:val="1"/>
          <w:iCs w:val="1"/>
          <w:color w:val="auto"/>
        </w:rPr>
        <w:t xml:space="preserve"> </w:t>
      </w:r>
      <w:r>
        <w:rPr>
          <w:rFonts w:ascii="Arial" w:cs="Arial" w:eastAsia="Arial" w:hAnsi="Arial"/>
          <w:sz w:val="16"/>
          <w:szCs w:val="16"/>
          <w:color w:val="auto"/>
        </w:rPr>
        <w:t>how valuation allowances are established and monitored, activity in and balances of the valuation allowance, and the estimated fair value of impaired mortgage loans and related impairments included within net investment gains (losses) at and for the nine months ended September 30, 2019 and 2018.</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Limited Partnerships and Limited Liability Companies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Real estate limited partnerships and limited liability companies are comprised primarily of limited partner interests in real estate funds, and to a lesser extent interests in projects with varying strategies ranging from the development of properties to the operation of income-producing properties.</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fair value of the associated investment portfolios was $570 million and $572 million at September 30, 2019 and December 31, 2018,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Limited Partnership Interests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limited partnership interests are comprised primarily of private equity funds. The carrying value of other limited partnership interests was $1.9 billion and $1.8 billion at September 30, 2019 and December 31, 2018, respectively, which included $35 million and $98 million of hedge funds at September 30, 2019 and December 31, 2018, respectively. Cash distributions on these investments are generated from investment gains, operating income from the underlying investments of the funds and liquidation of the underlying investments of the funds. We estimate that the underlying investments of the funds will typically be liquidated over the next 10 to 20 years.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carrying value of our other invested assets by type at:</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December 31, 2018</w:t>
            </w:r>
          </w:p>
        </w:tc>
      </w:tr>
      <w:tr>
        <w:trPr>
          <w:trHeight w:val="220"/>
        </w:trPr>
        <w:tc>
          <w:tcPr>
            <w:tcW w:w="6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1300" w:type="dxa"/>
            <w:vAlign w:val="bottom"/>
            <w:gridSpan w:val="2"/>
          </w:tcPr>
          <w:p>
            <w:pPr>
              <w:ind w:left="46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1180" w:type="dxa"/>
            <w:vAlign w:val="bottom"/>
          </w:tcPr>
          <w:p>
            <w:pPr>
              <w:jc w:val="right"/>
              <w:ind w:right="361"/>
              <w:spacing w:after="0"/>
              <w:rPr>
                <w:sz w:val="20"/>
                <w:szCs w:val="20"/>
                <w:color w:val="auto"/>
              </w:rPr>
            </w:pPr>
            <w:r>
              <w:rPr>
                <w:rFonts w:ascii="Arial" w:cs="Arial" w:eastAsia="Arial" w:hAnsi="Arial"/>
                <w:sz w:val="14"/>
                <w:szCs w:val="14"/>
                <w:b w:val="1"/>
                <w:bCs w:val="1"/>
                <w:color w:val="auto"/>
              </w:rPr>
              <w:t>% of</w:t>
            </w:r>
          </w:p>
        </w:tc>
      </w:tr>
      <w:tr>
        <w:trPr>
          <w:trHeight w:val="192"/>
        </w:trPr>
        <w:tc>
          <w:tcPr>
            <w:tcW w:w="6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3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1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r>
      <w:tr>
        <w:trPr>
          <w:trHeight w:val="250"/>
        </w:trPr>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180" w:type="dxa"/>
            <w:vAlign w:val="bottom"/>
          </w:tcPr>
          <w:p>
            <w:pPr>
              <w:spacing w:after="0"/>
              <w:rPr>
                <w:sz w:val="21"/>
                <w:szCs w:val="21"/>
                <w:color w:val="auto"/>
              </w:rPr>
            </w:pPr>
          </w:p>
        </w:tc>
      </w:tr>
      <w:tr>
        <w:trPr>
          <w:trHeight w:val="256"/>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Freestanding derivatives with positive estimated fair values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4,515</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2,778</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w:t>
            </w: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Tax credit and renewable energy partnerships</w:t>
            </w: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3.1</w:t>
            </w:r>
          </w:p>
        </w:tc>
      </w:tr>
      <w:tr>
        <w:trPr>
          <w:trHeight w:val="33"/>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Leveraged leases, net of non-recourse debt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2.1</w:t>
            </w: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FHLB Stock</w:t>
            </w: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2.1</w:t>
            </w:r>
          </w:p>
        </w:tc>
      </w:tr>
      <w:tr>
        <w:trPr>
          <w:trHeight w:val="33"/>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0.9</w:t>
            </w:r>
          </w:p>
        </w:tc>
      </w:tr>
      <w:tr>
        <w:trPr>
          <w:trHeight w:val="217"/>
        </w:trPr>
        <w:tc>
          <w:tcPr>
            <w:tcW w:w="6420" w:type="dxa"/>
            <w:vAlign w:val="bottom"/>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4,734</w:t>
            </w:r>
          </w:p>
        </w:tc>
        <w:tc>
          <w:tcPr>
            <w:tcW w:w="1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3,027</w:t>
            </w:r>
          </w:p>
        </w:tc>
        <w:tc>
          <w:tcPr>
            <w:tcW w:w="1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6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Risks</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exposed to various risks relating to our ongoing business operations, including interest rate, foreign currency exchange rate, credit and equity market. We use a variety of strategies to manage these risks, including the use of derivatives. See Note 5 of the Notes to the Interim Condensed Consolidated Financial Statements for:</w:t>
      </w:r>
    </w:p>
    <w:p>
      <w:pPr>
        <w:spacing w:after="0" w:line="73" w:lineRule="exact"/>
        <w:rPr>
          <w:sz w:val="20"/>
          <w:szCs w:val="20"/>
          <w:color w:val="auto"/>
        </w:rPr>
      </w:pPr>
    </w:p>
    <w:p>
      <w:pPr>
        <w:ind w:left="5620" w:right="3380" w:hanging="5288"/>
        <w:spacing w:after="0" w:line="559" w:lineRule="auto"/>
        <w:tabs>
          <w:tab w:leader="none" w:pos="6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Types of derivatives, including the strategies for which derivatives are used in managing various risks. 73</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Information about the gross notional amount, estimated fair value, and primary underlying risk exposure of our derivatives by type of hedge designation held at September 30, 2019 and December 31, 2018.</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statement of operations effects of derivatives in cash flow or nonqualifying hedge relationships for the three months and nine months ended September 30, 2019 and 2018.</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See “Business — Segments and Corporate &amp; Other — Annuities,” “Business — Risk Management Strategies — ULSG Market Risk Exposure Management” and “Management’s Discussion and Analysis of Financial Condition and Results of Operations — Results of Operations — Annual Actuarial Review” included in the 2018 Annual Report for more information about our use of derivatives by major hedging programs.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Note 6 of the Notes to the Interim Condensed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spacing w:after="0" w:line="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Derivatives categorized as Level 3 at September 30, 2019 include: credit default swaps priced using unobservable credit spreads, or that are priced through independent broker quotations; equity variance swaps with unobservable volatility inputs; foreign currency swaps with certain unobservable inputs; equity index options with unobservable correlation inputs and guaranteed minimum benefits accounted for as embedded derivatives with unobservable inputs.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See Note 5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policy is not to offset the fair value amounts recognized for derivatives executed with the same counterparty under the same master netting agreement. This policy applies to the recognition of derivatives in the balance sheets and does not affect our legal right of offset.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the gross notional amount and estimated fair value of credit default swaps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83"/>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Credit Default Swaps</w:t>
            </w:r>
          </w:p>
        </w:tc>
        <w:tc>
          <w:tcPr>
            <w:tcW w:w="24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Gross Notional</w:t>
            </w:r>
          </w:p>
        </w:tc>
        <w:tc>
          <w:tcPr>
            <w:tcW w:w="300" w:type="dxa"/>
            <w:vAlign w:val="bottom"/>
          </w:tcPr>
          <w:p>
            <w:pPr>
              <w:spacing w:after="0"/>
              <w:rPr>
                <w:sz w:val="13"/>
                <w:szCs w:val="13"/>
                <w:color w:val="auto"/>
              </w:rPr>
            </w:pPr>
          </w:p>
        </w:tc>
        <w:tc>
          <w:tcPr>
            <w:tcW w:w="13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Estimated</w:t>
            </w:r>
          </w:p>
        </w:tc>
        <w:tc>
          <w:tcPr>
            <w:tcW w:w="32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Gross Notional</w:t>
            </w:r>
          </w:p>
        </w:tc>
        <w:tc>
          <w:tcPr>
            <w:tcW w:w="300" w:type="dxa"/>
            <w:vAlign w:val="bottom"/>
          </w:tcPr>
          <w:p>
            <w:pPr>
              <w:spacing w:after="0"/>
              <w:rPr>
                <w:sz w:val="13"/>
                <w:szCs w:val="13"/>
                <w:color w:val="auto"/>
              </w:rPr>
            </w:pPr>
          </w:p>
        </w:tc>
        <w:tc>
          <w:tcPr>
            <w:tcW w:w="1160" w:type="dxa"/>
            <w:vAlign w:val="bottom"/>
          </w:tcPr>
          <w:p>
            <w:pPr>
              <w:jc w:val="right"/>
              <w:ind w:right="263"/>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6"/>
                <w:szCs w:val="16"/>
                <w:color w:val="auto"/>
              </w:rPr>
            </w:pPr>
          </w:p>
        </w:tc>
        <w:tc>
          <w:tcPr>
            <w:tcW w:w="1160" w:type="dxa"/>
            <w:vAlign w:val="bottom"/>
          </w:tcPr>
          <w:p>
            <w:pPr>
              <w:jc w:val="right"/>
              <w:ind w:right="24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64"/>
        </w:trPr>
        <w:tc>
          <w:tcPr>
            <w:tcW w:w="5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Written</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Purchased</w:t>
            </w:r>
          </w:p>
        </w:tc>
        <w:tc>
          <w:tcPr>
            <w:tcW w:w="24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maximum amount at risk related to our written credit default swaps is equal to the corresponding gross notional amount. We use credit default swaps to create synthetic credit investments to replicate credit exposure that is more economically attractive than what is available in the market or otherwise unavailable.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for Securities Lending and Derivatives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a securities lending program for the purpose of enhancing the total return on our investment portfolio. Periodically we receive non-cash collateral for securities lending from counterparties, which cannot be sold or repledged, and which is not recorded on our consolidated balance sheets. The amount of this collateral was $35 million and $55 million at estimated fair value at September 30, 2019 and December 31, 2018, respectively. See Note 4 of the Notes to the Interim Condensed Consolidated Financial Statements, as well as “— Investments — Securities Lending” for discussion of our securities lending program, the classification of revenues and expenses, and the nature of the secured financing arrangement and associated liability.</w:t>
      </w:r>
    </w:p>
    <w:p>
      <w:pPr>
        <w:spacing w:after="0" w:line="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enter into derivatives to manage various risks relating to our ongoing business operations. We have non-cash collateral from counterparties for derivatives, which can be sold or repledged subject to certain constraints, and which has not been recorded on our consolidated balance sheets. The amount of this non-cash collateral was $1.3 billion and $145 million at September 30, 2019 and December 31, 2018, respectively. See Note 5 of the Notes to the Interim Condensed Consolidated Financial Statements for information regarding the gross notional amount, estimated fair value of assets and liabilities and primary underlying risk exposure of our derivatives.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“Guarantees” in Note 11 of the Notes to the Interim Condensed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we enter into commitments for the purpose of enhancing the total return on our investment portfolio: mortgage loan commitments and commitments to fund partnership investments, bank credit facilities and private corporate bond investments. See “Commitments” in Note 11 of the Notes to the Interim Condensed Consolidated Financial Statements. For further information on commitments to fund partnership investments, mortgage loans, bank credit facilities and private corporate bond investments, see “Management’s Discussion and Analysis of Financial Condition and Results of Operations — Liquidity and Capital Resources — The Company — Contractual Obligations” included in the 2018 Annual Report.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Liabilities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establish, and carry as liabilities, actuarially determined amounts that are calculated to meet policy obligations or to provide for future annuity payments. Amounts for actuarial liabilities are computed and reported in the financial statements in conformity with GAAP. For more details on Policyholder Liabilities, see “Management’s Discussion and Analysis of Financial Condition and Results of Operations — Summary of Critical Accounting Estimates” and “Management’s Discussion and Analysis of Financial Condition and Results of Operations — Policyholder Liabilities” included in the 2018 Annual Report. Except as otherwise discussed below, there have been no material changes to our actuarial liabilities.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establish liabilities for amounts payable under insurance policies. See Note 3 of the Notes to the Interim Condensed Consolidated Financial Statements. A discussion of future policy benefits by segment, as well as Corporate &amp; Other, can be found in “Management’s Discussion and Analysis of Financial Condition and Results of Operations — Policyholder Liabilities” included in the 2018 Annual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Account Balances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Policyholder account balances (“PABs”) are generally equal to the account value, which includes accrued interest credited, but excludes the impact of any applicable charge that may be incurred upon surrender. See Note 3 of the Notes to the Interim Condensed Consolidated Financial Statements. A discussion of PABs by segment, as well as Corporate &amp; Other, can be found in “Management’s Discussion and Analysis of Financial Condition and Results of Operations — Policyholder Liabilities” included in the 2018 Annual Report.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Guarantees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issue certain variable annuity products with guaranteed minimum benefits that provide the policyholder a minimum return based on their initial deposit (i.e., the Benefit Base) less withdrawals. In some cases, the Benefit Base may be increased by additional deposits, bonus amounts, accruals or optional market value step-ups. See Note 3 of the Notes to the Interim Condensed Consolidated Financial Statements. See also “Quantitative and Qualitative Disclosures About Market Risk — Market Risk - Fair Value Exposures — Interest Rates” and “Business — Segments and Corporate &amp; Other — Annuities — Current Products — Variable Annuities” included in the 2018 Annual Report for additional information.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40" w:firstLine="324"/>
        <w:spacing w:after="0" w:line="375" w:lineRule="auto"/>
        <w:rPr>
          <w:sz w:val="20"/>
          <w:szCs w:val="20"/>
          <w:color w:val="auto"/>
        </w:rPr>
      </w:pPr>
      <w:r>
        <w:rPr>
          <w:rFonts w:ascii="Arial" w:cs="Arial" w:eastAsia="Arial" w:hAnsi="Arial"/>
          <w:sz w:val="18"/>
          <w:szCs w:val="18"/>
          <w:color w:val="auto"/>
        </w:rPr>
        <w:t xml:space="preserve">Select information that management considers relevant to understanding our variable annuity risk management strategy has been included below. </w:t>
      </w:r>
      <w:r>
        <w:rPr>
          <w:rFonts w:ascii="Arial" w:cs="Arial" w:eastAsia="Arial" w:hAnsi="Arial"/>
          <w:sz w:val="18"/>
          <w:szCs w:val="18"/>
          <w:b w:val="1"/>
          <w:bCs w:val="1"/>
          <w:i w:val="1"/>
          <w:iCs w:val="1"/>
          <w:color w:val="auto"/>
        </w:rPr>
        <w:t>Net Amount at Risk</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net amount at risk (“NAR”) for the GMDB is the amount of death benefit in excess of the account value (if any) at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NAR for the guaranteed minimum withdrawal benefits (“GMWB”) and guaranteed minimum accumulation benefits (“GMAB”) is the amount of guaranteed benefits in excess of the account values (if any) at the balance sheet date. The NAR assumes utilization of benefits by all contract holders at the balance sheet date. For the GMWB benefits, only a small portion of the Benefit Base is available for withdrawal on an annual basis. For the GMAB, the NAR would not be available until the GMAB maturity date.</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NAR for the GMWB with lifetime payments (“GMWB4L”) is the amount (if any) that would be required to be added to the total account value to purchase a lifetime income stream based on current annuity rates, equal to the lifetime amount provided under the guaranteed benefit. For contracts where the GMWB4L provides for a guaranteed cumulative dollar amount of payments, the NAR is based on the purchase of a lifetime with period certain income stream where the period certain ensures payment of this cumulative dollar amount. The NAR represents our potential economic exposure to such guarantees in the event all contract holders were to begin lifetime withdrawals on the balance sheet date regardless of age. Only a small portion of the Benefit Base is available for withdrawal on an annual basis.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contracts may not be annuitized until after the waiting period of the contract.</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detailed description of NAR by type of guaranteed minimum benefit can be found in “Business — Segments and Corporate &amp; Other — Annuities — Net Amount at Risk” included in the 2018 Annual Report.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account values and NAR of contract owners by type of guaranteed minimum benefit for variable annuity contracts are summarized below at: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 2019 (1)</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 2018 (1)</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Account</w:t>
            </w: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Death Benefit</w:t>
            </w:r>
          </w:p>
        </w:tc>
        <w:tc>
          <w:tcPr>
            <w:tcW w:w="180" w:type="dxa"/>
            <w:vAlign w:val="bottom"/>
          </w:tcPr>
          <w:p>
            <w:pPr>
              <w:spacing w:after="0"/>
              <w:rPr>
                <w:sz w:val="13"/>
                <w:szCs w:val="13"/>
                <w:color w:val="auto"/>
              </w:rPr>
            </w:pPr>
          </w:p>
        </w:tc>
        <w:tc>
          <w:tcPr>
            <w:tcW w:w="700" w:type="dxa"/>
            <w:vAlign w:val="bottom"/>
          </w:tcPr>
          <w:p>
            <w:pPr>
              <w:jc w:val="right"/>
              <w:ind w:right="160"/>
              <w:spacing w:after="0" w:line="153" w:lineRule="exact"/>
              <w:rPr>
                <w:sz w:val="20"/>
                <w:szCs w:val="20"/>
                <w:color w:val="auto"/>
              </w:rPr>
            </w:pPr>
            <w:r>
              <w:rPr>
                <w:rFonts w:ascii="Arial" w:cs="Arial" w:eastAsia="Arial" w:hAnsi="Arial"/>
                <w:sz w:val="14"/>
                <w:szCs w:val="14"/>
                <w:b w:val="1"/>
                <w:bCs w:val="1"/>
                <w:color w:val="auto"/>
              </w:rPr>
              <w:t>Living</w:t>
            </w:r>
          </w:p>
        </w:tc>
        <w:tc>
          <w:tcPr>
            <w:tcW w:w="14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6"/>
              </w:rPr>
              <w:t>% of Account</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Account</w:t>
            </w:r>
          </w:p>
        </w:tc>
        <w:tc>
          <w:tcPr>
            <w:tcW w:w="180" w:type="dxa"/>
            <w:vAlign w:val="bottom"/>
          </w:tcPr>
          <w:p>
            <w:pPr>
              <w:spacing w:after="0"/>
              <w:rPr>
                <w:sz w:val="13"/>
                <w:szCs w:val="13"/>
                <w:color w:val="auto"/>
              </w:rPr>
            </w:pPr>
          </w:p>
        </w:tc>
        <w:tc>
          <w:tcPr>
            <w:tcW w:w="8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Death</w:t>
            </w:r>
          </w:p>
        </w:tc>
        <w:tc>
          <w:tcPr>
            <w:tcW w:w="160" w:type="dxa"/>
            <w:vAlign w:val="bottom"/>
          </w:tcPr>
          <w:p>
            <w:pPr>
              <w:spacing w:after="0"/>
              <w:rPr>
                <w:sz w:val="13"/>
                <w:szCs w:val="13"/>
                <w:color w:val="auto"/>
              </w:rPr>
            </w:pPr>
          </w:p>
        </w:tc>
        <w:tc>
          <w:tcPr>
            <w:tcW w:w="720" w:type="dxa"/>
            <w:vAlign w:val="bottom"/>
          </w:tcPr>
          <w:p>
            <w:pPr>
              <w:jc w:val="right"/>
              <w:ind w:right="160"/>
              <w:spacing w:after="0" w:line="153" w:lineRule="exact"/>
              <w:rPr>
                <w:sz w:val="20"/>
                <w:szCs w:val="20"/>
                <w:color w:val="auto"/>
              </w:rPr>
            </w:pPr>
            <w:r>
              <w:rPr>
                <w:rFonts w:ascii="Arial" w:cs="Arial" w:eastAsia="Arial" w:hAnsi="Arial"/>
                <w:sz w:val="14"/>
                <w:szCs w:val="14"/>
                <w:b w:val="1"/>
                <w:bCs w:val="1"/>
                <w:color w:val="auto"/>
              </w:rPr>
              <w:t>Living</w:t>
            </w:r>
          </w:p>
        </w:tc>
        <w:tc>
          <w:tcPr>
            <w:tcW w:w="1300" w:type="dxa"/>
            <w:vAlign w:val="bottom"/>
          </w:tcPr>
          <w:p>
            <w:pPr>
              <w:jc w:val="center"/>
              <w:ind w:left="21"/>
              <w:spacing w:after="0" w:line="153" w:lineRule="exact"/>
              <w:rPr>
                <w:sz w:val="20"/>
                <w:szCs w:val="20"/>
                <w:color w:val="auto"/>
              </w:rPr>
            </w:pPr>
            <w:r>
              <w:rPr>
                <w:rFonts w:ascii="Arial" w:cs="Arial" w:eastAsia="Arial" w:hAnsi="Arial"/>
                <w:sz w:val="14"/>
                <w:szCs w:val="14"/>
                <w:b w:val="1"/>
                <w:bCs w:val="1"/>
                <w:color w:val="auto"/>
                <w:w w:val="93"/>
              </w:rPr>
              <w:t>% of Account</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Benefit NAR</w:t>
            </w: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Value In-the-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Benefit NAR</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Benefit NAR</w:t>
            </w:r>
          </w:p>
        </w:tc>
        <w:tc>
          <w:tcPr>
            <w:tcW w:w="130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5"/>
              </w:rPr>
              <w:t>Value In-the-</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NAR (1)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(1)</w:t>
            </w: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Money (2)</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(1)</w:t>
            </w:r>
          </w:p>
        </w:tc>
        <w:tc>
          <w:tcPr>
            <w:tcW w:w="130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w w:val="94"/>
              </w:rPr>
              <w:t>Money (2)</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20" w:type="dxa"/>
            <w:vAlign w:val="bottom"/>
            <w:gridSpan w:val="5"/>
          </w:tcPr>
          <w:p>
            <w:pPr>
              <w:ind w:left="7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40,143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4,982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GMIB Max w/ Enhanced DB</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11,720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2,854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3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10,961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3,775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3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 Max w/o Enhanced DB</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color w:val="auto"/>
              </w:rPr>
              <w:t>GMWB4L (FlexChoice</w:t>
            </w:r>
            <w:r>
              <w:rPr>
                <w:rFonts w:ascii="Arial" w:cs="Arial" w:eastAsia="Arial" w:hAnsi="Arial"/>
                <w:sz w:val="21"/>
                <w:szCs w:val="21"/>
                <w:color w:val="auto"/>
                <w:vertAlign w:val="superscript"/>
              </w:rPr>
              <w:t>SM</w:t>
            </w: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3,725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30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2,819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30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GMAB</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GMWB</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2,722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30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2,672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1300" w:type="dxa"/>
            <w:vAlign w:val="bottom"/>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GMWB4L</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EDB Only</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3,661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3,434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955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GMDB Only (Other than EDB)</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4"/>
        </w:trPr>
        <w:tc>
          <w:tcPr>
            <w:tcW w:w="2880" w:type="dxa"/>
            <w:vAlign w:val="bottom"/>
          </w:tcPr>
          <w:p>
            <w:pPr>
              <w:ind w:left="36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101,594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7,393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5,651</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96,865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11,073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4,749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4"/>
                <w:szCs w:val="14"/>
                <w:color w:val="auto"/>
              </w:rPr>
              <w:t>______________</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“Death Benefit NAR” and “Living Benefit NAR” are not additive at the contract level.</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In-the-money is defined as any contract with a living benefit NAR in excess of zero.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GAAP, certain of our variable annuity guarantee features are accounted for as insurance liabilities and recorded on the balance sheet in future policy benefits with changes reported in policyholder benefits and claims. These liabilities are accounted for using long term assumptions of equity and bond market returns and the level of interest rates. Therefore, these liabilities, valued at $4.8 billion at September 30, 2019, are less sensitive than derivative instruments to periodic changes to equity and fixed income market returns and the level of interest rates. Guarantees accounted for in this manner include GMDBs, as well as the life contingent portion of GMIBs and certain GMWBs. All other variable annuity guarantee features are accounted for as embedded derivatives and recorded on the balance sheet in PABs with changes reported in net derivative gains (losses). These liabilities, valued at $2.4 billion at September 30, 2019, are accounted for at estimated fair value. Guarantees accounted for in this manner include GMABs, GMWBs and the non-life contingent portions of GMIBs. In some cases, a guarantee will have multiple features or options that require separate accounting such that the guarantee is not fully accounted for under only one of the accounting models (known as “split accounting”). Additionally, the index protection and accumulation features of Shield Annuities are accounted for as embedded derivatives, recorded on the balance sheet in PABs with changes reported in net derivative gains (losses) and valued at $1.6 billion at September 30, 2019. See “Management’s Discussion and Analysis of Financial Condition and Results of Operations — Summary of Critical Accounting Estimates” included in the 2018 Annual Report.</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GAAP variable annuity reserve balances by guarantee type and accounting model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Reserves</w:t>
            </w: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Future Policy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Policyholder</w:t>
            </w:r>
          </w:p>
        </w:tc>
        <w:tc>
          <w:tcPr>
            <w:tcW w:w="120" w:type="dxa"/>
            <w:vAlign w:val="bottom"/>
          </w:tcPr>
          <w:p>
            <w:pPr>
              <w:spacing w:after="0"/>
              <w:rPr>
                <w:sz w:val="13"/>
                <w:szCs w:val="13"/>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Future Policy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Policyholder</w:t>
            </w:r>
          </w:p>
        </w:tc>
        <w:tc>
          <w:tcPr>
            <w:tcW w:w="120" w:type="dxa"/>
            <w:vAlign w:val="bottom"/>
          </w:tcPr>
          <w:p>
            <w:pPr>
              <w:spacing w:after="0"/>
              <w:rPr>
                <w:sz w:val="13"/>
                <w:szCs w:val="13"/>
                <w:color w:val="auto"/>
              </w:rPr>
            </w:pPr>
          </w:p>
        </w:tc>
        <w:tc>
          <w:tcPr>
            <w:tcW w:w="66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Account</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Benefits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Account Balances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Reserves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4"/>
              </w:rPr>
              <w:t>Benefits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Balances</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3"/>
              </w:rPr>
              <w:t>Reserves</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GMDB</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3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1,305</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GMIB</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2,687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2,277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4,964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1,603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4,168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 Max</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GMAB</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GMWB</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GMWB4L</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GMWB4L (FlexChoice</w:t>
            </w:r>
            <w:r>
              <w:rPr>
                <w:rFonts w:ascii="Arial" w:cs="Arial" w:eastAsia="Arial" w:hAnsi="Arial"/>
                <w:sz w:val="21"/>
                <w:szCs w:val="21"/>
                <w:color w:val="auto"/>
                <w:vertAlign w:val="superscript"/>
              </w:rPr>
              <w:t>SM</w:t>
            </w: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920" w:type="dxa"/>
            <w:vAlign w:val="bottom"/>
          </w:tcPr>
          <w:p>
            <w:pPr>
              <w:ind w:left="36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4,815</w:t>
            </w:r>
          </w:p>
        </w:tc>
        <w:tc>
          <w:tcPr>
            <w:tcW w:w="32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2,392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7,207</w:t>
            </w:r>
          </w:p>
        </w:tc>
        <w:tc>
          <w:tcPr>
            <w:tcW w:w="100" w:type="dxa"/>
            <w:vAlign w:val="bottom"/>
          </w:tcPr>
          <w:p>
            <w:pPr>
              <w:spacing w:after="0"/>
              <w:rPr>
                <w:sz w:val="21"/>
                <w:szCs w:val="21"/>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4,638</w:t>
            </w:r>
          </w:p>
        </w:tc>
        <w:tc>
          <w:tcPr>
            <w:tcW w:w="3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1,642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6,280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Hedging Variable Annuity 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gross notional amount and estimated fair value of the derivatives in our variable annuity hedging program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Primary Underlying Risk</w:t>
            </w:r>
          </w:p>
        </w:tc>
        <w:tc>
          <w:tcPr>
            <w:tcW w:w="2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Gross Notional</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22"/>
                <w:szCs w:val="2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Gross Notional</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71"/>
        </w:trPr>
        <w:tc>
          <w:tcPr>
            <w:tcW w:w="1840" w:type="dxa"/>
            <w:vAlign w:val="bottom"/>
            <w:gridSpan w:val="2"/>
            <w:vMerge w:val="continue"/>
          </w:tcPr>
          <w:p>
            <w:pPr>
              <w:spacing w:after="0"/>
              <w:rPr>
                <w:sz w:val="6"/>
                <w:szCs w:val="6"/>
                <w:color w:val="auto"/>
              </w:rPr>
            </w:pPr>
          </w:p>
        </w:tc>
        <w:tc>
          <w:tcPr>
            <w:tcW w:w="286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Instrument Type</w:t>
            </w:r>
          </w:p>
        </w:tc>
        <w:tc>
          <w:tcPr>
            <w:tcW w:w="10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6"/>
                <w:szCs w:val="6"/>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6"/>
                <w:szCs w:val="6"/>
                <w:color w:val="auto"/>
              </w:rPr>
            </w:pPr>
          </w:p>
        </w:tc>
        <w:tc>
          <w:tcPr>
            <w:tcW w:w="8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192"/>
        </w:trPr>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Exposure</w:t>
            </w:r>
          </w:p>
        </w:tc>
        <w:tc>
          <w:tcPr>
            <w:tcW w:w="2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980" w:type="dxa"/>
            <w:vAlign w:val="bottom"/>
            <w:tcBorders>
              <w:top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7,419</w:t>
            </w:r>
          </w:p>
        </w:tc>
        <w:tc>
          <w:tcPr>
            <w:tcW w:w="3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7,928</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Arial" w:cs="Arial" w:eastAsia="Arial" w:hAnsi="Arial"/>
                <w:sz w:val="16"/>
                <w:szCs w:val="16"/>
                <w:color w:val="auto"/>
              </w:rPr>
              <w:t>Interest rate futures</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options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Equity Market</w:t>
            </w:r>
          </w:p>
        </w:tc>
        <w:tc>
          <w:tcPr>
            <w:tcW w:w="2860" w:type="dxa"/>
            <w:vAlign w:val="bottom"/>
            <w:gridSpan w:val="2"/>
          </w:tcPr>
          <w:p>
            <w:pPr>
              <w:ind w:left="40"/>
              <w:spacing w:after="0"/>
              <w:rPr>
                <w:sz w:val="20"/>
                <w:szCs w:val="20"/>
                <w:color w:val="auto"/>
              </w:rPr>
            </w:pPr>
            <w:r>
              <w:rPr>
                <w:rFonts w:ascii="Arial" w:cs="Arial" w:eastAsia="Arial" w:hAnsi="Arial"/>
                <w:sz w:val="16"/>
                <w:szCs w:val="16"/>
                <w:color w:val="auto"/>
              </w:rPr>
              <w:t>Equity futures</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index options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43,074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Arial" w:cs="Arial" w:eastAsia="Arial" w:hAnsi="Arial"/>
                <w:sz w:val="16"/>
                <w:szCs w:val="16"/>
                <w:color w:val="auto"/>
              </w:rPr>
              <w:t>Equity variance swaps</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5,574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5,574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total return swaps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gridSpan w:val="2"/>
          </w:tcPr>
          <w:p>
            <w:pPr>
              <w:ind w:left="36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86,554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3,409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2,173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72,131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2,289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1,466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Period to period changes in the estimated fair value of these hedges affect our net income, as well as stockholders’ equity and these effects can be material in any given period. See “Risk Factors — Risks Related to Our Business — Our variable annuity exposure management strategy may not be effective, may result in net income volatility and may negatively affect our statutory capital” and “Management’s Discussion and Analysis of Financial Condition and Results of Operations — Summary of Critical Accounting Estimates,” both included in the 2018 Annual Report.</w:t>
      </w:r>
    </w:p>
    <w:p>
      <w:pPr>
        <w:sectPr>
          <w:pgSz w:w="11900" w:h="16838" w:orient="portrait"/>
          <w:cols w:equalWidth="0" w:num="1">
            <w:col w:w="11420"/>
          </w:cols>
          <w:pgMar w:left="240" w:top="126"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6" w:right="239" w:bottom="1440" w:gutter="0" w:footer="0" w:header="0"/>
          <w:type w:val="continuous"/>
        </w:sectPr>
      </w:pPr>
    </w:p>
    <w:bookmarkStart w:id="78" w:name="page79"/>
    <w:bookmarkEnd w:id="7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see “— Industry Trends” and “— Investments — Current Environment” herein, as well as “Management’s Discussion and Analysis of Financial Condition and Results of Operations — Industry Trends and Uncertainties” and “Management’s Discussion and Analysis of Financial Condition and Results of Operations — Investments — Current Environment” in our 2018 Annual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Management</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Based upon our capitalization, expectations regarding maintaining our business mix, ratings, and funding sources available to us, we believe we have sufficient liquidity to meet business requirements under current market conditions and certain stress scenarios. Our Board of Directors and senior management are directly involved in the governance of the capital management process, including proposed changes to the annual capital plan and capital targets. We are targeting a debt-to-capital ratio commensurate with our parent company credit ratings and our insurance subsidiaries’ financial strength ratings. We continuously monitor and adjust our liquidity and capital plans in light of market conditions, as well as changing needs and opportunities.</w:t>
      </w:r>
    </w:p>
    <w:p>
      <w:pPr>
        <w:spacing w:after="0" w:line="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a substantial short-term liquidity position, which was $3.1 billion and $2.2 billion at September 30, 2019 and December 31, 2018,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integral part of our liquidity management includes managing our level of liquid assets, which was $42.9 billion and $36.5 billion at September 30, 2019 and December 31, 2018,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derivatives and assets held on deposit or in trust.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7" w:lineRule="exact"/>
        <w:rPr>
          <w:sz w:val="20"/>
          <w:szCs w:val="20"/>
          <w:color w:val="auto"/>
        </w:rPr>
      </w:pPr>
    </w:p>
    <w:p>
      <w:pPr>
        <w:jc w:val="both"/>
        <w:ind w:left="180" w:firstLine="324"/>
        <w:spacing w:after="0" w:line="270" w:lineRule="auto"/>
        <w:rPr>
          <w:sz w:val="20"/>
          <w:szCs w:val="20"/>
          <w:color w:val="auto"/>
        </w:rPr>
      </w:pPr>
      <w:r>
        <w:rPr>
          <w:rFonts w:ascii="Arial" w:cs="Arial" w:eastAsia="Arial" w:hAnsi="Arial"/>
          <w:sz w:val="17"/>
          <w:szCs w:val="17"/>
          <w:color w:val="auto"/>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spacing w:after="0" w:line="70" w:lineRule="exact"/>
        <w:rPr>
          <w:sz w:val="20"/>
          <w:szCs w:val="20"/>
          <w:color w:val="auto"/>
        </w:rPr>
      </w:pPr>
    </w:p>
    <w:p>
      <w:pPr>
        <w:ind w:left="180" w:right="900" w:firstLine="324"/>
        <w:spacing w:after="0" w:line="375" w:lineRule="auto"/>
        <w:rPr>
          <w:sz w:val="20"/>
          <w:szCs w:val="20"/>
          <w:color w:val="auto"/>
        </w:rPr>
      </w:pPr>
      <w:r>
        <w:rPr>
          <w:rFonts w:ascii="Arial" w:cs="Arial" w:eastAsia="Arial" w:hAnsi="Arial"/>
          <w:sz w:val="18"/>
          <w:szCs w:val="18"/>
          <w:color w:val="auto"/>
        </w:rPr>
        <w:t xml:space="preserve">Under certain adverse market and economic conditions, our access to liquidity may deteriorate, or the cost to access liquidity may increase. </w:t>
      </w:r>
      <w:r>
        <w:rPr>
          <w:rFonts w:ascii="Arial" w:cs="Arial" w:eastAsia="Arial" w:hAnsi="Arial"/>
          <w:sz w:val="18"/>
          <w:szCs w:val="18"/>
          <w:b w:val="1"/>
          <w:bCs w:val="1"/>
          <w:i w:val="1"/>
          <w:iCs w:val="1"/>
          <w:u w:val="single" w:color="auto"/>
          <w:color w:val="auto"/>
        </w:rPr>
        <w:t>Capital</w:t>
      </w:r>
    </w:p>
    <w:p>
      <w:pPr>
        <w:spacing w:after="0" w:line="1"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We manage our capital position to maintain our financial strength and credit ratings. Our capital position is supported by our ability to generate cash flows within our insurance companies, our ability to effectively manage the risks of our businesses and our expected ability to borrow funds and raise additional capital to meet operating and growth needs in the event of adverse market and economic conditions.</w:t>
      </w:r>
    </w:p>
    <w:p>
      <w:pPr>
        <w:spacing w:after="0" w:line="73"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We target to maintain a debt-to-capital ratio of approximately 25%, which we monitor using an average of our key leverage ratios as calculated by A.M. Best, Fitch Ratings, Moody’s Investors Service and Standard &amp; Poor’s Global Rating. As such, we may opportunistically look to pursue additional financing over time, which may include the incurrence of additional term loans,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6" w:right="2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right="20"/>
        <w:spacing w:after="0" w:line="277" w:lineRule="auto"/>
        <w:rPr>
          <w:sz w:val="20"/>
          <w:szCs w:val="20"/>
          <w:color w:val="auto"/>
        </w:rPr>
      </w:pPr>
      <w:r>
        <w:rPr>
          <w:rFonts w:ascii="Arial" w:cs="Arial" w:eastAsia="Arial" w:hAnsi="Arial"/>
          <w:sz w:val="18"/>
          <w:szCs w:val="18"/>
          <w:color w:val="auto"/>
        </w:rPr>
        <w:t>borrowings under credit facilities, the issuance of debt, equity or hybrid securities or the refinancing of existing indebtedness. There can be no assurance that we will be able to complete any such financing transactions on terms and conditions favorable to us or at all.</w:t>
      </w:r>
    </w:p>
    <w:p>
      <w:pPr>
        <w:spacing w:after="0" w:line="62"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Additionally, we intend to maintain a funding of assets in excess of the amount required to satisfy contract holder obligations across market environments in the average of the worst two percent of a set of capital markets scenarios over the life of the contracts (“CTE98”) to support our variable annuity contracts during normal market conditions and assets in excess of the amount required to satisfy contract holder obligations across market environments in the average of the worst five percent of a set of capital markets scenarios over the life of the contracts (“CTE95”) in stressed market conditions. At September 30, 2019, we held assets in excess of CTE98.</w:t>
      </w:r>
    </w:p>
    <w:p>
      <w:pPr>
        <w:spacing w:after="0" w:line="80"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In August 2018, we authorized the repurchase of up to $200 million of our common stock and, on May 3, 2019, we authorized the repurchase of up to an additional $400 million of our common stock. Repurchases made under such authorizations may be made through open market purchases, including pursuant to 10b5-1 plans or pursuant to accelerated stock repurchase plans, from time to time at management’s discretion in accordance with applicable federal securities laws.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spacing w:after="0" w:line="70"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We do not currently anticipate declaring or paying cash dividends on our common stock. Any future declaration and payment of dividends or other distributions or returns of capital will be at the discretion of our Board of Directors and will depend on and be subject to our financial condition, results of operations, cash needs, regulatory and other constraints, capital requirements (including capital requirements of our subsidiaries), contractual restrictions and any other factors that our Board of Directors deems relevant in making such a determination. Therefore, there can be no assurance that we will pay any dividends or make other distributions or returns of capital on our common stock, or as to the amount of any such dividends, distributions or returns of capital.</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Sources and Uses of Liquidity and Capital</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primary sources and uses of liquidity and capital are summarized as follows:</w:t>
      </w:r>
    </w:p>
    <w:p>
      <w:pPr>
        <w:spacing w:after="0" w:line="271"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Sources: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Operating activities, net</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6"/>
                <w:szCs w:val="16"/>
                <w:color w:val="auto"/>
                <w:w w:val="94"/>
              </w:rPr>
              <w:t>1,322</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1,496</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policyholder account balances, net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4"/>
              </w:rPr>
              <w:t>3,668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issued</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4"/>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Preferred stock issued, net of issuance costs</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580" w:type="dxa"/>
            <w:vAlign w:val="bottom"/>
          </w:tcPr>
          <w:p>
            <w:pPr>
              <w:ind w:left="180"/>
              <w:spacing w:after="0"/>
              <w:rPr>
                <w:sz w:val="20"/>
                <w:szCs w:val="20"/>
                <w:color w:val="auto"/>
              </w:rPr>
            </w:pPr>
            <w:r>
              <w:rPr>
                <w:rFonts w:ascii="Arial" w:cs="Arial" w:eastAsia="Arial" w:hAnsi="Arial"/>
                <w:sz w:val="16"/>
                <w:szCs w:val="16"/>
                <w:color w:val="auto"/>
              </w:rPr>
              <w:t>Total sources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4"/>
              </w:rPr>
              <w:t>6,815</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4,376</w:t>
            </w:r>
          </w:p>
        </w:tc>
      </w:tr>
      <w:tr>
        <w:trPr>
          <w:trHeight w:val="33"/>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Investing activities, net</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w w:val="94"/>
              </w:rPr>
              <w:t>5,699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3,469</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Long-term debt repaid</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on preferred stock</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Treasury stock acquired in connection with share repurchases</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42</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57</w:t>
            </w:r>
          </w:p>
        </w:tc>
      </w:tr>
      <w:tr>
        <w:trPr>
          <w:trHeight w:val="33"/>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uses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4"/>
              </w:rPr>
              <w:t>6,671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4,089</w:t>
            </w:r>
          </w:p>
        </w:tc>
      </w:tr>
      <w:tr>
        <w:trPr>
          <w:trHeight w:val="244"/>
        </w:trPr>
        <w:tc>
          <w:tcPr>
            <w:tcW w:w="8580" w:type="dxa"/>
            <w:vAlign w:val="bottom"/>
          </w:tcPr>
          <w:p>
            <w:pPr>
              <w:ind w:left="180"/>
              <w:spacing w:after="0"/>
              <w:rPr>
                <w:sz w:val="20"/>
                <w:szCs w:val="20"/>
                <w:color w:val="auto"/>
              </w:rPr>
            </w:pPr>
            <w:r>
              <w:rPr>
                <w:rFonts w:ascii="Arial" w:cs="Arial" w:eastAsia="Arial" w:hAnsi="Arial"/>
                <w:sz w:val="16"/>
                <w:szCs w:val="16"/>
                <w:color w:val="auto"/>
              </w:rPr>
              <w:t>Net increase (decrease) in cash and cash equivalents</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287</w:t>
            </w: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117" w:lineRule="exact"/>
        <w:rPr>
          <w:sz w:val="20"/>
          <w:szCs w:val="20"/>
          <w:color w:val="auto"/>
        </w:rPr>
      </w:pPr>
    </w:p>
    <w:p>
      <w:pPr>
        <w:jc w:val="both"/>
        <w:ind w:left="340" w:firstLine="324"/>
        <w:spacing w:after="0" w:line="297" w:lineRule="auto"/>
        <w:rPr>
          <w:sz w:val="20"/>
          <w:szCs w:val="20"/>
          <w:color w:val="auto"/>
        </w:rPr>
      </w:pPr>
      <w:r>
        <w:rPr>
          <w:rFonts w:ascii="Arial" w:cs="Arial" w:eastAsia="Arial" w:hAnsi="Arial"/>
          <w:sz w:val="16"/>
          <w:szCs w:val="16"/>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Sources of Liquidity and Capital</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 addition to the summary description of liquidity and capital sources discussed in “— Sources and Uses of Liquidity and Capital,” the following additional information is provided regarding our primary sources of liquidity and capital: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Funding Sources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Liquidity is provided by a variety of funding sources, including secured funding agreements, unsecured credit facilities and secured committed facilities. Capital is provided by a variety of funding sources, including issuances of debt and equity securities, as well as borrowings under our credit facilities. The diversity of our funding sources enhances our funding flexibility, limits dependence on any one market or source of funds and generally lowers the cost of funds. Our primary funding sources include: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Preferred Stock</w:t>
      </w:r>
    </w:p>
    <w:p>
      <w:pPr>
        <w:spacing w:after="0" w:line="117" w:lineRule="exact"/>
        <w:rPr>
          <w:sz w:val="20"/>
          <w:szCs w:val="20"/>
          <w:color w:val="auto"/>
        </w:rPr>
      </w:pPr>
    </w:p>
    <w:p>
      <w:pPr>
        <w:jc w:val="both"/>
        <w:ind w:left="500" w:firstLine="324"/>
        <w:spacing w:after="0" w:line="259" w:lineRule="auto"/>
        <w:rPr>
          <w:sz w:val="20"/>
          <w:szCs w:val="20"/>
          <w:color w:val="auto"/>
        </w:rPr>
      </w:pPr>
      <w:r>
        <w:rPr>
          <w:rFonts w:ascii="Arial" w:cs="Arial" w:eastAsia="Arial" w:hAnsi="Arial"/>
          <w:sz w:val="18"/>
          <w:szCs w:val="18"/>
          <w:color w:val="auto"/>
        </w:rPr>
        <w:t>On March 25, 2019, BHF issued depositary shares, each representing a 1/1,000th ownership interest in a share of BHF’s perpetual 6.600% Series A non-cumulative preferred stock (the “Series A Preferred Stock”) and in the aggregate representing 17,000 shares of Series A Preferred Stock, with a stated amount of $25,000 per share, for aggregate net cash proceeds of $412 million. See Note 8 of the Notes to the Interim Condensed Consolidated Financial Statements.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Federal Home Loan Bank Funding Agreements, Reported in Policyholder Account Balances</w:t>
      </w:r>
    </w:p>
    <w:p>
      <w:pPr>
        <w:spacing w:after="0" w:line="117" w:lineRule="exact"/>
        <w:rPr>
          <w:sz w:val="20"/>
          <w:szCs w:val="20"/>
          <w:color w:val="auto"/>
        </w:rPr>
      </w:pPr>
    </w:p>
    <w:p>
      <w:pPr>
        <w:jc w:val="both"/>
        <w:ind w:left="500" w:firstLine="324"/>
        <w:spacing w:after="0" w:line="302" w:lineRule="auto"/>
        <w:rPr>
          <w:sz w:val="20"/>
          <w:szCs w:val="20"/>
          <w:color w:val="auto"/>
        </w:rPr>
      </w:pPr>
      <w:r>
        <w:rPr>
          <w:rFonts w:ascii="Arial" w:cs="Arial" w:eastAsia="Arial" w:hAnsi="Arial"/>
          <w:sz w:val="16"/>
          <w:szCs w:val="16"/>
          <w:color w:val="auto"/>
        </w:rPr>
        <w:t>Brighthouse Life Insurance Company is a member of the Federal Home Loan Bank (“FHLB”) of Atlanta and maintains a funding agreement program with certain FHLBs. At both September 30, 2019 and December 31, 2018, Brighthouse Life Insurance Company had obligations outstanding under funding agreements with certain FHLBs of $595 million. During the nine months ended September 30, 2019 and 2018, there were no issuances or repayments under such funding agreements. Activity related to these funding agreements is reported in the Run-off segment.</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Farmer Mac Funding Agreements, Reported in Policyholder Account Balances</w:t>
      </w:r>
    </w:p>
    <w:p>
      <w:pPr>
        <w:spacing w:after="0" w:line="117" w:lineRule="exact"/>
        <w:rPr>
          <w:sz w:val="20"/>
          <w:szCs w:val="20"/>
          <w:color w:val="auto"/>
        </w:rPr>
      </w:pPr>
    </w:p>
    <w:p>
      <w:pPr>
        <w:jc w:val="both"/>
        <w:ind w:left="500" w:firstLine="324"/>
        <w:spacing w:after="0" w:line="259" w:lineRule="auto"/>
        <w:rPr>
          <w:sz w:val="20"/>
          <w:szCs w:val="20"/>
          <w:color w:val="auto"/>
        </w:rPr>
      </w:pPr>
      <w:r>
        <w:rPr>
          <w:rFonts w:ascii="Arial" w:cs="Arial" w:eastAsia="Arial" w:hAnsi="Arial"/>
          <w:sz w:val="18"/>
          <w:szCs w:val="18"/>
          <w:color w:val="auto"/>
        </w:rPr>
        <w:t>On February 1, 2019, Brighthouse Life Insurance Company entered into a funding agreement program with the Federal Agricultural Mortgage Corporation and its affiliate Farmer Mac Mortgage Securities Corporation (“Farmer Mac”), pursuant to which the parties may enter into funding agreements in an aggregate amount of up to $500 million. At September 30, 2019, there were no borrowings under this funding agreement program. Activities related to these funding agreements are reported in the Run-off segment.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Credit Facilities</w:t>
      </w:r>
    </w:p>
    <w:p>
      <w:pPr>
        <w:spacing w:after="0" w:line="117" w:lineRule="exact"/>
        <w:rPr>
          <w:sz w:val="20"/>
          <w:szCs w:val="20"/>
          <w:color w:val="auto"/>
        </w:rPr>
      </w:pPr>
    </w:p>
    <w:p>
      <w:pPr>
        <w:jc w:val="both"/>
        <w:ind w:left="500" w:firstLine="324"/>
        <w:spacing w:after="0" w:line="264" w:lineRule="auto"/>
        <w:rPr>
          <w:sz w:val="20"/>
          <w:szCs w:val="20"/>
          <w:color w:val="auto"/>
        </w:rPr>
      </w:pPr>
      <w:r>
        <w:rPr>
          <w:rFonts w:ascii="Arial" w:cs="Arial" w:eastAsia="Arial" w:hAnsi="Arial"/>
          <w:sz w:val="18"/>
          <w:szCs w:val="18"/>
          <w:color w:val="auto"/>
        </w:rPr>
        <w:t>On May 7, 2019, BHF entered into an amended and restated revolving credit agreement with respect to a $1.0 billion senior unsecured revolving credit facility (the “2019 Revolving Credit Facility”) scheduled to mature in May 2024, all of which may be used for revolving loans and/or letters of credit. The 2019 Revolving Credit Facility replaced BHF’s former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$2.0 billion senior unsecured revolving credit facility, which was scheduled to mature in December 2021. At September 30, 2019, there were no borrowings under the 2019 Revolving Credit Facility.</w:t>
      </w:r>
    </w:p>
    <w:p>
      <w:pPr>
        <w:spacing w:after="0" w:line="62" w:lineRule="exact"/>
        <w:rPr>
          <w:sz w:val="20"/>
          <w:szCs w:val="20"/>
          <w:color w:val="auto"/>
        </w:rPr>
      </w:pPr>
    </w:p>
    <w:p>
      <w:pPr>
        <w:jc w:val="both"/>
        <w:ind w:left="500" w:firstLine="324"/>
        <w:spacing w:after="0" w:line="279" w:lineRule="auto"/>
        <w:rPr>
          <w:sz w:val="20"/>
          <w:szCs w:val="20"/>
          <w:color w:val="auto"/>
        </w:rPr>
      </w:pPr>
      <w:r>
        <w:rPr>
          <w:rFonts w:ascii="Arial" w:cs="Arial" w:eastAsia="Arial" w:hAnsi="Arial"/>
          <w:sz w:val="17"/>
          <w:szCs w:val="17"/>
          <w:color w:val="auto"/>
        </w:rPr>
        <w:t>On February 1, 2019, BHF entered into a term loan agreement with respect to a $1.0 billion unsecured term loan facility (as amended, the “2019 Term Loan Facility”) scheduled to mature in February 2024. On February 1, 2019, BHF borrowed $1.0 billion under the 2019 Term Loan Facility, terminated its former term loan facility due December 2, 2019 (the “2017 Term Loan Facility”) without penalty and repaid $600 million of borrowings outstanding under the 2017 Term Loan Facility, with the remainder of the proceeds to be used for general corporate purposes.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Committed Facilities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Repurchase Facility</w:t>
      </w:r>
    </w:p>
    <w:p>
      <w:pPr>
        <w:spacing w:after="0" w:line="117" w:lineRule="exact"/>
        <w:rPr>
          <w:sz w:val="20"/>
          <w:szCs w:val="20"/>
          <w:color w:val="auto"/>
        </w:rPr>
      </w:pPr>
    </w:p>
    <w:p>
      <w:pPr>
        <w:jc w:val="both"/>
        <w:ind w:left="660" w:firstLine="324"/>
        <w:spacing w:after="0" w:line="293" w:lineRule="auto"/>
        <w:rPr>
          <w:sz w:val="20"/>
          <w:szCs w:val="20"/>
          <w:color w:val="auto"/>
        </w:rPr>
      </w:pPr>
      <w:r>
        <w:rPr>
          <w:rFonts w:ascii="Arial" w:cs="Arial" w:eastAsia="Arial" w:hAnsi="Arial"/>
          <w:sz w:val="16"/>
          <w:szCs w:val="16"/>
          <w:color w:val="auto"/>
        </w:rPr>
        <w:t>In April 2018, Brighthouse Life Insurance Company entered into a secured committed repurchase facility (the “Repurchase Facility”) with a financial institution, pursuant to which Brighthouse Life Insurance Company may enter into repurchase transactions in an aggregate amount of up to $2.0 billion. The Repurchase Facility has a term ending on July 31, 2021. Under the Repurchase Facility, Brighthouse Life Insurance Company may sell certain eligible securities at a purchase price based on the market value of the securities less an applicable margin based on the types of securities sold, with a concurrent agreement to repurchase such securities at a predetermined future date (ranging from two weeks to three months) and at a price which represents the original purchase price plus interest. At September 30, 2019, there were no borrowings under the Repurchase Facility.</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 Financing Arrangement</w:t>
      </w:r>
    </w:p>
    <w:p>
      <w:pPr>
        <w:spacing w:after="0" w:line="117" w:lineRule="exact"/>
        <w:rPr>
          <w:sz w:val="20"/>
          <w:szCs w:val="20"/>
          <w:color w:val="auto"/>
        </w:rPr>
      </w:pPr>
    </w:p>
    <w:p>
      <w:pPr>
        <w:jc w:val="both"/>
        <w:ind w:left="660" w:firstLine="324"/>
        <w:spacing w:after="0" w:line="257" w:lineRule="auto"/>
        <w:rPr>
          <w:sz w:val="20"/>
          <w:szCs w:val="20"/>
          <w:color w:val="auto"/>
        </w:rPr>
      </w:pPr>
      <w:r>
        <w:rPr>
          <w:rFonts w:ascii="Arial" w:cs="Arial" w:eastAsia="Arial" w:hAnsi="Arial"/>
          <w:sz w:val="18"/>
          <w:szCs w:val="18"/>
          <w:color w:val="auto"/>
        </w:rPr>
        <w:t>Our reinsurance subsidiary, Brighthouse Reinsurance Company of Delaware (“BRCD”), was formed to manage our capital and risk exposures and to support our term and ULSG businesses through the use of affiliated reinsurance arrangements and related reserve financing. As of September 30, 2019, BRCD had a $10.0 billion financing arrangement with a pool of highly rated third-party reinsurers. This financing arrangement consists of credit-linked notes that each mature in 2037. At September 30, 2019, there were no borrowings under this facility, and there was $10.0 billion of funding available under this financing arrangement.</w:t>
      </w:r>
    </w:p>
    <w:p>
      <w:pPr>
        <w:spacing w:after="0" w:line="80" w:lineRule="exact"/>
        <w:rPr>
          <w:sz w:val="20"/>
          <w:szCs w:val="20"/>
          <w:color w:val="auto"/>
        </w:rPr>
      </w:pPr>
    </w:p>
    <w:p>
      <w:pPr>
        <w:jc w:val="both"/>
        <w:ind w:left="660" w:firstLine="324"/>
        <w:spacing w:after="0" w:line="276" w:lineRule="auto"/>
        <w:rPr>
          <w:sz w:val="20"/>
          <w:szCs w:val="20"/>
          <w:color w:val="auto"/>
        </w:rPr>
      </w:pPr>
      <w:r>
        <w:rPr>
          <w:rFonts w:ascii="Arial" w:cs="Arial" w:eastAsia="Arial" w:hAnsi="Arial"/>
          <w:sz w:val="17"/>
          <w:szCs w:val="17"/>
          <w:color w:val="auto"/>
        </w:rPr>
        <w:t>BRCD is capitalized with cash and invested assets, including funds withheld (“Minimum Initial Target Assets”) at a level we believe sufficient to satisfy its future cash obligations assuming a permanent level yield curve, consistent with NAIC cash flow testing scenarios. BRCD utilizes the above referenced financing arrangement to cover the difference between full required statutory assets (i.e., XXX/AXXX reserves plus target risk margin appropriate to meet capital needs) and Minimum Initial Target Assets. An admitted deferred tax asset, if any, would also serve to reduce the amount of funding required under the above referenced financing arrangement.</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Outstanding Long-term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outstanding long-term debt at: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50"/>
        </w:trPr>
        <w:tc>
          <w:tcPr>
            <w:tcW w:w="8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2,968</w:t>
            </w:r>
          </w:p>
        </w:tc>
        <w:tc>
          <w:tcPr>
            <w:tcW w:w="0" w:type="dxa"/>
            <w:vAlign w:val="bottom"/>
          </w:tcPr>
          <w:p>
            <w:pPr>
              <w:spacing w:after="0"/>
              <w:rPr>
                <w:sz w:val="1"/>
                <w:szCs w:val="1"/>
                <w:color w:val="auto"/>
              </w:rPr>
            </w:pPr>
          </w:p>
        </w:tc>
      </w:tr>
      <w:tr>
        <w:trPr>
          <w:trHeight w:val="237"/>
        </w:trPr>
        <w:tc>
          <w:tcPr>
            <w:tcW w:w="8020" w:type="dxa"/>
            <w:vAlign w:val="bottom"/>
          </w:tcPr>
          <w:p>
            <w:pPr>
              <w:ind w:left="40"/>
              <w:spacing w:after="0"/>
              <w:rPr>
                <w:sz w:val="20"/>
                <w:szCs w:val="20"/>
                <w:color w:val="auto"/>
              </w:rPr>
            </w:pPr>
            <w:r>
              <w:rPr>
                <w:rFonts w:ascii="Arial" w:cs="Arial" w:eastAsia="Arial" w:hAnsi="Arial"/>
                <w:sz w:val="16"/>
                <w:szCs w:val="16"/>
                <w:color w:val="auto"/>
              </w:rPr>
              <w:t>Term loan</w:t>
            </w:r>
          </w:p>
        </w:tc>
        <w:tc>
          <w:tcPr>
            <w:tcW w:w="180" w:type="dxa"/>
            <w:vAlign w:val="bottom"/>
          </w:tcPr>
          <w:p>
            <w:pPr>
              <w:spacing w:after="0"/>
              <w:rPr>
                <w:sz w:val="20"/>
                <w:szCs w:val="20"/>
                <w:color w:val="auto"/>
              </w:rPr>
            </w:pPr>
          </w:p>
        </w:tc>
        <w:tc>
          <w:tcPr>
            <w:tcW w:w="1540" w:type="dxa"/>
            <w:vAlign w:val="bottom"/>
          </w:tcPr>
          <w:p>
            <w:pPr>
              <w:jc w:val="right"/>
              <w:ind w:right="42"/>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Junior subordinated debentures (1)</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37"/>
        </w:trPr>
        <w:tc>
          <w:tcPr>
            <w:tcW w:w="8020" w:type="dxa"/>
            <w:vAlign w:val="bottom"/>
          </w:tcPr>
          <w:p>
            <w:pPr>
              <w:ind w:left="40"/>
              <w:spacing w:after="0"/>
              <w:rPr>
                <w:sz w:val="20"/>
                <w:szCs w:val="20"/>
                <w:color w:val="auto"/>
              </w:rPr>
            </w:pPr>
            <w:r>
              <w:rPr>
                <w:rFonts w:ascii="Arial" w:cs="Arial" w:eastAsia="Arial" w:hAnsi="Arial"/>
                <w:sz w:val="16"/>
                <w:szCs w:val="16"/>
                <w:color w:val="auto"/>
              </w:rPr>
              <w:t>Other long-term debt (2)</w:t>
            </w:r>
          </w:p>
        </w:tc>
        <w:tc>
          <w:tcPr>
            <w:tcW w:w="180" w:type="dxa"/>
            <w:vAlign w:val="bottom"/>
          </w:tcPr>
          <w:p>
            <w:pPr>
              <w:spacing w:after="0"/>
              <w:rPr>
                <w:sz w:val="20"/>
                <w:szCs w:val="20"/>
                <w:color w:val="auto"/>
              </w:rPr>
            </w:pPr>
          </w:p>
        </w:tc>
        <w:tc>
          <w:tcPr>
            <w:tcW w:w="1540" w:type="dxa"/>
            <w:vAlign w:val="bottom"/>
          </w:tcPr>
          <w:p>
            <w:pPr>
              <w:jc w:val="right"/>
              <w:ind w:right="42"/>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8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3,963</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line="277" w:lineRule="auto"/>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unamortized debt issuance costs and debt discount totaling $43 million and $46 million at September 30, 2019 and December 31, 2018, respectively, for senior notes and junior subordinated debentures on a combined basis.</w:t>
      </w:r>
    </w:p>
    <w:p>
      <w:pPr>
        <w:spacing w:after="0" w:line="6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non-recourse debt for which creditors have no access, subject to customary exceptions, to the general assets of the Company other than recourse to certain investment companies.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and Facility Covenants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Company’s debt instruments and credit and committed facilities contain certain administrative, reporting and legal covenants. Additionally, the Company’s credit facilities contain financial covenants, including requirements to maintain a specified minimum adjusted consolidated net worth, to maintain a ratio of total indebtedness to total capitalization not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excess of a specified percentage and that place limitations on the dollar amount of indebtedness that may be incurred by the Company, which could restrict our operations and use of funds. At September 30, 2019, the Company was in compliance with these financial covenants.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Uses of Liquidity and Capital</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 addition to the summarized description of liquidity and capital uses discussed in “— Sources and Uses of Liquidity and Capital,” the following additional information is provided regarding our primary uses of liquidity and capital: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During the nine months ended September 30, 2019 and 2018, we repurchased 8,395,371 shares and 982,057 shares, respectively, of our common stock through open market purchases, pursuant to 10b5-1 plans, for $314 million and $42 million,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Preferred Stock Dividends</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On May 15, 2019, BHF declared a dividend of $412.50 per share, for a total of $7 million, on the Series A Preferred Stock, which was paid on June 25, 2019 to stockholders of record as of June 10, 2019. On August 15, 2019, BHF declared a dividend of $412.50 per share, for a total of $7 million, on the Series A Preferred Stock, which was paid on September 25, 2019 to stockholders of record as of September 10, 2019.</w:t>
      </w:r>
    </w:p>
    <w:p>
      <w:pPr>
        <w:spacing w:after="0" w:line="5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Under the terms of the Series A Preferred Stock, our ability to declare or pay dividends on, or purchase, redeem or otherwise acquire, shares of our common stock or shares of any other class or series of our capital stock (if any) that ranks junior to the Series A Preferred Stock will be subject to certain restrictions in the event that we do not declare and pay (or set aside) dividends on the Series A Preferred Stock for the latest completed dividend period, and our ability to declare full dividends on preferred stock that ranks equally with the Series A Preferred Stock (if any) will be subject to certain limitations in the event we declare partial dividends on the Series A Preferred Stock. See Note 8 of the Notes to the Interim Condensed Consolidated Financial Statements.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Repurchases</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We may from time to time seek to retire or purchase our outstanding indebtedness through cash purchases and/or exchanges for other securities, purchases in the open market, privately negotiated transactions or otherwise. Any such repurchases or exchanges will be dependent upon several factors, including our liquidity requirements, contractual restrictions, general market conditions, and applicable regulatory, legal and accounting factors. Whether or not we repurchase any debt and the size and timing of any such repurchases will be determined at our discretion.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Insurance Liabilities</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Liabilities arising from our insurance activities primarily relate to benefit payments under various annuity and life insurance products, as well as payments for policy surrenders, withdrawals and loans. Surrender or lapse behavior differs somewhat by product but tends to occur in the ordinary course of business. During the nine months ended September 30, 2019 and 2018, general account surrenders and withdrawals totaled $1.7 billion and $1.8 billion, respectively, of which $1.5 billion and $1.3 billion, respectively, was attributable to products within the Annuities segment.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Pledged Collateral</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We pledge collateral to, and have collateral pledged to us by, counterparties in connection with our derivatives. At September 30, 2019 and December 31, 2018, counterparties were obligated to return cash collateral pledged by us of $0 and $64 million, respectively. At September 30, 2019 and December 31, 2018, we were obligated to return cash collateral pledged to us by counterparties of $2.0 billion and $1.4 billion, respectively. See Note 5 of the Notes to the Interim Condensed Consolidated Financial Statements for additional information about pledged collateral. We also pledge collateral from time to time in connection with funding agreements.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Securities Lending</w:t>
      </w:r>
    </w:p>
    <w:p>
      <w:pPr>
        <w:spacing w:after="0" w:line="117"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We have a securities lending program whereby securities are loaned to third parties, primarily brokerage firms and commercial banks. We obtain collateral, usually cash, from the borrower, which must be returned to the borrower when the loaned securities are returned to us. Under our securities lending program, we were liable for cash collateral under our control of $3.2 billion and $3.6 billion at September 30, 2019 and December 31, 2018, respectively. Of these amounts, $1.6 billion and $1.5 billion at September 30, 2019 and December 31, 2018, respectively, were on open, meaning that the related loaned security could be returned to us on the next business day requiring the immediate return of cash collateral we hold. The estimated fair value of the securities on loan related to the cash collateral on open at September 30, 2019 was $1.5 billion, 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of which were U.S. government and agency securities which, if put back to us, could be immediately sold to satisfy the cash requirement. See Note 4 of the Notes to the Interim Condensed Consolidated Financial Statements.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17"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color w:val="auto"/>
        </w:rPr>
        <w:t>Putative or certified class action litigation and other litigation, and claims and assessments against us, in addition to those discussed elsewhere herein and those otherwise provided for in the financial statements, have arisen in the course of our business, including, but not limited to, in connection with our activities as an insurer, employer, investor, investment advisor, and taxpayer. Further, state insurance regulatory authorities and other federal and state authorities regularly make inquiries and conduct investigations concerning our compliance with applicable insurance and other laws and regulations. See Note 11 of the Notes to the Interim Condensed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Parent Company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 and Capital</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and/or as a result of compliance with regulatory requirements.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Short-term Liquidity and Liquid Assets</w:t>
      </w:r>
    </w:p>
    <w:p>
      <w:pPr>
        <w:spacing w:after="0" w:line="117"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At September 30, 2019 and December 31, 2018, BHF and certain of its non-insurance subsidiaries had short-term liquidity of $773 million and $520 million, respectively. Short-term liquidity is comprised of cash and cash equivalents and short-term investments.</w:t>
      </w:r>
    </w:p>
    <w:p>
      <w:pPr>
        <w:spacing w:after="0" w:line="62"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At September 30, 2019 and December 31, 2018, BHF and certain of its non-insurance subsidiaries had liquid assets of $817 million and $752 million, respectively, of which $782 million and $693 million, respectively, was held by BHF. Liquid assets are comprised of cash and cash equivalents, short-term investments and publicly-traded securities.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Statutory Capital and Dividends</w:t>
      </w:r>
    </w:p>
    <w:p>
      <w:pPr>
        <w:spacing w:after="0" w:line="117" w:lineRule="exact"/>
        <w:rPr>
          <w:sz w:val="20"/>
          <w:szCs w:val="20"/>
          <w:color w:val="auto"/>
        </w:rPr>
      </w:pPr>
    </w:p>
    <w:p>
      <w:pPr>
        <w:jc w:val="both"/>
        <w:ind w:left="340" w:firstLine="324"/>
        <w:spacing w:after="0" w:line="271" w:lineRule="auto"/>
        <w:rPr>
          <w:sz w:val="20"/>
          <w:szCs w:val="20"/>
          <w:color w:val="auto"/>
        </w:rPr>
      </w:pPr>
      <w:r>
        <w:rPr>
          <w:rFonts w:ascii="Arial" w:cs="Arial" w:eastAsia="Arial" w:hAnsi="Arial"/>
          <w:sz w:val="17"/>
          <w:szCs w:val="17"/>
          <w:color w:val="auto"/>
        </w:rPr>
        <w:t>The NAIC and state insurance departments have established regulations that provide minimum capitalization requirements based on risk-based capital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TAC does not meet or exceed certain RBC levels. As of the date of the most recent annual statutory financial statements filed with insurance regulators, the TAC of each of our insurance subsidiaries subject to these requirements was in excess of each of those RBC levels.</w:t>
      </w:r>
    </w:p>
    <w:p>
      <w:pPr>
        <w:spacing w:after="0" w:line="71"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insurance laws and regulations. See “— Primary Sources and Uses of Liquidity and Capital — Dividends and Returns of Capital from Insurance Subsidiaries.”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Sources and Uses of Liquidity and Capital</w:t>
      </w:r>
    </w:p>
    <w:p>
      <w:pPr>
        <w:spacing w:after="0" w:line="117"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The principal sources of funds available to BHF include distributions from Brighthouse Holdings, LLC (“BH Holdings”), dividends and returns of capital from its insurance subsidiaries,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6" w:right="2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firstLine="324"/>
        <w:spacing w:after="0" w:line="297" w:lineRule="auto"/>
        <w:rPr>
          <w:sz w:val="20"/>
          <w:szCs w:val="20"/>
          <w:color w:val="auto"/>
        </w:rPr>
      </w:pPr>
      <w:r>
        <w:rPr>
          <w:rFonts w:ascii="Arial" w:cs="Arial" w:eastAsia="Arial" w:hAnsi="Arial"/>
          <w:sz w:val="16"/>
          <w:szCs w:val="16"/>
          <w:color w:val="auto"/>
        </w:rPr>
        <w:t>The primary uses of liquidity of BHF include debt service including interest expense and debt repayments,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contribute capital to its subsidiaries, repurchase its common stock, pay all general operating expenses and meet its cash needs.</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to the liquidity and capital sources discussed in “— The Company — Primary Sources of Liquidity and Capital” and “— The Company —</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Primary Uses of Liquidity and Capital,” the following additional information is provided regarding BHF’s primary sources and uses of liquidity and capital:</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Distributions from and Capital Contributions to BH Holdings</w:t>
      </w:r>
    </w:p>
    <w:p>
      <w:pPr>
        <w:spacing w:after="0" w:line="117"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During the nine months ended September 30, 2019 and 2018, BHF received cash distributions of $195 million and $52 million, respectively, from BH Holdings and made cash capital contributions of $412 million and $208 million, respectively, to BH Holdings.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Dividends and Returns of Capital from Insurance Subsidiaries</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Our business is primarily conducted through our insurance subsidiaries. The insurance subsidiaries are subject to regulatory restrictions on the payment of dividends and other distributions imposed by the regulators of their respective state domiciles.</w:t>
      </w:r>
    </w:p>
    <w:p>
      <w:pPr>
        <w:spacing w:after="0" w:line="62"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Any requested payment of dividends by Brighthouse Life Insurance Company and New England Life Insurance Company to BH Holdings, or by Brighthouse Life Insurance Company of NY (“BHNY”) to Brighthouse Life Insurance Company, in excess of the 2019 limit on the permitted payment of dividends without approval would be considered an extraordinary dividend and would require prior approval from the Delaware Department of Insurance or the Massachusetts Division of Insurance, and the New York State Department of Financial Services, respectively.</w:t>
      </w:r>
    </w:p>
    <w:p>
      <w:pPr>
        <w:spacing w:after="0" w:line="63"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The table below sets forth the dividends permitted to be paid in 2019 by our insurance subsidiaries without insurance regulatory approval and the respective dividends paid during the nine months ended September 30, 2019.</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right="63"/>
              <w:spacing w:after="0"/>
              <w:rPr>
                <w:sz w:val="20"/>
                <w:szCs w:val="20"/>
                <w:color w:val="auto"/>
              </w:rPr>
            </w:pPr>
            <w:r>
              <w:rPr>
                <w:rFonts w:ascii="Arial" w:cs="Arial" w:eastAsia="Arial" w:hAnsi="Arial"/>
                <w:sz w:val="14"/>
                <w:szCs w:val="14"/>
                <w:b w:val="1"/>
                <w:bCs w:val="1"/>
                <w:color w:val="auto"/>
                <w:w w:val="92"/>
              </w:rPr>
              <w:t>Permitted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Paid</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without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7"/>
              </w:rPr>
              <w:t>Approval (1)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Brighthouse Life Insurance Company</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20" w:type="dxa"/>
            <w:vAlign w:val="bottom"/>
          </w:tcPr>
          <w:p>
            <w:pPr>
              <w:ind w:left="20"/>
              <w:spacing w:after="0"/>
              <w:rPr>
                <w:sz w:val="20"/>
                <w:szCs w:val="20"/>
                <w:color w:val="auto"/>
              </w:rPr>
            </w:pPr>
            <w:r>
              <w:rPr>
                <w:rFonts w:ascii="Arial" w:cs="Arial" w:eastAsia="Arial" w:hAnsi="Arial"/>
                <w:sz w:val="16"/>
                <w:szCs w:val="16"/>
                <w:color w:val="auto"/>
              </w:rPr>
              <w:t>New England Life Insurance Company</w:t>
            </w:r>
          </w:p>
        </w:tc>
        <w:tc>
          <w:tcPr>
            <w:tcW w:w="780" w:type="dxa"/>
            <w:vAlign w:val="bottom"/>
          </w:tcPr>
          <w:p>
            <w:pPr>
              <w:jc w:val="right"/>
              <w:ind w:right="581"/>
              <w:spacing w:after="0"/>
              <w:rPr>
                <w:sz w:val="20"/>
                <w:szCs w:val="20"/>
                <w:color w:val="auto"/>
              </w:rPr>
            </w:pPr>
            <w:r>
              <w:rPr>
                <w:rFonts w:ascii="Arial" w:cs="Arial" w:eastAsia="Arial" w:hAnsi="Arial"/>
                <w:sz w:val="16"/>
                <w:szCs w:val="16"/>
                <w:color w:val="auto"/>
              </w:rPr>
              <w:t>$</w:t>
            </w:r>
          </w:p>
        </w:tc>
        <w:tc>
          <w:tcPr>
            <w:tcW w:w="380" w:type="dxa"/>
            <w:vAlign w:val="bottom"/>
          </w:tcPr>
          <w:p>
            <w:pPr>
              <w:ind w:left="10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Brighthouse Life Insurance Company of NY (2)</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20" w:type="dxa"/>
            <w:vAlign w:val="bottom"/>
          </w:tcPr>
          <w:p>
            <w:pPr>
              <w:jc w:val="right"/>
              <w:ind w:right="7881"/>
              <w:spacing w:after="0"/>
              <w:rPr>
                <w:sz w:val="20"/>
                <w:szCs w:val="20"/>
                <w:color w:val="auto"/>
              </w:rPr>
            </w:pPr>
            <w:r>
              <w:rPr>
                <w:rFonts w:ascii="Arial" w:cs="Arial" w:eastAsia="Arial" w:hAnsi="Arial"/>
                <w:sz w:val="14"/>
                <w:szCs w:val="14"/>
                <w:color w:val="auto"/>
                <w:w w:val="89"/>
              </w:rPr>
              <w:t>_______________</w:t>
            </w: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500" w:hanging="492"/>
        <w:spacing w:after="0" w:line="264"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Reflects dividend amounts that may be paid during 2019 without prior regulatory approval. However, because dividend tests may be based on dividends previously paid over rolling 12-month periods, if paid before a specified date during 2019, some or all of such dividends may require regulatory approval.</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Dividends are not anticipated to be paid by BHNY in 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Short-term Intercompany Loans</w:t>
      </w:r>
    </w:p>
    <w:p>
      <w:pPr>
        <w:spacing w:after="0" w:line="117" w:lineRule="exact"/>
        <w:rPr>
          <w:sz w:val="20"/>
          <w:szCs w:val="20"/>
          <w:color w:val="auto"/>
        </w:rPr>
      </w:pPr>
    </w:p>
    <w:p>
      <w:pPr>
        <w:jc w:val="both"/>
        <w:ind w:left="340" w:firstLine="324"/>
        <w:spacing w:after="0" w:line="290" w:lineRule="auto"/>
        <w:rPr>
          <w:sz w:val="20"/>
          <w:szCs w:val="20"/>
          <w:color w:val="auto"/>
        </w:rPr>
      </w:pPr>
      <w:r>
        <w:rPr>
          <w:rFonts w:ascii="Arial" w:cs="Arial" w:eastAsia="Arial" w:hAnsi="Arial"/>
          <w:sz w:val="16"/>
          <w:szCs w:val="16"/>
          <w:color w:val="auto"/>
        </w:rPr>
        <w:t>As of September 30, 2019, BHF, as borrower, had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nine months ended September 30, 2019 and 2018, BHF borrowed $736 million and $178 million, respectively, from certain of its non-insurance subsidiaries under short-term intercompany loan agreements and repaid $837 million and $311 million, respectively, to certain of its non-insurance company subsidiaries under short-term intercompany loan agreements. At September 30, 2019 and December 31, 2018, BHF had total obligations outstanding of $202 million and $303 million, respectively, under such agreements.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6" w:right="2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Intercompany Liquidity Facilities</w:t>
      </w:r>
    </w:p>
    <w:p>
      <w:pPr>
        <w:spacing w:after="0" w:line="117" w:lineRule="exact"/>
        <w:rPr>
          <w:sz w:val="20"/>
          <w:szCs w:val="20"/>
          <w:color w:val="auto"/>
        </w:rPr>
      </w:pPr>
    </w:p>
    <w:p>
      <w:pPr>
        <w:jc w:val="both"/>
        <w:ind w:left="340" w:firstLine="324"/>
        <w:spacing w:after="0" w:line="297" w:lineRule="auto"/>
        <w:rPr>
          <w:sz w:val="20"/>
          <w:szCs w:val="20"/>
          <w:color w:val="auto"/>
        </w:rPr>
      </w:pPr>
      <w:r>
        <w:rPr>
          <w:rFonts w:ascii="Arial" w:cs="Arial" w:eastAsia="Arial" w:hAnsi="Arial"/>
          <w:sz w:val="16"/>
          <w:szCs w:val="16"/>
          <w:color w:val="auto"/>
        </w:rPr>
        <w:t>As of September 30, 2019, we maintained intercompany liquidity facilities with certain of our insurance and non-insurance company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not more than 364 days. During the nine months ended September 30, 2018, BHF borrowed and repaid $40 million under intercompany liquidity facilities and, at both September 30, 2019 and December 31, 2018, there were no obligations outstanding under such facilities.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6" w:right="2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This report, including Management’s Discussion and Analysis of Financial Condition and Results of Operations,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future performance or results of current and anticipated services or products, sales efforts, expenses, the outcome of contingencies such as legal proceedings, trends in operating and financial results, as well as statements regarding the expected benefits of the Separation.</w:t>
      </w:r>
    </w:p>
    <w:p>
      <w:pPr>
        <w:spacing w:after="0" w:line="11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Any or all forward-looking statements may turn out to be wrong. They can be affected by inaccurate assumptions or by known or unknown risks and uncertainties. Many such factors will be important in determining the actual future results of Brighthouse.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77" w:lineRule="exact"/>
        <w:rPr>
          <w:sz w:val="20"/>
          <w:szCs w:val="20"/>
          <w:color w:val="auto"/>
        </w:rPr>
      </w:pPr>
    </w:p>
    <w:p>
      <w:pPr>
        <w:ind w:left="720" w:hanging="388"/>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differences between actual experience and actuarial assumptions and the effectiveness of our actuarial models;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higher risk management costs and exposure to increased market and counterparty risk due to guarantees within certain of our products;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effectiveness of our variable annuity exposure management strategy and the impact of such strategy on net income volatility and negative effects on our statutory capital;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reserves we are required to hold against our variable annuities as a result of actuarial guidelines;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sustained period of low equity market prices and interest rates that are lower than those we assumed when we issued our variable annuity products;</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potential material adverse effect of changes in accounting standards, practices and/or policies applicable to us, including changes in the accounting for long duration contracts;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degree of leverage due to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effect adverse capital and credit market conditions may have on our ability to meet liquidity needs and our access to capital;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impact of changes in regulation and in supervisory and enforcement policies on our insurance business or other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effectiveness of our risk management policies and procedures;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availability of reinsurance and the ability of our counterparties to our reinsurance or indemnification arrangements to perform their obligations thereunder;</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ability of our insurance subsidiaries to pay dividends to us, and our ability to pay dividends to our shareholders;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through distribution channels;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6" w:right="2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failure of third parties to provide services we need, any failure of the practices and procedures of these third parties and any inability to obtain information or assistance we need from third parties, including MetLife;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whether all or any portion of the tax consequences of the Separation are not as expected, leading to material additional taxes or material adverse consequences to tax attributes that impact us;</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uncertainty of the outcome of any disputes with MetLife over tax-related or other matters and agreements, including the potential of outcomes adverse to us that could cause us to owe MetLife material tax reimbursements or payments, or disagreements regarding MetLife’s or our obligations under our other agreements;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impact on our business structure, profitability, cost of capital and flexibility due to restrictions we have agreed to that preserve the tax-free treatment of certain parts of the Separation;</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potential material negative tax impact of potential future tax legislation that could decrease the value of our tax attributes and cause other cash expenses, such as reserves, to increase materially and make some of our products less attractive to consumers;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whether the Separation will qualify for non-recognition treatment for federal income tax purposes and potential indemnification to MetLife if the Separation does not so qualify;</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impact of the Separation on our business and profitability due to MetLife’s strong brand and reputation, the increased costs related to replacing arrangements with MetLife with those of third parties and incremental costs as a public company;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whether the operational, strategic and other benefits of the Separation can be achieved, and our ability to implement our business strategy;</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other factors described from time to time in documents that we file with the SEC.</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the reasons described above, we caution you against relying on any forward-looking statements, which should also be read in conjunction with the other cautionary statements included and the risks, uncertainties and other factors identified in our 2018 Annual Report, our subsequent Quarterly Reports on Form 10-Q,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routinely use our Investor Relations website to provide presentations, press releases and other information that may be deemed material to investors. Accordingly, we encourage investors and others interested in the Company to review the information that we share at http://investor.brighthousefinancial.com.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regularly analyze our market risk exposure to interest rate, equity market price, credit spreads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general account investment activities. For purposes of this discussion, “market risk” is defined as changes in estimated fair value resulting from changes in interest rates, equity market prices, credit spreads and foreign currency exchange rates. We may have additional financial impacts other than changes in estimated fair value, which are beyond the scope of this discussion. A description of our market risk exposures may be found under “Quantitative and Qualitative Disclosures About Market Risk” in the 2018 Annual Report.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have been no material changes to our market risk exposures from the market risk exposures previously disclosed in the 2018 Annual Report, with the exception of sensitivity to changes in interest rates. Sensitivity to a 100 basis point rise in interest rates increased by $2.5 billion or 43%, to $8.3 billion as of September 30, 2019 from $5.8 billion as of December 31, 2018, primarily as a result of lower interest rates increasing the estimated fair value of both interest rate derivative contracts and fixed maturity securities, in line with management expectations.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6" w:right="2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September 30, 2019.</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MetLife provides certain services to the Company on a transitional basis through services agreements. The Company continues to change business processes, implement systems and establish new third-party arrangements. We consider these to be material changes in our internal control over financial reporting.</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than as noted above, there were no changes to the Company’s internal control over financial reporting (as defined in Rules 13a-15(f) and 15d-15(f) under the Exchange Act) that occurred during the quarter ended September 30, 2019 that have materially affected, or are reasonably likely to materially affect, the Company’s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20" w:firstLine="376"/>
        <w:spacing w:after="0" w:line="277" w:lineRule="auto"/>
        <w:rPr>
          <w:sz w:val="20"/>
          <w:szCs w:val="20"/>
          <w:color w:val="auto"/>
        </w:rPr>
      </w:pPr>
      <w:r>
        <w:rPr>
          <w:rFonts w:ascii="Arial" w:cs="Arial" w:eastAsia="Arial" w:hAnsi="Arial"/>
          <w:sz w:val="18"/>
          <w:szCs w:val="18"/>
          <w:color w:val="auto"/>
        </w:rPr>
        <w:t>See Note 11 of the Notes to the Interim Condensed Consolidated Financial Statements included in this report. There have been no new material legal proceedings and no material developments in legal proceedings previously disclosed in the 2018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discuss in this report, in the 2018 Annual Report and in our other filings with the SEC, various risks that may materially affect our business. In addition, see “Management’s Discussion and Analysis of Financial Condition and Results of Operations — Note Regarding Forward-Looking Statements” included in this report. There have been no material changes to our risk factors from the risk factors previously disclosed in the 2018 Annual Report, as amended or supplemented by such information in our subsequent Quarterly Reports on Form 10-Q.</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Purchases of BHF common stock made by or on behalf of BHF or its affiliates during the three months ended September 30, 2019 are set forth below:</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92"/>
        </w:trPr>
        <w:tc>
          <w:tcPr>
            <w:tcW w:w="3780" w:type="dxa"/>
            <w:vAlign w:val="bottom"/>
            <w:gridSpan w:val="2"/>
            <w:vMerge w:val="continue"/>
          </w:tcPr>
          <w:p>
            <w:pPr>
              <w:spacing w:after="0"/>
              <w:rPr>
                <w:sz w:val="16"/>
                <w:szCs w:val="16"/>
                <w:color w:val="auto"/>
              </w:rPr>
            </w:pPr>
          </w:p>
        </w:tc>
        <w:tc>
          <w:tcPr>
            <w:tcW w:w="1840" w:type="dxa"/>
            <w:vAlign w:val="bottom"/>
          </w:tcPr>
          <w:p>
            <w:pPr>
              <w:jc w:val="right"/>
              <w:ind w:right="402"/>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Share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center"/>
              <w:ind w:right="243"/>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July 1 — July 31, 2019</w:t>
            </w: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1,159,220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37.42</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1,159,220</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August 1 — August 31, 2019</w:t>
            </w:r>
          </w:p>
        </w:tc>
        <w:tc>
          <w:tcPr>
            <w:tcW w:w="1840" w:type="dxa"/>
            <w:vAlign w:val="bottom"/>
          </w:tcPr>
          <w:p>
            <w:pPr>
              <w:jc w:val="right"/>
              <w:ind w:right="42"/>
              <w:spacing w:after="0"/>
              <w:rPr>
                <w:sz w:val="20"/>
                <w:szCs w:val="20"/>
                <w:color w:val="auto"/>
              </w:rPr>
            </w:pPr>
            <w:r>
              <w:rPr>
                <w:rFonts w:ascii="Arial" w:cs="Arial" w:eastAsia="Arial" w:hAnsi="Arial"/>
                <w:sz w:val="16"/>
                <w:szCs w:val="16"/>
                <w:color w:val="auto"/>
              </w:rPr>
              <w:t>1,195,757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3"/>
              <w:spacing w:after="0"/>
              <w:rPr>
                <w:sz w:val="20"/>
                <w:szCs w:val="20"/>
                <w:color w:val="auto"/>
              </w:rPr>
            </w:pPr>
            <w:r>
              <w:rPr>
                <w:rFonts w:ascii="Arial" w:cs="Arial" w:eastAsia="Arial" w:hAnsi="Arial"/>
                <w:sz w:val="16"/>
                <w:szCs w:val="16"/>
                <w:color w:val="auto"/>
              </w:rPr>
              <w:t>35.30</w:t>
            </w:r>
          </w:p>
        </w:tc>
        <w:tc>
          <w:tcPr>
            <w:tcW w:w="120" w:type="dxa"/>
            <w:vAlign w:val="bottom"/>
          </w:tcPr>
          <w:p>
            <w:pPr>
              <w:spacing w:after="0"/>
              <w:rPr>
                <w:sz w:val="20"/>
                <w:szCs w:val="20"/>
                <w:color w:val="auto"/>
              </w:rPr>
            </w:pPr>
          </w:p>
        </w:tc>
        <w:tc>
          <w:tcPr>
            <w:tcW w:w="1800" w:type="dxa"/>
            <w:vAlign w:val="bottom"/>
          </w:tcPr>
          <w:p>
            <w:pPr>
              <w:jc w:val="right"/>
              <w:ind w:right="23"/>
              <w:spacing w:after="0"/>
              <w:rPr>
                <w:sz w:val="20"/>
                <w:szCs w:val="20"/>
                <w:color w:val="auto"/>
              </w:rPr>
            </w:pPr>
            <w:r>
              <w:rPr>
                <w:rFonts w:ascii="Arial" w:cs="Arial" w:eastAsia="Arial" w:hAnsi="Arial"/>
                <w:sz w:val="16"/>
                <w:szCs w:val="16"/>
                <w:color w:val="auto"/>
              </w:rPr>
              <w:t>1,195,757</w:t>
            </w:r>
          </w:p>
        </w:tc>
        <w:tc>
          <w:tcPr>
            <w:tcW w:w="42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3"/>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1 — September 30, 2019</w:t>
            </w: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1,047,072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38.52</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1,046,970</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8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3,402,049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3,401,947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20" w:type="dxa"/>
            <w:vAlign w:val="bottom"/>
            <w:vMerge w:val="restart"/>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right="20" w:hanging="492"/>
        <w:spacing w:after="0" w:line="264"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Where applicable, total number of shares purchased includes shares of common stock withheld with respect to option exercise costs and tax withholding obligations associated with the exercise or vesting of share-based compensation awards under our publicly announced benefit plans or programs.</w:t>
      </w:r>
    </w:p>
    <w:p>
      <w:pPr>
        <w:spacing w:after="0" w:line="73" w:lineRule="exact"/>
        <w:rPr>
          <w:rFonts w:ascii="Arial" w:cs="Arial" w:eastAsia="Arial" w:hAnsi="Arial"/>
          <w:sz w:val="18"/>
          <w:szCs w:val="18"/>
          <w:color w:val="auto"/>
        </w:rPr>
      </w:pPr>
    </w:p>
    <w:p>
      <w:pPr>
        <w:jc w:val="both"/>
        <w:ind w:left="500" w:hanging="492"/>
        <w:spacing w:after="0" w:line="279" w:lineRule="auto"/>
        <w:tabs>
          <w:tab w:leader="none" w:pos="5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August 2018, we authorized the repurchase of up to $200 million of our common stock and, on May 3, 2019, we authorized the repurchase of up to an additional $400 million of our common stock. For more information on common stock repurchases, see “Management’s Discussion and Analysis of Financial Condition and Results of Operations — Liquidity and Capital Resources — The Company — Primary Uses of Liquidity and Capital — Common Stock Repurchases” and Note 8 of the Notes to the Interim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6" w:right="2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(Note Regarding Reliance on Statements in Our Contracts: </w:t>
      </w:r>
      <w:r>
        <w:rPr>
          <w:rFonts w:ascii="Arial" w:cs="Arial" w:eastAsia="Arial" w:hAnsi="Arial"/>
          <w:sz w:val="17"/>
          <w:szCs w:val="17"/>
          <w:i w:val="1"/>
          <w:iCs w:val="1"/>
          <w:color w:val="auto"/>
        </w:rPr>
        <w:t>In reviewing the agreements included as exhibits herein, please remember that they are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Brighthouse Financial, Inc.’s other public filings, which are available without charge through the U.S. Securities and Exchange Commission website at www.sec.gov.)</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Exhibit</w:t>
            </w:r>
          </w:p>
        </w:tc>
        <w:tc>
          <w:tcPr>
            <w:tcW w:w="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w:t>
            </w:r>
          </w:p>
        </w:tc>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260" w:type="dxa"/>
            <w:vAlign w:val="bottom"/>
            <w:gridSpan w:val="9"/>
          </w:tcPr>
          <w:p>
            <w:pPr>
              <w:ind w:left="10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3"/>
              </w:rPr>
              <w:t>10.1#</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6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42">
              <w:r>
                <w:rPr>
                  <w:rFonts w:ascii="Arial" w:cs="Arial" w:eastAsia="Arial" w:hAnsi="Arial"/>
                  <w:sz w:val="18"/>
                  <w:szCs w:val="18"/>
                  <w:color w:val="0000FF"/>
                  <w:w w:val="91"/>
                </w:rPr>
                <w:t>Brighthouse Services, LLC Blue Relocation Policy, revised July 1, 2019 is incorporated by reference to Exhibit 10.3 to our</w:t>
              </w:r>
            </w:hyperlink>
          </w:p>
        </w:tc>
        <w:tc>
          <w:tcPr>
            <w:tcW w:w="72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80" w:type="dxa"/>
            <w:vAlign w:val="bottom"/>
            <w:gridSpan w:val="10"/>
          </w:tcPr>
          <w:p>
            <w:pPr>
              <w:spacing w:after="0" w:line="196" w:lineRule="exact"/>
              <w:rPr>
                <w:rFonts w:ascii="Arial" w:cs="Arial" w:eastAsia="Arial" w:hAnsi="Arial"/>
                <w:sz w:val="18"/>
                <w:szCs w:val="18"/>
                <w:color w:val="0000FF"/>
              </w:rPr>
            </w:pPr>
            <w:hyperlink r:id="rId142">
              <w:r>
                <w:rPr>
                  <w:rFonts w:ascii="Arial" w:cs="Arial" w:eastAsia="Arial" w:hAnsi="Arial"/>
                  <w:sz w:val="18"/>
                  <w:szCs w:val="18"/>
                  <w:color w:val="0000FF"/>
                </w:rPr>
                <w:t>Quarterly Report on Form 10-Q, filed August 6, 2019 (File No. 001-37905).</w:t>
              </w:r>
            </w:hyperlink>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10"/>
          </w:tcPr>
          <w:p>
            <w:pPr>
              <w:spacing w:after="0"/>
              <w:rPr>
                <w:rFonts w:ascii="Arial" w:cs="Arial" w:eastAsia="Arial" w:hAnsi="Arial"/>
                <w:sz w:val="18"/>
                <w:szCs w:val="18"/>
                <w:color w:val="0000FF"/>
                <w:w w:val="90"/>
              </w:rPr>
            </w:pPr>
            <w:hyperlink r:id="rId143">
              <w:r>
                <w:rPr>
                  <w:rFonts w:ascii="Arial" w:cs="Arial" w:eastAsia="Arial" w:hAnsi="Arial"/>
                  <w:sz w:val="18"/>
                  <w:szCs w:val="18"/>
                  <w:color w:val="0000FF"/>
                  <w:w w:val="90"/>
                </w:rPr>
                <w:t>First Amended and Restated Investment Management Agreement, dated as of July 17, 2019, by and between Brighthouse Services,</w:t>
              </w:r>
            </w:hyperlink>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LLC and MetLife Investment Management, LLC is incorporated by reference to Exhibit 10.4 to our Quarterly Report on Form 10-</w:t>
              </w:r>
            </w:hyperlink>
          </w:p>
        </w:tc>
        <w:tc>
          <w:tcPr>
            <w:tcW w:w="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2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Q, filed August 6, 2019 (File No. 001-37905).</w:t>
              </w:r>
            </w:hyperlink>
          </w:p>
        </w:tc>
        <w:tc>
          <w:tcPr>
            <w:tcW w:w="6260" w:type="dxa"/>
            <w:vAlign w:val="bottom"/>
            <w:gridSpan w:val="9"/>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3"/>
              </w:rPr>
              <w:t>10.3#</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140" w:type="dxa"/>
            <w:vAlign w:val="bottom"/>
            <w:tcBorders>
              <w:bottom w:val="single" w:sz="8" w:color="0000FF"/>
            </w:tcBorders>
            <w:gridSpan w:val="7"/>
          </w:tcPr>
          <w:p>
            <w:pPr>
              <w:spacing w:after="0"/>
              <w:rPr>
                <w:rFonts w:ascii="Arial" w:cs="Arial" w:eastAsia="Arial" w:hAnsi="Arial"/>
                <w:sz w:val="18"/>
                <w:szCs w:val="18"/>
                <w:color w:val="0000FF"/>
                <w:w w:val="90"/>
              </w:rPr>
            </w:pPr>
            <w:hyperlink r:id="rId144">
              <w:r>
                <w:rPr>
                  <w:rFonts w:ascii="Arial" w:cs="Arial" w:eastAsia="Arial" w:hAnsi="Arial"/>
                  <w:sz w:val="18"/>
                  <w:szCs w:val="18"/>
                  <w:color w:val="0000FF"/>
                  <w:w w:val="90"/>
                </w:rPr>
                <w:t>Offer Letter, dated as of July 24, 2019, between Brighthouse Services, LLC and Edward Spehar is incorporated by reference to</w:t>
              </w:r>
            </w:hyperlink>
          </w:p>
        </w:tc>
        <w:tc>
          <w:tcPr>
            <w:tcW w:w="440" w:type="dxa"/>
            <w:vAlign w:val="bottom"/>
            <w:gridSpan w:val="3"/>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Exhibit 10.1 to our Current Report on Form 8-K, filed July 24, 2019 (File No. 001-37905).</w:t>
              </w:r>
            </w:hyperlink>
          </w:p>
        </w:tc>
        <w:tc>
          <w:tcPr>
            <w:tcW w:w="3040" w:type="dxa"/>
            <w:vAlign w:val="bottom"/>
            <w:gridSpan w:val="7"/>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10"/>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Certification of Chief Executive Officer pursuant to Section 302 of the Sarbanes-Oxley Act of 2002.</w:t>
              </w:r>
            </w:hyperlink>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1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94">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Borders>
              <w:top w:val="single" w:sz="8" w:color="0000FF"/>
            </w:tcBorders>
          </w:tcPr>
          <w:p>
            <w:pPr>
              <w:spacing w:after="0"/>
              <w:rPr>
                <w:sz w:val="21"/>
                <w:szCs w:val="21"/>
                <w:color w:val="auto"/>
              </w:rPr>
            </w:pPr>
          </w:p>
        </w:tc>
        <w:tc>
          <w:tcPr>
            <w:tcW w:w="2360" w:type="dxa"/>
            <w:vAlign w:val="bottom"/>
            <w:gridSpan w:val="5"/>
          </w:tcPr>
          <w:p>
            <w:pPr>
              <w:spacing w:after="0"/>
              <w:rPr>
                <w:sz w:val="21"/>
                <w:szCs w:val="2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10"/>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Certification of Chief Executive Officer pursuant to Section 906 of the Sarbanes-Oxley Act of 2002.</w:t>
              </w:r>
            </w:hyperlink>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1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96">
              <w:r>
                <w:rPr>
                  <w:rFonts w:ascii="Arial" w:cs="Arial" w:eastAsia="Arial" w:hAnsi="Arial"/>
                  <w:sz w:val="18"/>
                  <w:szCs w:val="18"/>
                  <w:color w:val="0000FF"/>
                  <w:w w:val="92"/>
                </w:rPr>
                <w:t>Certification of Chief Financial Officer pursuant to Section 906 of the Sarbanes-Oxley Act of 2002.</w:t>
              </w:r>
            </w:hyperlink>
          </w:p>
        </w:tc>
        <w:tc>
          <w:tcPr>
            <w:tcW w:w="40" w:type="dxa"/>
            <w:vAlign w:val="bottom"/>
            <w:tcBorders>
              <w:top w:val="single" w:sz="8" w:color="0000FF"/>
            </w:tcBorders>
          </w:tcPr>
          <w:p>
            <w:pPr>
              <w:spacing w:after="0"/>
              <w:rPr>
                <w:sz w:val="21"/>
                <w:szCs w:val="21"/>
                <w:color w:val="auto"/>
              </w:rPr>
            </w:pPr>
          </w:p>
        </w:tc>
        <w:tc>
          <w:tcPr>
            <w:tcW w:w="2360" w:type="dxa"/>
            <w:vAlign w:val="bottom"/>
            <w:gridSpan w:val="5"/>
          </w:tcPr>
          <w:p>
            <w:pPr>
              <w:spacing w:after="0"/>
              <w:rPr>
                <w:sz w:val="21"/>
                <w:szCs w:val="21"/>
                <w:color w:val="auto"/>
              </w:rPr>
            </w:pPr>
          </w:p>
        </w:tc>
      </w:tr>
      <w:tr>
        <w:trPr>
          <w:trHeight w:val="276"/>
        </w:trPr>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101.INS*</w:t>
            </w:r>
          </w:p>
        </w:tc>
        <w:tc>
          <w:tcPr>
            <w:tcW w:w="4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Arial" w:cs="Arial" w:eastAsia="Arial" w:hAnsi="Arial"/>
                <w:sz w:val="18"/>
                <w:szCs w:val="18"/>
                <w:color w:val="auto"/>
                <w:w w:val="98"/>
              </w:rPr>
              <w:t>XBRL Instance Document - the instance document does not appear in the Interactive Data File because its XBRL tags are</w:t>
            </w:r>
          </w:p>
        </w:tc>
      </w:tr>
      <w:tr>
        <w:trPr>
          <w:trHeight w:val="230"/>
        </w:trPr>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8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101.SCH*</w:t>
            </w:r>
          </w:p>
        </w:tc>
        <w:tc>
          <w:tcPr>
            <w:tcW w:w="40" w:type="dxa"/>
            <w:vAlign w:val="bottom"/>
          </w:tcPr>
          <w:p>
            <w:pPr>
              <w:spacing w:after="0"/>
              <w:rPr>
                <w:sz w:val="23"/>
                <w:szCs w:val="23"/>
                <w:color w:val="auto"/>
              </w:rPr>
            </w:pPr>
          </w:p>
        </w:tc>
        <w:tc>
          <w:tcPr>
            <w:tcW w:w="958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3"/>
                <w:szCs w:val="23"/>
                <w:color w:val="auto"/>
              </w:rPr>
            </w:pPr>
          </w:p>
        </w:tc>
        <w:tc>
          <w:tcPr>
            <w:tcW w:w="958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3"/>
                <w:szCs w:val="23"/>
                <w:color w:val="auto"/>
              </w:rPr>
            </w:pPr>
          </w:p>
        </w:tc>
        <w:tc>
          <w:tcPr>
            <w:tcW w:w="958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101.PRE*</w:t>
            </w:r>
          </w:p>
        </w:tc>
        <w:tc>
          <w:tcPr>
            <w:tcW w:w="40" w:type="dxa"/>
            <w:vAlign w:val="bottom"/>
          </w:tcPr>
          <w:p>
            <w:pPr>
              <w:spacing w:after="0"/>
              <w:rPr>
                <w:sz w:val="23"/>
                <w:szCs w:val="23"/>
                <w:color w:val="auto"/>
              </w:rPr>
            </w:pPr>
          </w:p>
        </w:tc>
        <w:tc>
          <w:tcPr>
            <w:tcW w:w="958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101.DEF*</w:t>
            </w:r>
          </w:p>
        </w:tc>
        <w:tc>
          <w:tcPr>
            <w:tcW w:w="40" w:type="dxa"/>
            <w:vAlign w:val="bottom"/>
          </w:tcPr>
          <w:p>
            <w:pPr>
              <w:spacing w:after="0"/>
              <w:rPr>
                <w:sz w:val="23"/>
                <w:szCs w:val="23"/>
                <w:color w:val="auto"/>
              </w:rPr>
            </w:pPr>
          </w:p>
        </w:tc>
        <w:tc>
          <w:tcPr>
            <w:tcW w:w="958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580" w:type="dxa"/>
            <w:vAlign w:val="bottom"/>
            <w:gridSpan w:val="10"/>
          </w:tcPr>
          <w:p>
            <w:pPr>
              <w:spacing w:after="0"/>
              <w:rPr>
                <w:sz w:val="20"/>
                <w:szCs w:val="20"/>
                <w:color w:val="auto"/>
              </w:rPr>
            </w:pPr>
            <w:r>
              <w:rPr>
                <w:rFonts w:ascii="Arial" w:cs="Arial" w:eastAsia="Arial" w:hAnsi="Arial"/>
                <w:sz w:val="18"/>
                <w:szCs w:val="18"/>
                <w:color w:val="auto"/>
                <w:w w:val="97"/>
              </w:rPr>
              <w:t>The cover page of Brighthouse Financial, Inc.’s Quarterly Report on Form 10-Q for the quarter ended September 30, 2019,</w:t>
            </w:r>
          </w:p>
        </w:tc>
      </w:tr>
      <w:tr>
        <w:trPr>
          <w:trHeight w:val="230"/>
        </w:trPr>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80" w:type="dxa"/>
            <w:vAlign w:val="bottom"/>
            <w:gridSpan w:val="10"/>
          </w:tcPr>
          <w:p>
            <w:pPr>
              <w:spacing w:after="0"/>
              <w:rPr>
                <w:sz w:val="20"/>
                <w:szCs w:val="20"/>
                <w:color w:val="auto"/>
              </w:rPr>
            </w:pPr>
            <w:r>
              <w:rPr>
                <w:rFonts w:ascii="Arial" w:cs="Arial" w:eastAsia="Arial" w:hAnsi="Arial"/>
                <w:sz w:val="18"/>
                <w:szCs w:val="18"/>
                <w:color w:val="auto"/>
              </w:rPr>
              <w:t>formatted in Inline XBRL (included within the Exhibit 101 attachments).</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Denotes management contracts or compensation plans or arrangements.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6" w:right="2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BRIGHTHOUSE FINANCIAL, INC.</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00" w:type="dxa"/>
            <w:vAlign w:val="bottom"/>
            <w:gridSpan w:val="2"/>
          </w:tcPr>
          <w:p>
            <w:pPr>
              <w:ind w:left="2800"/>
              <w:spacing w:after="0"/>
              <w:rPr>
                <w:sz w:val="20"/>
                <w:szCs w:val="20"/>
                <w:color w:val="auto"/>
              </w:rPr>
            </w:pPr>
            <w:r>
              <w:rPr>
                <w:rFonts w:ascii="Arial" w:cs="Arial" w:eastAsia="Arial" w:hAnsi="Arial"/>
                <w:sz w:val="18"/>
                <w:szCs w:val="18"/>
                <w:color w:val="auto"/>
              </w:rPr>
              <w:t>By:</w:t>
            </w:r>
          </w:p>
        </w:tc>
        <w:tc>
          <w:tcPr>
            <w:tcW w:w="4180" w:type="dxa"/>
            <w:vAlign w:val="bottom"/>
          </w:tcPr>
          <w:p>
            <w:pPr>
              <w:ind w:left="120"/>
              <w:spacing w:after="0"/>
              <w:rPr>
                <w:sz w:val="20"/>
                <w:szCs w:val="20"/>
                <w:color w:val="auto"/>
              </w:rPr>
            </w:pPr>
            <w:r>
              <w:rPr>
                <w:rFonts w:ascii="Arial" w:cs="Arial" w:eastAsia="Arial" w:hAnsi="Arial"/>
                <w:sz w:val="18"/>
                <w:szCs w:val="18"/>
                <w:color w:val="auto"/>
              </w:rPr>
              <w:t>/s/ Edward A. Spehar</w:t>
            </w:r>
          </w:p>
        </w:tc>
      </w:tr>
      <w:tr>
        <w:trPr>
          <w:trHeight w:val="27"/>
        </w:trPr>
        <w:tc>
          <w:tcPr>
            <w:tcW w:w="3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180" w:type="dxa"/>
            <w:vAlign w:val="bottom"/>
          </w:tcPr>
          <w:p>
            <w:pPr>
              <w:ind w:left="120"/>
              <w:spacing w:after="0"/>
              <w:rPr>
                <w:sz w:val="20"/>
                <w:szCs w:val="20"/>
                <w:color w:val="auto"/>
              </w:rPr>
            </w:pPr>
            <w:r>
              <w:rPr>
                <w:rFonts w:ascii="Arial" w:cs="Arial" w:eastAsia="Arial" w:hAnsi="Arial"/>
                <w:sz w:val="18"/>
                <w:szCs w:val="18"/>
                <w:color w:val="auto"/>
              </w:rPr>
              <w:t>Edward A. Spehar</w:t>
            </w:r>
          </w:p>
        </w:tc>
      </w:tr>
      <w:tr>
        <w:trPr>
          <w:trHeight w:val="270"/>
        </w:trPr>
        <w:tc>
          <w:tcPr>
            <w:tcW w:w="3160" w:type="dxa"/>
            <w:vAlign w:val="bottom"/>
          </w:tcPr>
          <w:p>
            <w:pPr>
              <w:spacing w:after="0"/>
              <w:rPr>
                <w:sz w:val="23"/>
                <w:szCs w:val="23"/>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180" w:type="dxa"/>
            <w:vAlign w:val="bottom"/>
          </w:tcPr>
          <w:p>
            <w:pPr>
              <w:ind w:left="120"/>
              <w:spacing w:after="0"/>
              <w:rPr>
                <w:sz w:val="20"/>
                <w:szCs w:val="20"/>
                <w:color w:val="auto"/>
              </w:rPr>
            </w:pPr>
            <w:r>
              <w:rPr>
                <w:rFonts w:ascii="Arial" w:cs="Arial" w:eastAsia="Arial" w:hAnsi="Arial"/>
                <w:sz w:val="18"/>
                <w:szCs w:val="18"/>
                <w:color w:val="auto"/>
                <w:w w:val="97"/>
              </w:rPr>
              <w:t>Executive Vice President and Chief Financial Officer</w:t>
            </w:r>
          </w:p>
        </w:tc>
      </w:tr>
      <w:tr>
        <w:trPr>
          <w:trHeight w:val="270"/>
        </w:trPr>
        <w:tc>
          <w:tcPr>
            <w:tcW w:w="3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w w:val="95"/>
              </w:rPr>
              <w:t>(Authorized Signatory and Principal Financial Officer)</w:t>
            </w:r>
          </w:p>
        </w:tc>
      </w:tr>
      <w:tr>
        <w:trPr>
          <w:trHeight w:val="459"/>
        </w:trPr>
        <w:tc>
          <w:tcPr>
            <w:tcW w:w="3800" w:type="dxa"/>
            <w:vAlign w:val="bottom"/>
            <w:gridSpan w:val="2"/>
          </w:tcPr>
          <w:p>
            <w:pPr>
              <w:spacing w:after="0"/>
              <w:rPr>
                <w:sz w:val="20"/>
                <w:szCs w:val="20"/>
                <w:color w:val="auto"/>
              </w:rPr>
            </w:pPr>
            <w:r>
              <w:rPr>
                <w:rFonts w:ascii="Arial" w:cs="Arial" w:eastAsia="Arial" w:hAnsi="Arial"/>
                <w:sz w:val="18"/>
                <w:szCs w:val="18"/>
                <w:color w:val="auto"/>
              </w:rPr>
              <w:t>Date: November 5, 2019</w:t>
            </w:r>
          </w:p>
        </w:tc>
        <w:tc>
          <w:tcPr>
            <w:tcW w:w="4180" w:type="dxa"/>
            <w:vAlign w:val="bottom"/>
          </w:tcPr>
          <w:p>
            <w:pPr>
              <w:spacing w:after="0"/>
              <w:rPr>
                <w:sz w:val="24"/>
                <w:szCs w:val="24"/>
                <w:color w:val="auto"/>
              </w:rPr>
            </w:pPr>
          </w:p>
        </w:tc>
      </w:tr>
      <w:tr>
        <w:trPr>
          <w:trHeight w:val="459"/>
        </w:trPr>
        <w:tc>
          <w:tcPr>
            <w:tcW w:w="3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80" w:type="dxa"/>
            <w:vAlign w:val="bottom"/>
          </w:tcPr>
          <w:p>
            <w:pPr>
              <w:ind w:left="1480"/>
              <w:spacing w:after="0"/>
              <w:rPr>
                <w:sz w:val="20"/>
                <w:szCs w:val="20"/>
                <w:color w:val="auto"/>
              </w:rPr>
            </w:pPr>
            <w:r>
              <w:rPr>
                <w:rFonts w:ascii="Arial" w:cs="Arial" w:eastAsia="Arial" w:hAnsi="Arial"/>
                <w:sz w:val="18"/>
                <w:szCs w:val="18"/>
                <w:color w:val="auto"/>
              </w:rPr>
              <w:t>91</w:t>
            </w:r>
          </w:p>
        </w:tc>
      </w:tr>
    </w:tbl>
    <w:p>
      <w:pPr>
        <w:sectPr>
          <w:pgSz w:w="11900" w:h="16838" w:orient="portrait"/>
          <w:cols w:equalWidth="0" w:num="1">
            <w:col w:w="11420"/>
          </w:cols>
          <w:pgMar w:left="240" w:top="126" w:right="239" w:bottom="1440" w:gutter="0" w:footer="0" w:header="0"/>
        </w:sectPr>
      </w:pPr>
    </w:p>
    <w:bookmarkStart w:id="92" w:name="page93"/>
    <w:bookmarkEnd w:id="92"/>
    <w:p>
      <w:pPr>
        <w:ind w:left="1048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Eric T. Steigerwalt, certify that:</w:t>
      </w:r>
    </w:p>
    <w:p>
      <w:pPr>
        <w:spacing w:after="0" w:line="171"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308" w:lineRule="auto"/>
        <w:tabs>
          <w:tab w:leader="none" w:pos="2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306"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31750</wp:posOffset>
            </wp:positionV>
            <wp:extent cx="29070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Eric T. Steigerwalt</w:t>
      </w:r>
    </w:p>
    <w:p>
      <w:pPr>
        <w:spacing w:after="0" w:line="6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93" w:name="page94"/>
    <w:bookmarkEnd w:id="93"/>
    <w:p>
      <w:pPr>
        <w:ind w:left="1048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Edward A. Spehar, certify that:</w:t>
      </w:r>
    </w:p>
    <w:p>
      <w:pPr>
        <w:spacing w:after="0" w:line="171"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308" w:lineRule="auto"/>
        <w:tabs>
          <w:tab w:leader="none" w:pos="2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306" w:lineRule="exact"/>
        <w:rPr>
          <w:sz w:val="20"/>
          <w:szCs w:val="20"/>
          <w:color w:val="auto"/>
        </w:rPr>
      </w:pPr>
    </w:p>
    <w:p>
      <w:pPr>
        <w:jc w:val="center"/>
        <w:ind w:left="634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31750</wp:posOffset>
            </wp:positionV>
            <wp:extent cx="32245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jc w:val="center"/>
        <w:ind w:left="6340"/>
        <w:spacing w:after="0"/>
        <w:rPr>
          <w:sz w:val="20"/>
          <w:szCs w:val="20"/>
          <w:color w:val="auto"/>
        </w:rPr>
      </w:pPr>
      <w:r>
        <w:rPr>
          <w:rFonts w:ascii="Arial" w:cs="Arial" w:eastAsia="Arial" w:hAnsi="Arial"/>
          <w:sz w:val="18"/>
          <w:szCs w:val="18"/>
          <w:color w:val="auto"/>
        </w:rPr>
        <w:t>Edward A. Spehar</w:t>
      </w:r>
    </w:p>
    <w:p>
      <w:pPr>
        <w:spacing w:after="0" w:line="63" w:lineRule="exact"/>
        <w:rPr>
          <w:sz w:val="20"/>
          <w:szCs w:val="20"/>
          <w:color w:val="auto"/>
        </w:rPr>
      </w:pPr>
    </w:p>
    <w:p>
      <w:pPr>
        <w:jc w:val="center"/>
        <w:ind w:left="63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SECTION 906 CERTIFICATION</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CERTIFICATION PURSUANT TO SECTION 1350 OF CHAPTER 63 OF TITLE 18 OF THE UNITED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STATES CODE</w:t>
      </w:r>
    </w:p>
    <w:p>
      <w:pPr>
        <w:spacing w:after="0" w:line="130"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 Eric T. Steigerwalt, certify that, to my knowledge, (i) Brighthouse Financial, Inc.’s Quarterly Report on Form 10-Q for the quarter ended September 30, 2019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200" w:lineRule="exact"/>
        <w:rPr>
          <w:sz w:val="20"/>
          <w:szCs w:val="20"/>
          <w:color w:val="auto"/>
        </w:rPr>
      </w:pPr>
    </w:p>
    <w:p>
      <w:pPr>
        <w:spacing w:after="0" w:line="322"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31750</wp:posOffset>
            </wp:positionV>
            <wp:extent cx="29927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Eric T. Steigerwalt</w:t>
      </w:r>
    </w:p>
    <w:p>
      <w:pPr>
        <w:spacing w:after="0" w:line="63"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President and Chief Executive Officer</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SECTION 906 CERTIFICATION</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CERTIFICATION PURSUANT TO SECTION 1350 OF CHAPTER 63 OF TITLE 18 OF THE UNITED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STATES CODE</w:t>
      </w:r>
    </w:p>
    <w:p>
      <w:pPr>
        <w:spacing w:after="0" w:line="130"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 Edward A. Spehar, certify that, to my knowledge, (i) Brighthouse Financial, Inc.’s Quarterly Report on Form 10-Q for the quarter ended September 30, 2019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200" w:lineRule="exact"/>
        <w:rPr>
          <w:sz w:val="20"/>
          <w:szCs w:val="20"/>
          <w:color w:val="auto"/>
        </w:rPr>
      </w:pPr>
    </w:p>
    <w:p>
      <w:pPr>
        <w:spacing w:after="0" w:line="322"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31750</wp:posOffset>
            </wp:positionV>
            <wp:extent cx="30956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Edward A. Spehar</w:t>
      </w:r>
    </w:p>
    <w:p>
      <w:pPr>
        <w:spacing w:after="0" w:line="63"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Executive Vice President and Chief Financial Officer</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decimal"/>
      <w:start w:val="5"/>
    </w:lvl>
  </w:abstractNum>
  <w:abstractNum w:abstractNumId="6">
    <w:nsid w:val="2CD89A32"/>
    <w:multiLevelType w:val="hybridMultilevel"/>
    <w:lvl w:ilvl="0">
      <w:lvlJc w:val="left"/>
      <w:lvlText w:val="(%1)"/>
      <w:numFmt w:val="decimal"/>
      <w:start w:val="1"/>
    </w:lvl>
  </w:abstractNum>
  <w:abstractNum w:abstractNumId="7">
    <w:nsid w:val="57E4CCAF"/>
    <w:multiLevelType w:val="hybridMultilevel"/>
    <w:lvl w:ilvl="0">
      <w:lvlJc w:val="left"/>
      <w:lvlText w:val="(%1)"/>
      <w:numFmt w:val="decimal"/>
      <w:start w:val="1"/>
    </w:lvl>
  </w:abstractNum>
  <w:abstractNum w:abstractNumId="8">
    <w:nsid w:val="7A6D8D3C"/>
    <w:multiLevelType w:val="hybridMultilevel"/>
    <w:lvl w:ilvl="0">
      <w:lvlJc w:val="left"/>
      <w:lvlText w:val="(%1)"/>
      <w:numFmt w:val="lowerRoman"/>
      <w:start w:val="4"/>
    </w:lvl>
  </w:abstractNum>
  <w:abstractNum w:abstractNumId="9">
    <w:nsid w:val="4B588F54"/>
    <w:multiLevelType w:val="hybridMultilevel"/>
    <w:lvl w:ilvl="0">
      <w:lvlJc w:val="left"/>
      <w:lvlText w:val="(%1)"/>
      <w:numFmt w:val="decimal"/>
      <w:start w:val="1"/>
    </w:lvl>
  </w:abstractNum>
  <w:abstractNum w:abstractNumId="10">
    <w:nsid w:val="542289EC"/>
    <w:multiLevelType w:val="hybridMultilevel"/>
    <w:lvl w:ilvl="0">
      <w:lvlJc w:val="left"/>
      <w:lvlText w:val="(%1)"/>
      <w:numFmt w:val="lowerRoman"/>
      <w:start w:val="3"/>
    </w:lvl>
  </w:abstractNum>
  <w:abstractNum w:abstractNumId="11">
    <w:nsid w:val="6DE91B18"/>
    <w:multiLevelType w:val="hybridMultilevel"/>
    <w:lvl w:ilvl="0">
      <w:lvlJc w:val="left"/>
      <w:lvlText w:val="(%1)"/>
      <w:numFmt w:val="decimal"/>
      <w:start w:val="1"/>
    </w:lvl>
  </w:abstractNum>
  <w:abstractNum w:abstractNumId="12">
    <w:nsid w:val="38437FDB"/>
    <w:multiLevelType w:val="hybridMultilevel"/>
    <w:lvl w:ilvl="0">
      <w:lvlJc w:val="left"/>
      <w:lvlText w:val="(%1)"/>
      <w:numFmt w:val="decimal"/>
      <w:start w:val="3"/>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1)"/>
      <w:numFmt w:val="decimal"/>
      <w:start w:val="3"/>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5"/>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emdash "/>
      <w:numFmt w:val="bullet"/>
      <w:start w:val="1"/>
    </w:lvl>
  </w:abstractNum>
  <w:abstractNum w:abstractNumId="28">
    <w:nsid w:val="649BB77C"/>
    <w:multiLevelType w:val="hybridMultilevel"/>
    <w:lvl w:ilvl="0">
      <w:lvlJc w:val="left"/>
      <w:lvlText w:val="(%1)"/>
      <w:numFmt w:val="lowerRoman"/>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lvl w:ilvl="1">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lvl w:ilvl="1">
      <w:lvlJc w:val="left"/>
      <w:lvlText w:val="◦"/>
      <w:numFmt w:val="bullet"/>
      <w:start w:val="1"/>
    </w:lvl>
  </w:abstractNum>
  <w:abstractNum w:abstractNumId="39">
    <w:nsid w:val="10233C99"/>
    <w:multiLevelType w:val="hybridMultilevel"/>
    <w:lvl w:ilvl="0">
      <w:lvlJc w:val="left"/>
      <w:lvlText w:val="•"/>
      <w:numFmt w:val="bullet"/>
      <w:start w:val="1"/>
    </w:lvl>
    <w:lvl w:ilvl="1">
      <w:lvlJc w:val="left"/>
      <w:lvlText w:val="◦"/>
      <w:numFmt w:val="bullet"/>
      <w:start w:val="1"/>
    </w:lvl>
  </w:abstractNum>
  <w:abstractNum w:abstractNumId="40">
    <w:nsid w:val="3F6AB60F"/>
    <w:multiLevelType w:val="hybridMultilevel"/>
    <w:lvl w:ilvl="0">
      <w:lvlJc w:val="left"/>
      <w:lvlText w:val="•"/>
      <w:numFmt w:val="bullet"/>
      <w:start w:val="1"/>
    </w:lvl>
    <w:lvl w:ilvl="1">
      <w:lvlJc w:val="left"/>
      <w:lvlText w:val="◦"/>
      <w:numFmt w:val="bullet"/>
      <w:start w:val="1"/>
    </w:lvl>
  </w:abstractNum>
  <w:abstractNum w:abstractNumId="41">
    <w:nsid w:val="61574095"/>
    <w:multiLevelType w:val="hybridMultilevel"/>
    <w:lvl w:ilvl="0">
      <w:lvlJc w:val="left"/>
      <w:lvlText w:val="•"/>
      <w:numFmt w:val="bullet"/>
      <w:start w:val="1"/>
    </w:lvl>
    <w:lvl w:ilvl="1">
      <w:lvlJc w:val="left"/>
      <w:lvlText w:val="◦"/>
      <w:numFmt w:val="bullet"/>
      <w:start w:val="1"/>
    </w:lvl>
  </w:abstractNum>
  <w:abstractNum w:abstractNumId="42">
    <w:nsid w:val="7E0C57B1"/>
    <w:multiLevelType w:val="hybridMultilevel"/>
    <w:lvl w:ilvl="0">
      <w:lvlJc w:val="left"/>
      <w:lvlText w:val="•"/>
      <w:numFmt w:val="bullet"/>
      <w:start w:val="1"/>
    </w:lvl>
    <w:lvl w:ilvl="1">
      <w:lvlJc w:val="left"/>
      <w:lvlText w:val="◦"/>
      <w:numFmt w:val="bullet"/>
      <w:start w:val="1"/>
    </w:lvl>
  </w:abstractNum>
  <w:abstractNum w:abstractNumId="43">
    <w:nsid w:val="77AE35EB"/>
    <w:multiLevelType w:val="hybridMultilevel"/>
    <w:lvl w:ilvl="0">
      <w:lvlJc w:val="left"/>
      <w:lvlText w:val="•"/>
      <w:numFmt w:val="bullet"/>
      <w:start w:val="1"/>
    </w:lvl>
    <w:lvl w:ilvl="1">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lvl w:ilvl="1">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lvl w:ilvl="1">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lvl w:ilvl="1">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lvl w:ilvl="1">
      <w:lvlJc w:val="left"/>
      <w:lvlText w:val="◦"/>
      <w:numFmt w:val="bullet"/>
      <w:start w:val="1"/>
    </w:lvl>
  </w:abstractNum>
  <w:abstractNum w:abstractNumId="56">
    <w:nsid w:val="15014ACB"/>
    <w:multiLevelType w:val="hybridMultilevel"/>
    <w:lvl w:ilvl="0">
      <w:lvlJc w:val="left"/>
      <w:lvlText w:val="•"/>
      <w:numFmt w:val="bullet"/>
      <w:start w:val="1"/>
    </w:lvl>
    <w:lvl w:ilvl="1">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lvl w:ilvl="1">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lvl w:ilvl="1">
      <w:lvlJc w:val="left"/>
      <w:lvlText w:val="◦"/>
      <w:numFmt w:val="bullet"/>
      <w:start w:val="1"/>
    </w:lvl>
  </w:abstractNum>
  <w:abstractNum w:abstractNumId="61">
    <w:nsid w:val="42C296BD"/>
    <w:multiLevelType w:val="hybridMultilevel"/>
    <w:lvl w:ilvl="0">
      <w:lvlJc w:val="left"/>
      <w:lvlText w:val="•"/>
      <w:numFmt w:val="bullet"/>
      <w:start w:val="1"/>
    </w:lvl>
    <w:lvl w:ilvl="1">
      <w:lvlJc w:val="left"/>
      <w:lvlText w:val="◦"/>
      <w:numFmt w:val="bullet"/>
      <w:start w:val="1"/>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1)"/>
      <w:numFmt w:val="decimal"/>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decimal"/>
      <w:start w:val="1"/>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1)"/>
      <w:numFmt w:val="decimal"/>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2" Type="http://schemas.openxmlformats.org/officeDocument/2006/relationships/hyperlink" Target="http://www.sec.gov/Archives/edgar/data/1685040/000168504019000032/bhf-20190630xex103.htm" TargetMode="External"/><Relationship Id="rId143" Type="http://schemas.openxmlformats.org/officeDocument/2006/relationships/hyperlink" Target="http://www.sec.gov/Archives/edgar/data/1685040/000168504019000032/bhf-20190630xex104.htm" TargetMode="External"/><Relationship Id="rId144" Type="http://schemas.openxmlformats.org/officeDocument/2006/relationships/hyperlink" Target="http://www.sec.gov/Archives/edgar/data/1685040/000119312519201250/d78126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2019-12-28T02:39:10Z</dcterms:created>
  <dcterms:modified xsi:type="dcterms:W3CDTF">2019-12-28T02:39:10Z</dcterms:modified>
</cp:coreProperties>
</file>