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7520"/>
        <w:spacing w:after="0"/>
        <w:rPr>
          <w:sz w:val="20"/>
          <w:szCs w:val="20"/>
          <w:color w:val="auto"/>
        </w:rPr>
      </w:pPr>
      <w:r>
        <w:rPr>
          <w:rFonts w:ascii="Arial" w:cs="Arial" w:eastAsia="Arial" w:hAnsi="Arial"/>
          <w:sz w:val="13"/>
          <w:szCs w:val="13"/>
          <w:b w:val="1"/>
          <w:bCs w:val="1"/>
          <w:color w:val="auto"/>
        </w:rPr>
        <w:t>Eversheds Sutherland (US) LLP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-756285</wp:posOffset>
            </wp:positionH>
            <wp:positionV relativeFrom="paragraph">
              <wp:posOffset>-80645</wp:posOffset>
            </wp:positionV>
            <wp:extent cx="428625" cy="17494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28625" cy="1749425"/>
                    </a:xfrm>
                    <a:prstGeom prst="rect">
                      <a:avLst/>
                    </a:prstGeom>
                    <a:noFill/>
                  </pic:spPr>
                </pic:pic>
              </a:graphicData>
            </a:graphic>
          </wp:anchor>
        </w:drawing>
      </w:r>
    </w:p>
    <w:p>
      <w:pPr>
        <w:ind w:left="7520"/>
        <w:spacing w:after="0" w:line="219" w:lineRule="auto"/>
        <w:rPr>
          <w:sz w:val="20"/>
          <w:szCs w:val="20"/>
          <w:color w:val="auto"/>
        </w:rPr>
      </w:pPr>
      <w:r>
        <w:rPr>
          <w:rFonts w:ascii="Arial" w:cs="Arial" w:eastAsia="Arial" w:hAnsi="Arial"/>
          <w:sz w:val="13"/>
          <w:szCs w:val="13"/>
          <w:color w:val="auto"/>
        </w:rPr>
        <w:t>1114 Avenue of the Americas, 40th</w:t>
      </w:r>
    </w:p>
    <w:p>
      <w:pPr>
        <w:ind w:left="7520"/>
        <w:spacing w:after="0" w:line="217" w:lineRule="auto"/>
        <w:rPr>
          <w:sz w:val="20"/>
          <w:szCs w:val="20"/>
          <w:color w:val="auto"/>
        </w:rPr>
      </w:pPr>
      <w:r>
        <w:rPr>
          <w:rFonts w:ascii="Arial" w:cs="Arial" w:eastAsia="Arial" w:hAnsi="Arial"/>
          <w:sz w:val="13"/>
          <w:szCs w:val="13"/>
          <w:color w:val="auto"/>
        </w:rPr>
        <w:t>Floor</w:t>
      </w:r>
    </w:p>
    <w:p>
      <w:pPr>
        <w:ind w:left="7520"/>
        <w:spacing w:after="0"/>
        <w:rPr>
          <w:sz w:val="20"/>
          <w:szCs w:val="20"/>
          <w:color w:val="auto"/>
        </w:rPr>
      </w:pPr>
      <w:r>
        <w:rPr>
          <w:rFonts w:ascii="Arial" w:cs="Arial" w:eastAsia="Arial" w:hAnsi="Arial"/>
          <w:sz w:val="13"/>
          <w:szCs w:val="13"/>
          <w:color w:val="auto"/>
        </w:rPr>
        <w:t>New York, NY 10036-7703</w:t>
      </w:r>
    </w:p>
    <w:p>
      <w:pPr>
        <w:spacing w:after="0" w:line="93" w:lineRule="exact"/>
        <w:rPr>
          <w:sz w:val="24"/>
          <w:szCs w:val="24"/>
          <w:color w:val="auto"/>
        </w:rPr>
      </w:pPr>
    </w:p>
    <w:p>
      <w:pPr>
        <w:ind w:left="7520"/>
        <w:spacing w:after="0"/>
        <w:rPr>
          <w:sz w:val="20"/>
          <w:szCs w:val="20"/>
          <w:color w:val="auto"/>
        </w:rPr>
      </w:pPr>
      <w:r>
        <w:rPr>
          <w:rFonts w:ascii="Arial" w:cs="Arial" w:eastAsia="Arial" w:hAnsi="Arial"/>
          <w:sz w:val="13"/>
          <w:szCs w:val="13"/>
          <w:color w:val="auto"/>
        </w:rPr>
        <w:t>D: +1 212.389.5080</w:t>
      </w:r>
    </w:p>
    <w:p>
      <w:pPr>
        <w:ind w:left="7520"/>
        <w:spacing w:after="0"/>
        <w:rPr>
          <w:sz w:val="20"/>
          <w:szCs w:val="20"/>
          <w:color w:val="auto"/>
        </w:rPr>
      </w:pPr>
      <w:r>
        <w:rPr>
          <w:rFonts w:ascii="Arial" w:cs="Arial" w:eastAsia="Arial" w:hAnsi="Arial"/>
          <w:sz w:val="13"/>
          <w:szCs w:val="13"/>
          <w:color w:val="auto"/>
        </w:rPr>
        <w:t>F: +1 212.389.5099</w:t>
      </w:r>
    </w:p>
    <w:p>
      <w:pPr>
        <w:spacing w:after="0" w:line="133" w:lineRule="exact"/>
        <w:rPr>
          <w:sz w:val="24"/>
          <w:szCs w:val="24"/>
          <w:color w:val="auto"/>
        </w:rPr>
      </w:pPr>
    </w:p>
    <w:p>
      <w:pPr>
        <w:ind w:left="7520"/>
        <w:spacing w:after="0"/>
        <w:rPr>
          <w:sz w:val="20"/>
          <w:szCs w:val="20"/>
          <w:color w:val="auto"/>
        </w:rPr>
      </w:pPr>
      <w:r>
        <w:rPr>
          <w:rFonts w:ascii="Arial" w:cs="Arial" w:eastAsia="Arial" w:hAnsi="Arial"/>
          <w:sz w:val="13"/>
          <w:szCs w:val="13"/>
          <w:color w:val="auto"/>
        </w:rPr>
        <w:t>dodiekent@</w:t>
      </w:r>
    </w:p>
    <w:p>
      <w:pPr>
        <w:ind w:left="7520"/>
        <w:spacing w:after="0"/>
        <w:rPr>
          <w:sz w:val="20"/>
          <w:szCs w:val="20"/>
          <w:color w:val="auto"/>
        </w:rPr>
      </w:pPr>
      <w:r>
        <w:rPr>
          <w:rFonts w:ascii="Arial" w:cs="Arial" w:eastAsia="Arial" w:hAnsi="Arial"/>
          <w:sz w:val="13"/>
          <w:szCs w:val="13"/>
          <w:color w:val="auto"/>
        </w:rPr>
        <w:t>eversheds-sutherland.com</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ind w:left="920"/>
        <w:spacing w:after="0"/>
        <w:rPr>
          <w:sz w:val="20"/>
          <w:szCs w:val="20"/>
          <w:color w:val="auto"/>
        </w:rPr>
      </w:pPr>
      <w:r>
        <w:rPr>
          <w:rFonts w:ascii="Arial" w:cs="Arial" w:eastAsia="Arial" w:hAnsi="Arial"/>
          <w:sz w:val="16"/>
          <w:szCs w:val="16"/>
          <w:color w:val="auto"/>
        </w:rPr>
        <w:t>April 24, 2018</w:t>
      </w:r>
    </w:p>
    <w:p>
      <w:pPr>
        <w:spacing w:after="0" w:line="309" w:lineRule="exact"/>
        <w:rPr>
          <w:sz w:val="24"/>
          <w:szCs w:val="24"/>
          <w:color w:val="auto"/>
        </w:rPr>
      </w:pPr>
    </w:p>
    <w:p>
      <w:pPr>
        <w:ind w:left="920"/>
        <w:spacing w:after="0"/>
        <w:rPr>
          <w:sz w:val="20"/>
          <w:szCs w:val="20"/>
          <w:color w:val="auto"/>
        </w:rPr>
      </w:pPr>
      <w:r>
        <w:rPr>
          <w:rFonts w:ascii="Arial" w:cs="Arial" w:eastAsia="Arial" w:hAnsi="Arial"/>
          <w:sz w:val="16"/>
          <w:szCs w:val="16"/>
          <w:b w:val="1"/>
          <w:bCs w:val="1"/>
          <w:color w:val="auto"/>
        </w:rPr>
        <w:t>VIA EDGAR</w:t>
      </w:r>
    </w:p>
    <w:p>
      <w:pPr>
        <w:spacing w:after="0" w:line="201" w:lineRule="exact"/>
        <w:rPr>
          <w:sz w:val="24"/>
          <w:szCs w:val="24"/>
          <w:color w:val="auto"/>
        </w:rPr>
      </w:pPr>
    </w:p>
    <w:p>
      <w:pPr>
        <w:ind w:left="920"/>
        <w:spacing w:after="0"/>
        <w:rPr>
          <w:sz w:val="20"/>
          <w:szCs w:val="20"/>
          <w:color w:val="auto"/>
        </w:rPr>
      </w:pPr>
      <w:r>
        <w:rPr>
          <w:rFonts w:ascii="Arial" w:cs="Arial" w:eastAsia="Arial" w:hAnsi="Arial"/>
          <w:sz w:val="16"/>
          <w:szCs w:val="16"/>
          <w:color w:val="auto"/>
        </w:rPr>
        <w:t>Sonny Oh</w:t>
      </w:r>
    </w:p>
    <w:p>
      <w:pPr>
        <w:spacing w:after="0" w:line="5" w:lineRule="exact"/>
        <w:rPr>
          <w:sz w:val="24"/>
          <w:szCs w:val="24"/>
          <w:color w:val="auto"/>
        </w:rPr>
      </w:pPr>
    </w:p>
    <w:p>
      <w:pPr>
        <w:ind w:left="920"/>
        <w:spacing w:after="0"/>
        <w:rPr>
          <w:sz w:val="20"/>
          <w:szCs w:val="20"/>
          <w:color w:val="auto"/>
        </w:rPr>
      </w:pPr>
      <w:r>
        <w:rPr>
          <w:rFonts w:ascii="Arial" w:cs="Arial" w:eastAsia="Arial" w:hAnsi="Arial"/>
          <w:sz w:val="16"/>
          <w:szCs w:val="16"/>
          <w:color w:val="auto"/>
        </w:rPr>
        <w:t>Senior Counsel</w:t>
      </w:r>
    </w:p>
    <w:p>
      <w:pPr>
        <w:spacing w:after="0" w:line="5" w:lineRule="exact"/>
        <w:rPr>
          <w:sz w:val="24"/>
          <w:szCs w:val="24"/>
          <w:color w:val="auto"/>
        </w:rPr>
      </w:pPr>
    </w:p>
    <w:p>
      <w:pPr>
        <w:ind w:left="920"/>
        <w:spacing w:after="0"/>
        <w:rPr>
          <w:sz w:val="20"/>
          <w:szCs w:val="20"/>
          <w:color w:val="auto"/>
        </w:rPr>
      </w:pPr>
      <w:r>
        <w:rPr>
          <w:rFonts w:ascii="Arial" w:cs="Arial" w:eastAsia="Arial" w:hAnsi="Arial"/>
          <w:sz w:val="16"/>
          <w:szCs w:val="16"/>
          <w:color w:val="auto"/>
        </w:rPr>
        <w:t>Division of Investment Management</w:t>
      </w:r>
    </w:p>
    <w:p>
      <w:pPr>
        <w:spacing w:after="0" w:line="5" w:lineRule="exact"/>
        <w:rPr>
          <w:sz w:val="24"/>
          <w:szCs w:val="24"/>
          <w:color w:val="auto"/>
        </w:rPr>
      </w:pPr>
    </w:p>
    <w:p>
      <w:pPr>
        <w:ind w:left="920"/>
        <w:spacing w:after="0"/>
        <w:rPr>
          <w:sz w:val="20"/>
          <w:szCs w:val="20"/>
          <w:color w:val="auto"/>
        </w:rPr>
      </w:pPr>
      <w:r>
        <w:rPr>
          <w:rFonts w:ascii="Arial" w:cs="Arial" w:eastAsia="Arial" w:hAnsi="Arial"/>
          <w:sz w:val="16"/>
          <w:szCs w:val="16"/>
          <w:color w:val="auto"/>
        </w:rPr>
        <w:t>U.S. Securities and Exchange Commission</w:t>
      </w:r>
    </w:p>
    <w:p>
      <w:pPr>
        <w:spacing w:after="0" w:line="5" w:lineRule="exact"/>
        <w:rPr>
          <w:sz w:val="24"/>
          <w:szCs w:val="24"/>
          <w:color w:val="auto"/>
        </w:rPr>
      </w:pPr>
    </w:p>
    <w:p>
      <w:pPr>
        <w:ind w:left="920"/>
        <w:spacing w:after="0"/>
        <w:rPr>
          <w:sz w:val="20"/>
          <w:szCs w:val="20"/>
          <w:color w:val="auto"/>
        </w:rPr>
      </w:pPr>
      <w:r>
        <w:rPr>
          <w:rFonts w:ascii="Arial" w:cs="Arial" w:eastAsia="Arial" w:hAnsi="Arial"/>
          <w:sz w:val="16"/>
          <w:szCs w:val="16"/>
          <w:color w:val="auto"/>
        </w:rPr>
        <w:t>100 F Street, N.E.</w:t>
      </w:r>
    </w:p>
    <w:p>
      <w:pPr>
        <w:spacing w:after="0" w:line="5" w:lineRule="exact"/>
        <w:rPr>
          <w:sz w:val="24"/>
          <w:szCs w:val="24"/>
          <w:color w:val="auto"/>
        </w:rPr>
      </w:pPr>
    </w:p>
    <w:p>
      <w:pPr>
        <w:ind w:left="920"/>
        <w:spacing w:after="0"/>
        <w:rPr>
          <w:sz w:val="20"/>
          <w:szCs w:val="20"/>
          <w:color w:val="auto"/>
        </w:rPr>
      </w:pPr>
      <w:r>
        <w:rPr>
          <w:rFonts w:ascii="Arial" w:cs="Arial" w:eastAsia="Arial" w:hAnsi="Arial"/>
          <w:sz w:val="16"/>
          <w:szCs w:val="16"/>
          <w:color w:val="auto"/>
        </w:rPr>
        <w:t>Washington, DC 20549</w:t>
      </w:r>
    </w:p>
    <w:p>
      <w:pPr>
        <w:spacing w:after="0" w:line="201" w:lineRule="exact"/>
        <w:rPr>
          <w:sz w:val="24"/>
          <w:szCs w:val="24"/>
          <w:color w:val="auto"/>
        </w:rPr>
      </w:pPr>
    </w:p>
    <w:p>
      <w:pPr>
        <w:ind w:left="1380"/>
        <w:spacing w:after="0"/>
        <w:tabs>
          <w:tab w:leader="none" w:pos="1860" w:val="left"/>
        </w:tabs>
        <w:rPr>
          <w:sz w:val="20"/>
          <w:szCs w:val="20"/>
          <w:color w:val="auto"/>
        </w:rPr>
      </w:pPr>
      <w:r>
        <w:rPr>
          <w:rFonts w:ascii="Arial" w:cs="Arial" w:eastAsia="Arial" w:hAnsi="Arial"/>
          <w:sz w:val="16"/>
          <w:szCs w:val="16"/>
          <w:b w:val="1"/>
          <w:bCs w:val="1"/>
          <w:color w:val="auto"/>
        </w:rPr>
        <w:t>Re:</w:t>
        <w:tab/>
        <w:t>Brighthouse Life Insurance Company (the “Company”)</w:t>
      </w:r>
    </w:p>
    <w:p>
      <w:pPr>
        <w:spacing w:after="0" w:line="194" w:lineRule="exact"/>
        <w:rPr>
          <w:sz w:val="24"/>
          <w:szCs w:val="24"/>
          <w:color w:val="auto"/>
        </w:rPr>
      </w:pPr>
    </w:p>
    <w:p>
      <w:pPr>
        <w:ind w:left="2080"/>
        <w:spacing w:after="0"/>
        <w:rPr>
          <w:sz w:val="20"/>
          <w:szCs w:val="20"/>
          <w:color w:val="auto"/>
        </w:rPr>
      </w:pPr>
      <w:r>
        <w:rPr>
          <w:rFonts w:ascii="Arial" w:cs="Arial" w:eastAsia="Arial" w:hAnsi="Arial"/>
          <w:sz w:val="16"/>
          <w:szCs w:val="16"/>
          <w:b w:val="1"/>
          <w:bCs w:val="1"/>
          <w:color w:val="auto"/>
        </w:rPr>
        <w:t>Registered Fixed Account Option Contract (the “RFAO”)</w:t>
      </w:r>
    </w:p>
    <w:p>
      <w:pPr>
        <w:spacing w:after="0" w:line="25" w:lineRule="exact"/>
        <w:rPr>
          <w:sz w:val="24"/>
          <w:szCs w:val="24"/>
          <w:color w:val="auto"/>
        </w:rPr>
      </w:pPr>
    </w:p>
    <w:p>
      <w:pPr>
        <w:ind w:left="2080"/>
        <w:spacing w:after="0"/>
        <w:rPr>
          <w:sz w:val="20"/>
          <w:szCs w:val="20"/>
          <w:color w:val="auto"/>
        </w:rPr>
      </w:pPr>
      <w:r>
        <w:rPr>
          <w:rFonts w:ascii="Arial" w:cs="Arial" w:eastAsia="Arial" w:hAnsi="Arial"/>
          <w:sz w:val="16"/>
          <w:szCs w:val="16"/>
          <w:b w:val="1"/>
          <w:bCs w:val="1"/>
          <w:color w:val="auto"/>
        </w:rPr>
        <w:t>Registration Statement filed on Form S-3</w:t>
      </w:r>
    </w:p>
    <w:p>
      <w:pPr>
        <w:spacing w:after="0" w:line="5" w:lineRule="exact"/>
        <w:rPr>
          <w:sz w:val="24"/>
          <w:szCs w:val="24"/>
          <w:color w:val="auto"/>
        </w:rPr>
      </w:pPr>
    </w:p>
    <w:p>
      <w:pPr>
        <w:ind w:left="2080"/>
        <w:spacing w:after="0"/>
        <w:rPr>
          <w:sz w:val="20"/>
          <w:szCs w:val="20"/>
          <w:color w:val="auto"/>
        </w:rPr>
      </w:pPr>
      <w:r>
        <w:rPr>
          <w:rFonts w:ascii="Arial" w:cs="Arial" w:eastAsia="Arial" w:hAnsi="Arial"/>
          <w:sz w:val="16"/>
          <w:szCs w:val="16"/>
          <w:b w:val="1"/>
          <w:bCs w:val="1"/>
          <w:color w:val="auto"/>
        </w:rPr>
        <w:t>File No. 333-221620</w:t>
      </w:r>
    </w:p>
    <w:p>
      <w:pPr>
        <w:spacing w:after="0" w:line="161" w:lineRule="exact"/>
        <w:rPr>
          <w:sz w:val="24"/>
          <w:szCs w:val="24"/>
          <w:color w:val="auto"/>
        </w:rPr>
      </w:pPr>
    </w:p>
    <w:p>
      <w:pPr>
        <w:ind w:left="2080" w:right="2620"/>
        <w:spacing w:after="0" w:line="275" w:lineRule="auto"/>
        <w:rPr>
          <w:sz w:val="20"/>
          <w:szCs w:val="20"/>
          <w:color w:val="auto"/>
        </w:rPr>
      </w:pPr>
      <w:r>
        <w:rPr>
          <w:rFonts w:ascii="Arial" w:cs="Arial" w:eastAsia="Arial" w:hAnsi="Arial"/>
          <w:sz w:val="16"/>
          <w:szCs w:val="16"/>
          <w:b w:val="1"/>
          <w:bCs w:val="1"/>
          <w:color w:val="auto"/>
        </w:rPr>
        <w:t>Fixed Annuity (Strategic Value Annuity) Contract (the “Fixed Annuity”) Registration Statement filed on Form S-3 File No. 333-221619</w:t>
      </w:r>
    </w:p>
    <w:p>
      <w:pPr>
        <w:spacing w:after="0" w:line="321" w:lineRule="exact"/>
        <w:rPr>
          <w:sz w:val="24"/>
          <w:szCs w:val="24"/>
          <w:color w:val="auto"/>
        </w:rPr>
      </w:pPr>
    </w:p>
    <w:p>
      <w:pPr>
        <w:ind w:left="2080"/>
        <w:spacing w:after="0"/>
        <w:rPr>
          <w:sz w:val="20"/>
          <w:szCs w:val="20"/>
          <w:color w:val="auto"/>
        </w:rPr>
      </w:pPr>
      <w:r>
        <w:rPr>
          <w:rFonts w:ascii="Arial" w:cs="Arial" w:eastAsia="Arial" w:hAnsi="Arial"/>
          <w:sz w:val="16"/>
          <w:szCs w:val="16"/>
          <w:b w:val="1"/>
          <w:bCs w:val="1"/>
          <w:color w:val="auto"/>
        </w:rPr>
        <w:t>Liquidity Benefit Contract (the “Liquidity Benefit”)</w:t>
      </w:r>
    </w:p>
    <w:p>
      <w:pPr>
        <w:spacing w:after="0" w:line="25" w:lineRule="exact"/>
        <w:rPr>
          <w:sz w:val="24"/>
          <w:szCs w:val="24"/>
          <w:color w:val="auto"/>
        </w:rPr>
      </w:pPr>
    </w:p>
    <w:p>
      <w:pPr>
        <w:ind w:left="2080"/>
        <w:spacing w:after="0"/>
        <w:rPr>
          <w:sz w:val="20"/>
          <w:szCs w:val="20"/>
          <w:color w:val="auto"/>
        </w:rPr>
      </w:pPr>
      <w:r>
        <w:rPr>
          <w:rFonts w:ascii="Arial" w:cs="Arial" w:eastAsia="Arial" w:hAnsi="Arial"/>
          <w:sz w:val="16"/>
          <w:szCs w:val="16"/>
          <w:b w:val="1"/>
          <w:bCs w:val="1"/>
          <w:color w:val="auto"/>
        </w:rPr>
        <w:t>Registration Statement filed on Form S-3</w:t>
      </w:r>
    </w:p>
    <w:p>
      <w:pPr>
        <w:spacing w:after="0" w:line="5" w:lineRule="exact"/>
        <w:rPr>
          <w:sz w:val="24"/>
          <w:szCs w:val="24"/>
          <w:color w:val="auto"/>
        </w:rPr>
      </w:pPr>
    </w:p>
    <w:p>
      <w:pPr>
        <w:ind w:left="2080"/>
        <w:spacing w:after="0"/>
        <w:rPr>
          <w:sz w:val="20"/>
          <w:szCs w:val="20"/>
          <w:color w:val="auto"/>
        </w:rPr>
      </w:pPr>
      <w:r>
        <w:rPr>
          <w:rFonts w:ascii="Arial" w:cs="Arial" w:eastAsia="Arial" w:hAnsi="Arial"/>
          <w:sz w:val="16"/>
          <w:szCs w:val="16"/>
          <w:b w:val="1"/>
          <w:bCs w:val="1"/>
          <w:color w:val="auto"/>
        </w:rPr>
        <w:t>File No. 333-221618</w:t>
      </w:r>
    </w:p>
    <w:p>
      <w:pPr>
        <w:spacing w:after="0" w:line="329" w:lineRule="exact"/>
        <w:rPr>
          <w:sz w:val="24"/>
          <w:szCs w:val="24"/>
          <w:color w:val="auto"/>
        </w:rPr>
      </w:pPr>
    </w:p>
    <w:p>
      <w:pPr>
        <w:ind w:left="920"/>
        <w:spacing w:after="0"/>
        <w:rPr>
          <w:sz w:val="20"/>
          <w:szCs w:val="20"/>
          <w:color w:val="auto"/>
        </w:rPr>
      </w:pPr>
      <w:r>
        <w:rPr>
          <w:rFonts w:ascii="Arial" w:cs="Arial" w:eastAsia="Arial" w:hAnsi="Arial"/>
          <w:sz w:val="16"/>
          <w:szCs w:val="16"/>
          <w:color w:val="auto"/>
        </w:rPr>
        <w:t>Dear Mr. Oh:</w:t>
      </w:r>
    </w:p>
    <w:p>
      <w:pPr>
        <w:spacing w:after="0" w:line="221" w:lineRule="exact"/>
        <w:rPr>
          <w:sz w:val="24"/>
          <w:szCs w:val="24"/>
          <w:color w:val="auto"/>
        </w:rPr>
      </w:pPr>
    </w:p>
    <w:p>
      <w:pPr>
        <w:jc w:val="both"/>
        <w:ind w:left="920"/>
        <w:spacing w:after="0" w:line="248" w:lineRule="auto"/>
        <w:rPr>
          <w:sz w:val="20"/>
          <w:szCs w:val="20"/>
          <w:color w:val="auto"/>
        </w:rPr>
      </w:pPr>
      <w:r>
        <w:rPr>
          <w:rFonts w:ascii="Arial" w:cs="Arial" w:eastAsia="Arial" w:hAnsi="Arial"/>
          <w:sz w:val="16"/>
          <w:szCs w:val="16"/>
          <w:color w:val="auto"/>
        </w:rPr>
        <w:t>On November 16, 2017, the Company filed the above-referenced initial registration statements under the Securities Act of 1933, as amended (the “1933 Act”), on Form S-3 for the RFAO, the Fixed Annuity, and the Liquidity Benefit (the “Registration Statements”). In a letter addressed to me, dated January 12, 2018, the Staff of the Securities and Exchange Commission (the “SEC”) provided written comments based on the Staff’s selective review of the Registration Statements. The Company filed with the SEC a letter responding to the Staff’s comments on March 5, 2018 and a pre-effective amendment for each Registration Statement on April 6, 2018. On April 20, 2018, you provided an additional comment on the Registration Statements to me via telephone. Your comment is set forth below and the Company’s response thereto immediately follows.</w:t>
      </w:r>
    </w:p>
    <w:p>
      <w:pPr>
        <w:spacing w:after="0" w:line="193" w:lineRule="exact"/>
        <w:rPr>
          <w:sz w:val="24"/>
          <w:szCs w:val="24"/>
          <w:color w:val="auto"/>
        </w:rPr>
      </w:pPr>
    </w:p>
    <w:p>
      <w:pPr>
        <w:jc w:val="both"/>
        <w:ind w:left="920"/>
        <w:spacing w:after="0" w:line="264" w:lineRule="auto"/>
        <w:rPr>
          <w:sz w:val="20"/>
          <w:szCs w:val="20"/>
          <w:color w:val="auto"/>
        </w:rPr>
      </w:pPr>
      <w:r>
        <w:rPr>
          <w:rFonts w:ascii="Arial" w:cs="Arial" w:eastAsia="Arial" w:hAnsi="Arial"/>
          <w:sz w:val="16"/>
          <w:szCs w:val="16"/>
          <w:i w:val="1"/>
          <w:iCs w:val="1"/>
          <w:color w:val="auto"/>
        </w:rPr>
        <w:t>Comment: For future initial registration statements for the RFAO, the Fixed Annuity, and the Liquidity Benefit, and any other securities registered under the 1933 Act, please account for only newly-registered securities under the “Proposed Maximum Aggregate Offering Price” column in the Calculation of Registration Fee table.</w:t>
      </w:r>
    </w:p>
    <w:p>
      <w:pPr>
        <w:spacing w:after="0" w:line="192" w:lineRule="exact"/>
        <w:rPr>
          <w:sz w:val="24"/>
          <w:szCs w:val="24"/>
          <w:color w:val="auto"/>
        </w:rPr>
      </w:pPr>
    </w:p>
    <w:p>
      <w:pPr>
        <w:jc w:val="both"/>
        <w:ind w:left="920"/>
        <w:spacing w:after="0" w:line="250" w:lineRule="auto"/>
        <w:rPr>
          <w:sz w:val="20"/>
          <w:szCs w:val="20"/>
          <w:color w:val="auto"/>
        </w:rPr>
      </w:pPr>
      <w:r>
        <w:rPr>
          <w:rFonts w:ascii="Arial" w:cs="Arial" w:eastAsia="Arial" w:hAnsi="Arial"/>
          <w:sz w:val="16"/>
          <w:szCs w:val="16"/>
          <w:color w:val="auto"/>
        </w:rPr>
        <w:t>Response: The Company acknowledges that the Calculation of Registration Fee table for its registration statements under the 1933 Act should be modified in future initial filings in such a manner that the “Proposed Maximum Aggregate Offering Price” reflects only the maximum aggregate offering price of any newly-registered securities, and not any carried-forward securities included under the “Amount to be Registered” column. This includes the Company’s future initial registration statements for the RFAO, the Fixed Annuity, and the Liquidity Benefit.</w:t>
      </w:r>
    </w:p>
    <w:p>
      <w:pPr>
        <w:spacing w:after="0" w:line="303" w:lineRule="exact"/>
        <w:rPr>
          <w:sz w:val="24"/>
          <w:szCs w:val="24"/>
          <w:color w:val="auto"/>
        </w:rPr>
      </w:pPr>
    </w:p>
    <w:p>
      <w:pPr>
        <w:ind w:left="640" w:right="260"/>
        <w:spacing w:after="0" w:line="230" w:lineRule="auto"/>
        <w:rPr>
          <w:sz w:val="20"/>
          <w:szCs w:val="20"/>
          <w:color w:val="auto"/>
        </w:rPr>
      </w:pPr>
      <w:r>
        <w:rPr>
          <w:rFonts w:ascii="Arial" w:cs="Arial" w:eastAsia="Arial" w:hAnsi="Arial"/>
          <w:sz w:val="13"/>
          <w:szCs w:val="13"/>
          <w:color w:val="auto"/>
        </w:rPr>
        <w:t>Eversheds Sutherland (US) LLP is part of a global legal practice, operating through various separate and distinct legal entities, under Eversheds Sutherland. For a full description of the structure and a list of offices, please visit www.eversheds-sutherland.com.</w:t>
      </w:r>
    </w:p>
    <w:p>
      <w:pPr>
        <w:spacing w:after="0" w:line="208" w:lineRule="exact"/>
        <w:rPr>
          <w:sz w:val="24"/>
          <w:szCs w:val="24"/>
          <w:color w:val="auto"/>
        </w:rPr>
      </w:pPr>
    </w:p>
    <w:p>
      <w:pPr>
        <w:ind w:left="920"/>
        <w:spacing w:after="0"/>
        <w:rPr>
          <w:sz w:val="20"/>
          <w:szCs w:val="20"/>
          <w:color w:val="auto"/>
        </w:rPr>
      </w:pPr>
      <w:r>
        <w:rPr>
          <w:rFonts w:ascii="Arial" w:cs="Arial" w:eastAsia="Arial" w:hAnsi="Arial"/>
          <w:sz w:val="16"/>
          <w:szCs w:val="16"/>
          <w:color w:val="auto"/>
        </w:rPr>
        <w:t>40356920.1</w:t>
      </w:r>
    </w:p>
    <w:p>
      <w:pPr>
        <w:sectPr>
          <w:pgSz w:w="11900" w:h="16838" w:orient="portrait"/>
          <w:cols w:equalWidth="0" w:num="1">
            <w:col w:w="10120"/>
          </w:cols>
          <w:pgMar w:left="1440" w:top="280" w:right="339" w:bottom="1440" w:gutter="0" w:footer="0" w:header="0"/>
        </w:sectPr>
      </w:pPr>
    </w:p>
    <w:bookmarkStart w:id="1" w:name="page2"/>
    <w:bookmarkEnd w:id="1"/>
    <w:p>
      <w:pPr>
        <w:ind w:left="792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Sonny Oh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-81280</wp:posOffset>
            </wp:positionV>
            <wp:extent cx="428625" cy="17494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8625" cy="1749425"/>
                    </a:xfrm>
                    <a:prstGeom prst="rect">
                      <a:avLst/>
                    </a:prstGeom>
                    <a:noFill/>
                  </pic:spPr>
                </pic:pic>
              </a:graphicData>
            </a:graphic>
          </wp:anchor>
        </w:drawing>
      </w:r>
    </w:p>
    <w:p>
      <w:pPr>
        <w:ind w:left="7920"/>
        <w:spacing w:after="0" w:line="216" w:lineRule="auto"/>
        <w:rPr>
          <w:sz w:val="20"/>
          <w:szCs w:val="20"/>
          <w:color w:val="auto"/>
        </w:rPr>
      </w:pPr>
      <w:r>
        <w:rPr>
          <w:rFonts w:ascii="Arial" w:cs="Arial" w:eastAsia="Arial" w:hAnsi="Arial"/>
          <w:sz w:val="13"/>
          <w:szCs w:val="13"/>
          <w:color w:val="auto"/>
        </w:rPr>
        <w:t>U.S. Securities and Exchange</w:t>
      </w:r>
    </w:p>
    <w:p>
      <w:pPr>
        <w:ind w:left="7920"/>
        <w:spacing w:after="0" w:line="217" w:lineRule="auto"/>
        <w:rPr>
          <w:sz w:val="20"/>
          <w:szCs w:val="20"/>
          <w:color w:val="auto"/>
        </w:rPr>
      </w:pPr>
      <w:r>
        <w:rPr>
          <w:rFonts w:ascii="Arial" w:cs="Arial" w:eastAsia="Arial" w:hAnsi="Arial"/>
          <w:sz w:val="13"/>
          <w:szCs w:val="13"/>
          <w:color w:val="auto"/>
        </w:rPr>
        <w:t>Commission</w:t>
      </w:r>
    </w:p>
    <w:p>
      <w:pPr>
        <w:ind w:left="7920"/>
        <w:spacing w:after="0" w:line="217" w:lineRule="auto"/>
        <w:rPr>
          <w:sz w:val="20"/>
          <w:szCs w:val="20"/>
          <w:color w:val="auto"/>
        </w:rPr>
      </w:pPr>
      <w:r>
        <w:rPr>
          <w:rFonts w:ascii="Arial" w:cs="Arial" w:eastAsia="Arial" w:hAnsi="Arial"/>
          <w:sz w:val="13"/>
          <w:szCs w:val="13"/>
          <w:color w:val="auto"/>
        </w:rPr>
        <w:t>April 24, 2018</w:t>
      </w:r>
    </w:p>
    <w:p>
      <w:pPr>
        <w:ind w:left="7920"/>
        <w:spacing w:after="0"/>
        <w:rPr>
          <w:sz w:val="20"/>
          <w:szCs w:val="20"/>
          <w:color w:val="auto"/>
        </w:rPr>
      </w:pPr>
      <w:r>
        <w:rPr>
          <w:rFonts w:ascii="Arial" w:cs="Arial" w:eastAsia="Arial" w:hAnsi="Arial"/>
          <w:sz w:val="13"/>
          <w:szCs w:val="13"/>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left="1840"/>
        <w:spacing w:after="0"/>
        <w:tabs>
          <w:tab w:leader="none" w:pos="160" w:val="left"/>
          <w:tab w:leader="none" w:pos="160" w:val="left"/>
        </w:tabs>
        <w:rPr>
          <w:sz w:val="20"/>
          <w:szCs w:val="20"/>
          <w:color w:val="auto"/>
        </w:rPr>
      </w:pPr>
      <w:r>
        <w:rPr>
          <w:rFonts w:ascii="Arial" w:cs="Arial" w:eastAsia="Arial" w:hAnsi="Arial"/>
          <w:sz w:val="16"/>
          <w:szCs w:val="16"/>
          <w:b w:val="1"/>
          <w:bCs w:val="1"/>
          <w:color w:val="auto"/>
        </w:rPr>
        <w:t>*</w:t>
        <w:tab/>
        <w:t>*</w:t>
      </w:r>
      <w:r>
        <w:rPr>
          <w:sz w:val="20"/>
          <w:szCs w:val="20"/>
          <w:color w:val="auto"/>
        </w:rPr>
        <w:tab/>
      </w:r>
      <w:r>
        <w:rPr>
          <w:rFonts w:ascii="Arial" w:cs="Arial" w:eastAsia="Arial" w:hAnsi="Arial"/>
          <w:sz w:val="15"/>
          <w:szCs w:val="15"/>
          <w:b w:val="1"/>
          <w:bCs w:val="1"/>
          <w:color w:val="auto"/>
        </w:rPr>
        <w:t>*</w:t>
      </w:r>
    </w:p>
    <w:p>
      <w:pPr>
        <w:spacing w:after="0" w:line="241" w:lineRule="exact"/>
        <w:rPr>
          <w:sz w:val="20"/>
          <w:szCs w:val="20"/>
          <w:color w:val="auto"/>
        </w:rPr>
      </w:pPr>
    </w:p>
    <w:p>
      <w:pPr>
        <w:jc w:val="both"/>
        <w:ind w:left="920"/>
        <w:spacing w:after="0" w:line="253" w:lineRule="auto"/>
        <w:rPr>
          <w:sz w:val="20"/>
          <w:szCs w:val="20"/>
          <w:color w:val="auto"/>
        </w:rPr>
      </w:pPr>
      <w:r>
        <w:rPr>
          <w:rFonts w:ascii="Arial" w:cs="Arial" w:eastAsia="Arial" w:hAnsi="Arial"/>
          <w:sz w:val="16"/>
          <w:szCs w:val="16"/>
          <w:color w:val="auto"/>
        </w:rPr>
        <w:t>The Company notes that an effectiveness date of April 30, 2018 has been requested for the Registration Statements, and acceleration requests have been filed with the Securities and Exchange Commission. If you have any questions or concerns about the Company’s response set forth above, please call the undersigned at (212) 389-5080.</w:t>
      </w:r>
    </w:p>
    <w:p>
      <w:pPr>
        <w:spacing w:after="0" w:line="228" w:lineRule="exact"/>
        <w:rPr>
          <w:sz w:val="20"/>
          <w:szCs w:val="20"/>
          <w:color w:val="auto"/>
        </w:rPr>
      </w:pPr>
    </w:p>
    <w:p>
      <w:pPr>
        <w:ind w:left="6400"/>
        <w:spacing w:after="0"/>
        <w:rPr>
          <w:sz w:val="20"/>
          <w:szCs w:val="20"/>
          <w:color w:val="auto"/>
        </w:rPr>
      </w:pPr>
      <w:r>
        <w:rPr>
          <w:rFonts w:ascii="Arial" w:cs="Arial" w:eastAsia="Arial" w:hAnsi="Arial"/>
          <w:sz w:val="16"/>
          <w:szCs w:val="16"/>
          <w:color w:val="auto"/>
        </w:rPr>
        <w:t>Sincerely,</w:t>
      </w:r>
    </w:p>
    <w:p>
      <w:pPr>
        <w:spacing w:after="0" w:line="221" w:lineRule="exact"/>
        <w:rPr>
          <w:sz w:val="20"/>
          <w:szCs w:val="20"/>
          <w:color w:val="auto"/>
        </w:rPr>
      </w:pPr>
    </w:p>
    <w:p>
      <w:pPr>
        <w:ind w:left="6400"/>
        <w:spacing w:after="0"/>
        <w:rPr>
          <w:sz w:val="20"/>
          <w:szCs w:val="20"/>
          <w:color w:val="auto"/>
        </w:rPr>
      </w:pPr>
      <w:r>
        <w:rPr>
          <w:rFonts w:ascii="Arial" w:cs="Arial" w:eastAsia="Arial" w:hAnsi="Arial"/>
          <w:sz w:val="16"/>
          <w:szCs w:val="16"/>
          <w:color w:val="auto"/>
        </w:rPr>
        <w:t>/s/ Dodie C. Kent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4062730</wp:posOffset>
            </wp:positionH>
            <wp:positionV relativeFrom="paragraph">
              <wp:posOffset>-14605</wp:posOffset>
            </wp:positionV>
            <wp:extent cx="16929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92910" cy="8890"/>
                    </a:xfrm>
                    <a:prstGeom prst="rect">
                      <a:avLst/>
                    </a:prstGeom>
                    <a:noFill/>
                  </pic:spPr>
                </pic:pic>
              </a:graphicData>
            </a:graphic>
          </wp:anchor>
        </w:drawing>
      </w:r>
    </w:p>
    <w:p>
      <w:pPr>
        <w:ind w:left="6400"/>
        <w:spacing w:after="0"/>
        <w:rPr>
          <w:sz w:val="20"/>
          <w:szCs w:val="20"/>
          <w:color w:val="auto"/>
        </w:rPr>
      </w:pPr>
      <w:r>
        <w:rPr>
          <w:rFonts w:ascii="Arial" w:cs="Arial" w:eastAsia="Arial" w:hAnsi="Arial"/>
          <w:sz w:val="16"/>
          <w:szCs w:val="16"/>
          <w:color w:val="auto"/>
        </w:rPr>
        <w:t>Dodie C. Kent</w:t>
      </w:r>
    </w:p>
    <w:p>
      <w:pPr>
        <w:spacing w:after="0" w:line="248" w:lineRule="exact"/>
        <w:rPr>
          <w:sz w:val="20"/>
          <w:szCs w:val="20"/>
          <w:color w:val="auto"/>
        </w:rPr>
      </w:pPr>
    </w:p>
    <w:p>
      <w:pPr>
        <w:ind w:left="1580" w:right="5500" w:hanging="622"/>
        <w:spacing w:after="0" w:line="260" w:lineRule="auto"/>
        <w:tabs>
          <w:tab w:leader="none" w:pos="1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Michele H. Abate, Brighthouse Financial Ronald Coenen Jr., Eversheds Sutherland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40356920.1</w:t>
      </w:r>
    </w:p>
    <w:sectPr>
      <w:pgSz w:w="11900" w:h="16838" w:orient="portrait"/>
      <w:cols w:equalWidth="0" w:num="1">
        <w:col w:w="10120"/>
      </w:cols>
      <w:pgMar w:left="1440" w:top="32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2019-12-05T13:29:36Z</dcterms:created>
  <dcterms:modified xsi:type="dcterms:W3CDTF">2019-12-05T13:29:36Z</dcterms:modified>
</cp:coreProperties>
</file>