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753745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711835</wp:posOffset>
            </wp:positionV>
            <wp:extent cx="6995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UNITED STATES</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123825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3"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4"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033-03094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140335</wp:posOffset>
            </wp:positionV>
            <wp:extent cx="217106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1065" cy="563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Brighthouse Life Insurance Company</w:t>
      </w:r>
    </w:p>
    <w:p>
      <w:pPr>
        <w:spacing w:after="0" w:line="132"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8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05"/>
        </w:trPr>
        <w:tc>
          <w:tcPr>
            <w:tcW w:w="920" w:type="dxa"/>
            <w:vAlign w:val="bottom"/>
          </w:tcPr>
          <w:p>
            <w:pPr>
              <w:spacing w:after="0"/>
              <w:rPr>
                <w:sz w:val="24"/>
                <w:szCs w:val="24"/>
                <w:color w:val="auto"/>
              </w:rPr>
            </w:pPr>
          </w:p>
        </w:tc>
        <w:tc>
          <w:tcPr>
            <w:tcW w:w="1600" w:type="dxa"/>
            <w:vAlign w:val="bottom"/>
            <w:gridSpan w:val="2"/>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gridSpan w:val="2"/>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06-0566090</w:t>
            </w:r>
          </w:p>
        </w:tc>
      </w:tr>
      <w:tr>
        <w:trPr>
          <w:trHeight w:val="199"/>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580" w:type="dxa"/>
            <w:vAlign w:val="bottom"/>
            <w:gridSpan w:val="2"/>
          </w:tcPr>
          <w:p>
            <w:pPr>
              <w:jc w:val="center"/>
              <w:ind w:right="374"/>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18"/>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2580" w:type="dxa"/>
            <w:vAlign w:val="bottom"/>
            <w:gridSpan w:val="2"/>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28277</w:t>
            </w:r>
          </w:p>
        </w:tc>
      </w:tr>
      <w:tr>
        <w:trPr>
          <w:trHeight w:val="199"/>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00" w:type="dxa"/>
            <w:vAlign w:val="bottom"/>
          </w:tcPr>
          <w:p>
            <w:pPr>
              <w:spacing w:after="0"/>
              <w:rPr>
                <w:sz w:val="17"/>
                <w:szCs w:val="17"/>
                <w:color w:val="auto"/>
              </w:rPr>
            </w:pPr>
          </w:p>
        </w:tc>
        <w:tc>
          <w:tcPr>
            <w:tcW w:w="2180" w:type="dxa"/>
            <w:vAlign w:val="bottom"/>
          </w:tcPr>
          <w:p>
            <w:pPr>
              <w:jc w:val="center"/>
              <w:ind w:right="794"/>
              <w:spacing w:after="0"/>
              <w:rPr>
                <w:sz w:val="20"/>
                <w:szCs w:val="20"/>
                <w:color w:val="auto"/>
              </w:rPr>
            </w:pPr>
            <w:r>
              <w:rPr>
                <w:rFonts w:ascii="Times New Roman" w:cs="Times New Roman" w:eastAsia="Times New Roman" w:hAnsi="Times New Roman"/>
                <w:sz w:val="14"/>
                <w:szCs w:val="14"/>
                <w:i w:val="1"/>
                <w:iCs w:val="1"/>
                <w:color w:val="auto"/>
                <w:w w:val="98"/>
              </w:rPr>
              <w:t>(Zip Code)</w:t>
            </w:r>
          </w:p>
        </w:tc>
      </w:tr>
      <w:tr>
        <w:trPr>
          <w:trHeight w:val="296"/>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gridSpan w:val="3"/>
          </w:tcPr>
          <w:p>
            <w:pPr>
              <w:jc w:val="center"/>
              <w:ind w:left="295"/>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05"/>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60" w:type="dxa"/>
            <w:vAlign w:val="bottom"/>
            <w:gridSpan w:val="5"/>
          </w:tcPr>
          <w:p>
            <w:pPr>
              <w:jc w:val="center"/>
              <w:ind w:right="2154"/>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 None</w:t>
            </w:r>
          </w:p>
        </w:tc>
      </w:tr>
      <w:tr>
        <w:trPr>
          <w:trHeight w:val="295"/>
        </w:trPr>
        <w:tc>
          <w:tcPr>
            <w:tcW w:w="9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Title of each class</w:t>
            </w:r>
          </w:p>
        </w:tc>
        <w:tc>
          <w:tcPr>
            <w:tcW w:w="700" w:type="dxa"/>
            <w:vAlign w:val="bottom"/>
          </w:tcPr>
          <w:p>
            <w:pPr>
              <w:spacing w:after="0"/>
              <w:rPr>
                <w:sz w:val="24"/>
                <w:szCs w:val="24"/>
                <w:color w:val="auto"/>
              </w:rPr>
            </w:pPr>
          </w:p>
        </w:tc>
        <w:tc>
          <w:tcPr>
            <w:tcW w:w="3380" w:type="dxa"/>
            <w:vAlign w:val="bottom"/>
            <w:gridSpan w:val="3"/>
          </w:tcPr>
          <w:p>
            <w:pPr>
              <w:jc w:val="center"/>
              <w:ind w:left="255"/>
              <w:spacing w:after="0"/>
              <w:rPr>
                <w:sz w:val="20"/>
                <w:szCs w:val="20"/>
                <w:color w:val="auto"/>
              </w:rPr>
            </w:pPr>
            <w:r>
              <w:rPr>
                <w:rFonts w:ascii="Times New Roman" w:cs="Times New Roman" w:eastAsia="Times New Roman" w:hAnsi="Times New Roman"/>
                <w:sz w:val="12"/>
                <w:szCs w:val="12"/>
                <w:color w:val="auto"/>
              </w:rPr>
              <w:t>Trading symbol(s)</w:t>
            </w:r>
          </w:p>
        </w:tc>
        <w:tc>
          <w:tcPr>
            <w:tcW w:w="4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72" w:lineRule="exact"/>
        <w:rPr>
          <w:sz w:val="24"/>
          <w:szCs w:val="24"/>
          <w:color w:val="auto"/>
        </w:rPr>
      </w:pPr>
    </w:p>
    <w:p>
      <w:pPr>
        <w:ind w:right="38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8" w:lineRule="exact"/>
        <w:rPr>
          <w:sz w:val="24"/>
          <w:szCs w:val="24"/>
          <w:color w:val="auto"/>
        </w:rPr>
      </w:pPr>
    </w:p>
    <w:p>
      <w:pPr>
        <w:ind w:right="20"/>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0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9"/>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0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3" w:lineRule="exact"/>
        <w:rPr>
          <w:sz w:val="24"/>
          <w:szCs w:val="24"/>
          <w:color w:val="auto"/>
        </w:rPr>
      </w:pPr>
    </w:p>
    <w:p>
      <w:pPr>
        <w:ind w:right="100"/>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2" w:lineRule="exact"/>
        <w:rPr>
          <w:sz w:val="24"/>
          <w:szCs w:val="24"/>
          <w:color w:val="auto"/>
        </w:rPr>
      </w:pPr>
    </w:p>
    <w:p>
      <w:pPr>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November 10, 2025, 3,000 shares of the registrant’s common stock were outstanding, all of which were owned indirectly by Brighthouse Financial, Inc.</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REDUCED DISCLOSURE FORMAT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484505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118745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93345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20"/>
          </w:cols>
          <w:pgMar w:left="320" w:top="1272" w:right="35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8"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97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 (at September 30, 2025 (Unaudited) and December 31, 2024 and for the Three Months and Nine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Months Ended September 30, 2025 and 2024 (Unaudited)):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15"/>
          </w:tcPr>
          <w:p>
            <w:pPr>
              <w:spacing w:after="0" w:line="193" w:lineRule="exact"/>
              <w:rPr>
                <w:sz w:val="20"/>
                <w:szCs w:val="20"/>
                <w:color w:val="auto"/>
              </w:rPr>
            </w:pPr>
            <w:r>
              <w:rPr>
                <w:rFonts w:ascii="Times New Roman" w:cs="Times New Roman" w:eastAsia="Times New Roman" w:hAnsi="Times New Roman"/>
                <w:sz w:val="18"/>
                <w:szCs w:val="18"/>
                <w:color w:val="0000FF"/>
                <w:w w:val="98"/>
              </w:rPr>
              <w:t>Interim Condensed Consolidated Balance Sheets</w:t>
            </w:r>
          </w:p>
        </w:tc>
        <w:tc>
          <w:tcPr>
            <w:tcW w:w="6100" w:type="dxa"/>
            <w:vAlign w:val="bottom"/>
            <w:gridSpan w:val="9"/>
          </w:tcPr>
          <w:p>
            <w:pPr>
              <w:spacing w:after="0"/>
              <w:rPr>
                <w:sz w:val="16"/>
                <w:szCs w:val="16"/>
                <w:color w:val="auto"/>
              </w:rPr>
            </w:pPr>
          </w:p>
        </w:tc>
        <w:tc>
          <w:tcPr>
            <w:tcW w:w="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Interim Condensed Consolidated Statements of Operations and Comprehensive Income (Loss)</w:t>
            </w: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Equity</w:t>
            </w:r>
          </w:p>
        </w:tc>
        <w:tc>
          <w:tcPr>
            <w:tcW w:w="2760" w:type="dxa"/>
            <w:vAlign w:val="bottom"/>
            <w:gridSpan w:val="5"/>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Cash Flows</w:t>
            </w:r>
          </w:p>
        </w:tc>
        <w:tc>
          <w:tcPr>
            <w:tcW w:w="5340" w:type="dxa"/>
            <w:vAlign w:val="bottom"/>
            <w:gridSpan w:val="6"/>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Interim Condensed Consolidated Financial Statements (Unaudited):</w:t>
            </w:r>
          </w:p>
        </w:tc>
        <w:tc>
          <w:tcPr>
            <w:tcW w:w="3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6"/>
              </w:rPr>
              <w:t>Note 2 — Segment Information</w:t>
            </w:r>
          </w:p>
        </w:tc>
        <w:tc>
          <w:tcPr>
            <w:tcW w:w="4200" w:type="dxa"/>
            <w:vAlign w:val="bottom"/>
            <w:gridSpan w:val="9"/>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9"/>
              </w:rPr>
              <w:t>Note 3 — Insurance Liabilities</w:t>
            </w:r>
          </w:p>
        </w:tc>
        <w:tc>
          <w:tcPr>
            <w:tcW w:w="7140" w:type="dxa"/>
            <w:vAlign w:val="bottom"/>
            <w:gridSpan w:val="11"/>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14</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6"/>
              </w:rPr>
              <w:t>Note 4 — Market Risk Benefits</w:t>
            </w:r>
          </w:p>
        </w:tc>
        <w:tc>
          <w:tcPr>
            <w:tcW w:w="7140" w:type="dxa"/>
            <w:vAlign w:val="bottom"/>
            <w:gridSpan w:val="11"/>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19</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Note 5 — Separate Accounts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20</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Note 6 — Deferred Policy Acquisition Costs, Value of Business Acquired and Other Intangibles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22</w:t>
            </w: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Note 7 — Investments</w:t>
            </w:r>
          </w:p>
        </w:tc>
        <w:tc>
          <w:tcPr>
            <w:tcW w:w="2600" w:type="dxa"/>
            <w:vAlign w:val="bottom"/>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23</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9"/>
              </w:rPr>
              <w:t>Note 8 — Derivatives</w:t>
            </w:r>
          </w:p>
        </w:tc>
        <w:tc>
          <w:tcPr>
            <w:tcW w:w="7800" w:type="dxa"/>
            <w:vAlign w:val="bottom"/>
            <w:gridSpan w:val="14"/>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36</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Note 9 — Fair Value</w:t>
            </w:r>
          </w:p>
        </w:tc>
        <w:tc>
          <w:tcPr>
            <w:tcW w:w="80" w:type="dxa"/>
            <w:vAlign w:val="bottom"/>
            <w:tcBorders>
              <w:top w:val="single" w:sz="8" w:color="0000FF"/>
            </w:tcBorders>
          </w:tcPr>
          <w:p>
            <w:pPr>
              <w:spacing w:after="0"/>
              <w:rPr>
                <w:sz w:val="17"/>
                <w:szCs w:val="17"/>
                <w:color w:val="auto"/>
              </w:rPr>
            </w:pPr>
          </w:p>
        </w:tc>
        <w:tc>
          <w:tcPr>
            <w:tcW w:w="7840" w:type="dxa"/>
            <w:vAlign w:val="bottom"/>
            <w:gridSpan w:val="15"/>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42</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Note 10 — Equity</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52</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11 — Other Revenues and Other Expenses</w:t>
            </w:r>
          </w:p>
        </w:tc>
        <w:tc>
          <w:tcPr>
            <w:tcW w:w="5980" w:type="dxa"/>
            <w:vAlign w:val="bottom"/>
            <w:gridSpan w:val="8"/>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54</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12 — Contingencies, Commitments and Guarantees</w:t>
            </w:r>
          </w:p>
        </w:tc>
        <w:tc>
          <w:tcPr>
            <w:tcW w:w="5320" w:type="dxa"/>
            <w:vAlign w:val="bottom"/>
            <w:gridSpan w:val="5"/>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55</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13 — Related Party Transactions</w:t>
            </w:r>
          </w:p>
        </w:tc>
        <w:tc>
          <w:tcPr>
            <w:tcW w:w="6660" w:type="dxa"/>
            <w:vAlign w:val="bottom"/>
            <w:gridSpan w:val="10"/>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59</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Note 14 — Subsequent Event</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60</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8"/>
                <w:szCs w:val="18"/>
                <w:b w:val="1"/>
                <w:bCs w:val="1"/>
                <w:color w:val="auto"/>
              </w:rPr>
              <w:t>Item 2.</w:t>
            </w:r>
          </w:p>
        </w:tc>
        <w:tc>
          <w:tcPr>
            <w:tcW w:w="6780" w:type="dxa"/>
            <w:vAlign w:val="bottom"/>
            <w:tcBorders>
              <w:bottom w:val="single" w:sz="8" w:color="0000FF"/>
            </w:tcBorders>
            <w:gridSpan w:val="23"/>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98"/>
              </w:rPr>
              <w:t>Management’s Discussion and Analysis of Financial Condition and Results of Operations</w:t>
            </w:r>
          </w:p>
        </w:tc>
        <w:tc>
          <w:tcPr>
            <w:tcW w:w="29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line="185" w:lineRule="exact"/>
              <w:rPr>
                <w:sz w:val="20"/>
                <w:szCs w:val="20"/>
                <w:color w:val="auto"/>
              </w:rPr>
            </w:pPr>
            <w:r>
              <w:rPr>
                <w:rFonts w:ascii="Times New Roman" w:cs="Times New Roman" w:eastAsia="Times New Roman" w:hAnsi="Times New Roman"/>
                <w:sz w:val="18"/>
                <w:szCs w:val="18"/>
                <w:color w:val="0000FF"/>
                <w:w w:val="77"/>
              </w:rPr>
              <w:t>61</w:t>
            </w:r>
          </w:p>
        </w:tc>
        <w:tc>
          <w:tcPr>
            <w:tcW w:w="30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112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8"/>
                <w:szCs w:val="18"/>
                <w:b w:val="1"/>
                <w:bCs w:val="1"/>
                <w:color w:val="auto"/>
              </w:rPr>
              <w:t>Item 3.</w:t>
            </w:r>
          </w:p>
        </w:tc>
        <w:tc>
          <w:tcPr>
            <w:tcW w:w="9720" w:type="dxa"/>
            <w:vAlign w:val="bottom"/>
            <w:gridSpan w:val="25"/>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38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color w:val="0000FF"/>
                <w:w w:val="77"/>
              </w:rPr>
              <w:t>73</w:t>
            </w: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4.</w:t>
            </w:r>
          </w:p>
        </w:tc>
        <w:tc>
          <w:tcPr>
            <w:tcW w:w="4580" w:type="dxa"/>
            <w:vAlign w:val="bottom"/>
            <w:tcBorders>
              <w:top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5140" w:type="dxa"/>
            <w:vAlign w:val="bottom"/>
            <w:gridSpan w:val="4"/>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73</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840" w:type="dxa"/>
            <w:vAlign w:val="bottom"/>
            <w:tcBorders>
              <w:right w:val="single" w:sz="8" w:color="0000FF"/>
            </w:tcBorders>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8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gridSpan w:val="1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1.</w:t>
            </w:r>
          </w:p>
        </w:tc>
        <w:tc>
          <w:tcPr>
            <w:tcW w:w="972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73</w:t>
            </w: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8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8340" w:type="dxa"/>
            <w:vAlign w:val="bottom"/>
            <w:gridSpan w:val="19"/>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73</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300" w:type="dxa"/>
            <w:vAlign w:val="bottom"/>
            <w:tcBorders>
              <w:right w:val="single" w:sz="8" w:color="0000FF"/>
            </w:tcBorders>
            <w:gridSpan w:val="1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5.</w:t>
            </w:r>
          </w:p>
        </w:tc>
        <w:tc>
          <w:tcPr>
            <w:tcW w:w="972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75</w:t>
            </w: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Exhibits</w:t>
            </w:r>
          </w:p>
        </w:tc>
        <w:tc>
          <w:tcPr>
            <w:tcW w:w="780" w:type="dxa"/>
            <w:vAlign w:val="bottom"/>
            <w:tcBorders>
              <w:top w:val="single" w:sz="8" w:color="0000FF"/>
            </w:tcBorders>
            <w:gridSpan w:val="4"/>
          </w:tcPr>
          <w:p>
            <w:pPr>
              <w:spacing w:after="0"/>
              <w:rPr>
                <w:sz w:val="17"/>
                <w:szCs w:val="17"/>
                <w:color w:val="auto"/>
              </w:rPr>
            </w:pPr>
          </w:p>
        </w:tc>
        <w:tc>
          <w:tcPr>
            <w:tcW w:w="8300" w:type="dxa"/>
            <w:vAlign w:val="bottom"/>
            <w:gridSpan w:val="18"/>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76</w:t>
            </w:r>
          </w:p>
        </w:tc>
        <w:tc>
          <w:tcPr>
            <w:tcW w:w="3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FF"/>
                <w:w w:val="77"/>
              </w:rPr>
              <w:t>77</w:t>
            </w:r>
          </w:p>
        </w:tc>
      </w:tr>
      <w:tr>
        <w:trPr>
          <w:trHeight w:val="1219"/>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September 30, 2025 (Unaudited) and December 31, 2024</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20" w:type="dxa"/>
            <w:vAlign w:val="bottom"/>
          </w:tcPr>
          <w:p>
            <w:pPr>
              <w:spacing w:after="0"/>
              <w:rPr>
                <w:sz w:val="14"/>
                <w:szCs w:val="14"/>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30"/>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8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$85,484 and $86,565, respectively; allowance for</w:t>
            </w:r>
          </w:p>
        </w:tc>
        <w:tc>
          <w:tcPr>
            <w:tcW w:w="2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79,129</w:t>
            </w: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of $62 and $79, respectively)</w:t>
            </w:r>
          </w:p>
        </w:tc>
        <w:tc>
          <w:tcPr>
            <w:tcW w:w="200" w:type="dxa"/>
            <w:vAlign w:val="bottom"/>
            <w:vMerge w:val="continue"/>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$205 and $178, respectively)</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23,254</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115,269</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20,809</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79,006</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228,591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31,655</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87,162</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79,006</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227,061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222,443</w:t>
            </w:r>
          </w:p>
        </w:tc>
        <w:tc>
          <w:tcPr>
            <w:tcW w:w="0" w:type="dxa"/>
            <w:vAlign w:val="bottom"/>
          </w:tcPr>
          <w:p>
            <w:pPr>
              <w:spacing w:after="0"/>
              <w:rPr>
                <w:sz w:val="1"/>
                <w:szCs w:val="1"/>
                <w:color w:val="auto"/>
              </w:rPr>
            </w:pPr>
          </w:p>
        </w:tc>
      </w:tr>
      <w:tr>
        <w:trPr>
          <w:trHeight w:val="18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12)</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Brighthouse Life Insurance Company’s stockholder’s equity:</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$25,000 per share; 4,000 shares authorized; 3,000 shares issued and outstanding</w:t>
            </w:r>
          </w:p>
        </w:tc>
        <w:tc>
          <w:tcPr>
            <w:tcW w:w="20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0" w:type="dxa"/>
            <w:vAlign w:val="bottom"/>
          </w:tcPr>
          <w:p>
            <w:pPr>
              <w:spacing w:after="0"/>
              <w:rPr>
                <w:sz w:val="1"/>
                <w:szCs w:val="1"/>
                <w:color w:val="auto"/>
              </w:rPr>
            </w:pPr>
          </w:p>
        </w:tc>
      </w:tr>
      <w:tr>
        <w:trPr>
          <w:trHeight w:val="185"/>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Brighthouse Life Insurance Company’s stockholder’s equity</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228,591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5"/>
          <w:szCs w:val="15"/>
          <w:b w:val="1"/>
          <w:bCs w:val="1"/>
          <w:color w:val="auto"/>
        </w:rPr>
        <w:t>Three Months</w:t>
      </w:r>
      <w:r>
        <w:rPr>
          <w:rFonts w:ascii="Times New Roman" w:cs="Times New Roman" w:eastAsia="Times New Roman" w:hAnsi="Times New Roman"/>
          <w:sz w:val="18"/>
          <w:szCs w:val="18"/>
          <w:b w:val="1"/>
          <w:bCs w:val="1"/>
          <w:color w:val="auto"/>
        </w:rPr>
        <w:t xml:space="preserve"> and Nine Months Ended September 30, 2025 and 2024 (Unaudited)</w:t>
      </w:r>
    </w:p>
    <w:p>
      <w:pPr>
        <w:spacing w:after="0" w:line="1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0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0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75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1,831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4,571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5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($273), ($980), ($273) and</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($980), respectively)</w:t>
            </w: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1,213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4,423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2"/>
        </w:trPr>
        <w:tc>
          <w:tcPr>
            <w:tcW w:w="7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Life Insurance Company</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5"/>
          <w:szCs w:val="15"/>
          <w:b w:val="1"/>
          <w:bCs w:val="1"/>
          <w:color w:val="auto"/>
        </w:rPr>
        <w:t>Three Months</w:t>
      </w:r>
      <w:r>
        <w:rPr>
          <w:rFonts w:ascii="Times New Roman" w:cs="Times New Roman" w:eastAsia="Times New Roman" w:hAnsi="Times New Roman"/>
          <w:sz w:val="18"/>
          <w:szCs w:val="18"/>
          <w:b w:val="1"/>
          <w:bCs w:val="1"/>
          <w:color w:val="auto"/>
        </w:rPr>
        <w:t xml:space="preserve"> and Nine Months Ended September 30, 2025 and 2024 (Unaudited)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Brighthouse Life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Company’s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2"/>
                <w:szCs w:val="12"/>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30"/>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9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7,677</w:t>
            </w: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41"/>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Brighthouse Life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9"/>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Company’s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3"/>
                <w:szCs w:val="13"/>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4"/>
                <w:szCs w:val="14"/>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30"/>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9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9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r>
      <w:tr>
        <w:trPr>
          <w:trHeight w:val="22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 (Unaudited)</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10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0" w:type="dxa"/>
            <w:vAlign w:val="bottom"/>
          </w:tcPr>
          <w:p>
            <w:pPr>
              <w:spacing w:after="0"/>
              <w:rPr>
                <w:sz w:val="1"/>
                <w:szCs w:val="1"/>
                <w:color w:val="auto"/>
              </w:rPr>
            </w:pPr>
          </w:p>
        </w:tc>
      </w:tr>
      <w:tr>
        <w:trPr>
          <w:trHeight w:val="18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38,787</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Withdrawals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repaid</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“BLIC” and the “Company” refer to Brighthouse Life Insurance Company, a Delaware corporation originally incorporated in Connecticut in 1863, and its subsidiaries. Brighthouse Life Insurance Company is a wholly-owned subsidiary of Brighthouse Holdings, LLC (“BH Holdings”) and an indirect wholly-owned subsidiary of Brighthouse Financial, Inc. (“BHF” and, together with its subsidiaries, “Brighthouse Financial”). BLIC offers a range of annuity and life insurance products to individuals. The Company is organized into the following reportable segments: Annuities; Life; Run-off; and Corporate &amp; Other.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Life Insurance Company and its subsidiaries, as well as partnerships and limited liability companies (“LLC”) that the Company controls. Intercompany accounts and transactions have been eliminated.</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the Company is a member of a controlled group of affiliated companies, its results may not be indicative of those of a standalone entity.</w:t>
      </w:r>
    </w:p>
    <w:p>
      <w:pPr>
        <w:spacing w:after="0" w:line="111"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2024 consolidated balance sheet data was derived from audited consolidated financial statements included in Brighthouse Life Insurance Company’s Annual Report on Form 10-K for the year ended December 31, 2024 (the “2024 Annual Report”), which include all disclosures required by GAAP. Therefore, these interim condensed consolidated financial statements should be read in conjunction with the consolidated financial statements of the Company included in the 2024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establishment of a trading portfolio comprised of fixed income securities (classified as “trading securities” under GAAP), the Company updated its impacted accounting policies as described below. See Note 1 of the Notes to the Consolidated Financial Statements included in the 2024 Annual Report for a description of the Company’s accounting policies that did not change.</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Trading Securities</w:t>
      </w:r>
    </w:p>
    <w:p>
      <w:pPr>
        <w:spacing w:after="0" w:line="113" w:lineRule="exact"/>
        <w:rPr>
          <w:sz w:val="20"/>
          <w:szCs w:val="20"/>
          <w:color w:val="auto"/>
        </w:rPr>
      </w:pPr>
    </w:p>
    <w:p>
      <w:pPr>
        <w:ind w:left="320" w:firstLine="318"/>
        <w:spacing w:after="0" w:line="304" w:lineRule="auto"/>
        <w:rPr>
          <w:sz w:val="20"/>
          <w:szCs w:val="20"/>
          <w:color w:val="auto"/>
        </w:rPr>
      </w:pPr>
      <w:r>
        <w:rPr>
          <w:rFonts w:ascii="Times New Roman" w:cs="Times New Roman" w:eastAsia="Times New Roman" w:hAnsi="Times New Roman"/>
          <w:sz w:val="17"/>
          <w:szCs w:val="17"/>
          <w:color w:val="auto"/>
        </w:rPr>
        <w:t>The Company’s trading securities consist primarily of fixed maturity securities and are reported at their estimated fair value. Realized and unrealized investment gains (losses) on trading securities are recorded in net investment income on the interim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September 30, 2025.</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new guidance on Income Tax Disclosures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updates the required income tax disclosures to include disclosure of income taxes paid disaggregated by jurisdiction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required rate reconciliation. This ASU is effective for annual periods starting with fiscal year 2025. The Company has elected to implement this ASU on a retrospective basis. This ASU has no impact on the Company’s consolidated financial statements but will result in expanded disclosures in the Notes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and interest expense related to the Company’s outstanding debt,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risk benefits (“MRB”);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attributable to Brighthouse Life Insurance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379"/>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180" w:type="dxa"/>
            <w:vAlign w:val="bottom"/>
          </w:tcPr>
          <w:p>
            <w:pPr>
              <w:spacing w:after="0"/>
              <w:rPr>
                <w:sz w:val="16"/>
                <w:szCs w:val="16"/>
                <w:color w:val="auto"/>
              </w:rPr>
            </w:pP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
        </w:trPr>
        <w:tc>
          <w:tcPr>
            <w:tcW w:w="6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3"/>
        </w:trPr>
        <w:tc>
          <w:tcPr>
            <w:tcW w:w="6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58"/>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46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4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4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38"/>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2"/>
        </w:trPr>
        <w:tc>
          <w:tcPr>
            <w:tcW w:w="6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39370</wp:posOffset>
            </wp:positionV>
            <wp:extent cx="3129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70" w:lineRule="exact"/>
        <w:rPr>
          <w:sz w:val="20"/>
          <w:szCs w:val="20"/>
          <w:color w:val="auto"/>
        </w:rPr>
      </w:pPr>
    </w:p>
    <w:tbl>
      <w:tblPr>
        <w:tblLayout w:type="fixed"/>
        <w:tblInd w:w="632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880" w:type="dxa"/>
            <w:vAlign w:val="bottom"/>
          </w:tcPr>
          <w:p>
            <w:pPr>
              <w:spacing w:after="0"/>
              <w:rPr>
                <w:sz w:val="14"/>
                <w:szCs w:val="14"/>
                <w:color w:val="auto"/>
              </w:rPr>
            </w:pPr>
          </w:p>
        </w:tc>
      </w:tr>
      <w:tr>
        <w:trPr>
          <w:trHeight w:val="186"/>
        </w:trPr>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5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$5</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-3025140</wp:posOffset>
            </wp:positionV>
            <wp:extent cx="7134860"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-2722245</wp:posOffset>
            </wp:positionV>
            <wp:extent cx="7134860"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-2419350</wp:posOffset>
            </wp:positionV>
            <wp:extent cx="7134860"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-2116455</wp:posOffset>
            </wp:positionV>
            <wp:extent cx="7134860"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-1813560</wp:posOffset>
            </wp:positionV>
            <wp:extent cx="7134860" cy="176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-1502410</wp:posOffset>
            </wp:positionV>
            <wp:extent cx="713486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-1199515</wp:posOffset>
            </wp:positionV>
            <wp:extent cx="7134860" cy="285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-627380</wp:posOffset>
            </wp:positionV>
            <wp:extent cx="7134860" cy="151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-324485</wp:posOffset>
            </wp:positionV>
            <wp:extent cx="7134860" cy="15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168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814</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(98)</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(610)</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460" w:space="360"/>
            <w:col w:w="420"/>
          </w:cols>
          <w:pgMar w:left="320" w:top="230" w:right="339" w:bottom="1440" w:gutter="0" w:footer="0" w:header="0"/>
          <w:type w:val="continuous"/>
        </w:sectPr>
      </w:pPr>
    </w:p>
    <w:p>
      <w:pPr>
        <w:spacing w:after="0" w:line="83" w:lineRule="exact"/>
        <w:rPr>
          <w:sz w:val="20"/>
          <w:szCs w:val="20"/>
          <w:color w:val="auto"/>
        </w:rPr>
      </w:pPr>
    </w:p>
    <w:p>
      <w:pPr>
        <w:ind w:left="20"/>
        <w:spacing w:after="0"/>
        <w:tabs>
          <w:tab w:leader="none" w:pos="6320" w:val="left"/>
          <w:tab w:leader="none" w:pos="6880" w:val="left"/>
          <w:tab w:leader="none" w:pos="7300" w:val="left"/>
          <w:tab w:leader="none" w:pos="7860" w:val="left"/>
          <w:tab w:leader="none" w:pos="8300" w:val="left"/>
          <w:tab w:leader="none" w:pos="8860" w:val="left"/>
          <w:tab w:leader="none" w:pos="9300" w:val="left"/>
          <w:tab w:leader="none" w:pos="992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726</w:t>
        <w:tab/>
        <w:t>$</w:t>
      </w:r>
      <w:r>
        <w:rPr>
          <w:sz w:val="20"/>
          <w:szCs w:val="20"/>
          <w:color w:val="auto"/>
        </w:rPr>
        <w:tab/>
      </w:r>
      <w:r>
        <w:rPr>
          <w:rFonts w:ascii="Times New Roman" w:cs="Times New Roman" w:eastAsia="Times New Roman" w:hAnsi="Times New Roman"/>
          <w:sz w:val="16"/>
          <w:szCs w:val="16"/>
          <w:color w:val="auto"/>
        </w:rPr>
        <w:t>100</w:t>
        <w:tab/>
        <w:t>$</w:t>
      </w:r>
      <w:r>
        <w:rPr>
          <w:sz w:val="20"/>
          <w:szCs w:val="20"/>
          <w:color w:val="auto"/>
        </w:rPr>
        <w:tab/>
      </w:r>
      <w:r>
        <w:rPr>
          <w:rFonts w:ascii="Times New Roman" w:cs="Times New Roman" w:eastAsia="Times New Roman" w:hAnsi="Times New Roman"/>
          <w:sz w:val="16"/>
          <w:szCs w:val="16"/>
          <w:color w:val="auto"/>
        </w:rPr>
        <w:t>276</w:t>
        <w:tab/>
        <w:t>$</w:t>
      </w:r>
      <w:r>
        <w:rPr>
          <w:sz w:val="20"/>
          <w:szCs w:val="20"/>
          <w:color w:val="auto"/>
        </w:rPr>
        <w:tab/>
      </w:r>
      <w:r>
        <w:rPr>
          <w:rFonts w:ascii="Times New Roman" w:cs="Times New Roman" w:eastAsia="Times New Roman" w:hAnsi="Times New Roman"/>
          <w:sz w:val="16"/>
          <w:szCs w:val="16"/>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39370</wp:posOffset>
            </wp:positionV>
            <wp:extent cx="3129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70" w:lineRule="exact"/>
        <w:rPr>
          <w:sz w:val="20"/>
          <w:szCs w:val="20"/>
          <w:color w:val="auto"/>
        </w:rPr>
      </w:pPr>
    </w:p>
    <w:tbl>
      <w:tblPr>
        <w:tblLayout w:type="fixed"/>
        <w:tblInd w:w="632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880" w:type="dxa"/>
            <w:vAlign w:val="bottom"/>
          </w:tcPr>
          <w:p>
            <w:pPr>
              <w:spacing w:after="0"/>
              <w:rPr>
                <w:sz w:val="14"/>
                <w:szCs w:val="14"/>
                <w:color w:val="auto"/>
              </w:rPr>
            </w:pPr>
          </w:p>
        </w:tc>
      </w:tr>
      <w:tr>
        <w:trPr>
          <w:trHeight w:val="186"/>
        </w:trPr>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5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2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-3294380</wp:posOffset>
            </wp:positionV>
            <wp:extent cx="7134860" cy="286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-2856865</wp:posOffset>
            </wp:positionV>
            <wp:extent cx="7134860" cy="151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-2553970</wp:posOffset>
            </wp:positionV>
            <wp:extent cx="7134860"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-2251075</wp:posOffset>
            </wp:positionV>
            <wp:extent cx="7134860" cy="286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-1813560</wp:posOffset>
            </wp:positionV>
            <wp:extent cx="7134860" cy="176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-1502410</wp:posOffset>
            </wp:positionV>
            <wp:extent cx="7134860"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-1199515</wp:posOffset>
            </wp:positionV>
            <wp:extent cx="7134860" cy="285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-627380</wp:posOffset>
            </wp:positionV>
            <wp:extent cx="7134860"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-324485</wp:posOffset>
            </wp:positionV>
            <wp:extent cx="7134860" cy="151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168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4,571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1,348</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7</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(1,332)</w:t>
      </w:r>
    </w:p>
    <w:p>
      <w:pPr>
        <w:spacing w:after="0" w:line="6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(86)</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(13)</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26670</wp:posOffset>
            </wp:positionV>
            <wp:extent cx="5638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26670</wp:posOffset>
            </wp:positionV>
            <wp:extent cx="563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460" w:space="300"/>
            <w:col w:w="480"/>
          </w:cols>
          <w:pgMar w:left="320" w:top="230" w:right="339" w:bottom="1440" w:gutter="0" w:footer="0" w:header="0"/>
          <w:type w:val="continuous"/>
        </w:sectPr>
      </w:pPr>
    </w:p>
    <w:p>
      <w:pPr>
        <w:spacing w:after="0" w:line="83" w:lineRule="exact"/>
        <w:rPr>
          <w:sz w:val="20"/>
          <w:szCs w:val="20"/>
          <w:color w:val="auto"/>
        </w:rPr>
      </w:pPr>
    </w:p>
    <w:p>
      <w:pPr>
        <w:ind w:left="20"/>
        <w:spacing w:after="0"/>
        <w:tabs>
          <w:tab w:leader="none" w:pos="6320" w:val="left"/>
          <w:tab w:leader="none" w:pos="6760" w:val="left"/>
          <w:tab w:leader="none" w:pos="7300" w:val="left"/>
          <w:tab w:leader="none" w:pos="7860" w:val="left"/>
          <w:tab w:leader="none" w:pos="8300" w:val="left"/>
          <w:tab w:leader="none" w:pos="8860" w:val="left"/>
          <w:tab w:leader="none" w:pos="9300" w:val="left"/>
          <w:tab w:leader="none" w:pos="992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2,274</w:t>
        <w:tab/>
        <w:t>$</w:t>
      </w:r>
      <w:r>
        <w:rPr>
          <w:sz w:val="20"/>
          <w:szCs w:val="20"/>
          <w:color w:val="auto"/>
        </w:rPr>
        <w:tab/>
      </w:r>
      <w:r>
        <w:rPr>
          <w:rFonts w:ascii="Times New Roman" w:cs="Times New Roman" w:eastAsia="Times New Roman" w:hAnsi="Times New Roman"/>
          <w:sz w:val="16"/>
          <w:szCs w:val="16"/>
          <w:color w:val="auto"/>
        </w:rPr>
        <w:t>284</w:t>
        <w:tab/>
        <w:t>$</w:t>
      </w:r>
      <w:r>
        <w:rPr>
          <w:sz w:val="20"/>
          <w:szCs w:val="20"/>
          <w:color w:val="auto"/>
        </w:rPr>
        <w:tab/>
      </w:r>
      <w:r>
        <w:rPr>
          <w:rFonts w:ascii="Times New Roman" w:cs="Times New Roman" w:eastAsia="Times New Roman" w:hAnsi="Times New Roman"/>
          <w:sz w:val="16"/>
          <w:szCs w:val="16"/>
          <w:color w:val="auto"/>
        </w:rPr>
        <w:t>847</w:t>
        <w:tab/>
        <w:t>$</w:t>
      </w:r>
      <w:r>
        <w:rPr>
          <w:sz w:val="20"/>
          <w:szCs w:val="20"/>
          <w:color w:val="auto"/>
        </w:rPr>
        <w:tab/>
      </w:r>
      <w:r>
        <w:rPr>
          <w:rFonts w:ascii="Times New Roman" w:cs="Times New Roman" w:eastAsia="Times New Roman" w:hAnsi="Times New Roman"/>
          <w:sz w:val="16"/>
          <w:szCs w:val="16"/>
          <w:color w:val="auto"/>
        </w:rPr>
        <w:t>426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379"/>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180" w:type="dxa"/>
            <w:vAlign w:val="bottom"/>
          </w:tcPr>
          <w:p>
            <w:pPr>
              <w:spacing w:after="0"/>
              <w:rPr>
                <w:sz w:val="16"/>
                <w:szCs w:val="16"/>
                <w:color w:val="auto"/>
              </w:rPr>
            </w:pP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
        </w:trPr>
        <w:tc>
          <w:tcPr>
            <w:tcW w:w="6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3"/>
        </w:trPr>
        <w:tc>
          <w:tcPr>
            <w:tcW w:w="6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59"/>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46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$28</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4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39"/>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1"/>
        </w:trPr>
        <w:tc>
          <w:tcPr>
            <w:tcW w:w="6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right="3960" w:hanging="314"/>
        <w:spacing w:after="0" w:line="458"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 Total assets by segment were as follows at: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4"/>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7"/>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160,887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20,821</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24,894</w:t>
            </w:r>
          </w:p>
        </w:tc>
      </w:tr>
      <w:tr>
        <w:trPr>
          <w:trHeight w:val="23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21,989</w:t>
            </w:r>
          </w:p>
        </w:tc>
      </w:tr>
      <w:tr>
        <w:trPr>
          <w:trHeight w:val="257"/>
        </w:trPr>
        <w:tc>
          <w:tcPr>
            <w:tcW w:w="7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228,591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12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66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66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64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465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228</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697</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w:t>
            </w:r>
          </w:p>
        </w:tc>
      </w:tr>
      <w:tr>
        <w:trPr>
          <w:trHeight w:val="20"/>
        </w:trPr>
        <w:tc>
          <w:tcPr>
            <w:tcW w:w="6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three months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0"/>
          </w:cols>
          <w:pgMar w:left="320" w:top="230"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liability for future policy benefits (“LFPB”) for non-participating traditional and limited-payment contracts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Settlement and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Settlement and</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0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2,758</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2,899</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 collected</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3,177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7,155</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8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6,947</w:t>
            </w: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99"/>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5,076</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3,935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5,528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3,860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6,586</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6,586</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 end of period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23"/>
        </w:trPr>
        <w:tc>
          <w:tcPr>
            <w:tcW w:w="39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Net liability for future policy benefits, after reinsurance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2,503</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3,903</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6,062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2,574</w:t>
            </w: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3,828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6,523</w:t>
            </w: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recoverable</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years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years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interest accretion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discount rate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premiums or assessments recognized during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5,097</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5,787</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7,420</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5,880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12,937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8,115</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measurement of LFPBs can be significantly impacted by changes in assumptions for policyholder behavior. As part of the 2025 and 2024 annual actuarial reviews (“AAR”), the Company updated assumptions regarding mortality and lapses for term participating and non-participating whole life insurance. The impact from changes in assumptions is presented in effect of changes in cash flow assumptions in the table above.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0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7,784</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cash flow assumptions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beginning of period balance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9,851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8,781</w:t>
            </w:r>
          </w:p>
        </w:tc>
        <w:tc>
          <w:tcPr>
            <w:tcW w:w="0" w:type="dxa"/>
            <w:vAlign w:val="bottom"/>
          </w:tcPr>
          <w:p>
            <w:pPr>
              <w:spacing w:after="0"/>
              <w:rPr>
                <w:sz w:val="1"/>
                <w:szCs w:val="1"/>
                <w:color w:val="auto"/>
              </w:rPr>
            </w:pPr>
          </w:p>
        </w:tc>
      </w:tr>
      <w:tr>
        <w:trPr>
          <w:trHeight w:val="210"/>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10,168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9,124</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8,966</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3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8,173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7,445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 years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 years</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58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measurement of liabilities for secondary guarantees can be significantly impacted by changes in assumptions for policyholder behavior, as well as the expected general account rate of return, which is driven by the Company’s assumption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2025 and 2024 AAR, the Company updated assumptions regarding policyholder behavior, including mortality, premium persistency, lapses and withdrawals. In 2025, the Company also increased the long-term general account earned rate, driven by an increase in the mean reversion rate, from 4.00% to 4.50%. The impact from changes in assumptions, excluding the effects on the ULSG liability for profits followed by losses, is presented in effect of changes in cash flow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38"/>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38"/>
        </w:trPr>
        <w:tc>
          <w:tcPr>
            <w:tcW w:w="8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 (2)</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(3)</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3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2.</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assumptions for ULSG liabilities, including the liability for profits followed by losses was ($1.2) billion for the nine months ended September 30, 2025.</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4.0%, and mortality rates guaranteed in calculating the cash surrender values described in such contracts, and also includes a liability for terminal dividends. Participating whole life insurance represented 3% of the Company’s life insurance in-force at both September 30, 2025 and 2024, and 38% and 39% of gross traditional life insurance premiums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3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Fixed Rate Annuities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3,667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(5,631)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2,055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52,182</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13,777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4,548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6,272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(3,935)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47,814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3.06 %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2.03 %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1.31 %</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2.86 %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26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73,996</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11,561</w:t>
            </w: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32"/>
        </w:trPr>
        <w:tc>
          <w:tcPr>
            <w:tcW w:w="7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87,903</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7,735</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17,697</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38"/>
        </w:trPr>
        <w:tc>
          <w:tcPr>
            <w:tcW w:w="83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 before effect of changes in nonperformance risk</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0"/>
        </w:trPr>
        <w:tc>
          <w:tcPr>
            <w:tcW w:w="8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future expected assumptions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8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0"/>
        </w:trPr>
        <w:tc>
          <w:tcPr>
            <w:tcW w:w="8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 before effect of changes in nonperformance risk</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 net of reinsurance (1)</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74.4 years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73.7 years</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sum of MRB assets and MRB liabilities presented on the consolidated balance sheets at </w:t>
      </w:r>
      <w:r>
        <w:rPr>
          <w:rFonts w:ascii="Times New Roman" w:cs="Times New Roman" w:eastAsia="Times New Roman" w:hAnsi="Times New Roman"/>
          <w:sz w:val="15"/>
          <w:szCs w:val="15"/>
          <w:color w:val="auto"/>
        </w:rPr>
        <w:t>September 30,</w:t>
      </w:r>
      <w:r>
        <w:rPr>
          <w:rFonts w:ascii="Times New Roman" w:cs="Times New Roman" w:eastAsia="Times New Roman" w:hAnsi="Times New Roman"/>
          <w:sz w:val="18"/>
          <w:szCs w:val="18"/>
          <w:color w:val="auto"/>
        </w:rPr>
        <w:t xml:space="preserve"> 2025 and 2024, with the exception of $29 million and $47 million, respectively, of index-linked annuities not included in this table.</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2025 and 2024 AAR, the Company updated assumptions regarding policyholder behavior, mortality and separate account fund allocations. The impact from changes in assumptions is presented in effect of changes in future expected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67"/>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8"/>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Premiums and deposits</w:t>
            </w: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Surrenders and withdrawals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performance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 charges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80,311</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83,439</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Variable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32"/>
        </w:trPr>
        <w:tc>
          <w:tcPr>
            <w:tcW w:w="4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top w:val="single" w:sz="8" w:color="CCEEFF"/>
            </w:tcBorders>
            <w:vMerge w:val="continue"/>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
              <w:spacing w:after="0" w:line="183" w:lineRule="exact"/>
              <w:rPr>
                <w:sz w:val="20"/>
                <w:szCs w:val="20"/>
                <w:color w:val="auto"/>
              </w:rPr>
            </w:pPr>
            <w:r>
              <w:rPr>
                <w:rFonts w:ascii="Times New Roman" w:cs="Times New Roman" w:eastAsia="Times New Roman" w:hAnsi="Times New Roman"/>
                <w:sz w:val="16"/>
                <w:szCs w:val="16"/>
                <w:color w:val="auto"/>
              </w:rPr>
              <w:t>20,171</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11,802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62,181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2,011</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14,883</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0" w:type="dxa"/>
            <w:vAlign w:val="bottom"/>
          </w:tcPr>
          <w:p>
            <w:pPr>
              <w:spacing w:after="0"/>
              <w:rPr>
                <w:sz w:val="1"/>
                <w:szCs w:val="1"/>
                <w:color w:val="auto"/>
              </w:rPr>
            </w:pPr>
          </w:p>
        </w:tc>
      </w:tr>
      <w:tr>
        <w:trPr>
          <w:trHeight w:val="207"/>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4,520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82,145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4,324</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14,632</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policy acquisition costs (“DAC”) and value of business acquired (“VOBA”)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472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47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4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4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sales inducements, included in other assets, was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58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5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5"/>
                <w:szCs w:val="15"/>
                <w:color w:val="auto"/>
              </w:rPr>
            </w:pPr>
          </w:p>
        </w:tc>
      </w:tr>
      <w:tr>
        <w:trPr>
          <w:trHeight w:val="37"/>
        </w:trPr>
        <w:tc>
          <w:tcPr>
            <w:tcW w:w="58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54"/>
        </w:trPr>
        <w:tc>
          <w:tcPr>
            <w:tcW w:w="5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80"/>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9"/>
        </w:trPr>
        <w:tc>
          <w:tcPr>
            <w:tcW w:w="584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Fixed Rate Annuities</w:t>
            </w:r>
          </w:p>
        </w:tc>
      </w:tr>
      <w:tr>
        <w:trPr>
          <w:trHeight w:val="38"/>
        </w:trPr>
        <w:tc>
          <w:tcPr>
            <w:tcW w:w="58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5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7"/>
        </w:trPr>
        <w:tc>
          <w:tcPr>
            <w:tcW w:w="5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766"/>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9"/>
              </w:rPr>
              <w:t>8</w:t>
            </w:r>
          </w:p>
        </w:tc>
      </w:tr>
      <w:tr>
        <w:trPr>
          <w:trHeight w:val="21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746"/>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color w:val="auto"/>
                <w:w w:val="96"/>
              </w:rPr>
              <w:t>(1)</w:t>
            </w:r>
          </w:p>
        </w:tc>
      </w:tr>
      <w:tr>
        <w:trPr>
          <w:trHeight w:val="232"/>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766"/>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9"/>
              </w:rPr>
              <w:t>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67"/>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ULSG</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gridSpan w:val="5"/>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6"/>
              </w:rPr>
              <w:t>(5)</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776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 to the Interim Condensed Consolidated Financial Statements and Notes 1 and 10 of the Notes to the Consolidated Financial Statements included in the 2024 Annual Report for a description of the Company’s accounting policies for investments and the fair value hierarchy for investments and the related valuation methodologies.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32"/>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40,376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8,766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6,005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0" w:type="dxa"/>
            <w:vAlign w:val="bottom"/>
          </w:tcPr>
          <w:p>
            <w:pPr>
              <w:spacing w:after="0"/>
              <w:rPr>
                <w:sz w:val="1"/>
                <w:szCs w:val="1"/>
                <w:color w:val="auto"/>
              </w:rPr>
            </w:pPr>
          </w:p>
        </w:tc>
      </w:tr>
      <w:tr>
        <w:trPr>
          <w:trHeight w:val="40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80" w:type="dxa"/>
            <w:vAlign w:val="bottom"/>
          </w:tcPr>
          <w:p>
            <w:pPr>
              <w:spacing w:after="0"/>
              <w:rPr>
                <w:sz w:val="24"/>
                <w:szCs w:val="24"/>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6,263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3,650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38"/>
        </w:trPr>
        <w:tc>
          <w:tcPr>
            <w:tcW w:w="24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85,484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$15 million and $30 million at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0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September 30, 2025:</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w w:val="97"/>
              </w:rPr>
              <w:t>Due in One Year</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52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220" w:type="dxa"/>
            <w:vAlign w:val="bottom"/>
          </w:tcPr>
          <w:p>
            <w:pPr>
              <w:spacing w:after="0"/>
              <w:rPr>
                <w:sz w:val="14"/>
                <w:szCs w:val="14"/>
                <w:color w:val="auto"/>
              </w:rPr>
            </w:pPr>
          </w:p>
        </w:tc>
        <w:tc>
          <w:tcPr>
            <w:tcW w:w="11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Due After Ten</w:t>
            </w:r>
          </w:p>
        </w:tc>
        <w:tc>
          <w:tcPr>
            <w:tcW w:w="240" w:type="dxa"/>
            <w:vAlign w:val="bottom"/>
          </w:tcPr>
          <w:p>
            <w:pPr>
              <w:spacing w:after="0"/>
              <w:rPr>
                <w:sz w:val="14"/>
                <w:szCs w:val="14"/>
                <w:color w:val="auto"/>
              </w:rPr>
            </w:pPr>
          </w:p>
        </w:tc>
        <w:tc>
          <w:tcPr>
            <w:tcW w:w="11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Fixed</w:t>
            </w: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60" w:type="dxa"/>
            <w:vAlign w:val="bottom"/>
          </w:tcPr>
          <w:p>
            <w:pPr>
              <w:spacing w:after="0"/>
              <w:rPr>
                <w:sz w:val="16"/>
                <w:szCs w:val="16"/>
                <w:color w:val="auto"/>
              </w:rPr>
            </w:pPr>
          </w:p>
        </w:tc>
        <w:tc>
          <w:tcPr>
            <w:tcW w:w="136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9"/>
              </w:rPr>
              <w:t>Through Ten Years</w:t>
            </w:r>
          </w:p>
        </w:tc>
        <w:tc>
          <w:tcPr>
            <w:tcW w:w="220" w:type="dxa"/>
            <w:vAlign w:val="bottom"/>
          </w:tcPr>
          <w:p>
            <w:pPr>
              <w:spacing w:after="0"/>
              <w:rPr>
                <w:sz w:val="16"/>
                <w:szCs w:val="16"/>
                <w:color w:val="auto"/>
              </w:rPr>
            </w:pPr>
          </w:p>
        </w:tc>
        <w:tc>
          <w:tcPr>
            <w:tcW w:w="114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Securities (1)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r>
      <w:tr>
        <w:trPr>
          <w:trHeight w:val="38"/>
        </w:trPr>
        <w:tc>
          <w:tcPr>
            <w:tcW w:w="30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4,532</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12,818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27,911</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21,034</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85,484</w:t>
            </w:r>
          </w:p>
        </w:tc>
      </w:tr>
      <w:tr>
        <w:trPr>
          <w:trHeight w:val="22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4,505</w:t>
            </w:r>
          </w:p>
        </w:tc>
        <w:tc>
          <w:tcPr>
            <w:tcW w:w="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18,945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12,377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24,480</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20,234</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80,541</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securities include residential mortgage-backed securities (“RMBS”), commercial mortgage-backed securities (“CMBS”) and asset-backed securities (“ABS”) (collectively, “Structured Securities”).</w:t>
      </w:r>
    </w:p>
    <w:p>
      <w:pPr>
        <w:spacing w:after="0" w:line="110"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2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88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37"/>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4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37"/>
        </w:trPr>
        <w:tc>
          <w:tcPr>
            <w:tcW w:w="2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position</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98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spacing w:after="0" w:line="7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$698 million and $665 million at September 30, 2025 and December 31, 2024, respectively, and is included in accrued investment income.</w:t>
      </w:r>
    </w:p>
    <w:p>
      <w:pPr>
        <w:spacing w:after="0" w:line="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$62 million, relating to 17 securities, at September 30,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U.S. Corporate</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2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6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59"/>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3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3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total write-offs of $33 million and $10 million for the nine months ended September 30, 2025 and 2024,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7" w:lineRule="exact"/>
        <w:rPr>
          <w:rFonts w:ascii="Times New Roman" w:cs="Times New Roman" w:eastAsia="Times New Roman" w:hAnsi="Times New Roman"/>
          <w:sz w:val="18"/>
          <w:szCs w:val="18"/>
          <w:color w:val="auto"/>
        </w:rPr>
      </w:pPr>
    </w:p>
    <w:p>
      <w:pPr>
        <w:ind w:left="5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880" w:type="dxa"/>
            <w:vAlign w:val="bottom"/>
          </w:tcPr>
          <w:p>
            <w:pPr>
              <w:spacing w:after="0"/>
              <w:rPr>
                <w:sz w:val="16"/>
                <w:szCs w:val="16"/>
                <w:color w:val="auto"/>
              </w:rPr>
            </w:pPr>
          </w:p>
        </w:tc>
      </w:tr>
      <w:tr>
        <w:trPr>
          <w:trHeight w:val="38"/>
        </w:trPr>
        <w:tc>
          <w:tcPr>
            <w:tcW w:w="5260" w:type="dxa"/>
            <w:vAlign w:val="bottom"/>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7"/>
        </w:trPr>
        <w:tc>
          <w:tcPr>
            <w:tcW w:w="5260" w:type="dxa"/>
            <w:vAlign w:val="bottom"/>
          </w:tcPr>
          <w:p>
            <w:pPr>
              <w:spacing w:after="0"/>
              <w:rPr>
                <w:sz w:val="14"/>
                <w:szCs w:val="14"/>
                <w:color w:val="auto"/>
              </w:rPr>
            </w:pP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38"/>
        </w:trPr>
        <w:tc>
          <w:tcPr>
            <w:tcW w:w="52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6"/>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15"/>
                <w:szCs w:val="15"/>
                <w:color w:val="auto"/>
              </w:rPr>
            </w:pPr>
          </w:p>
        </w:tc>
      </w:tr>
      <w:tr>
        <w:trPr>
          <w:trHeight w:val="38"/>
        </w:trPr>
        <w:tc>
          <w:tcPr>
            <w:tcW w:w="5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12,631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86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4,541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19.6</w:t>
            </w:r>
          </w:p>
        </w:tc>
      </w:tr>
      <w:tr>
        <w:trPr>
          <w:trHeight w:val="24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5,867</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23.8</w:t>
            </w: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86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5"/>
              </w:rPr>
              <w:t>23,039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100.7</w:t>
            </w:r>
          </w:p>
        </w:tc>
      </w:tr>
      <w:tr>
        <w:trPr>
          <w:trHeight w:val="24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net</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5"/>
              </w:rPr>
              <w:t>22,834</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9" w:lineRule="auto"/>
        <w:tabs>
          <w:tab w:leader="none" w:pos="3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$250 million and $807 million for the three months and nine months ended September 30, 2025, respectively, and $314 million and $664 million for the three months and nine months ended September 30, 2024, respectively, and were primarily comprised of residential mortgage loans.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$130 million and $132 million at September 30, 2025 and December 31, 2024,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85"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3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5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8"/>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0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9"/>
                <w:szCs w:val="19"/>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9"/>
                <w:szCs w:val="19"/>
                <w:color w:val="auto"/>
              </w:rPr>
            </w:pPr>
          </w:p>
        </w:tc>
        <w:tc>
          <w:tcPr>
            <w:tcW w:w="2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12,631</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9"/>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r>
      <w:tr>
        <w:trPr>
          <w:trHeight w:val="20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w:t>
            </w: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2"/>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r>
      <w:tr>
        <w:trPr>
          <w:trHeight w:val="238"/>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10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5,651</w:t>
            </w:r>
          </w:p>
        </w:tc>
        <w:tc>
          <w:tcPr>
            <w:tcW w:w="1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w:t>
            </w: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59"/>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24"/>
                <w:szCs w:val="24"/>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20"/>
                <w:szCs w:val="20"/>
                <w:color w:val="auto"/>
              </w:rPr>
            </w:pP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0"/>
                <w:szCs w:val="20"/>
                <w:color w:val="auto"/>
              </w:rPr>
            </w:pP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r>
      <w:tr>
        <w:trPr>
          <w:trHeight w:val="216"/>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13,326</w:t>
            </w:r>
          </w:p>
        </w:tc>
      </w:tr>
      <w:tr>
        <w:trPr>
          <w:trHeight w:val="22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1"/>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r>
      <w:tr>
        <w:trPr>
          <w:trHeight w:val="20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21"/>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r>
      <w:tr>
        <w:trPr>
          <w:trHeight w:val="205"/>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23,432</w:t>
            </w: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80" w:type="dxa"/>
            <w:vAlign w:val="bottom"/>
          </w:tcPr>
          <w:p>
            <w:pPr>
              <w:spacing w:after="0"/>
              <w:rPr>
                <w:sz w:val="16"/>
                <w:szCs w:val="16"/>
                <w:color w:val="auto"/>
              </w:rPr>
            </w:pPr>
          </w:p>
        </w:tc>
        <w:tc>
          <w:tcPr>
            <w:tcW w:w="19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6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7"/>
        </w:trPr>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6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1"/>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8"/>
        </w:trPr>
        <w:tc>
          <w:tcPr>
            <w:tcW w:w="6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11,301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89.5 %</w:t>
            </w:r>
          </w:p>
        </w:tc>
        <w:tc>
          <w:tcPr>
            <w:tcW w:w="100" w:type="dxa"/>
            <w:vAlign w:val="bottom"/>
          </w:tcPr>
          <w:p>
            <w:pPr>
              <w:spacing w:after="0"/>
              <w:rPr>
                <w:sz w:val="19"/>
                <w:szCs w:val="19"/>
                <w:color w:val="auto"/>
              </w:rPr>
            </w:pP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12,029</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r>
      <w:tr>
        <w:trPr>
          <w:trHeight w:val="24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r>
      <w:tr>
        <w:trPr>
          <w:trHeight w:val="23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3.7</w:t>
            </w:r>
          </w:p>
        </w:tc>
      </w:tr>
      <w:tr>
        <w:trPr>
          <w:trHeight w:val="263"/>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12,631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September 30, 2025 and December 31, 2024.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2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5"/>
                <w:szCs w:val="15"/>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23,167</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38"/>
        </w:trPr>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5,867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23,432</w:t>
            </w:r>
          </w:p>
        </w:tc>
      </w:tr>
      <w:tr>
        <w:trPr>
          <w:trHeight w:val="20"/>
        </w:trPr>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6"/>
                <w:szCs w:val="16"/>
                <w:color w:val="auto"/>
              </w:rPr>
            </w:pPr>
          </w:p>
        </w:tc>
        <w:tc>
          <w:tcPr>
            <w:tcW w:w="118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4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360" w:type="dxa"/>
            <w:vAlign w:val="bottom"/>
          </w:tcPr>
          <w:p>
            <w:pPr>
              <w:spacing w:after="0"/>
              <w:rPr>
                <w:sz w:val="16"/>
                <w:szCs w:val="16"/>
                <w:color w:val="auto"/>
              </w:rPr>
            </w:pPr>
          </w:p>
        </w:tc>
        <w:tc>
          <w:tcPr>
            <w:tcW w:w="10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3"/>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236</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113</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3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118</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$9 million and $3 million of mortgage loans in nonaccrual status for which there was no related allowance for credit losses at September 30, 2025 and December 31, 2024, respectively.</w:t>
      </w:r>
    </w:p>
    <w:p>
      <w:pPr>
        <w:spacing w:after="0" w:line="110"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$6 million and $3 million for the nine months ended September 30, 2025 and 2024, respectively.</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nine months ended September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4"/>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(6,904)</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9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8"/>
        </w:trPr>
        <w:tc>
          <w:tcPr>
            <w:tcW w:w="9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81"/>
        </w:trPr>
        <w:tc>
          <w:tcPr>
            <w:tcW w:w="9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9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4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41"/>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2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38"/>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7"/>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September 30, 2025 and December 31,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3"/>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3"/>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3,601</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48"/>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3,185</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3,271</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3,360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16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67"/>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3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4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64"/>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September 30, 2025 was $379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non-agency RMBS and CMBS) with 50% invested in agency RMBS, U.S. government and agency securities and cash and cash equivalents at September 30, 2025.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4"/>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w:t>
            </w: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r>
      <w:tr>
        <w:trPr>
          <w:trHeight w:val="238"/>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26,943</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259"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on deposit with governmental authorities relating to certain policyholder liabilities, of which $143 million and $68 million of the assets on deposit represents restricted cash and cash equivalents at September 30, 2025 and December 31, 2024, respectively.</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$533 million and $332 million of the assets held in trust balance represents restricted cash and cash equivalents at September 30, 2025 and December 31, 2024,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Financial Statements included in the 2024 Annual Report) and derivative transactions (see Note 8).</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$218 million and $222 million at redemption value at September 30, 2025 and December 31,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VIEs for which the Company has concluded that it is the primary beneficiary at either September 30, 2025 or December 31, 2024.</w:t>
      </w:r>
    </w:p>
    <w:p>
      <w:pPr>
        <w:spacing w:after="0" w:line="12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276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5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r>
      <w:tr>
        <w:trPr>
          <w:trHeight w:val="37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Maximum Exposure</w:t>
            </w:r>
          </w:p>
        </w:tc>
      </w:t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1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 Loss</w:t>
            </w:r>
          </w:p>
        </w:tc>
      </w:tr>
      <w:tr>
        <w:trPr>
          <w:trHeight w:val="38"/>
        </w:trPr>
        <w:tc>
          <w:tcPr>
            <w:tcW w:w="5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w:t>
            </w:r>
          </w:p>
        </w:tc>
      </w:tr>
      <w:tr>
        <w:trPr>
          <w:trHeight w:val="232"/>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5,265</w:t>
            </w:r>
          </w:p>
        </w:tc>
      </w:tr>
      <w:tr>
        <w:trPr>
          <w:trHeight w:val="26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60" w:type="dxa"/>
            <w:vAlign w:val="bottom"/>
            <w:gridSpan w:val="4"/>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6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4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7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r>
      <w:tr>
        <w:trPr>
          <w:trHeight w:val="46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46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4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r>
      <w:tr>
        <w:trPr>
          <w:trHeight w:val="24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38"/>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3,757</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were $7 million related to trading securities still held for both the three months and nine months ended September 30, 2025. There were no investment gains (losses) related to trading securities still held for the three months and nine months ended September 30, 2024.</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net investment income pertaining to other limited partnership interests of $102 million and $221 million for the three months and nine months ended September 30, 2025, respectively, and $65 million and $259 million for the three months and nine months ended September 30, 2024,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9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60" w:type="dxa"/>
            <w:vAlign w:val="bottom"/>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9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6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4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58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58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58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5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5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411"/>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 (2)</w:t>
            </w:r>
          </w:p>
        </w:tc>
        <w:tc>
          <w:tcPr>
            <w:tcW w:w="5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2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4"/>
        <w:spacing w:after="0" w:line="274" w:lineRule="auto"/>
        <w:tabs>
          <w:tab w:leader="none" w:pos="4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sold a subsidiary which owned certain mineral rights across the U.S. and recognized a gain of $66 million for the three months and nine months ended September 30, 2025.</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the three months and nine months ended September 30, 2025 and 2024.</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20" w:type="dxa"/>
            <w:vAlign w:val="bottom"/>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620" w:type="dxa"/>
            <w:vAlign w:val="bottom"/>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5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1"/>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8"/>
        </w:trPr>
        <w:tc>
          <w:tcPr>
            <w:tcW w:w="7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38"/>
        </w:trPr>
        <w:tc>
          <w:tcPr>
            <w:tcW w:w="7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2024 Annual Report for a description of the Company’s accounting policies for derivatives and the fair value hierarchy for derivatives.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Derivative Instruments and Derivative Strategies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The Company has historically managed the risks related to its variable annuity and first generation Shield Annuity contracts on a combined basis. In the third quarter of 2025, the Company completed an initiative that established a stand-alone hedging program for each product allowing the Company to separately manage the risks related to these two products. Commonly used derivative instruments include, but are not necessarily limited to:</w:t>
      </w:r>
    </w:p>
    <w:p>
      <w:pPr>
        <w:spacing w:after="0" w:line="74" w:lineRule="exact"/>
        <w:rPr>
          <w:sz w:val="20"/>
          <w:szCs w:val="20"/>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swaps, floors, caps, futures, options and forwards;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derivatives: forwards and swaps;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derivatives: futures, options and total return swaps;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derivatives: index reference credit default swaps.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For detailed information on these contracts and the related strategies, see Note 9 of the Notes to the Consolidated Financial Statements included in the 2024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6"/>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30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4"/>
                <w:szCs w:val="14"/>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4"/>
                <w:szCs w:val="14"/>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8"/>
        </w:trPr>
        <w:tc>
          <w:tcPr>
            <w:tcW w:w="30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futures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37"/>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38"/>
        </w:trPr>
        <w:tc>
          <w:tcPr>
            <w:tcW w:w="30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342,440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346,672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Based on gross notional amounts, a substantial portion of the Company’s derivatives was not designated or did not qualify as part of a hedging relationship at both September 30, 2025 and December 31, 2024.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80" w:type="dxa"/>
            <w:vAlign w:val="bottom"/>
          </w:tcPr>
          <w:p>
            <w:pPr>
              <w:spacing w:after="0"/>
              <w:rPr>
                <w:sz w:val="14"/>
                <w:szCs w:val="14"/>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64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80" w:type="dxa"/>
            <w:vAlign w:val="bottom"/>
          </w:tcPr>
          <w:p>
            <w:pPr>
              <w:spacing w:after="0"/>
              <w:rPr>
                <w:sz w:val="13"/>
                <w:szCs w:val="13"/>
                <w:color w:val="auto"/>
              </w:rPr>
            </w:pPr>
          </w:p>
        </w:tc>
        <w:tc>
          <w:tcPr>
            <w:tcW w:w="14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ind w:right="9"/>
              <w:spacing w:after="0" w:line="15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9"/>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60" w:type="dxa"/>
            <w:vAlign w:val="bottom"/>
          </w:tcPr>
          <w:p>
            <w:pPr>
              <w:spacing w:after="0"/>
              <w:rPr>
                <w:sz w:val="17"/>
                <w:szCs w:val="17"/>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80" w:type="dxa"/>
            <w:vAlign w:val="bottom"/>
          </w:tcPr>
          <w:p>
            <w:pPr>
              <w:spacing w:after="0"/>
              <w:rPr>
                <w:sz w:val="17"/>
                <w:szCs w:val="17"/>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1"/>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37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Derivatives Not Designated or Not Qualifying as Hedging</w:t>
            </w: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1"/>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37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Derivatives Not Designated or Not Qualifying as Hedging</w:t>
            </w: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20" w:type="dxa"/>
            <w:vAlign w:val="bottom"/>
          </w:tcPr>
          <w:p>
            <w:pPr>
              <w:spacing w:after="0"/>
              <w:rPr>
                <w:sz w:val="14"/>
                <w:szCs w:val="14"/>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4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4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3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20" w:type="dxa"/>
            <w:vAlign w:val="bottom"/>
          </w:tcPr>
          <w:p>
            <w:pPr>
              <w:spacing w:after="0"/>
              <w:rPr>
                <w:sz w:val="17"/>
                <w:szCs w:val="17"/>
                <w:color w:val="auto"/>
              </w:rPr>
            </w:pPr>
          </w:p>
        </w:tc>
        <w:tc>
          <w:tcPr>
            <w:tcW w:w="12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4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2025 and December 31, 2024, the Company held no qualified derivatives hedging exposure to future cash flows for forecasted asset purchases.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September 30, 2025 and December 31, 2024, the balance in AOCI associated with cash flow hedges was $241 million and $460 million,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line="293" w:lineRule="auto"/>
        <w:rPr>
          <w:sz w:val="20"/>
          <w:szCs w:val="20"/>
          <w:color w:val="auto"/>
        </w:rPr>
      </w:pPr>
      <w:r>
        <w:rPr>
          <w:rFonts w:ascii="Times New Roman" w:cs="Times New Roman" w:eastAsia="Times New Roman" w:hAnsi="Times New Roman"/>
          <w:sz w:val="14"/>
          <w:szCs w:val="14"/>
          <w:b w:val="1"/>
          <w:bCs w:val="1"/>
          <w:color w:val="auto"/>
        </w:rPr>
        <w:t>Rating Agency Designation of Referenced Credit Obligations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22466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Aaa/Aa/A</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Baa</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Caa and Lower</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spacing w:after="0"/>
              <w:rPr>
                <w:sz w:val="16"/>
                <w:szCs w:val="16"/>
                <w:color w:val="auto"/>
              </w:rPr>
            </w:pPr>
          </w:p>
        </w:tc>
      </w:tr>
      <w:tr>
        <w:trPr>
          <w:trHeight w:val="38"/>
        </w:trPr>
        <w:tc>
          <w:tcPr>
            <w:tcW w:w="106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7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59"/>
        </w:trPr>
        <w:tc>
          <w:tcPr>
            <w:tcW w:w="106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Years to</w:t>
            </w:r>
          </w:p>
        </w:tc>
        <w:tc>
          <w:tcPr>
            <w:tcW w:w="104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200" w:type="dxa"/>
            <w:vAlign w:val="bottom"/>
          </w:tcPr>
          <w:p>
            <w:pPr>
              <w:jc w:val="center"/>
              <w:ind w:left="44"/>
              <w:spacing w:after="0" w:line="159"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r>
      <w:tr>
        <w:trPr>
          <w:trHeight w:val="199"/>
        </w:trPr>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4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w w:val="99"/>
              </w:rPr>
              <w:t>Credit Default Swaps</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r>
      <w:tr>
        <w:trPr>
          <w:trHeight w:val="24"/>
        </w:trPr>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8"/>
        </w:trPr>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8"/>
        </w:trPr>
        <w:tc>
          <w:tcPr>
            <w:tcW w:w="18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2"/>
        </w:trPr>
        <w:tc>
          <w:tcPr>
            <w:tcW w:w="18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1"/>
        </w:trPr>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4"/>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19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-798830</wp:posOffset>
            </wp:positionV>
            <wp:extent cx="7134860" cy="151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-495935</wp:posOffset>
            </wp:positionV>
            <wp:extent cx="7134860" cy="151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-193040</wp:posOffset>
            </wp:positionV>
            <wp:extent cx="7134860" cy="176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2960" w:space="680"/>
            <w:col w:w="7600"/>
          </w:cols>
          <w:pgMar w:left="320" w:top="230" w:right="339" w:bottom="1440" w:gutter="0" w:footer="0" w:header="0"/>
          <w:type w:val="continuous"/>
        </w:sectPr>
      </w:pPr>
    </w:p>
    <w:p>
      <w:pPr>
        <w:ind w:left="320" w:hanging="314"/>
        <w:spacing w:after="0" w:line="274"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1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0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Securities Collateral</w:t>
            </w:r>
          </w:p>
        </w:tc>
        <w:tc>
          <w:tcPr>
            <w:tcW w:w="160" w:type="dxa"/>
            <w:vAlign w:val="bottom"/>
          </w:tcPr>
          <w:p>
            <w:pPr>
              <w:spacing w:after="0"/>
              <w:rPr>
                <w:sz w:val="16"/>
                <w:szCs w:val="16"/>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Net Amount After</w:t>
            </w:r>
          </w:p>
        </w:tc>
      </w:tr>
      <w:tr>
        <w:trPr>
          <w:trHeight w:val="186"/>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380" w:type="dxa"/>
            <w:vAlign w:val="bottom"/>
          </w:tcPr>
          <w:p>
            <w:pPr>
              <w:spacing w:after="0"/>
              <w:rPr>
                <w:sz w:val="16"/>
                <w:szCs w:val="16"/>
                <w:color w:val="auto"/>
              </w:rPr>
            </w:pPr>
          </w:p>
        </w:tc>
        <w:tc>
          <w:tcPr>
            <w:tcW w:w="112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(1)</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420" w:type="dxa"/>
            <w:vAlign w:val="bottom"/>
          </w:tcPr>
          <w:p>
            <w:pPr>
              <w:spacing w:after="0"/>
              <w:rPr>
                <w:sz w:val="16"/>
                <w:szCs w:val="16"/>
                <w:color w:val="auto"/>
              </w:rPr>
            </w:pP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5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Pr>
          <w:p>
            <w:pPr>
              <w:spacing w:after="0"/>
              <w:rPr>
                <w:sz w:val="16"/>
                <w:szCs w:val="16"/>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r>
      <w:tr>
        <w:trPr>
          <w:trHeight w:val="38"/>
        </w:trPr>
        <w:tc>
          <w:tcPr>
            <w:tcW w:w="2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7,322</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(5,113)</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6,281</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4,122</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5,353</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2,314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3"/>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3"/>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1,168</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3,671</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37,829</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11,633</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5,708</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0" w:type="dxa"/>
            <w:vAlign w:val="bottom"/>
          </w:tcPr>
          <w:p>
            <w:pPr>
              <w:spacing w:after="0"/>
              <w:rPr>
                <w:sz w:val="1"/>
                <w:szCs w:val="1"/>
                <w:color w:val="auto"/>
              </w:rPr>
            </w:pPr>
          </w:p>
        </w:tc>
      </w:tr>
      <w:tr>
        <w:trPr>
          <w:trHeight w:val="3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94"/>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derivative assets</w:t>
            </w:r>
          </w:p>
        </w:tc>
        <w:tc>
          <w:tcPr>
            <w:tcW w:w="10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80,292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80,311</w:t>
            </w:r>
          </w:p>
        </w:tc>
        <w:tc>
          <w:tcPr>
            <w:tcW w:w="0" w:type="dxa"/>
            <w:vAlign w:val="bottom"/>
          </w:tcPr>
          <w:p>
            <w:pPr>
              <w:spacing w:after="0"/>
              <w:rPr>
                <w:sz w:val="1"/>
                <w:szCs w:val="1"/>
                <w:color w:val="auto"/>
              </w:rPr>
            </w:pPr>
          </w:p>
        </w:tc>
      </w:tr>
      <w:tr>
        <w:trPr>
          <w:trHeight w:val="218"/>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165,724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170,486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0" w:type="dxa"/>
            <w:vAlign w:val="bottom"/>
          </w:tcPr>
          <w:p>
            <w:pPr>
              <w:spacing w:after="0"/>
              <w:rPr>
                <w:sz w:val="1"/>
                <w:szCs w:val="1"/>
                <w:color w:val="auto"/>
              </w:rPr>
            </w:pPr>
          </w:p>
        </w:tc>
      </w:tr>
      <w:tr>
        <w:trPr>
          <w:trHeight w:val="37"/>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00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79,129</w:t>
            </w:r>
          </w:p>
        </w:tc>
        <w:tc>
          <w:tcPr>
            <w:tcW w:w="0" w:type="dxa"/>
            <w:vAlign w:val="bottom"/>
          </w:tcPr>
          <w:p>
            <w:pPr>
              <w:spacing w:after="0"/>
              <w:rPr>
                <w:sz w:val="1"/>
                <w:szCs w:val="1"/>
                <w:color w:val="auto"/>
              </w:rPr>
            </w:pPr>
          </w:p>
        </w:tc>
      </w:tr>
      <w:tr>
        <w:trPr>
          <w:trHeight w:val="417"/>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194"/>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derivative assets</w:t>
            </w:r>
          </w:p>
        </w:tc>
        <w:tc>
          <w:tcPr>
            <w:tcW w:w="10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79,006</w:t>
            </w:r>
          </w:p>
        </w:tc>
        <w:tc>
          <w:tcPr>
            <w:tcW w:w="0" w:type="dxa"/>
            <w:vAlign w:val="bottom"/>
          </w:tcPr>
          <w:p>
            <w:pPr>
              <w:spacing w:after="0"/>
              <w:rPr>
                <w:sz w:val="1"/>
                <w:szCs w:val="1"/>
                <w:color w:val="auto"/>
              </w:rPr>
            </w:pPr>
          </w:p>
        </w:tc>
      </w:tr>
      <w:tr>
        <w:trPr>
          <w:trHeight w:val="218"/>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3,444</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158,494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164,581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are reported in premiums and other receivables. Embedded derivative liabilities on index-linked annuities are reported in policyholder account balances.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ectPr>
          <w:pgSz w:w="11900" w:h="16838" w:orient="portrait"/>
          <w:cols w:equalWidth="0" w:num="1">
            <w:col w:w="11240"/>
          </w:cols>
          <w:pgMar w:left="320" w:top="283" w:right="339" w:bottom="7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73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2025.</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24"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Significant Unobservable Inputs</w:t>
            </w:r>
          </w:p>
        </w:tc>
        <w:tc>
          <w:tcPr>
            <w:tcW w:w="6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Discounted cash flows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6"/>
                <w:szCs w:val="16"/>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15.90%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16"/>
                <w:szCs w:val="16"/>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54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Long-term equity volatilities</w:t>
            </w:r>
          </w:p>
        </w:tc>
        <w:tc>
          <w:tcPr>
            <w:tcW w:w="6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11.80%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31.71%</w:t>
            </w:r>
          </w:p>
        </w:tc>
        <w:tc>
          <w:tcPr>
            <w:tcW w:w="100" w:type="dxa"/>
            <w:vAlign w:val="bottom"/>
          </w:tcPr>
          <w:p>
            <w:pPr>
              <w:spacing w:after="0"/>
              <w:rPr>
                <w:sz w:val="16"/>
                <w:szCs w:val="16"/>
                <w:color w:val="auto"/>
              </w:rPr>
            </w:pPr>
          </w:p>
        </w:tc>
        <w:tc>
          <w:tcPr>
            <w:tcW w:w="6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12.22%</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37.04%</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0.45%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0.20%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168"/>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Option pricing</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vMerge w:val="restart"/>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0.03%</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vMerge w:val="restart"/>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vMerge w:val="restart"/>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76"/>
        </w:trPr>
        <w:tc>
          <w:tcPr>
            <w:tcW w:w="2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techniques</w:t>
            </w:r>
          </w:p>
        </w:tc>
        <w:tc>
          <w:tcPr>
            <w:tcW w:w="120" w:type="dxa"/>
            <w:vAlign w:val="bottom"/>
            <w:vMerge w:val="continue"/>
            <w:shd w:val="clear" w:color="auto" w:fill="CCEEFF"/>
          </w:tcPr>
          <w:p>
            <w:pPr>
              <w:spacing w:after="0"/>
              <w:rPr>
                <w:sz w:val="15"/>
                <w:szCs w:val="15"/>
                <w:color w:val="auto"/>
              </w:rPr>
            </w:pPr>
          </w:p>
        </w:tc>
        <w:tc>
          <w:tcPr>
            <w:tcW w:w="17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0.40%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tcPr>
          <w:p>
            <w:pPr>
              <w:spacing w:after="0"/>
              <w:rPr>
                <w:sz w:val="16"/>
                <w:szCs w:val="16"/>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62.30%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14.90%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13.00%</w:t>
            </w:r>
          </w:p>
        </w:tc>
        <w:tc>
          <w:tcPr>
            <w:tcW w:w="154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0.28%</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5"/>
                <w:szCs w:val="15"/>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0.30%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678"/>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12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60" w:type="dxa"/>
            <w:vAlign w:val="bottom"/>
          </w:tcPr>
          <w:p>
            <w:pPr>
              <w:spacing w:after="0"/>
              <w:rPr>
                <w:sz w:val="9"/>
                <w:szCs w:val="9"/>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20" w:type="dxa"/>
            <w:vAlign w:val="bottom"/>
          </w:tcPr>
          <w:p>
            <w:pPr>
              <w:spacing w:after="0"/>
              <w:rPr>
                <w:sz w:val="9"/>
                <w:szCs w:val="9"/>
                <w:color w:val="auto"/>
              </w:rPr>
            </w:pPr>
          </w:p>
        </w:tc>
        <w:tc>
          <w:tcPr>
            <w:tcW w:w="1120" w:type="dxa"/>
            <w:vAlign w:val="bottom"/>
          </w:tcPr>
          <w:p>
            <w:pPr>
              <w:jc w:val="center"/>
              <w:ind w:right="38"/>
              <w:spacing w:after="0" w:line="106" w:lineRule="exact"/>
              <w:rPr>
                <w:sz w:val="20"/>
                <w:szCs w:val="20"/>
                <w:color w:val="auto"/>
              </w:rPr>
            </w:pPr>
            <w:r>
              <w:rPr>
                <w:rFonts w:ascii="Times New Roman" w:cs="Times New Roman" w:eastAsia="Times New Roman" w:hAnsi="Times New Roman"/>
                <w:sz w:val="12"/>
                <w:szCs w:val="12"/>
                <w:b w:val="1"/>
                <w:bCs w:val="1"/>
                <w:color w:val="auto"/>
              </w:rPr>
              <w:t>Embedded</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4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Derivatives on Index-</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Linked Annuities</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125"/>
        </w:trPr>
        <w:tc>
          <w:tcPr>
            <w:tcW w:w="21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(1,756)</w:t>
            </w: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(10,583)</w:t>
            </w: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w:t>
            </w:r>
          </w:p>
        </w:tc>
        <w:tc>
          <w:tcPr>
            <w:tcW w:w="0" w:type="dxa"/>
            <w:vAlign w:val="bottom"/>
          </w:tcPr>
          <w:p>
            <w:pPr>
              <w:spacing w:after="0"/>
              <w:rPr>
                <w:sz w:val="1"/>
                <w:szCs w:val="1"/>
                <w:color w:val="auto"/>
              </w:rPr>
            </w:pPr>
          </w:p>
        </w:tc>
      </w:tr>
      <w:tr>
        <w:trPr>
          <w:trHeight w:val="128"/>
        </w:trPr>
        <w:tc>
          <w:tcPr>
            <w:tcW w:w="2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22</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(11,527)</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6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w:t>
            </w: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6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net income (loss) for the</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instruments still held at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0" w:type="dxa"/>
            <w:vAlign w:val="bottom"/>
          </w:tcPr>
          <w:p>
            <w:pPr>
              <w:spacing w:after="0"/>
              <w:rPr>
                <w:sz w:val="1"/>
                <w:szCs w:val="1"/>
                <w:color w:val="auto"/>
              </w:rPr>
            </w:pPr>
          </w:p>
        </w:tc>
      </w:tr>
      <w:tr>
        <w:trPr>
          <w:trHeight w:val="16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September 30, 2025 (7)</w:t>
            </w:r>
          </w:p>
        </w:tc>
        <w:tc>
          <w:tcPr>
            <w:tcW w:w="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16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OCI for the instruments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1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still held as of September 30, 2025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6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w:t>
            </w: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6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net income (loss) for the</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instruments still held at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0" w:type="dxa"/>
            <w:vAlign w:val="bottom"/>
          </w:tcPr>
          <w:p>
            <w:pPr>
              <w:spacing w:after="0"/>
              <w:rPr>
                <w:sz w:val="1"/>
                <w:szCs w:val="1"/>
                <w:color w:val="auto"/>
              </w:rPr>
            </w:pPr>
          </w:p>
        </w:tc>
      </w:tr>
      <w:tr>
        <w:trPr>
          <w:trHeight w:val="166"/>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September 30, 2024 (7)</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gridSpan w:val="2"/>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gridSpan w:val="2"/>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gridSpan w:val="2"/>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16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OCI for the instruments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1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still held as of September 30, 2024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34290</wp:posOffset>
            </wp:positionV>
            <wp:extent cx="5771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7151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left="678"/>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Embedded</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1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Trading</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Derivatives on Index-</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Linked Annuities</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16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128"/>
        </w:trPr>
        <w:tc>
          <w:tcPr>
            <w:tcW w:w="2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(2,740)</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0"/>
                <w:szCs w:val="10"/>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1"/>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1,542</w:t>
            </w: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(3,664)</w:t>
            </w: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16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0" w:type="dxa"/>
            <w:vAlign w:val="bottom"/>
          </w:tcPr>
          <w:p>
            <w:pPr>
              <w:spacing w:after="0"/>
              <w:rPr>
                <w:sz w:val="1"/>
                <w:szCs w:val="1"/>
                <w:color w:val="auto"/>
              </w:rPr>
            </w:pPr>
          </w:p>
        </w:tc>
      </w:tr>
      <w:tr>
        <w:trPr>
          <w:trHeight w:val="380"/>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860" cy="260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ectPr>
          <w:pgSz w:w="11900" w:h="16838" w:orient="portrait"/>
          <w:cols w:equalWidth="0" w:num="1">
            <w:col w:w="11240"/>
          </w:cols>
          <w:pgMar w:left="320" w:top="283" w:right="339" w:bottom="218" w:gutter="0" w:footer="0" w:header="0"/>
        </w:sect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end of period</w:t>
      </w:r>
    </w:p>
    <w:p>
      <w:pPr>
        <w:spacing w:after="0" w:line="48" w:lineRule="exact"/>
        <w:rPr>
          <w:sz w:val="20"/>
          <w:szCs w:val="20"/>
          <w:color w:val="auto"/>
        </w:rPr>
      </w:pPr>
    </w:p>
    <w:p>
      <w:pPr>
        <w:ind w:left="18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w:t>
      </w:r>
    </w:p>
    <w:p>
      <w:pPr>
        <w:jc w:val="both"/>
        <w:ind w:left="180" w:right="640"/>
        <w:spacing w:after="0" w:line="230" w:lineRule="auto"/>
        <w:rPr>
          <w:sz w:val="20"/>
          <w:szCs w:val="20"/>
          <w:color w:val="auto"/>
        </w:rPr>
      </w:pPr>
      <w:r>
        <w:rPr>
          <w:rFonts w:ascii="Times New Roman" w:cs="Times New Roman" w:eastAsia="Times New Roman" w:hAnsi="Times New Roman"/>
          <w:sz w:val="12"/>
          <w:szCs w:val="12"/>
          <w:color w:val="auto"/>
        </w:rPr>
        <w:t>instruments still held at September 30, 2025 (7)</w:t>
      </w:r>
    </w:p>
    <w:p>
      <w:pPr>
        <w:spacing w:after="0" w:line="13" w:lineRule="exact"/>
        <w:rPr>
          <w:sz w:val="20"/>
          <w:szCs w:val="20"/>
          <w:color w:val="auto"/>
        </w:rPr>
      </w:pPr>
    </w:p>
    <w:p>
      <w:pPr>
        <w:ind w:left="180" w:right="4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OCI for the instruments</w:t>
      </w:r>
    </w:p>
    <w:p>
      <w:pPr>
        <w:ind w:left="180" w:right="80"/>
        <w:spacing w:after="0" w:line="230" w:lineRule="auto"/>
        <w:rPr>
          <w:sz w:val="20"/>
          <w:szCs w:val="20"/>
          <w:color w:val="auto"/>
        </w:rPr>
      </w:pPr>
      <w:r>
        <w:rPr>
          <w:rFonts w:ascii="Times New Roman" w:cs="Times New Roman" w:eastAsia="Times New Roman" w:hAnsi="Times New Roman"/>
          <w:sz w:val="12"/>
          <w:szCs w:val="12"/>
          <w:color w:val="auto"/>
        </w:rPr>
        <w:t>still held as of September 30, 2025 (7)</w:t>
      </w:r>
    </w:p>
    <w:p>
      <w:pPr>
        <w:spacing w:after="0" w:line="13" w:lineRule="exact"/>
        <w:rPr>
          <w:sz w:val="20"/>
          <w:szCs w:val="20"/>
          <w:color w:val="auto"/>
        </w:rPr>
      </w:pPr>
    </w:p>
    <w:p>
      <w:pPr>
        <w:ind w:left="18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w:t>
      </w:r>
    </w:p>
    <w:p>
      <w:pPr>
        <w:jc w:val="both"/>
        <w:ind w:left="180" w:right="640"/>
        <w:spacing w:after="0" w:line="230" w:lineRule="auto"/>
        <w:rPr>
          <w:sz w:val="20"/>
          <w:szCs w:val="20"/>
          <w:color w:val="auto"/>
        </w:rPr>
      </w:pPr>
      <w:r>
        <w:rPr>
          <w:rFonts w:ascii="Times New Roman" w:cs="Times New Roman" w:eastAsia="Times New Roman" w:hAnsi="Times New Roman"/>
          <w:sz w:val="12"/>
          <w:szCs w:val="12"/>
          <w:color w:val="auto"/>
        </w:rPr>
        <w:t>instruments still held at September 30, 2024 (7)</w:t>
      </w:r>
    </w:p>
    <w:p>
      <w:pPr>
        <w:spacing w:after="0" w:line="13" w:lineRule="exact"/>
        <w:rPr>
          <w:sz w:val="20"/>
          <w:szCs w:val="20"/>
          <w:color w:val="auto"/>
        </w:rPr>
      </w:pPr>
    </w:p>
    <w:p>
      <w:pPr>
        <w:ind w:left="180" w:right="4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OCI for the instruments</w:t>
      </w:r>
    </w:p>
    <w:p>
      <w:pPr>
        <w:ind w:left="180" w:right="80"/>
        <w:spacing w:after="0" w:line="230" w:lineRule="auto"/>
        <w:rPr>
          <w:sz w:val="20"/>
          <w:szCs w:val="20"/>
          <w:color w:val="auto"/>
        </w:rPr>
      </w:pPr>
      <w:r>
        <w:rPr>
          <w:rFonts w:ascii="Times New Roman" w:cs="Times New Roman" w:eastAsia="Times New Roman" w:hAnsi="Times New Roman"/>
          <w:sz w:val="12"/>
          <w:szCs w:val="12"/>
          <w:color w:val="auto"/>
        </w:rPr>
        <w:t>still held as of September 30, 2024 (7)</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2"/>
        </w:trPr>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tcPr>
          <w:p>
            <w:pPr>
              <w:spacing w:after="0"/>
              <w:rPr>
                <w:sz w:val="14"/>
                <w:szCs w:val="1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tcPr>
          <w:p>
            <w:pPr>
              <w:spacing w:after="0"/>
              <w:rPr>
                <w:sz w:val="14"/>
                <w:szCs w:val="14"/>
                <w:color w:val="auto"/>
              </w:rPr>
            </w:pP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4"/>
                <w:szCs w:val="1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(11,527)</w:t>
            </w:r>
          </w:p>
        </w:tc>
      </w:tr>
      <w:tr>
        <w:trPr>
          <w:trHeight w:val="30"/>
        </w:trPr>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3"/>
        </w:trPr>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(3,568)</w:t>
            </w:r>
          </w:p>
        </w:tc>
      </w:tr>
      <w:tr>
        <w:trPr>
          <w:trHeight w:val="30"/>
        </w:trPr>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3"/>
        </w:trPr>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24"/>
                <w:szCs w:val="24"/>
                <w:color w:val="auto"/>
              </w:rPr>
            </w:pP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3"/>
        </w:trPr>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24"/>
                <w:szCs w:val="24"/>
                <w:color w:val="auto"/>
              </w:rPr>
            </w:pP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4"/>
                <w:szCs w:val="2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(4,183)</w:t>
            </w:r>
          </w:p>
        </w:tc>
      </w:tr>
      <w:tr>
        <w:trPr>
          <w:trHeight w:val="30"/>
        </w:trPr>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3"/>
        </w:trPr>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24"/>
                <w:szCs w:val="24"/>
                <w:color w:val="auto"/>
              </w:rPr>
            </w:pP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-1395730</wp:posOffset>
            </wp:positionV>
            <wp:extent cx="7134860" cy="3448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34480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-706120</wp:posOffset>
            </wp:positionV>
            <wp:extent cx="7134860" cy="344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34480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1980" w:space="180"/>
            <w:col w:w="9080"/>
          </w:cols>
          <w:pgMar w:left="320" w:top="283" w:right="339" w:bottom="218"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ectPr>
          <w:pgSz w:w="11900" w:h="16838" w:orient="portrait"/>
          <w:cols w:equalWidth="0" w:num="1">
            <w:col w:w="11240"/>
          </w:cols>
          <w:pgMar w:left="320" w:top="283" w:right="339" w:bottom="21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218"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66"/>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22,834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21,662</w:t>
            </w: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1,039</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504</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8,172</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29,770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29,657</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832</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1,434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752</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1,280</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1,280</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6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23,254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1,626</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1,123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8,394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31,830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1,360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1,244</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11, 2025, Brighthouse Life Insurance Company received a $100 million capital contribution from BH Holdings.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gridSpan w:val="8"/>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0"/>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5"/>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10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00" w:type="dxa"/>
            <w:vAlign w:val="bottom"/>
          </w:tcPr>
          <w:p>
            <w:pPr>
              <w:spacing w:after="0"/>
              <w:rPr>
                <w:sz w:val="12"/>
                <w:szCs w:val="12"/>
                <w:color w:val="auto"/>
              </w:rPr>
            </w:pP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100" w:type="dxa"/>
            <w:vAlign w:val="bottom"/>
          </w:tcPr>
          <w:p>
            <w:pPr>
              <w:spacing w:after="0"/>
              <w:rPr>
                <w:sz w:val="12"/>
                <w:szCs w:val="12"/>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410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0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0"/>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51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0"/>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41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4"/>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4"/>
        </w:trPr>
        <w:tc>
          <w:tcPr>
            <w:tcW w:w="4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w:t>
            </w:r>
          </w:p>
        </w:tc>
      </w:tr>
      <w:tr>
        <w:trPr>
          <w:trHeight w:val="24"/>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4"/>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w:t>
            </w:r>
          </w:p>
        </w:tc>
      </w:tr>
      <w:tr>
        <w:trPr>
          <w:trHeight w:val="25"/>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1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jc w:val="center"/>
              <w:ind w:left="53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(5,106)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344</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(1,624)</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1,150</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2,559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(683)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4"/>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(3,084)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611</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(3,060)</w:t>
            </w:r>
          </w:p>
        </w:tc>
        <w:tc>
          <w:tcPr>
            <w:tcW w:w="120" w:type="dxa"/>
            <w:vAlign w:val="bottom"/>
            <w:gridSpan w:val="3"/>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gridSpan w:val="3"/>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gridSpan w:val="3"/>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11"/>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jc w:val="center"/>
              <w:ind w:left="55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364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94"/>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194</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11"/>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jc w:val="center"/>
              <w:ind w:left="53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4"/>
              </w:rPr>
              <w:t>(11)</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(2)</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4"/>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w w:val="97"/>
              </w:rPr>
              <w:t>(2)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w w:val="97"/>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w:t>
            </w:r>
          </w:p>
        </w:tc>
      </w:t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Operations and Comprehensive Income</w:t>
            </w:r>
          </w:p>
        </w:tc>
      </w:tr>
      <w:tr>
        <w:trPr>
          <w:trHeight w:val="175"/>
        </w:trPr>
        <w:tc>
          <w:tcPr>
            <w:tcW w:w="4900" w:type="dxa"/>
            <w:vAlign w:val="bottom"/>
            <w:gridSpan w:val="2"/>
          </w:tcPr>
          <w:p>
            <w:pPr>
              <w:ind w:left="1900"/>
              <w:spacing w:after="0"/>
              <w:rPr>
                <w:sz w:val="20"/>
                <w:szCs w:val="20"/>
                <w:color w:val="auto"/>
              </w:rPr>
            </w:pPr>
            <w:r>
              <w:rPr>
                <w:rFonts w:ascii="Times New Roman" w:cs="Times New Roman" w:eastAsia="Times New Roman" w:hAnsi="Times New Roman"/>
                <w:sz w:val="12"/>
                <w:szCs w:val="12"/>
                <w:b w:val="1"/>
                <w:bCs w:val="1"/>
                <w:color w:val="auto"/>
              </w:rPr>
              <w:t>AOCI Components</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Amounts Reclassified from AOCI</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 Locations</w:t>
            </w:r>
          </w:p>
        </w:tc>
      </w:tr>
      <w:tr>
        <w:trPr>
          <w:trHeight w:val="30"/>
        </w:trPr>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13"/>
        </w:trPr>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tcPr>
          <w:p>
            <w:pPr>
              <w:jc w:val="right"/>
              <w:ind w:right="14"/>
              <w:spacing w:after="0" w:line="113"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gridSpan w:val="4"/>
          </w:tcPr>
          <w:p>
            <w:pPr>
              <w:jc w:val="right"/>
              <w:ind w:right="430"/>
              <w:spacing w:after="0" w:line="113" w:lineRule="exact"/>
              <w:rPr>
                <w:sz w:val="20"/>
                <w:szCs w:val="20"/>
                <w:color w:val="auto"/>
              </w:rPr>
            </w:pPr>
            <w:r>
              <w:rPr>
                <w:rFonts w:ascii="Times New Roman" w:cs="Times New Roman" w:eastAsia="Times New Roman" w:hAnsi="Times New Roman"/>
                <w:sz w:val="12"/>
                <w:szCs w:val="12"/>
                <w:b w:val="1"/>
                <w:bCs w:val="1"/>
                <w:color w:val="auto"/>
              </w:rPr>
              <w:t>Nine Months Ended</w:t>
            </w: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5"/>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2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96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color w:val="auto"/>
              </w:rPr>
              <w:t>(132)  Net investment gains (losses)</w:t>
            </w:r>
          </w:p>
        </w:tc>
      </w:tr>
      <w:tr>
        <w:trPr>
          <w:trHeight w:val="24"/>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r>
      <w:tr>
        <w:trPr>
          <w:trHeight w:val="22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(10)  Net derivative gains (losses)</w:t>
            </w:r>
          </w:p>
        </w:tc>
      </w:tr>
      <w:tr>
        <w:trPr>
          <w:trHeight w:val="19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4"/>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19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4"/>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18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6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222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6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222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198"/>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4"/>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218"/>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219"/>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6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revenues included 12b-1 fees of $50 million and $149 million for the three months and nine months ended September 30, 2025, respectively, and $52 million and $154 million for the three months and nine months ended September 30, 2024,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9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4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6"/>
        </w:trPr>
        <w:tc>
          <w:tcPr>
            <w:tcW w:w="6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64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1"/>
        </w:trPr>
        <w:tc>
          <w:tcPr>
            <w:tcW w:w="6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8"/>
        </w:trPr>
        <w:tc>
          <w:tcPr>
            <w:tcW w:w="6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4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4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8"/>
        </w:trPr>
        <w:tc>
          <w:tcPr>
            <w:tcW w:w="6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20"/>
        </w:trPr>
        <w:tc>
          <w:tcPr>
            <w:tcW w:w="6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for a discussion of related party expenses included in the table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2025.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September 30, 2025,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9"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The Company intends to vigorously defend this matter.</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Kennedy v. Progress Software Corporation, et al. </w:t>
      </w:r>
      <w:r>
        <w:rPr>
          <w:rFonts w:ascii="Times New Roman" w:cs="Times New Roman" w:eastAsia="Times New Roman" w:hAnsi="Times New Roman"/>
          <w:sz w:val="18"/>
          <w:szCs w:val="18"/>
          <w:color w:val="auto"/>
        </w:rPr>
        <w:t>(U.S.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w:t>
      </w:r>
    </w:p>
    <w:p>
      <w:pPr>
        <w:spacing w:after="0" w:line="24" w:lineRule="exact"/>
        <w:rPr>
          <w:sz w:val="20"/>
          <w:szCs w:val="20"/>
          <w:color w:val="auto"/>
        </w:rPr>
      </w:pPr>
    </w:p>
    <w:p>
      <w:pPr>
        <w:jc w:val="both"/>
        <w:ind w:left="160"/>
        <w:spacing w:after="0" w:line="247" w:lineRule="auto"/>
        <w:rPr>
          <w:sz w:val="20"/>
          <w:szCs w:val="20"/>
          <w:color w:val="auto"/>
        </w:rPr>
      </w:pPr>
      <w:r>
        <w:rPr>
          <w:rFonts w:ascii="Times New Roman" w:cs="Times New Roman" w:eastAsia="Times New Roman" w:hAnsi="Times New Roman"/>
          <w:sz w:val="18"/>
          <w:szCs w:val="18"/>
          <w:color w:val="auto"/>
        </w:rPr>
        <w:t>assessments related thereto</w:t>
      </w:r>
      <w:r>
        <w:rPr>
          <w:rFonts w:ascii="Times New Roman" w:cs="Times New Roman" w:eastAsia="Times New Roman" w:hAnsi="Times New Roman"/>
          <w:sz w:val="21"/>
          <w:szCs w:val="21"/>
          <w:color w:val="0000FF"/>
        </w:rPr>
        <w:t>.</w:t>
      </w:r>
      <w:r>
        <w:rPr>
          <w:rFonts w:ascii="Times New Roman" w:cs="Times New Roman" w:eastAsia="Times New Roman" w:hAnsi="Times New Roman"/>
          <w:sz w:val="18"/>
          <w:szCs w:val="18"/>
          <w:color w:val="auto"/>
        </w:rPr>
        <w:t xml:space="preserve">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September 30, 2025, the Company estimates the range of reasonably possible losses in excess of the amounts accrued for certain other loss contingencies to be from zero up to approximately $15 million relating to a certain reinsurance matter, as described above. For certain matters, the Company may not currently be able to estimate the reasonably possible loss or estimated range of loss until developments in such matters have provided sufficient information to support an assessment of such loss.</w:t>
      </w:r>
    </w:p>
    <w:p>
      <w:pPr>
        <w:spacing w:after="0" w:line="8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$325 million and $271 million at September 30, 2025 and December 31,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and Private Corporate Bond Investments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private corporate bond investments. The amounts of these unfunded commitments were $1.6 billion and $1.7 billion at September 30, 2025 and December 31,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September 30, 2025 and December 31,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Reinsurance Agreements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and also as a provider of reinsurance for some insurance products issued by related parties. The Company participates in reinsurance activities in order to limit losses, minimize exposure to significant risks and provide additional capacity for future growth.</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significant effects of assumed reinsurance with New England Life Insurance Company (“NELICO”), an affiliate, included on the interim condensed consolidated statements of operations and comprehensive income (loss)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34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3"/>
                <w:szCs w:val="13"/>
                <w:color w:val="auto"/>
              </w:rPr>
            </w:pPr>
          </w:p>
        </w:tc>
      </w:tr>
      <w:tr>
        <w:trPr>
          <w:trHeight w:val="191"/>
        </w:trPr>
        <w:tc>
          <w:tcPr>
            <w:tcW w:w="5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r>
      <w:tr>
        <w:trPr>
          <w:trHeight w:val="186"/>
        </w:trPr>
        <w:tc>
          <w:tcPr>
            <w:tcW w:w="560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r>
      <w:tr>
        <w:trPr>
          <w:trHeight w:val="38"/>
        </w:trPr>
        <w:tc>
          <w:tcPr>
            <w:tcW w:w="56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1"/>
        </w:trPr>
        <w:tc>
          <w:tcPr>
            <w:tcW w:w="5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8"/>
        </w:trPr>
        <w:tc>
          <w:tcPr>
            <w:tcW w:w="5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96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6"/>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96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96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96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significant effects of assumed reinsurance with NELICO included on the interim condensed consolidated balance sheets was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3"/>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3"/>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 (net of allowance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policy-related balances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Shared Services and Overhead Allocations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has entered into various agreements with affiliates regarding the provision of certain services, which include, but are not limited to, treasury, financial planning and analysis, legal, human resources, tax planning, internal audit, financial reporting and information technology. Revenues received from an affiliate related to these agreements, recorded in universal life and investment-type product policy fees, were $43 million and $126 million for the three months and nine months ended September 30, 2025, respectively, and $45 million and $133 million for the three months and nine months ended September 30, 2024, respectively. Costs incurred under these arrangements were $229 million and $664 million for the three months and nine months ended September 30, 2025, respectively, and $221 million and $669 million for the three months and nine months ended September 30, 2024, respectively, and were recorded in other expenses.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00" w:lineRule="exact"/>
        <w:rPr>
          <w:sz w:val="20"/>
          <w:szCs w:val="20"/>
          <w:color w:val="auto"/>
        </w:rPr>
      </w:pPr>
    </w:p>
    <w:p>
      <w:pPr>
        <w:spacing w:after="0" w:line="3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had net receivables from/(payables to) affiliates, related to the items discussed above, of ($75) million and ($71) million at September 30, 2025 and December 31,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Broker-Dealer Transactions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$42 million and $124 million for the three months and nine months ended September 30, 2025, respectively, and $44 million and $130 million for the three months and nine months ended September 30, 2024, respectively. Commission expenses incurred related to these transactions and recorded in other expenses were $244 million and $710 million for the three months and nine months ended September 30, 2025, respectively, and $232 million and $701 million for the three months and nine months ended September 30, 2024, respectively. The Company also had related party fee income receivables of $14 million and $15 million at September 30, 2025 and December 31, 2024,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(“Parent”), Aquarian Beacon Merger Sub Inc., a Delaware corporation and an indirect wholly-owned subsidiary of Parent (“Merger Sub”), and Aquarian Holdings LLC, a Delaware limited liability company (“Aquarian Holdings”), solely for the purpose of certain provisions, pursuant to which, at the closing of the transactions contemplated by the Merger Agreement, Merger Sub will merge with and into BHF, with BHF surviving as a wholly owned subsidiary of Parent (the “Merger”). Brighthouse Life Insurance Company will remain an indirect wholly owned subsidiary of BHF after the effective time of the Merger (the “Effective Time”).</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consummation of the Merger is subject to the satisfaction or waiver of customary closing conditions, including, among others, the adoption of the Merger Agreement by the affirmative vote of the holders of a majority of the outstanding shares of BHF common stock entitled to vote thereon at a meeting of BHF stockholders and the receipt of certain regulatory approvals, including from insurance regulators in Delaware, New York and Massachusetts. Parent’s and Merger Sub’s obligations are also conditioned upon the absence of a Company Material Adverse Effect (as defined in the Merger Agreement) and the absence of a Burdensome Condition (as defined in the Merger Agreement). The Merger Agreement also contains customary representations, warranties and covenants by each of Parent, Merger Sub, Aquarian Holdings and BHF, including, among others, covenants by BHF to use its reasonable best efforts to conduct its business in the ordinary course consistent with past practice and to refrain from taking certain actions prior to the Effective Time, in each case except with Parent’s consent.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940" w:type="dxa"/>
            <w:vAlign w:val="bottom"/>
            <w:gridSpan w:val="4"/>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5"/>
        </w:trPr>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5"/>
              </w:rPr>
              <w:t>Overview</w:t>
            </w:r>
          </w:p>
        </w:tc>
        <w:tc>
          <w:tcPr>
            <w:tcW w:w="930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62</w:t>
            </w:r>
          </w:p>
        </w:tc>
        <w:tc>
          <w:tcPr>
            <w:tcW w:w="100" w:type="dxa"/>
            <w:vAlign w:val="bottom"/>
            <w:tcBorders>
              <w:top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6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Regulatory Developments</w:t>
            </w:r>
          </w:p>
        </w:tc>
        <w:tc>
          <w:tcPr>
            <w:tcW w:w="81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06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9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42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Non-GAAP Financial Disclosures</w:t>
            </w:r>
          </w:p>
        </w:tc>
        <w:tc>
          <w:tcPr>
            <w:tcW w:w="7580" w:type="dxa"/>
            <w:vAlign w:val="bottom"/>
            <w:gridSpan w:val="3"/>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8460" w:type="dxa"/>
            <w:vAlign w:val="bottom"/>
            <w:gridSpan w:val="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65</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0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840" w:type="dxa"/>
            <w:vAlign w:val="bottom"/>
            <w:gridSpan w:val="3"/>
          </w:tcPr>
          <w:p>
            <w:pPr>
              <w:jc w:val="center"/>
              <w:ind w:left="572"/>
              <w:spacing w:after="0" w:line="205" w:lineRule="exact"/>
              <w:rPr>
                <w:sz w:val="20"/>
                <w:szCs w:val="20"/>
                <w:color w:val="auto"/>
              </w:rPr>
            </w:pPr>
            <w:r>
              <w:rPr>
                <w:rFonts w:ascii="Times New Roman" w:cs="Times New Roman" w:eastAsia="Times New Roman" w:hAnsi="Times New Roman"/>
                <w:sz w:val="18"/>
                <w:szCs w:val="18"/>
                <w:color w:val="0000FF"/>
                <w:w w:val="99"/>
              </w:rPr>
              <w:t>70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Note Regarding Forward-Looking Statements</w:t>
            </w:r>
          </w:p>
        </w:tc>
        <w:tc>
          <w:tcPr>
            <w:tcW w:w="840" w:type="dxa"/>
            <w:vAlign w:val="bottom"/>
            <w:gridSpan w:val="3"/>
          </w:tcPr>
          <w:p>
            <w:pPr>
              <w:jc w:val="center"/>
              <w:ind w:left="572"/>
              <w:spacing w:after="0" w:line="205" w:lineRule="exact"/>
              <w:rPr>
                <w:sz w:val="20"/>
                <w:szCs w:val="20"/>
                <w:color w:val="auto"/>
              </w:rPr>
            </w:pPr>
            <w:r>
              <w:rPr>
                <w:rFonts w:ascii="Times New Roman" w:cs="Times New Roman" w:eastAsia="Times New Roman" w:hAnsi="Times New Roman"/>
                <w:sz w:val="18"/>
                <w:szCs w:val="18"/>
                <w:color w:val="0000FF"/>
                <w:w w:val="99"/>
              </w:rPr>
              <w:t>71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124" w:right="6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For purposes of this discussion, “BLIC,” the “Company,” “we,” “our” and “us” refer to Brighthouse Life Insurance Company and its subsidiaries, and “Brighthouse Life Insurance Company” refers solely to Brighthouse Life Insurance Company and not to any of its subsidiaries. Brighthouse Life Insurance Company is an indirect wholly-owned subsidiary of Brighthouse Financial, Inc. (“BHF” and together with its subsidiaries, “Brighthouse Financial”).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2024 (the “2024 Annual Report”) filed with the U.S. Securities and Exchange Commission (“SEC”) on March 3, 2025; (iii) our Quarterly Report on Form 10-Q for the quarter ended March 31, 2025 filed with the SEC on May 12, 2025; (iv) our Quarterly Report on Form 10-Q for the quarter ended June 30, 2025 filed with the SEC on August 11, 2025; and (v) our current reports on Form 8-K filed in 2025.</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offer a range of annuity and life insurance products to individuals and deliver our products through multiple independent distribution channels and marketing arrangements with a diverse network of distribution partners. Brighthouse Life Insurance Company, a Delaware corporation, is licensed to write business in all U.S. states (except New York), the District of Columbia, the Bahamas, Guam, Puerto Rico, the British Virgin Islands and the U.S. Virgin Islands. Brighthouse Life Insurance Company of NY (“BHNY”), a wholly-owned subsidiary of Brighthouse Life Insurance Company, is domiciled in New York and licensed to write business only in New York.</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organized into the following reportable segments: Annuities; Life; Run-off; and Corporate &amp; Other. See “Business — Segment Information” included in our 2024 Annual Report, as well as Note 2 of the Notes to the Interim Condensed Consolidated Financial Statements for further information regarding our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(“Parent”), Aquarian Beacon Merger Sub Inc., a Delaware corporation and an indirect wholly-owned subsidiary of Parent (“Merger Sub”), and Aquarian Holdings LLC, a Delaware limited liability company (“Aquarian Holdings”), solely for the purpose of certain provisions, pursuant to which, at the closing of the transactions contemplated by the Merger Agreement, Merger Sub will merge with and into BHF, with BHF surviving as a wholly owned subsidiary of Parent (the “Merger”). Brighthouse Life Insurance Company will remain an indirect wholly owned subsidiary of BHF after the effective time of the Merger (the “Effective Time”).</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consummation of the Merger is subject to the satisfaction or waiver of customary closing conditions, including, among others, the adoption of the Merger Agreement by the affirmative vote of the holders of a majority of the outstanding shares of BHF common stock entitled to vote thereon at a meeting of BHF stockholders and the receipt of certain regulatory approvals, including from insurance regulators in Delaware, New York and Massachusetts. Parent’s and Merger Sub’s obligations are also conditioned upon the absence of a Company Material Adverse Effect (as defined in the Merger Agreement) and the absence of a Burdensome Condition (as defined in the Merger Agreement). The Merger Agreement also contains customary representations, warranties and covenants by each of Parent, Merger Sub, Aquarian Holdings and BHF, including, among others, covenants by BHF to use its reasonable best efforts to conduct its business in the ordinary course consistent with past practice and to refrain from taking certain actions prior to the Effective Time, in each case except with Parent’s consent.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Level Annuities (“Shield” and “Shield Annuity”) and other separate account products as a result of the effects it has on product demand, revenues, expenses, reserves and our risk management effectiveness. The Federal Reserve Board decreased the target range for the federal funds rate in September and October 2025, as well as in September, November and December 2024,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(“AAR”). As additional company specific or industry information on contract holder behavior becomes available, related assumptions may change and may potentially have a material impact on liability valuations and net income.</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“Risk Factors — Economic Environment and Capital Markets-Related Risks” and “Risk Factors — Risks Related to Our Investment Portfolio” included in our 2024 Annual Report for a detailed discussion of financial and economic impacts on our business, including the potential impacts of interest rate risk and inflation risk on our investments and overall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Developments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including our insurance subsidiary, BHNY, and our reinsurance subsidiary, Brighthouse Reinsurance Company of Delaware, are primarily regulated at the state level, with some products and services also subject to federal regulation. In addition, Brighthouse Life Insurance Company and BHNY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2024 Annual Report, as amended or supplemented by our quarterly reports under the heading “Management’s Discussion and Analysis of Financial Condition and Results of Operations — Regulatory Developments.”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Tax Reform</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12, 2024, the Internal Revenue Service (“IRS”) and the U.S. Department of Treasury (the “U.S. Treasury”) issued proposed regulations with respect to the CAMT. On September 30, 2025, the IRS issued Notice 2025-46 and Notice 2025-49 (collectively, the “Notices”) that provide interim guidance on certain matters and signal the Treasury’s intent to partially withdraw and amend the prior proposed regulations. There remain significant uncertainties regarding the application of the CAMT, and there can be no assurance that final regulations, if adopted, will be adopted in a form consistent with the existing guidance. The Company is currently assessing the impact of the proposed regulations and the Notices, including the impact on the applicability of the CAMT.</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Based on guidance issued by the U.S. Treasury and the IRS to date, the Company was not subject to the CAMT for the years ended December 31, 2023 and 2024 and does not currently expect to be subject to the CAMT for the year ended December 31, 2025. However, the Company will continue to assess the applicability of the CAMT on an annual basis and may be subject to the CAMT in future years.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(the “OBBBA”), which includes certain changes to U.S. corporate tax provisions and extends many of the provisions of the Tax Cuts and Jobs Act that were set to expire at the end of 2025. The Company does not currently expect the OBBBA to have a material impact on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Climate Disclosure</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October 2023, California enacted the Climate Corporate Data Accountability Act (“CCDAA”), or SB 253, and the Climate-Related Financial Risk Act (“CRFRA”), or SB 261. The CCDAA requires companies with annual revenues exceeding $1.0 billion that conduct business in California to report their Scope 1 and 2 greenhouse gas (“GHG”) emissions annually starting in 2026; and Scope 3 GHG emissions starting in 2027. The CRFRA applies to companies with annual revenues over $500 million that conduct business in California and requires disclosure of climate-related financial risks and mitigation measures taken to address such risks, with the first report due on January 1, 2026, and biennially thereafter. The Company intends to report under the CCDAA and under the CRFRA.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market risk benefits (“MRB”);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2024 Annual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and contract holders by highlighting the results of operations and the underlying profitability drivers of our business. Adjusted earnings should not be viewed as a substitute for net income (loss) attributable to Brighthouse Life Insurance Company, which is the most directly comparable financial measure calculated in accordance with GAAP. See “— Results of Operations” for a reconciliation of adjusted earnings to net income (loss) attributable to Brighthouse Life Insurance Company.</w:t>
      </w:r>
    </w:p>
    <w:p>
      <w:pPr>
        <w:spacing w:after="0" w:line="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Adjusted Earnings</w:t>
            </w:r>
          </w:p>
        </w:tc>
        <w:tc>
          <w:tcPr>
            <w:tcW w:w="7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How Derived from GAAP (1)</w:t>
            </w:r>
          </w:p>
        </w:tc>
      </w:tr>
      <w:tr>
        <w:trPr>
          <w:trHeight w:val="24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r>
      <w:tr>
        <w:trPr>
          <w:trHeight w:val="25"/>
        </w:trPr>
        <w:tc>
          <w:tcPr>
            <w:tcW w:w="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186"/>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w w:val="98"/>
              </w:rPr>
              <w:t xml:space="preserve">Net investment income </w:t>
            </w:r>
            <w:r>
              <w:rPr>
                <w:rFonts w:ascii="Times New Roman" w:cs="Times New Roman" w:eastAsia="Times New Roman" w:hAnsi="Times New Roman"/>
                <w:sz w:val="18"/>
                <w:szCs w:val="18"/>
                <w:color w:val="auto"/>
                <w:w w:val="98"/>
              </w:rPr>
              <w:t>(excluding investment gains (losses) on trading securities) plus</w:t>
            </w:r>
          </w:p>
        </w:tc>
      </w:tr>
      <w:tr>
        <w:trPr>
          <w:trHeight w:val="165"/>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8"/>
                <w:szCs w:val="18"/>
                <w:color w:val="auto"/>
              </w:rPr>
              <w:t xml:space="preserve">Investment Hedge Adjustments reduced by </w:t>
            </w:r>
            <w:r>
              <w:rPr>
                <w:rFonts w:ascii="Times New Roman" w:cs="Times New Roman" w:eastAsia="Times New Roman" w:hAnsi="Times New Roman"/>
                <w:sz w:val="18"/>
                <w:szCs w:val="18"/>
                <w:i w:val="1"/>
                <w:iCs w:val="1"/>
                <w:color w:val="auto"/>
              </w:rPr>
              <w:t>Interest credited to policyholder account</w:t>
            </w:r>
          </w:p>
        </w:tc>
      </w:tr>
      <w:tr>
        <w:trPr>
          <w:trHeight w:val="232"/>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 xml:space="preserve">balances </w:t>
            </w:r>
            <w:r>
              <w:rPr>
                <w:rFonts w:ascii="Times New Roman" w:cs="Times New Roman" w:eastAsia="Times New Roman" w:hAnsi="Times New Roman"/>
                <w:sz w:val="18"/>
                <w:szCs w:val="18"/>
                <w:color w:val="auto"/>
                <w:w w:val="98"/>
              </w:rPr>
              <w:t>(excluding Market Value Adjustments) and interest on future policy benefits.</w:t>
            </w:r>
          </w:p>
        </w:tc>
      </w:tr>
      <w:tr>
        <w:trPr>
          <w:trHeight w:val="185"/>
        </w:trPr>
        <w:tc>
          <w:tcPr>
            <w:tcW w:w="3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r>
      <w:tr>
        <w:trPr>
          <w:trHeight w:val="225"/>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r>
      <w:tr>
        <w:trPr>
          <w:trHeight w:val="186"/>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(iv)</w:t>
            </w:r>
          </w:p>
        </w:tc>
        <w:tc>
          <w:tcPr>
            <w:tcW w:w="3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(iv)</w:t>
            </w: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r>
      <w:tr>
        <w:trPr>
          <w:trHeight w:val="225"/>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r>
      <w:tr>
        <w:trPr>
          <w:trHeight w:val="23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370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5080" w:right="20"/>
        <w:spacing w:after="0" w:line="230" w:lineRule="auto"/>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 non-recurring items.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r>
        <w:rPr>
          <w:rFonts w:ascii="Times New Roman" w:cs="Times New Roman" w:eastAsia="Times New Roman" w:hAnsi="Times New Roman"/>
          <w:sz w:val="14"/>
          <w:szCs w:val="14"/>
          <w:b w:val="1"/>
          <w:bCs w:val="1"/>
          <w:color w:val="auto"/>
        </w:rPr>
        <w:t>_</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Actuarial Review</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conducted our GAAP AAR in the third quarter. As part of the 2025 GAAP AAR, for our universal life insurance with secondary guarantees (“ULSG”) business, we updated assumptions regarding policyholder behavior, including mortality, premium persistency, lapses and withdrawals. In addition, we increased the long-term general account earned rate, driven by an increase in the mean reversion rate, from 4.00% to 4.50%. For our variable annuity business, we updated assumptions regarding annuitization, mortality, guaranteed principal option utilization, lapses and withdrawals, as well as separate account assumptions, including fund fees and allocations. For the payout annuity business, we updated assumptions regarding mortality. For term participating and non-participating whole life insurance, we updated assumptions regarding mortality and lapses.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currently in the process of conducting our 2025 statutory AAR, the results of which will be included in Brighthouse Life Insurance Company’s and BHNY’s respective 2025 annual statutory financial statements. We anticipate that the 2025 statutory AAR will result in an increase to our statutory reserves; however, we do not believe a contribution of capital to Brighthouse Life Insurance Company or BHNY would be necessary to support their respective risk-based capital ratios. See “Risk Factors — Risks Related to Our Business — Differences between actual experience and actuarial assumptions may adversely affect our financial results, capitalization and financial condition” included in our 2024 Annual Report.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Nine Months Ended September 30, 2025 and 2024</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9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36"/>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w:t>
            </w:r>
          </w:p>
        </w:tc>
      </w:tr>
      <w:tr>
        <w:trPr>
          <w:trHeight w:val="22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($273) and ($980) respectively)</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r>
      <w:tr>
        <w:trPr>
          <w:trHeight w:val="236"/>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w:t>
            </w:r>
          </w:p>
        </w:tc>
      </w:tr>
      <w:tr>
        <w:trPr>
          <w:trHeight w:val="23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38"/>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income (loss) were as follows:</w:t>
      </w:r>
    </w:p>
    <w:p>
      <w:pPr>
        <w:spacing w:after="0" w:line="24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attributable to Brighthouse Life Insurance Company before provision for income tax</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Income before provision for income tax was $147 million ($161 million, net of income tax), an increase of $703 million ($551 million, net of income tax) from loss before provision for income tax of $556 million ($390 million, net of income tax) in the prior period.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as discussed in greater detail below;</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800" w:hanging="317"/>
        <w:spacing w:after="0" w:line="259"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sales of fixed maturity securities, a net decrease in impairments on fixed maturity securities, and a gain on the sale of a subsidiary which owned certain mineral rights across the U.S., partially offset by higher losses on mortgage loans due to an increase in the allowance for credit losses;</w:t>
      </w:r>
    </w:p>
    <w:p>
      <w:pPr>
        <w:spacing w:after="0" w:line="7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from variable annuity guaranteed benefit riders, see “— Annuity Guaranteed Benefits and Shield Annuity Liabilities for the Nine Months Ended September 30, 2025 and 2024”; and</w:t>
      </w:r>
    </w:p>
    <w:p>
      <w:pPr>
        <w:spacing w:after="0" w:line="57"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long-term interest rates on interest rate derivatives used to manage interest rate exposure in our ULSG business, as interest rates decreased more in the current period combined with lower rate volatility, resulting in a loss of $142 million, and decreased less in the prior period, resulting in a loss of $196 million.</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increase in income before provision for income tax was partially offset by the U.S. dollar weakening more in the current period than the prior period, unfavorably impacting foreign currency forwards and swaps.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(9)% in the current period compared to 30% in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Income (Loss) to Adjusted Earnings (Loss)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net income (loss) attributable to Brighthouse Life Insurance Company to adjusted earnings (loss) was as follows:</w:t>
      </w:r>
    </w:p>
    <w:p>
      <w:pPr>
        <w:spacing w:after="0" w:line="25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1"/>
        </w:trPr>
        <w:tc>
          <w:tcPr>
            <w:tcW w:w="8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r>
      <w:tr>
        <w:trPr>
          <w:trHeight w:val="38"/>
        </w:trPr>
        <w:tc>
          <w:tcPr>
            <w:tcW w:w="8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3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attributable to Brighthouse Life Insurance Company before provision for income tax</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46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$2 and $28, respectively</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4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3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Nine Months Ended September 30, 2025 and 2024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40"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6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1"/>
        </w:trPr>
        <w:tc>
          <w:tcPr>
            <w:tcW w:w="8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r>
      <w:tr>
        <w:trPr>
          <w:trHeight w:val="37"/>
        </w:trPr>
        <w:tc>
          <w:tcPr>
            <w:tcW w:w="8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r>
      <w:tr>
        <w:trPr>
          <w:trHeight w:val="24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4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37"/>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43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$1.3 billion in the current period, an increase of $348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in our ULSG, life and annuity business and other refinements;</w:t>
      </w:r>
    </w:p>
    <w:p>
      <w:pPr>
        <w:spacing w:after="0" w:line="57"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in our ULSG business resulting from a reinsurance premium rate increase associated with the conclusion of a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business;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in our ULSG business resulting from a premium rate increase on an existing reinsurance agreement;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4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(“COI”) fees in our life and ULSG business related to the conclusion of the aforementioned reinsurance arbitration in the prior period;</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COI fees driven by our aging in-force ULSG business;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our life and ULSG business in the prior period;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a lower net investment spread due to:</w:t>
      </w:r>
    </w:p>
    <w:p>
      <w:pPr>
        <w:spacing w:after="0" w:line="111" w:lineRule="exact"/>
        <w:rPr>
          <w:sz w:val="20"/>
          <w:szCs w:val="20"/>
          <w:color w:val="auto"/>
        </w:rPr>
      </w:pPr>
    </w:p>
    <w:p>
      <w:pPr>
        <w:ind w:left="1120" w:hanging="319"/>
        <w:spacing w:after="0" w:line="274" w:lineRule="auto"/>
        <w:tabs>
          <w:tab w:leader="none" w:pos="11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prior period changes made in connection with the AAR and current period actuarial modeling improvements in our annuity business;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limited liability companies.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18% in the current period compared to 17%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Nine Months Ended September 30, 2025 and 2024</w:t>
      </w:r>
    </w:p>
    <w:p>
      <w:pPr>
        <w:spacing w:after="0" w:line="115"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The overall impact on income (loss)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188"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60" w:type="dxa"/>
            <w:vAlign w:val="bottom"/>
          </w:tcPr>
          <w:p>
            <w:pPr>
              <w:spacing w:after="0"/>
              <w:rPr>
                <w:sz w:val="17"/>
                <w:szCs w:val="17"/>
                <w:color w:val="auto"/>
              </w:rPr>
            </w:pPr>
          </w:p>
        </w:tc>
        <w:tc>
          <w:tcPr>
            <w:tcW w:w="9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3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38"/>
        </w:trPr>
        <w:tc>
          <w:tcPr>
            <w:tcW w:w="8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4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9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286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28638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Variable annuity and Shield hedges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900" w:type="dxa"/>
            <w:vAlign w:val="bottom"/>
          </w:tcPr>
          <w:p>
            <w:pPr>
              <w:jc w:val="center"/>
              <w:ind w:left="341"/>
              <w:spacing w:after="0"/>
              <w:rPr>
                <w:sz w:val="20"/>
                <w:szCs w:val="20"/>
                <w:color w:val="auto"/>
              </w:rPr>
            </w:pPr>
            <w:r>
              <w:rPr>
                <w:rFonts w:ascii="Times New Roman" w:cs="Times New Roman" w:eastAsia="Times New Roman" w:hAnsi="Times New Roman"/>
                <w:sz w:val="16"/>
                <w:szCs w:val="16"/>
                <w:color w:val="auto"/>
                <w:w w:val="99"/>
              </w:rPr>
              <w:t>1,506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center"/>
              <w:ind w:left="341"/>
              <w:spacing w:after="0"/>
              <w:rPr>
                <w:sz w:val="20"/>
                <w:szCs w:val="20"/>
                <w:color w:val="auto"/>
              </w:rPr>
            </w:pPr>
            <w:r>
              <w:rPr>
                <w:rFonts w:ascii="Times New Roman" w:cs="Times New Roman" w:eastAsia="Times New Roman" w:hAnsi="Times New Roman"/>
                <w:sz w:val="16"/>
                <w:szCs w:val="16"/>
                <w:color w:val="auto"/>
                <w:w w:val="99"/>
              </w:rPr>
              <w:t>1,039</w:t>
            </w:r>
          </w:p>
        </w:tc>
      </w:tr>
      <w:tr>
        <w:trPr>
          <w:trHeight w:val="250"/>
        </w:trPr>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color w:val="auto"/>
              </w:rPr>
              <w:t>(2,626)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color w:val="auto"/>
                <w:w w:val="98"/>
              </w:rPr>
              <w:t>(3,490)</w:t>
            </w:r>
          </w:p>
        </w:tc>
      </w:tr>
      <w:tr>
        <w:trPr>
          <w:trHeight w:val="232"/>
        </w:trPr>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color w:val="auto"/>
                <w:w w:val="98"/>
              </w:rPr>
              <w:t>(1,266)</w:t>
            </w:r>
          </w:p>
        </w:tc>
      </w:tr>
      <w:tr>
        <w:trPr>
          <w:trHeight w:val="27"/>
        </w:trPr>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-193040</wp:posOffset>
            </wp:positionV>
            <wp:extent cx="7134860" cy="176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7640" w:space="720"/>
            <w:col w:w="2880"/>
          </w:cols>
          <w:pgMar w:left="320" w:top="124"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nine months ended September 30, 2025,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changes made in connection with the AAR and decreasing interest rates, partially offset by increasing equity markets;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 decreasing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changes made in connection with the AAR.</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Annuity guaranteed benefits and Shield Annuity liabilities performance was unfavorable for the </w:t>
      </w:r>
      <w:r>
        <w:rPr>
          <w:rFonts w:ascii="Times New Roman" w:cs="Times New Roman" w:eastAsia="Times New Roman" w:hAnsi="Times New Roman"/>
          <w:sz w:val="15"/>
          <w:szCs w:val="15"/>
          <w:color w:val="auto"/>
        </w:rPr>
        <w:t>nine months ended September 30, 2024</w:t>
      </w:r>
      <w:r>
        <w:rPr>
          <w:rFonts w:ascii="Times New Roman" w:cs="Times New Roman" w:eastAsia="Times New Roman" w:hAnsi="Times New Roman"/>
          <w:sz w:val="18"/>
          <w:szCs w:val="18"/>
          <w:color w:val="auto"/>
        </w:rPr>
        <w:t>, primarily driven</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92" w:lineRule="exact"/>
        <w:rPr>
          <w:sz w:val="20"/>
          <w:szCs w:val="20"/>
          <w:color w:val="auto"/>
        </w:rPr>
      </w:pPr>
    </w:p>
    <w:p>
      <w:pPr>
        <w:ind w:left="800" w:hanging="317"/>
        <w:spacing w:after="0" w:line="274" w:lineRule="auto"/>
        <w:tabs>
          <w:tab w:leader="none" w:pos="7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equity markets and interest rates, as well as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partially offset by changes made in connection with the AAR.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issuances. For further information regarding market factors that could affect our ability to meet liquidity and capital needs, see “— Overview — Financial and Economic Environment,” as well as “Risk Factors — Economic Environment and Capital Markets-Related Risks” and “Risk Factors — Risks Related to Our Investment Portfolio” included in our 2024 Annual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 Agencies</w:t>
      </w:r>
    </w:p>
    <w:p>
      <w:pPr>
        <w:spacing w:after="0" w:line="11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Rating agencies continue to review and adjust our ratings. In July 2025, S&amp;P revised the financial strength ratings for Brighthouse Life Insurance Company and certain affiliates to A from A+, among other revisions. Following the announcement that BHF has entered into the Merger Agreement, S&amp;P, Moody’s and AM Best have revised their outlook on our financial strength ratings. On November 6, 2025, S&amp;P placed Brighthouse Life Insurance Company and certain affiliates on CreditWatch Negative. On November 7, 2025, Moody’s placed Brighthouse Life Insurance Company and certain affiliates on review for a downgrade and changed the financial strength rating outlooks for those entities to rating under review. On November 10, 2025, AM Best placed Brighthouse Life Insurance Company and certain affiliates under review with negative implications. In addition, on November 10, 2025, Fitch downgraded the financial strength ratings for Brighthouse Life Insurance Company and an affiliate to A- from A. See “Risk Factors — Risks Related to Our Business — A downgrade or a potential downgrade in our financial strength or credit ratings could result in a loss of business and materially adversely affect our financial condition and results of operations” included in our 2024 Annual Report for a description of the potential impact of a ratings downgrade.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 and Capital</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“Management’s Discussion and Analysis of Financial Condition and Results of Operations — Liquidity and Capital Resources — Sources and Uses of Liquidity and Capital” in our 2024 Annual Report, the following additional information is provided regarding our primary sources of liquidity and capital:</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Funding Agreements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2024 Annual Report for additional information on funding agreements.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Repurchase Agreement Program</w:t>
      </w:r>
    </w:p>
    <w:p>
      <w:pPr>
        <w:spacing w:after="0" w:line="11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Commercial Paper Program</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Notes Program</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Federal Home Loan Bank Funding Agreements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we maintain a secured funding agreement program, under which funding agreements may be issued.</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Farmer Mac Funding Agreements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00" w:type="dxa"/>
            <w:vAlign w:val="bottom"/>
          </w:tcPr>
          <w:p>
            <w:pPr>
              <w:spacing w:after="0"/>
              <w:rPr>
                <w:sz w:val="16"/>
                <w:szCs w:val="16"/>
                <w:color w:val="auto"/>
              </w:rPr>
            </w:pPr>
          </w:p>
        </w:tc>
        <w:tc>
          <w:tcPr>
            <w:tcW w:w="22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20" w:type="dxa"/>
            <w:vAlign w:val="bottom"/>
            <w:gridSpan w:val="5"/>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180" w:type="dxa"/>
            <w:vAlign w:val="bottom"/>
          </w:tcPr>
          <w:p>
            <w:pPr>
              <w:spacing w:after="0"/>
              <w:rPr>
                <w:sz w:val="19"/>
                <w:szCs w:val="19"/>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0" w:type="dxa"/>
            <w:vAlign w:val="bottom"/>
          </w:tcPr>
          <w:p>
            <w:pPr>
              <w:spacing w:after="0"/>
              <w:rPr>
                <w:sz w:val="1"/>
                <w:szCs w:val="1"/>
                <w:color w:val="auto"/>
              </w:rPr>
            </w:pPr>
          </w:p>
        </w:tc>
      </w:tr>
      <w:tr>
        <w:trPr>
          <w:trHeight w:val="24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180" w:type="dxa"/>
            <w:vAlign w:val="bottom"/>
          </w:tcPr>
          <w:p>
            <w:pPr>
              <w:spacing w:after="0"/>
              <w:rPr>
                <w:sz w:val="19"/>
                <w:szCs w:val="19"/>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0" w:type="dxa"/>
            <w:vAlign w:val="bottom"/>
          </w:tcPr>
          <w:p>
            <w:pPr>
              <w:spacing w:after="0"/>
              <w:rPr>
                <w:sz w:val="1"/>
                <w:szCs w:val="1"/>
                <w:color w:val="auto"/>
              </w:rPr>
            </w:pPr>
          </w:p>
        </w:tc>
      </w:tr>
      <w:tr>
        <w:trPr>
          <w:trHeight w:val="24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8"/>
        </w:trPr>
        <w:tc>
          <w:tcPr>
            <w:tcW w:w="2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9,817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16,155</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BLIC.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9" w:lineRule="exact"/>
        <w:rPr>
          <w:sz w:val="20"/>
          <w:szCs w:val="20"/>
          <w:color w:val="auto"/>
        </w:rPr>
      </w:pPr>
    </w:p>
    <w:p>
      <w:pPr>
        <w:jc w:val="both"/>
        <w:ind w:left="640" w:hanging="316"/>
        <w:spacing w:after="0" w:line="259"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BHF’s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pendency of the Merger on Brighthouse Financial’s ongoing business and operations, including disruption to business relationships, or the diversion of management’s attention from ongoing business operations and opportunities;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conduct of Brighthouse Financial’s business prior to the closing of the Merger;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be more expensive to complete than anticipated, including as a result of unexpected factors or events;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Life Insurance Company’s ability to pay dividends, as well as the ability of its subsidiaries to pay dividends to Brighthouse Life Insurance Company;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2024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2024 Annual Report.</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from the market risk exposures previously disclosed in our 2024 Annual Report, with the exception of sensitivity to changes in interest rates and equity prices. The sensitivity of our financial instruments to a 100 basis point increase in interest rates increased potential losses to $4.8 billion at September 30, 2025 from $4.5 billion at December 31, 2024. The sensitivity of our financial instruments to a 10% decrease in equity prices increased potential losses to $525 million at September 30, 2025 from $316 million at December 31, 2024. The increases in potential losses on our interest rate and equity market sensitivities were driven by higher derivative balances at September 30, 2025 compared to the prior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September 30, 2025.</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as a subsidiary of Brighthouse Financial, Inc. We consider these in aggregate to be material changes in our internal control over financial reporting.</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September 30, 2025 that have materially affected, or are reasonably likely to materially affect, these internal controls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12 of the Notes to the Interim Condensed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discuss in this report, in our 2024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2024 Annual Report, except as described below.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0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Merger is subject to a number of conditions, many of which are largely outside the parties’ control, and, if these conditions are not satisfied or waived, the Merger may not be completed within the expected timeframe or at all</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6, 2025, BHF entered into the Merger Agreement, pursuant to which, at the closing of the transactions contemplated by the Merger Agreement, Merger Sub will merge with and into BHF, and the separate corporate existence of Merger Sub will cease, with BHF continuing as the surviving corporation and as a wholly owned subsidiary of Parent. The completion of the Merger is subject to the satisfaction or waiver of certain customary conditions, including, among others, (i) the adoption of the Merger Agreement by the affirmative vote of holders of a majority of the issued and outstanding shares of BHF’s common stock, (ii) the expiration of the applicable waiting period under the Hart-Scott-Rodino Antitrust Improvement Act of 1976, as amended, (iii) receipt of required regulatory approvals from insurance regulators in Delaware, New York and Massachusetts, (iv) receipt of approval from Financial Industry Regulatory Authority, Inc. of a change in control of Brighthouse Securities, LLC under FINRA Rule 1017, (v) the absence of any judgment, order, injunction or other legal restraint prohibiting the Merger and (vi) the absence of a “Company Material Adverse Effect” or “Burdensome Condition,” as each is defined in the Merger Agreement. In addition, the obligation of each party to complete the Merger is conditioned upon, among other things, the accuracy of the representations and warranties of each party (subject to certain materiality exceptions) and material compliance by each party with its obligations, covenants and agreements under the Merger Agreement.</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can be no assurance that the conditions to completion of the Merger will be satisfied or waived on a timely basis or at all. If such conditions are not satisfied or waived, BHF may be unable to complete the Merger in the timeframe or manner currently anticipated or at all.</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adversely affect Brighthouse Financial’s business, results of operations or financial condition, including in the event BHF is required to pay the Termination Fee</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Merger is not completed within the expected timeframe or at all, the ongoing business of Brighthouse Financial could be adversely affected and will be subject to certain risks, including, among others, the following: (i) Brighthouse Financial will have incurred, and may continue to incur, significant expenses for professional services and other transaction costs in connection with the Merger for which Brighthouse Financial will have received little or no benefit if the Merger is not completed and (ii) failure to complete the Merger may result in negative publicity or result in a negative impression of Brighthouse Financial with policyholders and other stakeholders.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pursuant to the Merger Agreement, Brighthouse Financial is subject to certain restrictions on the conduct of its business prior to the closing of the Merger, which may adversely affect its ability to execute certain of its business strategies. If the Merger is not completed, these risks could materially affect the business and financial results of Brighthouse Financial.</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if the Merger is terminated, in certain circumstances, BHF could be required to pay a termination fee of approximately $143.5 million. In such circumstances, BHF may be required to use available cash that would have otherwise been available for general corporate purposes or other uses, which may materially and adversely affect its business, results of operations or financial condition and consequently, could have a material adverse effect on our financial condition, results of operations and liquidity.</w:t>
      </w:r>
    </w:p>
    <w:p>
      <w:pPr>
        <w:spacing w:after="0" w:line="7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While the Merger is pending, Brighthouse Financial will be subject to business uncertainties and certain contractual restrictions that could adversely affect our business, results of operations or financial condition</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Brighthouse Financial has expended, and continues to expend, significant management time and resources in an effort to complete the Merger, which may have a negative impact on our ongoing business and operations. Uncertainty regarding the outcome of the Merger and our future could disrupt our business relationships with our existing and potential customers, suppliers, distributors, vendors and other business partners, who may attempt to negotiate changes to existing business relationships or consider entering into business relationships with parties other than us. Uncertainty regarding the outcome of the Merger could also adversely affect our ability to recruit and retain key personnel and other associates.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due to certain restrictions in the Merger Agreement on the conduct of business prior to completing the Merger, Brighthouse Financial may be unable (without the Parent’s prior written consent), during the pendency of the Merger, to pursue strategic transactions, undertake certain significant financing transactions and otherwise pursue other actions, even if such actions would prove beneficial to BHF or us.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occurrence of any of these events, individually or in combination, could have a material and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November 6, 2025, BHF entered into the Merger Agreement. See Note 14 of the 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Plans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All of Brighthouse Life Insurance Company’s common stock is held by Brighthouse Holdings, LLC. As such, during the three months ended September 30,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9" w:lineRule="exact"/>
        <w:rPr>
          <w:sz w:val="20"/>
          <w:szCs w:val="20"/>
          <w:color w:val="auto"/>
        </w:rPr>
      </w:pPr>
    </w:p>
    <w:p>
      <w:pPr>
        <w:jc w:val="both"/>
        <w:ind w:firstLine="159"/>
        <w:spacing w:after="0" w:line="24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Life Insurance Company,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its subsidiaries and affiliates may be found elsewhere herein and in Brighthouse Life Insurance Company’s other public filings, which are available without charge through the U.S. Securities and Exchange Commission website at www.sec.gov.)</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06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9"/>
        </w:trPr>
        <w:tc>
          <w:tcPr>
            <w:tcW w:w="10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5"/>
                <w:szCs w:val="15"/>
                <w:color w:val="auto"/>
              </w:rPr>
            </w:pPr>
          </w:p>
        </w:tc>
        <w:tc>
          <w:tcPr>
            <w:tcW w:w="1006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7"/>
                <w:szCs w:val="17"/>
                <w:color w:val="auto"/>
              </w:rPr>
            </w:pPr>
          </w:p>
        </w:tc>
        <w:tc>
          <w:tcPr>
            <w:tcW w:w="100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0"/>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5"/>
        </w:trPr>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101.SCH*</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101.DEF*</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5"/>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6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rPr>
              <w:t>The cover page of Brighthouse Life Insurance Company’s Quarterly Report on Form 10-Q for the quarter ended September 30, 2025,</w:t>
            </w:r>
          </w:p>
        </w:tc>
      </w:tr>
      <w:tr>
        <w:trPr>
          <w:trHeight w:val="2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0"/>
                <w:szCs w:val="20"/>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formatted in Inline XBRL (included within the Exhibit 101 attachments).</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BRIGHTHOUSE LIFE INSURANCE COMPANY</w:t>
      </w:r>
    </w:p>
    <w:p>
      <w:pPr>
        <w:spacing w:after="0" w:line="111" w:lineRule="exact"/>
        <w:rPr>
          <w:sz w:val="20"/>
          <w:szCs w:val="20"/>
          <w:color w:val="auto"/>
        </w:rPr>
      </w:pPr>
    </w:p>
    <w:tbl>
      <w:tblPr>
        <w:tblLayout w:type="fixed"/>
        <w:tblInd w:w="3080" w:type="dxa"/>
        <w:tblCellMar>
          <w:top w:w="0" w:type="dxa"/>
          <w:left w:w="0" w:type="dxa"/>
          <w:bottom w:w="0" w:type="dxa"/>
          <w:right w:w="0" w:type="dxa"/>
        </w:tblCellMar>
      </w:tblP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Melissa B. Pavlovich</w:t>
            </w:r>
          </w:p>
        </w:tc>
      </w:tr>
      <w:tr>
        <w:trPr>
          <w:trHeight w:val="227"/>
        </w:trPr>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Melissa B. Pavlovich</w:t>
            </w:r>
          </w:p>
        </w:tc>
      </w:tr>
      <w:tr>
        <w:trPr>
          <w:trHeight w:val="252"/>
        </w:trPr>
        <w:tc>
          <w:tcPr>
            <w:tcW w:w="4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177"/>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(Duly Authorized Officer and Principal Accounting</w:t>
            </w:r>
          </w:p>
        </w:tc>
      </w:tr>
      <w:tr>
        <w:trPr>
          <w:trHeight w:val="231"/>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98" w:lineRule="exact"/>
        <w:rPr>
          <w:sz w:val="20"/>
          <w:szCs w:val="20"/>
          <w:color w:val="auto"/>
        </w:rPr>
      </w:pPr>
    </w:p>
    <w:p>
      <w:pPr>
        <w:ind w:left="180" w:hanging="174"/>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Life Insurance Company;</w:t>
      </w:r>
    </w:p>
    <w:p>
      <w:pPr>
        <w:spacing w:after="0" w:line="84"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jc w:val="both"/>
        <w:ind w:right="40" w:firstLine="6"/>
        <w:spacing w:after="0" w:line="259"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right="480" w:firstLine="6"/>
        <w:spacing w:after="0" w:line="274"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15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3256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ind w:left="8020"/>
        <w:spacing w:after="0"/>
        <w:rPr>
          <w:sz w:val="20"/>
          <w:szCs w:val="20"/>
          <w:color w:val="auto"/>
        </w:rPr>
      </w:pPr>
      <w:r>
        <w:rPr>
          <w:rFonts w:ascii="Times New Roman" w:cs="Times New Roman" w:eastAsia="Times New Roman" w:hAnsi="Times New Roman"/>
          <w:sz w:val="18"/>
          <w:szCs w:val="18"/>
          <w:color w:val="auto"/>
        </w:rPr>
        <w:t>Eric T. Steigerwalt</w:t>
      </w:r>
    </w:p>
    <w:p>
      <w:pPr>
        <w:jc w:val="center"/>
        <w:ind w:left="6060"/>
        <w:spacing w:after="0" w:line="215" w:lineRule="auto"/>
        <w:rPr>
          <w:sz w:val="20"/>
          <w:szCs w:val="20"/>
          <w:color w:val="auto"/>
        </w:rPr>
      </w:pPr>
      <w:r>
        <w:rPr>
          <w:rFonts w:ascii="Times New Roman" w:cs="Times New Roman" w:eastAsia="Times New Roman" w:hAnsi="Times New Roman"/>
          <w:sz w:val="18"/>
          <w:szCs w:val="18"/>
          <w:color w:val="auto"/>
        </w:rPr>
        <w:t>Chairman of the Board, President and</w:t>
      </w:r>
    </w:p>
    <w:p>
      <w:pPr>
        <w:jc w:val="cente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5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98" w:lineRule="exact"/>
        <w:rPr>
          <w:sz w:val="20"/>
          <w:szCs w:val="20"/>
          <w:color w:val="auto"/>
        </w:rPr>
      </w:pPr>
    </w:p>
    <w:p>
      <w:pPr>
        <w:ind w:left="180" w:hanging="174"/>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Life Insurance Company;</w:t>
      </w:r>
    </w:p>
    <w:p>
      <w:pPr>
        <w:spacing w:after="0" w:line="84"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jc w:val="both"/>
        <w:ind w:right="40" w:firstLine="6"/>
        <w:spacing w:after="0" w:line="259"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right="480" w:firstLine="6"/>
        <w:spacing w:after="0" w:line="27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15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14605</wp:posOffset>
            </wp:positionV>
            <wp:extent cx="35337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ind w:left="7800"/>
        <w:spacing w:after="0"/>
        <w:rPr>
          <w:sz w:val="20"/>
          <w:szCs w:val="20"/>
          <w:color w:val="auto"/>
        </w:rPr>
      </w:pPr>
      <w:r>
        <w:rPr>
          <w:rFonts w:ascii="Times New Roman" w:cs="Times New Roman" w:eastAsia="Times New Roman" w:hAnsi="Times New Roman"/>
          <w:sz w:val="18"/>
          <w:szCs w:val="18"/>
          <w:color w:val="auto"/>
        </w:rPr>
        <w:t>Edward A. Spehar</w:t>
      </w:r>
    </w:p>
    <w:p>
      <w:pPr>
        <w:ind w:left="69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358"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Life Insurance Company’s Quarterly Report on Form 10-Q for the quarter ended September 30, 2025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35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978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Eric T. Steigerwalt</w:t>
      </w:r>
    </w:p>
    <w:p>
      <w:pPr>
        <w:jc w:val="center"/>
        <w:ind w:left="6480"/>
        <w:spacing w:after="0" w:line="199" w:lineRule="auto"/>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 Edward A. Spehar, certify that, to my knowledge, (i) Brighthouse Life Insurance Company’s Quarterly Report on Form 10-Q for the quarter ended September 30, 2025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35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978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Edward A. Spehar</w:t>
      </w:r>
    </w:p>
    <w:p>
      <w:pPr>
        <w:ind w:left="74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1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7"/>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6"/>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4"/>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lvl w:ilvl="1">
      <w:lvlJc w:val="left"/>
      <w:lvlText w:val="◦"/>
      <w:numFmt w:val="bullet"/>
      <w:start w:val="1"/>
    </w:lvl>
  </w:abstractNum>
  <w:abstractNum w:abstractNumId="38">
    <w:nsid w:val="725A06FB"/>
    <w:multiLevelType w:val="hybridMultilevel"/>
    <w:lvl w:ilvl="0">
      <w:lvlJc w:val="left"/>
      <w:lvlText w:val="•"/>
      <w:numFmt w:val="bullet"/>
      <w:start w:val="1"/>
    </w:lvl>
    <w:lvl w:ilvl="1">
      <w:lvlJc w:val="left"/>
      <w:lvlText w:val="◦"/>
      <w:numFmt w:val="bullet"/>
      <w:start w:val="1"/>
    </w:lvl>
  </w:abstractNum>
  <w:abstractNum w:abstractNumId="39">
    <w:nsid w:val="2CD89A32"/>
    <w:multiLevelType w:val="hybridMultilevel"/>
    <w:lvl w:ilvl="0">
      <w:lvlJc w:val="left"/>
      <w:lvlText w:val="•"/>
      <w:numFmt w:val="bullet"/>
      <w:start w:val="1"/>
    </w:lvl>
    <w:lvl w:ilvl="1">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2025-11-12T05:19:55Z</dcterms:created>
  <dcterms:modified xsi:type="dcterms:W3CDTF">2025-11-12T05:19:55Z</dcterms:modified>
</cp:coreProperties>
</file>