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387985</wp:posOffset>
            </wp:positionH>
            <wp:positionV relativeFrom="page">
              <wp:posOffset>620395</wp:posOffset>
            </wp:positionV>
            <wp:extent cx="6772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page">
              <wp:posOffset>387985</wp:posOffset>
            </wp:positionH>
            <wp:positionV relativeFrom="page">
              <wp:posOffset>577215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t>UNITED STATES SECURITIES AND EXCHANGE COMMISSION</w:t>
      </w:r>
    </w:p>
    <w:p>
      <w:pPr>
        <w:spacing w:after="0" w:line="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53" w:lineRule="exact"/>
        <w:rPr>
          <w:sz w:val="24"/>
          <w:szCs w:val="24"/>
          <w:color w:val="auto"/>
        </w:rPr>
      </w:pPr>
    </w:p>
    <w:p>
      <w:pPr>
        <w:ind w:left="1120" w:hanging="39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2020</w:t>
      </w:r>
    </w:p>
    <w:p>
      <w:pPr>
        <w:spacing w:after="0" w:line="5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0" w:lineRule="exact"/>
        <w:rPr>
          <w:sz w:val="24"/>
          <w:szCs w:val="24"/>
          <w:color w:val="auto"/>
        </w:rPr>
      </w:pPr>
    </w:p>
    <w:p>
      <w:pPr>
        <w:ind w:left="1120" w:hanging="397"/>
        <w:spacing w:after="0"/>
        <w:tabs>
          <w:tab w:leader="none" w:pos="11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jc w:val="right"/>
        <w:ind w:right="43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9" w:lineRule="exact"/>
        <w:rPr>
          <w:sz w:val="24"/>
          <w:szCs w:val="24"/>
          <w:color w:val="auto"/>
        </w:rPr>
      </w:pPr>
    </w:p>
    <w:p>
      <w:pPr>
        <w:jc w:val="right"/>
        <w:ind w:right="4320"/>
        <w:spacing w:after="0"/>
        <w:rPr>
          <w:sz w:val="20"/>
          <w:szCs w:val="20"/>
          <w:color w:val="auto"/>
        </w:rPr>
      </w:pPr>
      <w:r>
        <w:rPr>
          <w:rFonts w:ascii="Times New Roman" w:cs="Times New Roman" w:eastAsia="Times New Roman" w:hAnsi="Times New Roman"/>
          <w:sz w:val="14"/>
          <w:szCs w:val="14"/>
          <w:b w:val="1"/>
          <w:bCs w:val="1"/>
          <w:color w:val="auto"/>
        </w:rPr>
        <w:t>Commission File Number: 000-55705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107950</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219075</wp:posOffset>
            </wp:positionV>
            <wp:extent cx="20999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994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32"/>
          <w:szCs w:val="32"/>
          <w:b w:val="1"/>
          <w:bCs w:val="1"/>
          <w:color w:val="auto"/>
        </w:rPr>
        <w:t>Brighthouse Life Insurance Company of NY</w:t>
      </w:r>
    </w:p>
    <w:p>
      <w:pPr>
        <w:spacing w:after="0" w:line="73" w:lineRule="exact"/>
        <w:rPr>
          <w:sz w:val="24"/>
          <w:szCs w:val="24"/>
          <w:color w:val="auto"/>
        </w:rPr>
      </w:pPr>
    </w:p>
    <w:tbl>
      <w:tblPr>
        <w:tblLayout w:type="fixed"/>
        <w:tblInd w:w="74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240" w:type="dxa"/>
            <w:vAlign w:val="bottom"/>
          </w:tcPr>
          <w:p>
            <w:pPr>
              <w:spacing w:after="0"/>
              <w:rPr>
                <w:sz w:val="16"/>
                <w:szCs w:val="16"/>
                <w:color w:val="auto"/>
              </w:rPr>
            </w:pPr>
          </w:p>
        </w:tc>
      </w:tr>
      <w:tr>
        <w:trPr>
          <w:trHeight w:val="432"/>
        </w:trPr>
        <w:tc>
          <w:tcPr>
            <w:tcW w:w="1340" w:type="dxa"/>
            <w:vAlign w:val="bottom"/>
          </w:tcPr>
          <w:p>
            <w:pPr>
              <w:spacing w:after="0"/>
              <w:rPr>
                <w:sz w:val="24"/>
                <w:szCs w:val="24"/>
                <w:color w:val="auto"/>
              </w:rPr>
            </w:pP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13-3690700</w:t>
            </w:r>
          </w:p>
        </w:tc>
      </w:tr>
      <w:tr>
        <w:trPr>
          <w:trHeight w:val="216"/>
        </w:trPr>
        <w:tc>
          <w:tcPr>
            <w:tcW w:w="6820" w:type="dxa"/>
            <w:vAlign w:val="bottom"/>
            <w:gridSpan w:val="6"/>
          </w:tcPr>
          <w:p>
            <w:pPr>
              <w:jc w:val="center"/>
              <w:ind w:right="33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256"/>
        </w:trPr>
        <w:tc>
          <w:tcPr>
            <w:tcW w:w="1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4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230"/>
        </w:trPr>
        <w:tc>
          <w:tcPr>
            <w:tcW w:w="6820" w:type="dxa"/>
            <w:vAlign w:val="bottom"/>
            <w:gridSpan w:val="6"/>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285 Madison Avenue, 14th Floor, New York, New York</w:t>
            </w:r>
          </w:p>
        </w:tc>
        <w:tc>
          <w:tcPr>
            <w:tcW w:w="2240" w:type="dxa"/>
            <w:vAlign w:val="bottom"/>
          </w:tcPr>
          <w:p>
            <w:pPr>
              <w:spacing w:after="0"/>
              <w:rPr>
                <w:sz w:val="19"/>
                <w:szCs w:val="19"/>
                <w:color w:val="auto"/>
              </w:rPr>
            </w:pPr>
          </w:p>
        </w:tc>
      </w:tr>
      <w:tr>
        <w:trPr>
          <w:trHeight w:val="216"/>
        </w:trPr>
        <w:tc>
          <w:tcPr>
            <w:tcW w:w="296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40" w:type="dxa"/>
            <w:vAlign w:val="bottom"/>
          </w:tcPr>
          <w:p>
            <w:pPr>
              <w:jc w:val="right"/>
              <w:ind w:right="650"/>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15"/>
        </w:trPr>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2240" w:type="dxa"/>
            <w:vAlign w:val="bottom"/>
          </w:tcPr>
          <w:p>
            <w:pPr>
              <w:spacing w:after="0"/>
              <w:rPr>
                <w:sz w:val="18"/>
                <w:szCs w:val="18"/>
                <w:color w:val="auto"/>
              </w:rPr>
            </w:pPr>
          </w:p>
        </w:tc>
      </w:tr>
      <w:tr>
        <w:trPr>
          <w:trHeight w:val="190"/>
        </w:trPr>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240" w:type="dxa"/>
            <w:vAlign w:val="bottom"/>
          </w:tcPr>
          <w:p>
            <w:pPr>
              <w:spacing w:after="0"/>
              <w:rPr>
                <w:sz w:val="16"/>
                <w:szCs w:val="16"/>
                <w:color w:val="auto"/>
              </w:rPr>
            </w:pPr>
          </w:p>
        </w:tc>
      </w:tr>
      <w:tr>
        <w:trPr>
          <w:trHeight w:val="270"/>
        </w:trPr>
        <w:tc>
          <w:tcPr>
            <w:tcW w:w="1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2240" w:type="dxa"/>
            <w:vAlign w:val="bottom"/>
          </w:tcPr>
          <w:p>
            <w:pPr>
              <w:spacing w:after="0"/>
              <w:rPr>
                <w:sz w:val="23"/>
                <w:szCs w:val="23"/>
                <w:color w:val="auto"/>
              </w:rPr>
            </w:pPr>
          </w:p>
        </w:tc>
      </w:tr>
      <w:tr>
        <w:trPr>
          <w:trHeight w:val="293"/>
        </w:trPr>
        <w:tc>
          <w:tcPr>
            <w:tcW w:w="13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 of each class</w:t>
            </w:r>
          </w:p>
        </w:tc>
        <w:tc>
          <w:tcPr>
            <w:tcW w:w="1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Trading symbol(s)</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Common Stock, par value $10.00</w:t>
      </w:r>
    </w:p>
    <w:p>
      <w:pPr>
        <w:spacing w:after="0" w:line="90" w:lineRule="exact"/>
        <w:rPr>
          <w:sz w:val="24"/>
          <w:szCs w:val="24"/>
          <w:color w:val="auto"/>
        </w:rPr>
      </w:pPr>
    </w:p>
    <w:p>
      <w:pPr>
        <w:ind w:right="4180"/>
        <w:spacing w:after="0" w:line="208"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34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4" w:right="339" w:bottom="1440" w:gutter="0" w:footer="0" w:header="0"/>
        </w:sectPr>
      </w:pPr>
    </w:p>
    <w:p>
      <w:pPr>
        <w:spacing w:after="0" w:line="10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ectPr>
          <w:pgSz w:w="11900" w:h="16838" w:orient="portrait"/>
          <w:cols w:equalWidth="0" w:num="4">
            <w:col w:w="2240" w:space="100"/>
            <w:col w:w="4900" w:space="720"/>
            <w:col w:w="900" w:space="180"/>
            <w:col w:w="2200"/>
          </w:cols>
          <w:pgMar w:left="320" w:top="1184" w:right="339" w:bottom="1440" w:gutter="0" w:footer="0" w:header="0"/>
          <w:type w:val="continuous"/>
        </w:sectPr>
      </w:pPr>
    </w:p>
    <w:p>
      <w:pPr>
        <w:spacing w:after="0" w:line="23"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ectPr>
          <w:pgSz w:w="11900" w:h="16838" w:orient="portrait"/>
          <w:cols w:equalWidth="0" w:num="4">
            <w:col w:w="2160" w:space="180"/>
            <w:col w:w="4900" w:space="720"/>
            <w:col w:w="1480" w:space="220"/>
            <w:col w:w="1580"/>
          </w:cols>
          <w:pgMar w:left="320" w:top="1184" w:right="339" w:bottom="1440" w:gutter="0" w:footer="0" w:header="0"/>
          <w:type w:val="continuous"/>
        </w:sectPr>
      </w:pPr>
    </w:p>
    <w:p>
      <w:pPr>
        <w:spacing w:after="0" w:line="23" w:lineRule="exact"/>
        <w:rPr>
          <w:sz w:val="24"/>
          <w:szCs w:val="24"/>
          <w:color w:val="auto"/>
        </w:rPr>
      </w:pPr>
    </w:p>
    <w:p>
      <w:pPr>
        <w:ind w:left="796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6" w:lineRule="exact"/>
        <w:rPr>
          <w:sz w:val="24"/>
          <w:szCs w:val="24"/>
          <w:color w:val="auto"/>
        </w:rPr>
      </w:pPr>
    </w:p>
    <w:p>
      <w:pPr>
        <w:sectPr>
          <w:pgSz w:w="11900" w:h="16838" w:orient="portrait"/>
          <w:cols w:equalWidth="0" w:num="2">
            <w:col w:w="9440" w:space="220"/>
            <w:col w:w="1580"/>
          </w:cols>
          <w:pgMar w:left="320" w:top="1184" w:right="339" w:bottom="1440" w:gutter="0" w:footer="0" w:header="0"/>
          <w:type w:val="continuous"/>
        </w:sect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7"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-99695</wp:posOffset>
            </wp:positionV>
            <wp:extent cx="64770" cy="66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70" cy="66040"/>
                    </a:xfrm>
                    <a:prstGeom prst="rect">
                      <a:avLst/>
                    </a:prstGeom>
                    <a:noFill/>
                  </pic:spPr>
                </pic:pic>
              </a:graphicData>
            </a:graphic>
          </wp:anchor>
        </w:drawing>
      </w:r>
    </w:p>
    <w:p>
      <w:pPr>
        <w:spacing w:after="0" w:line="13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4071620</wp:posOffset>
            </wp:positionH>
            <wp:positionV relativeFrom="paragraph">
              <wp:posOffset>-66040</wp:posOffset>
            </wp:positionV>
            <wp:extent cx="64770" cy="66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70" cy="66040"/>
                    </a:xfrm>
                    <a:prstGeom prst="rect">
                      <a:avLst/>
                    </a:prstGeom>
                    <a:noFill/>
                  </pic:spPr>
                </pic:pic>
              </a:graphicData>
            </a:graphic>
          </wp:anchor>
        </w:drawing>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4, 2021, 200,000 shares of the registrant’s common stock were outstanding, all of which were owned indirectly by Brighthouse Financial, Inc.</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REDUCED DISCLOSURE FORMAT</w:t>
      </w:r>
    </w:p>
    <w:p>
      <w:pPr>
        <w:spacing w:after="0" w:line="1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The registrant meets the conditions set forth in General Instruction I(1)(a) and (b) of Form 10-K and is therefore filing this Annual Report on Form 10-K with the reduced disclosure format.</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147320</wp:posOffset>
            </wp:positionV>
            <wp:extent cx="6772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121285</wp:posOffset>
            </wp:positionV>
            <wp:extent cx="6772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10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2"/>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6"/>
        </w:trPr>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Part I</w:t>
            </w:r>
          </w:p>
        </w:tc>
        <w:tc>
          <w:tcPr>
            <w:tcW w:w="1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Business</w:t>
              </w:r>
            </w:hyperlink>
          </w:p>
        </w:tc>
        <w:tc>
          <w:tcPr>
            <w:tcW w:w="1920" w:type="dxa"/>
            <w:vAlign w:val="bottom"/>
          </w:tcPr>
          <w:p>
            <w:pPr>
              <w:jc w:val="center"/>
              <w:ind w:left="30"/>
              <w:spacing w:after="0"/>
              <w:rPr>
                <w:rFonts w:ascii="Times New Roman" w:cs="Times New Roman" w:eastAsia="Times New Roman" w:hAnsi="Times New Roman"/>
                <w:sz w:val="18"/>
                <w:szCs w:val="18"/>
                <w:u w:val="single" w:color="auto"/>
                <w:color w:val="0000FF"/>
                <w:w w:val="88"/>
              </w:rPr>
            </w:pPr>
            <w:hyperlink w:anchor="page5">
              <w:r>
                <w:rPr>
                  <w:rFonts w:ascii="Times New Roman" w:cs="Times New Roman" w:eastAsia="Times New Roman" w:hAnsi="Times New Roman"/>
                  <w:sz w:val="18"/>
                  <w:szCs w:val="18"/>
                  <w:u w:val="single" w:color="auto"/>
                  <w:color w:val="0000FF"/>
                  <w:w w:val="88"/>
                </w:rPr>
                <w:t>4</w:t>
              </w:r>
            </w:hyperlink>
          </w:p>
        </w:tc>
        <w:tc>
          <w:tcPr>
            <w:tcW w:w="20" w:type="dxa"/>
            <w:vAlign w:val="bottom"/>
          </w:tcPr>
          <w:p>
            <w:pPr>
              <w:spacing w:after="0"/>
              <w:rPr>
                <w:sz w:val="20"/>
                <w:szCs w:val="20"/>
                <w:color w:val="auto"/>
              </w:rPr>
            </w:pPr>
          </w:p>
        </w:tc>
      </w:tr>
      <w:tr>
        <w:trPr>
          <w:trHeight w:val="23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Risk Factors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17">
              <w:r>
                <w:rPr>
                  <w:rFonts w:ascii="Times New Roman" w:cs="Times New Roman" w:eastAsia="Times New Roman" w:hAnsi="Times New Roman"/>
                  <w:sz w:val="18"/>
                  <w:szCs w:val="18"/>
                  <w:u w:val="single" w:color="auto"/>
                  <w:color w:val="0000FF"/>
                  <w:w w:val="99"/>
                </w:rPr>
                <w:t>17</w:t>
              </w:r>
            </w:hyperlink>
          </w:p>
        </w:tc>
        <w:tc>
          <w:tcPr>
            <w:tcW w:w="20" w:type="dxa"/>
            <w:vAlign w:val="bottom"/>
          </w:tcPr>
          <w:p>
            <w:pPr>
              <w:spacing w:after="0"/>
              <w:rPr>
                <w:sz w:val="19"/>
                <w:szCs w:val="19"/>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Unresolved Staff Comments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36</w:t>
              </w:r>
            </w:hyperlink>
          </w:p>
        </w:tc>
        <w:tc>
          <w:tcPr>
            <w:tcW w:w="20" w:type="dxa"/>
            <w:vAlign w:val="bottom"/>
          </w:tcPr>
          <w:p>
            <w:pPr>
              <w:spacing w:after="0"/>
              <w:rPr>
                <w:sz w:val="19"/>
                <w:szCs w:val="19"/>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Legal Proceedings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36</w:t>
              </w:r>
            </w:hyperlink>
          </w:p>
        </w:tc>
        <w:tc>
          <w:tcPr>
            <w:tcW w:w="20" w:type="dxa"/>
            <w:vAlign w:val="bottom"/>
          </w:tcPr>
          <w:p>
            <w:pPr>
              <w:spacing w:after="0"/>
              <w:rPr>
                <w:sz w:val="19"/>
                <w:szCs w:val="19"/>
                <w:color w:val="auto"/>
              </w:rPr>
            </w:pPr>
          </w:p>
        </w:tc>
      </w:t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Mine Safety Disclosures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37">
              <w:r>
                <w:rPr>
                  <w:rFonts w:ascii="Times New Roman" w:cs="Times New Roman" w:eastAsia="Times New Roman" w:hAnsi="Times New Roman"/>
                  <w:sz w:val="18"/>
                  <w:szCs w:val="18"/>
                  <w:u w:val="single" w:color="auto"/>
                  <w:color w:val="0000FF"/>
                  <w:w w:val="99"/>
                </w:rPr>
                <w:t>36</w:t>
              </w:r>
            </w:hyperlink>
          </w:p>
        </w:tc>
        <w:tc>
          <w:tcPr>
            <w:tcW w:w="20" w:type="dxa"/>
            <w:vAlign w:val="bottom"/>
          </w:tcPr>
          <w:p>
            <w:pPr>
              <w:spacing w:after="0"/>
              <w:rPr>
                <w:sz w:val="20"/>
                <w:szCs w:val="20"/>
                <w:color w:val="auto"/>
              </w:rPr>
            </w:pPr>
          </w:p>
        </w:tc>
      </w:tr>
      <w:tr>
        <w:trPr>
          <w:trHeight w:val="304"/>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150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7800" w:type="dxa"/>
            <w:vAlign w:val="bottom"/>
            <w:gridSpan w:val="3"/>
          </w:tcPr>
          <w:p>
            <w:pPr>
              <w:spacing w:after="0" w:line="195" w:lineRule="exact"/>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Market for Registrant’s Common Equity, Related Stockholder Matters and Issuer Purchases of Equity</w:t>
              </w:r>
            </w:hyperlink>
          </w:p>
        </w:tc>
        <w:tc>
          <w:tcPr>
            <w:tcW w:w="1920" w:type="dxa"/>
            <w:vAlign w:val="bottom"/>
          </w:tcPr>
          <w:p>
            <w:pPr>
              <w:jc w:val="center"/>
              <w:ind w:left="50"/>
              <w:spacing w:after="0" w:line="195" w:lineRule="exact"/>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37</w:t>
              </w:r>
            </w:hyperlink>
          </w:p>
        </w:tc>
        <w:tc>
          <w:tcPr>
            <w:tcW w:w="20" w:type="dxa"/>
            <w:vAlign w:val="bottom"/>
          </w:tcPr>
          <w:p>
            <w:pPr>
              <w:spacing w:after="0"/>
              <w:rPr>
                <w:sz w:val="16"/>
                <w:szCs w:val="16"/>
                <w:color w:val="auto"/>
              </w:rPr>
            </w:pPr>
          </w:p>
        </w:tc>
      </w:tr>
      <w:tr>
        <w:trPr>
          <w:trHeight w:val="156"/>
        </w:trPr>
        <w:tc>
          <w:tcPr>
            <w:tcW w:w="1500" w:type="dxa"/>
            <w:vAlign w:val="bottom"/>
          </w:tcPr>
          <w:p>
            <w:pPr>
              <w:spacing w:after="0"/>
              <w:rPr>
                <w:sz w:val="13"/>
                <w:szCs w:val="13"/>
                <w:color w:val="auto"/>
              </w:rPr>
            </w:pPr>
          </w:p>
        </w:tc>
        <w:tc>
          <w:tcPr>
            <w:tcW w:w="77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Securities</w:t>
              </w:r>
            </w:hyperlink>
          </w:p>
        </w:tc>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Selected Financial Data</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37</w:t>
              </w:r>
            </w:hyperlink>
          </w:p>
        </w:tc>
        <w:tc>
          <w:tcPr>
            <w:tcW w:w="20" w:type="dxa"/>
            <w:vAlign w:val="bottom"/>
          </w:tcPr>
          <w:p>
            <w:pPr>
              <w:spacing w:after="0"/>
              <w:rPr>
                <w:sz w:val="21"/>
                <w:szCs w:val="21"/>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38">
              <w:r>
                <w:rPr>
                  <w:rFonts w:ascii="Times New Roman" w:cs="Times New Roman" w:eastAsia="Times New Roman" w:hAnsi="Times New Roman"/>
                  <w:sz w:val="18"/>
                  <w:szCs w:val="18"/>
                  <w:u w:val="single" w:color="auto"/>
                  <w:color w:val="0000FF"/>
                  <w:w w:val="99"/>
                </w:rPr>
                <w:t>38</w:t>
              </w:r>
            </w:hyperlink>
          </w:p>
        </w:tc>
        <w:tc>
          <w:tcPr>
            <w:tcW w:w="20" w:type="dxa"/>
            <w:vAlign w:val="bottom"/>
          </w:tcPr>
          <w:p>
            <w:pPr>
              <w:spacing w:after="0"/>
              <w:rPr>
                <w:sz w:val="19"/>
                <w:szCs w:val="19"/>
                <w:color w:val="auto"/>
              </w:rPr>
            </w:pPr>
          </w:p>
        </w:tc>
      </w:tr>
      <w:tr>
        <w:trPr>
          <w:trHeight w:val="23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Quantitative and Qualitative Disclosures About Market Risk</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51">
              <w:r>
                <w:rPr>
                  <w:rFonts w:ascii="Times New Roman" w:cs="Times New Roman" w:eastAsia="Times New Roman" w:hAnsi="Times New Roman"/>
                  <w:sz w:val="18"/>
                  <w:szCs w:val="18"/>
                  <w:u w:val="single" w:color="auto"/>
                  <w:color w:val="0000FF"/>
                  <w:w w:val="99"/>
                </w:rPr>
                <w:t>51</w:t>
              </w:r>
            </w:hyperlink>
          </w:p>
        </w:tc>
        <w:tc>
          <w:tcPr>
            <w:tcW w:w="20" w:type="dxa"/>
            <w:vAlign w:val="bottom"/>
          </w:tcPr>
          <w:p>
            <w:pPr>
              <w:spacing w:after="0"/>
              <w:rPr>
                <w:sz w:val="19"/>
                <w:szCs w:val="19"/>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Financial Statements and Supplementary Data</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55</w:t>
              </w:r>
            </w:hyperlink>
          </w:p>
        </w:tc>
        <w:tc>
          <w:tcPr>
            <w:tcW w:w="20" w:type="dxa"/>
            <w:vAlign w:val="bottom"/>
          </w:tcPr>
          <w:p>
            <w:pPr>
              <w:spacing w:after="0"/>
              <w:rPr>
                <w:sz w:val="19"/>
                <w:szCs w:val="19"/>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4">
              <w:r>
                <w:rPr>
                  <w:rFonts w:ascii="Times New Roman" w:cs="Times New Roman" w:eastAsia="Times New Roman" w:hAnsi="Times New Roman"/>
                  <w:sz w:val="18"/>
                  <w:szCs w:val="18"/>
                  <w:u w:val="single" w:color="auto"/>
                  <w:color w:val="0000FF"/>
                  <w:w w:val="96"/>
                </w:rPr>
                <w:t>114</w:t>
              </w:r>
            </w:hyperlink>
          </w:p>
        </w:tc>
        <w:tc>
          <w:tcPr>
            <w:tcW w:w="20" w:type="dxa"/>
            <w:vAlign w:val="bottom"/>
          </w:tcPr>
          <w:p>
            <w:pPr>
              <w:spacing w:after="0"/>
              <w:rPr>
                <w:sz w:val="19"/>
                <w:szCs w:val="19"/>
                <w:color w:val="auto"/>
              </w:rPr>
            </w:pPr>
          </w:p>
        </w:tc>
      </w:tr>
      <w:tr>
        <w:trPr>
          <w:trHeight w:val="23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Controls and Procedures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5">
              <w:r>
                <w:rPr>
                  <w:rFonts w:ascii="Times New Roman" w:cs="Times New Roman" w:eastAsia="Times New Roman" w:hAnsi="Times New Roman"/>
                  <w:sz w:val="18"/>
                  <w:szCs w:val="18"/>
                  <w:u w:val="single" w:color="auto"/>
                  <w:color w:val="0000FF"/>
                  <w:w w:val="96"/>
                </w:rPr>
                <w:t>114</w:t>
              </w:r>
            </w:hyperlink>
          </w:p>
        </w:tc>
        <w:tc>
          <w:tcPr>
            <w:tcW w:w="20" w:type="dxa"/>
            <w:vAlign w:val="bottom"/>
          </w:tcPr>
          <w:p>
            <w:pPr>
              <w:spacing w:after="0"/>
              <w:rPr>
                <w:sz w:val="19"/>
                <w:szCs w:val="19"/>
                <w:color w:val="auto"/>
              </w:rPr>
            </w:pPr>
          </w:p>
        </w:tc>
      </w:t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Other Information</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5">
              <w:r>
                <w:rPr>
                  <w:rFonts w:ascii="Times New Roman" w:cs="Times New Roman" w:eastAsia="Times New Roman" w:hAnsi="Times New Roman"/>
                  <w:sz w:val="18"/>
                  <w:szCs w:val="18"/>
                  <w:u w:val="single" w:color="auto"/>
                  <w:color w:val="0000FF"/>
                  <w:w w:val="96"/>
                </w:rPr>
                <w:t>114</w:t>
              </w:r>
            </w:hyperlink>
          </w:p>
        </w:tc>
        <w:tc>
          <w:tcPr>
            <w:tcW w:w="20" w:type="dxa"/>
            <w:vAlign w:val="bottom"/>
          </w:tcPr>
          <w:p>
            <w:pPr>
              <w:spacing w:after="0"/>
              <w:rPr>
                <w:sz w:val="20"/>
                <w:szCs w:val="20"/>
                <w:color w:val="auto"/>
              </w:rPr>
            </w:pPr>
          </w:p>
        </w:tc>
      </w:tr>
      <w:tr>
        <w:trPr>
          <w:trHeight w:val="264"/>
        </w:trPr>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1"/>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Directors, Executive Officers and Corporate Governance</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c>
          <w:tcPr>
            <w:tcW w:w="20" w:type="dxa"/>
            <w:vAlign w:val="bottom"/>
          </w:tcPr>
          <w:p>
            <w:pPr>
              <w:spacing w:after="0"/>
              <w:rPr>
                <w:sz w:val="20"/>
                <w:szCs w:val="20"/>
                <w:color w:val="auto"/>
              </w:rPr>
            </w:pPr>
          </w:p>
        </w:tc>
      </w:tr>
      <w:tr>
        <w:trPr>
          <w:trHeight w:val="23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Executive Compensation</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c>
          <w:tcPr>
            <w:tcW w:w="20" w:type="dxa"/>
            <w:vAlign w:val="bottom"/>
          </w:tcPr>
          <w:p>
            <w:pPr>
              <w:spacing w:after="0"/>
              <w:rPr>
                <w:sz w:val="19"/>
                <w:szCs w:val="19"/>
                <w:color w:val="auto"/>
              </w:rPr>
            </w:pPr>
          </w:p>
        </w:tc>
      </w:tr>
      <w:tr>
        <w:trPr>
          <w:trHeight w:val="229"/>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c>
          <w:tcPr>
            <w:tcW w:w="20" w:type="dxa"/>
            <w:vAlign w:val="bottom"/>
          </w:tcPr>
          <w:p>
            <w:pPr>
              <w:spacing w:after="0"/>
              <w:rPr>
                <w:sz w:val="19"/>
                <w:szCs w:val="19"/>
                <w:color w:val="auto"/>
              </w:rPr>
            </w:pPr>
          </w:p>
        </w:tc>
      </w:tr>
      <w:tr>
        <w:trPr>
          <w:trHeight w:val="23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Certain Relationships, Related Person Transactions and Director Independence</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c>
          <w:tcPr>
            <w:tcW w:w="20" w:type="dxa"/>
            <w:vAlign w:val="bottom"/>
          </w:tcPr>
          <w:p>
            <w:pPr>
              <w:spacing w:after="0"/>
              <w:rPr>
                <w:sz w:val="19"/>
                <w:szCs w:val="19"/>
                <w:color w:val="auto"/>
              </w:rPr>
            </w:pPr>
          </w:p>
        </w:tc>
      </w:t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Principal Accountant Fees and Services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c>
          <w:tcPr>
            <w:tcW w:w="20" w:type="dxa"/>
            <w:vAlign w:val="bottom"/>
          </w:tcPr>
          <w:p>
            <w:pPr>
              <w:spacing w:after="0"/>
              <w:rPr>
                <w:sz w:val="20"/>
                <w:szCs w:val="20"/>
                <w:color w:val="auto"/>
              </w:rPr>
            </w:pPr>
          </w:p>
        </w:tc>
      </w:tr>
      <w:tr>
        <w:trPr>
          <w:trHeight w:val="264"/>
        </w:trPr>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1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Part IV</w:t>
            </w: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7"/>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7800" w:type="dxa"/>
            <w:vAlign w:val="bottom"/>
            <w:gridSpan w:val="3"/>
          </w:tcPr>
          <w:p>
            <w:pPr>
              <w:spacing w:after="0"/>
              <w:rPr>
                <w:rFonts w:ascii="Times New Roman" w:cs="Times New Roman" w:eastAsia="Times New Roman" w:hAnsi="Times New Roman"/>
                <w:sz w:val="18"/>
                <w:szCs w:val="18"/>
                <w:u w:val="single" w:color="auto"/>
                <w:color w:val="0000FF"/>
              </w:rPr>
            </w:pPr>
            <w:hyperlink w:anchor="page118">
              <w:r>
                <w:rPr>
                  <w:rFonts w:ascii="Times New Roman" w:cs="Times New Roman" w:eastAsia="Times New Roman" w:hAnsi="Times New Roman"/>
                  <w:sz w:val="18"/>
                  <w:szCs w:val="18"/>
                  <w:u w:val="single" w:color="auto"/>
                  <w:color w:val="0000FF"/>
                </w:rPr>
                <w:t>Exhibits and Financial Statement Schedules</w:t>
              </w:r>
            </w:hyperlink>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8">
              <w:r>
                <w:rPr>
                  <w:rFonts w:ascii="Times New Roman" w:cs="Times New Roman" w:eastAsia="Times New Roman" w:hAnsi="Times New Roman"/>
                  <w:sz w:val="18"/>
                  <w:szCs w:val="18"/>
                  <w:u w:val="single" w:color="auto"/>
                  <w:color w:val="0000FF"/>
                  <w:w w:val="96"/>
                </w:rPr>
                <w:t>117</w:t>
              </w:r>
            </w:hyperlink>
          </w:p>
        </w:tc>
        <w:tc>
          <w:tcPr>
            <w:tcW w:w="20" w:type="dxa"/>
            <w:vAlign w:val="bottom"/>
          </w:tcPr>
          <w:p>
            <w:pPr>
              <w:spacing w:after="0"/>
              <w:rPr>
                <w:sz w:val="19"/>
                <w:szCs w:val="19"/>
                <w:color w:val="auto"/>
              </w:rPr>
            </w:pPr>
          </w:p>
        </w:tc>
      </w:tr>
      <w:tr>
        <w:trPr>
          <w:trHeight w:val="230"/>
        </w:trPr>
        <w:tc>
          <w:tcPr>
            <w:tcW w:w="15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118">
              <w:r>
                <w:rPr>
                  <w:rFonts w:ascii="Times New Roman" w:cs="Times New Roman" w:eastAsia="Times New Roman" w:hAnsi="Times New Roman"/>
                  <w:sz w:val="18"/>
                  <w:szCs w:val="18"/>
                  <w:b w:val="1"/>
                  <w:bCs w:val="1"/>
                  <w:u w:val="single" w:color="auto"/>
                  <w:color w:val="0000FF"/>
                </w:rPr>
                <w:t>Exhibit Index</w:t>
              </w:r>
            </w:hyperlink>
          </w:p>
        </w:tc>
        <w:tc>
          <w:tcPr>
            <w:tcW w:w="70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8">
              <w:r>
                <w:rPr>
                  <w:rFonts w:ascii="Times New Roman" w:cs="Times New Roman" w:eastAsia="Times New Roman" w:hAnsi="Times New Roman"/>
                  <w:sz w:val="18"/>
                  <w:szCs w:val="18"/>
                  <w:u w:val="single" w:color="auto"/>
                  <w:color w:val="0000FF"/>
                  <w:w w:val="96"/>
                </w:rPr>
                <w:t>118</w:t>
              </w:r>
            </w:hyperlink>
          </w:p>
        </w:tc>
        <w:tc>
          <w:tcPr>
            <w:tcW w:w="20" w:type="dxa"/>
            <w:vAlign w:val="bottom"/>
          </w:tcPr>
          <w:p>
            <w:pPr>
              <w:spacing w:after="0"/>
              <w:rPr>
                <w:sz w:val="19"/>
                <w:szCs w:val="19"/>
                <w:color w:val="auto"/>
              </w:rPr>
            </w:pPr>
          </w:p>
        </w:tc>
      </w:tr>
      <w:tr>
        <w:trPr>
          <w:trHeight w:val="238"/>
        </w:trPr>
        <w:tc>
          <w:tcPr>
            <w:tcW w:w="1500" w:type="dxa"/>
            <w:vAlign w:val="bottom"/>
          </w:tcPr>
          <w:p>
            <w:pPr>
              <w:ind w:left="40"/>
              <w:spacing w:after="0"/>
              <w:rPr>
                <w:rFonts w:ascii="Times New Roman" w:cs="Times New Roman" w:eastAsia="Times New Roman" w:hAnsi="Times New Roman"/>
                <w:sz w:val="18"/>
                <w:szCs w:val="18"/>
                <w:b w:val="1"/>
                <w:bCs w:val="1"/>
                <w:u w:val="single" w:color="auto"/>
                <w:color w:val="0000FF"/>
              </w:rPr>
            </w:pPr>
            <w:hyperlink w:anchor="page119">
              <w:r>
                <w:rPr>
                  <w:rFonts w:ascii="Times New Roman" w:cs="Times New Roman" w:eastAsia="Times New Roman" w:hAnsi="Times New Roman"/>
                  <w:sz w:val="18"/>
                  <w:szCs w:val="18"/>
                  <w:b w:val="1"/>
                  <w:bCs w:val="1"/>
                  <w:u w:val="single" w:color="auto"/>
                  <w:color w:val="0000FF"/>
                </w:rPr>
                <w:t>Signatures</w:t>
              </w:r>
            </w:hyperlink>
          </w:p>
        </w:tc>
        <w:tc>
          <w:tcPr>
            <w:tcW w:w="7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jc w:val="center"/>
              <w:ind w:left="50"/>
              <w:spacing w:after="0"/>
              <w:rPr>
                <w:rFonts w:ascii="Times New Roman" w:cs="Times New Roman" w:eastAsia="Times New Roman" w:hAnsi="Times New Roman"/>
                <w:sz w:val="18"/>
                <w:szCs w:val="18"/>
                <w:u w:val="single" w:color="auto"/>
                <w:color w:val="0000FF"/>
                <w:w w:val="96"/>
              </w:rPr>
            </w:pPr>
            <w:hyperlink w:anchor="page119">
              <w:r>
                <w:rPr>
                  <w:rFonts w:ascii="Times New Roman" w:cs="Times New Roman" w:eastAsia="Times New Roman" w:hAnsi="Times New Roman"/>
                  <w:sz w:val="18"/>
                  <w:szCs w:val="18"/>
                  <w:u w:val="single" w:color="auto"/>
                  <w:color w:val="0000FF"/>
                  <w:w w:val="96"/>
                </w:rPr>
                <w:t>119</w:t>
              </w:r>
            </w:hyperlink>
          </w:p>
        </w:tc>
        <w:tc>
          <w:tcPr>
            <w:tcW w:w="20" w:type="dxa"/>
            <w:vAlign w:val="bottom"/>
          </w:tcPr>
          <w:p>
            <w:pPr>
              <w:spacing w:after="0"/>
              <w:rPr>
                <w:sz w:val="20"/>
                <w:szCs w:val="20"/>
                <w:color w:val="auto"/>
              </w:rPr>
            </w:pPr>
          </w:p>
        </w:tc>
      </w:tr>
      <w:tr>
        <w:trPr>
          <w:trHeight w:val="1168"/>
        </w:trPr>
        <w:tc>
          <w:tcPr>
            <w:tcW w:w="1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unless otherwise mentioned or unless the context indicates otherwise, “BHNY,” the “Company,” “we,” “our” and “us” refer to Brighthouse Life Insurance Company of NY, a New York domiciled life insurance company. BHNY is an indirect wholly-owned subsidiary of Brighthouse Financial, Inc. (together with its subsidiaries and affiliates, “Brighthouse”). We use the term “BHF” to refer solely to Brighthouse Financial, Inc., and not to any of its subsidiaries. The term “Separation” refers to the separation of MetLife, Inc.’s (together with its subsidiaries and affiliates, “MetLife”) former Brighthouse Financial segment from MetLife’s other businesses and the creation of a separate, publicly-traded company, BHF, as well as the 2017 distribution by MetLife, Inc. of approximately 80.8%, of the then outstanding shares of BHF common stock to holders of MetLife, Inc. common stock as of the record date for the distribution. In June 2018, MetLife divested all its remaining shares of BHF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 and Summary of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BHNY.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earnings, capitalization and statutory capital and greater volatility of our results due to guarantees within certain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worldwide pandemic sparked by the novel coronavirus (the “COVID-19 pandemic”);</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financial strength ratings, e-business capabilities and name recognition;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on liabilities for policyholder claims as a result of extreme mortality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or catastrophic events, on our investment portfolio, including on realized and unrealized losses and impairments, net investment spread and net investment income;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on our insurance business or other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in managing risk;</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U.S. Securities and Exchange Commission (“SEC”).</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Reliance on Statements in Our Contracts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“Exhibit Index — Note Regarding Reliance on Statements in Our Contracts” for information regarding agreements included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jc w:val="center"/>
              <w:ind w:right="3359"/>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Business</w:t>
            </w:r>
          </w:p>
        </w:tc>
        <w:tc>
          <w:tcPr>
            <w:tcW w:w="6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7460" w:type="dxa"/>
            <w:vAlign w:val="bottom"/>
            <w:gridSpan w:val="2"/>
          </w:tcPr>
          <w:p>
            <w:pPr>
              <w:jc w:val="center"/>
              <w:ind w:right="3359"/>
              <w:spacing w:after="0"/>
              <w:rPr>
                <w:sz w:val="20"/>
                <w:szCs w:val="20"/>
                <w:color w:val="auto"/>
              </w:rPr>
            </w:pPr>
            <w:r>
              <w:rPr>
                <w:rFonts w:ascii="Times New Roman" w:cs="Times New Roman" w:eastAsia="Times New Roman" w:hAnsi="Times New Roman"/>
                <w:sz w:val="18"/>
                <w:szCs w:val="18"/>
                <w:b w:val="1"/>
                <w:bCs w:val="1"/>
                <w:color w:val="auto"/>
                <w:w w:val="99"/>
              </w:rPr>
              <w:t>Index to Business</w:t>
            </w:r>
          </w:p>
        </w:tc>
        <w:tc>
          <w:tcPr>
            <w:tcW w:w="0" w:type="dxa"/>
            <w:vAlign w:val="bottom"/>
          </w:tcPr>
          <w:p>
            <w:pPr>
              <w:spacing w:after="0"/>
              <w:rPr>
                <w:sz w:val="1"/>
                <w:szCs w:val="1"/>
                <w:color w:val="auto"/>
              </w:rPr>
            </w:pPr>
          </w:p>
        </w:tc>
      </w:tr>
      <w:tr>
        <w:trPr>
          <w:trHeight w:val="341"/>
        </w:trPr>
        <w:tc>
          <w:tcPr>
            <w:tcW w:w="37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3780" w:type="dxa"/>
            <w:vAlign w:val="bottom"/>
            <w:vMerge w:val="restart"/>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Overview</w:t>
              </w:r>
            </w:hyperlink>
          </w:p>
        </w:tc>
        <w:tc>
          <w:tcPr>
            <w:tcW w:w="74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vMerge w:val="continue"/>
          </w:tcPr>
          <w:p>
            <w:pPr>
              <w:spacing w:after="0"/>
              <w:rPr>
                <w:sz w:val="18"/>
                <w:szCs w:val="18"/>
                <w:color w:val="auto"/>
              </w:rPr>
            </w:pPr>
          </w:p>
        </w:tc>
        <w:tc>
          <w:tcPr>
            <w:tcW w:w="60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Segments and Corporate &amp; Other</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Reinsurance Activity</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Sales Distribution</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Regulation</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Company Ratings</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w w:val="99"/>
              </w:rPr>
            </w:pPr>
            <w:hyperlink w:anchor="page16">
              <w:r>
                <w:rPr>
                  <w:rFonts w:ascii="Times New Roman" w:cs="Times New Roman" w:eastAsia="Times New Roman" w:hAnsi="Times New Roman"/>
                  <w:sz w:val="18"/>
                  <w:szCs w:val="18"/>
                  <w:u w:val="single" w:color="auto"/>
                  <w:color w:val="0000FF"/>
                  <w:w w:val="99"/>
                </w:rPr>
                <w:t>15</w:t>
              </w:r>
            </w:hyperlink>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Competition</w:t>
              </w:r>
            </w:hyperlink>
          </w:p>
        </w:tc>
        <w:tc>
          <w:tcPr>
            <w:tcW w:w="7460" w:type="dxa"/>
            <w:vAlign w:val="bottom"/>
            <w:gridSpan w:val="2"/>
          </w:tcPr>
          <w:p>
            <w:pPr>
              <w:jc w:val="center"/>
              <w:ind w:left="5910"/>
              <w:spacing w:after="0"/>
              <w:rPr>
                <w:rFonts w:ascii="Times New Roman" w:cs="Times New Roman" w:eastAsia="Times New Roman" w:hAnsi="Times New Roman"/>
                <w:sz w:val="18"/>
                <w:szCs w:val="18"/>
                <w:u w:val="single" w:color="auto"/>
                <w:color w:val="0000FF"/>
                <w:w w:val="99"/>
              </w:rPr>
            </w:pPr>
            <w:hyperlink w:anchor="page16">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BHNY is a New York stock life insurance company licensed to do business only in the state of New York.</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markets or administers a range of annuity and life insurance products to individuals. The Company is organized into two reporting segments: Annuities and Life. In addition, the Company reports certain of its results of operations in Corporate &amp; Other. See “— Segments and Corporate</w:t>
      </w:r>
    </w:p>
    <w:p>
      <w:pPr>
        <w:ind w:firstLine="8"/>
        <w:spacing w:after="0" w:line="260"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“Management’s Discussion and Analysis of Financial Condition and Results of Operations — Overview” and Note 2 of the Notes to the Financial Statements for further information on the Company’s segments and Corporate &amp; Other.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Corporate &amp; 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Annuities segment consists of a variety of variable, fixed, index-linked and income annuities designed to address contract holders’ needs for protected wealth accumulation on a tax-deferred basis, wealth transfer and income security. The “variable” and “fixed” classifications describe generally whether we or the contract holder bears the investment risk of the assets supporting the contract and determine the manner in which we earn profits from these products, as asset-based fees charged for variable products or generally as investment spreads for fixed products. Index-linked annuities allow the contract holder to participate in returns from specified equity indices and, in the case of our Shield Annuities product suite (“Shield” and “Shield Annuities”), provide a specified level of market downside protection. The Shield reserve assets are held in a separate account, but the general account is obligated to pay distributions and benefits irrespective of the value of the separate account assets. Income annuities provide a guaranteed monthly income for a specified period of years or for the life of the annuitant.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Life segment consists of insurance products and services, primarily term life insurance, designed to address policyholders’ needs for financial security and protected wealth transfer, which may be provided on a tax-advantaged basis. In addition to contributing to our revenues and earnings, mortality protection-based products offered by our Life segment diversify the longevity and other risks in our Annuities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expenses associated with certain legal proceedings and income tax audit issues. Corporate &amp; Other also includes term life insurance sold direct to consumers, which is no longer being offered for new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years ended December 31, 2020, 2019 and 2018. Substantially all of our premiums, universal life and investment-type product policy fees and other revenues originated in New York. Financial information, including revenues, expenses, adjusted earnings and total assets by segment, as well as premiums, universal life and investment-type product policy fees and other revenues by major product groups, is provided in Note 2 of the Notes to the Financial Statements. Adjusted earnings is a performance measure that is not based on accounting principles generally accepted in the United States of America (“GAAP”). See “Management’s Discussion and Analysis of Financial Condition and Results of Operations — Non-GAAP Disclosures” for a definition of such measure.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Activity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 into reinsurance agreements primarily as a purchaser of reinsurance for our various insurance products. We participate in reinsurance activities in order to limit losses, minimize exposure to significant risks and provide capacity for future growth. We enter into various agreements with reinsurers that cover individual risks, primarily on a coinsurance, yearly renewable term, or excess basis. These reinsurance agreements spread risk and minimize the effect of losses. The extent of each risk retained by us depends on our evaluation of the specific risk, subject, in certain circumstances, to maximum retention limits based on the characteristics of coverages. We also cede first dollar mortality risk under certain contracts. In addition to reinsuring mortality risk, we reinsure other risks, as well as specific coverages. We obtain reinsurance for capital requirement purposes and also when the economic impact of the reinsurance agreement makes it appropriate to do so.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annuities, we currently reinsure to our parent, Brighthouse Life Insurance Company, 100% of certain variable annuity risks or 100% of the living and death benefit guarantees issued in connection with certain variable annuities. Under the benefit guarantee reinsurance agreements, we pay a reinsurance premium generally based on fees associated with the guarantees collected from policyholders, and receive reimbursement for benefits paid or accrued in excess of account values, subject to certain limitations.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subject sometimes to a cap. When we cede risks on a quota share basis we share a portion of the risk within a contractually specified layer of reinsurance coverage. We reinsure on a facultative basis for risks with specified characteristics. On a case-by-case basis, we may retain up to $100,000 per life and reinsure 100% of amounts in excess of $100,000. We routinely evaluate our reinsurance program and may increase or decrease our retention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Extreme mortality events may adversely impact liabilities for policyholder claims.”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Distribution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distribute our annuity and life insurance products in New York through multiple independent distribution channels and marketing arrangements with a diverse network of distribution partners. Our partners include broker-dealers, general agencies, and other marketing organizations. We market Brighthouse products to our distribution partners through our external wholesalers, who are registered with our affiliated broker-dealer for purposes of marketing our variable insurance products, for ultimate sale to retail customers of such distribution partners.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6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Index to Regulation</w:t>
            </w:r>
          </w:p>
        </w:tc>
      </w:tr>
      <w:tr>
        <w:trPr>
          <w:trHeight w:val="386"/>
        </w:trPr>
        <w:tc>
          <w:tcPr>
            <w:tcW w:w="47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4"/>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Overview</w:t>
              </w:r>
            </w:hyperlink>
          </w:p>
        </w:tc>
        <w:tc>
          <w:tcPr>
            <w:tcW w:w="5280" w:type="dxa"/>
            <w:vAlign w:val="bottom"/>
          </w:tcPr>
          <w:p>
            <w:pPr>
              <w:spacing w:after="0"/>
              <w:rPr>
                <w:sz w:val="19"/>
                <w:szCs w:val="19"/>
                <w:color w:val="auto"/>
              </w:rPr>
            </w:pPr>
          </w:p>
        </w:tc>
        <w:tc>
          <w:tcPr>
            <w:tcW w:w="1220" w:type="dxa"/>
            <w:vAlign w:val="bottom"/>
          </w:tcPr>
          <w:p>
            <w:pPr>
              <w:jc w:val="cente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tc>
      </w:tr>
      <w:tr>
        <w:trPr>
          <w:trHeight w:val="229"/>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Insurance Regulation</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8</w:t>
              </w:r>
            </w:hyperlink>
          </w:p>
        </w:tc>
      </w:tr>
      <w:tr>
        <w:trPr>
          <w:trHeight w:val="229"/>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Cybersecurity Regulation</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3">
              <w:r>
                <w:rPr>
                  <w:rFonts w:ascii="Times New Roman" w:cs="Times New Roman" w:eastAsia="Times New Roman" w:hAnsi="Times New Roman"/>
                  <w:sz w:val="18"/>
                  <w:szCs w:val="18"/>
                  <w:u w:val="single" w:color="auto"/>
                  <w:color w:val="0000FF"/>
                  <w:w w:val="99"/>
                </w:rPr>
                <w:t>12</w:t>
              </w:r>
            </w:hyperlink>
          </w:p>
        </w:tc>
      </w:tr>
      <w:tr>
        <w:trPr>
          <w:trHeight w:val="230"/>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Securities, Broker-Dealer and Investment Advisor Regulation</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3">
              <w:r>
                <w:rPr>
                  <w:rFonts w:ascii="Times New Roman" w:cs="Times New Roman" w:eastAsia="Times New Roman" w:hAnsi="Times New Roman"/>
                  <w:sz w:val="18"/>
                  <w:szCs w:val="18"/>
                  <w:u w:val="single" w:color="auto"/>
                  <w:color w:val="0000FF"/>
                  <w:w w:val="99"/>
                </w:rPr>
                <w:t>12</w:t>
              </w:r>
            </w:hyperlink>
          </w:p>
        </w:tc>
      </w:tr>
      <w:tr>
        <w:trPr>
          <w:trHeight w:val="229"/>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Department of Labor and ERISA Considerations</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4">
              <w:r>
                <w:rPr>
                  <w:rFonts w:ascii="Times New Roman" w:cs="Times New Roman" w:eastAsia="Times New Roman" w:hAnsi="Times New Roman"/>
                  <w:sz w:val="18"/>
                  <w:szCs w:val="18"/>
                  <w:u w:val="single" w:color="auto"/>
                  <w:color w:val="0000FF"/>
                  <w:w w:val="99"/>
                </w:rPr>
                <w:t>13</w:t>
              </w:r>
            </w:hyperlink>
          </w:p>
        </w:tc>
      </w:tr>
      <w:tr>
        <w:trPr>
          <w:trHeight w:val="230"/>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Standard of Conduct Regulation</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4">
              <w:r>
                <w:rPr>
                  <w:rFonts w:ascii="Times New Roman" w:cs="Times New Roman" w:eastAsia="Times New Roman" w:hAnsi="Times New Roman"/>
                  <w:sz w:val="18"/>
                  <w:szCs w:val="18"/>
                  <w:u w:val="single" w:color="auto"/>
                  <w:color w:val="0000FF"/>
                  <w:w w:val="99"/>
                </w:rPr>
                <w:t>13</w:t>
              </w:r>
            </w:hyperlink>
          </w:p>
        </w:tc>
      </w:tr>
      <w:tr>
        <w:trPr>
          <w:trHeight w:val="229"/>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Regulation of Over-the-Counter Derivatives</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6">
              <w:r>
                <w:rPr>
                  <w:rFonts w:ascii="Times New Roman" w:cs="Times New Roman" w:eastAsia="Times New Roman" w:hAnsi="Times New Roman"/>
                  <w:sz w:val="18"/>
                  <w:szCs w:val="18"/>
                  <w:u w:val="single" w:color="auto"/>
                  <w:color w:val="0000FF"/>
                  <w:w w:val="99"/>
                </w:rPr>
                <w:t>15</w:t>
              </w:r>
            </w:hyperlink>
          </w:p>
        </w:tc>
      </w:tr>
      <w:tr>
        <w:trPr>
          <w:trHeight w:val="234"/>
        </w:trPr>
        <w:tc>
          <w:tcPr>
            <w:tcW w:w="4720" w:type="dxa"/>
            <w:vAlign w:val="bottom"/>
          </w:tcPr>
          <w:p>
            <w:pPr>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Unclaimed Property</w:t>
              </w:r>
            </w:hyperlink>
          </w:p>
        </w:tc>
        <w:tc>
          <w:tcPr>
            <w:tcW w:w="6500" w:type="dxa"/>
            <w:vAlign w:val="bottom"/>
            <w:gridSpan w:val="2"/>
          </w:tcPr>
          <w:p>
            <w:pPr>
              <w:jc w:val="center"/>
              <w:ind w:left="5190"/>
              <w:spacing w:after="0"/>
              <w:rPr>
                <w:rFonts w:ascii="Times New Roman" w:cs="Times New Roman" w:eastAsia="Times New Roman" w:hAnsi="Times New Roman"/>
                <w:sz w:val="18"/>
                <w:szCs w:val="18"/>
                <w:u w:val="single" w:color="auto"/>
                <w:color w:val="0000FF"/>
                <w:w w:val="99"/>
              </w:rPr>
            </w:pPr>
            <w:hyperlink w:anchor="page16">
              <w:r>
                <w:rPr>
                  <w:rFonts w:ascii="Times New Roman" w:cs="Times New Roman" w:eastAsia="Times New Roman" w:hAnsi="Times New Roman"/>
                  <w:sz w:val="18"/>
                  <w:szCs w:val="18"/>
                  <w:u w:val="single" w:color="auto"/>
                  <w:color w:val="0000FF"/>
                  <w:w w:val="99"/>
                </w:rPr>
                <w:t>15</w:t>
              </w:r>
            </w:hyperlink>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domiciled in New York and regulated by the New York State Department of Financial Services (the “NYDFS”). We are regulated primarily at the state level, with some products and services also subject to federal regulation.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licensed to issue insurance products only in New York and are regulated by the NYDFS. New York law grants the NYDFS broad administrative powers with respect to, among other things:</w:t>
      </w:r>
    </w:p>
    <w:p>
      <w:pPr>
        <w:spacing w:after="0" w:line="5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companies and agents to transact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value of assets to determine compliance with statutory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certain insurance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certain premium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policy forms and rates;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 including through the imposition of restrictions on marketing and sales practices, distribution arrangements and payment of inducements, and identifying and paying to the state benefits and other property that are not claimed by the owners;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advertising and marketing of insurance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privacy;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statutory capital (including risk-based capital (“RBC”)) reserve requirements and solvency standards;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insurance policy loans and minimum rates for guaranteed crediting rates on life insurance policies and annuity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enforcing suitability standards with respect to the sale of annuities and other insurance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in control of New York-domiciled insurance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payment of dividends and other transactions between affiliates;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types, amounts and valuation of investments.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file reports, generally including detailed annual financial statements, with the NYDFS, and our operations and accounts are subject to periodic examination by the NYDFS. We must also file, and obtain regulatory approval for, rules, rates and forms relating to the insurance written in the jurisdictions in which we operate.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13 of the Notes to the Financial Statements.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 Insurance Regulatory Actions Related to the COVID-19 Pandemic</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As U.S. states have declared states of emergency, many state insurance regulators have mandated or recommended that insurers implement policies to provide relief to consumers who have been adversely impacted by the COVID-19 pandemic. Accordingly, we have taken actions to provide relief to our life insurance policyholders, annuitants and other contract holders who have claimed hardship as a result of the COVID-19 pandemic. Such relief may include extending the grace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340"/>
        <w:spacing w:after="0" w:line="375" w:lineRule="auto"/>
        <w:rPr>
          <w:sz w:val="20"/>
          <w:szCs w:val="20"/>
          <w:color w:val="auto"/>
        </w:rPr>
      </w:pPr>
      <w:r>
        <w:rPr>
          <w:rFonts w:ascii="Times New Roman" w:cs="Times New Roman" w:eastAsia="Times New Roman" w:hAnsi="Times New Roman"/>
          <w:sz w:val="18"/>
          <w:szCs w:val="18"/>
          <w:color w:val="auto"/>
        </w:rPr>
        <w:t xml:space="preserve">period for payment of insurance premiums, offering additional time to exercise contractual rights or options or extending maturity dates on annuities. </w:t>
      </w:r>
      <w:r>
        <w:rPr>
          <w:rFonts w:ascii="Times New Roman" w:cs="Times New Roman" w:eastAsia="Times New Roman" w:hAnsi="Times New Roman"/>
          <w:sz w:val="18"/>
          <w:szCs w:val="18"/>
          <w:b w:val="1"/>
          <w:bCs w:val="1"/>
          <w:i w:val="1"/>
          <w:iCs w:val="1"/>
          <w:u w:val="single" w:color="auto"/>
          <w:color w:val="auto"/>
        </w:rPr>
        <w:t>Surplus and Capital; Risk-Based Capital</w:t>
      </w:r>
    </w:p>
    <w:p>
      <w:pPr>
        <w:spacing w:after="0" w:line="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NYDFS may impact our statutory capital and surplus.</w:t>
      </w:r>
    </w:p>
    <w:p>
      <w:pPr>
        <w:spacing w:after="0" w:line="81" w:lineRule="exact"/>
        <w:rPr>
          <w:sz w:val="20"/>
          <w:szCs w:val="20"/>
          <w:color w:val="auto"/>
        </w:rPr>
      </w:pPr>
    </w:p>
    <w:p>
      <w:pPr>
        <w:jc w:val="both"/>
        <w:ind w:left="180" w:firstLine="324"/>
        <w:spacing w:after="0" w:line="252" w:lineRule="auto"/>
        <w:rPr>
          <w:sz w:val="20"/>
          <w:szCs w:val="20"/>
          <w:color w:val="auto"/>
        </w:rPr>
      </w:pPr>
      <w:r>
        <w:rPr>
          <w:rFonts w:ascii="Times New Roman" w:cs="Times New Roman" w:eastAsia="Times New Roman" w:hAnsi="Times New Roman"/>
          <w:sz w:val="18"/>
          <w:szCs w:val="18"/>
          <w:color w:val="auto"/>
        </w:rPr>
        <w:t>The NAIC has established regulations that provide minimum capitalization requirements based on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We are subject to RBC requirements and other minimum statutory capital and surplus requirements imposed under the laws of New York. RBC is based on a formula calculated by applying factors to various asset, premium, claim, expense and statutory reserve items. The formula takes into account the risk characteristics of the insurer and is calculated on an annual basis. The major categories of risk involved are asset risk, insurance risk, interest rate risk, market risk and business risk. The RBC framework is used as an early warning regulatory tool to identify possible inadequately capitalized insurers for purposes of initiating regulatory action, and not as a means to rank insurers generally. New York insurance laws provide the NYDFS the authority to require various actions by, or take various actions against, insurers whose total adjusted capital (“TAC”) does not meet or exceed certain RBC levels. As of the date of the most recent annual statutory financial statements filed with the NYDFS, our TAC was in excess of RBC levels required by regulators. See “Risk Factors — Regulatory and Legal Risks — A decrease in our RBC ratio (as a result of a reduction in statutory surplus or increase in RBC requirements) could result in increased scrutiny by insurance regulators and rating agencies and could have a material adverse effect on our financial condition and results of operations” and Note 10 of the Notes to the Financial Statements.</w:t>
      </w:r>
    </w:p>
    <w:p>
      <w:pPr>
        <w:spacing w:after="0" w:line="89"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NAIC adopted a group capital calculation tool that uses an RBC aggregation methodology for all entities within an insurance holding company system. The NAIC has stated that the calculation will be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United States.</w:t>
      </w:r>
    </w:p>
    <w:p>
      <w:pPr>
        <w:spacing w:after="0" w:line="72"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August 2018, the NAIC adopted the framework for variable annuity reserve and capital reform (“VA Reform”). VA Reform is intended to (i) mitigate the asset-liability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New York adopted a similar framework for variable annuity reserves (“NY VA Reform”), in addition to the NAIC changes to required capital. The changes were effective December 31, 2020 and replaced Actuarial Guideline 43 and the former Life Risk Based Capital C3 Phase II capital requirements.</w:t>
      </w:r>
    </w:p>
    <w:p>
      <w:pPr>
        <w:spacing w:after="0" w:line="79"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NYDFS issues an annual “Special Considerations” circular letter (“SCL”) to New York licensed insurers requiring tests to be performed as part of insurers’ year-end asset adequacy testing. An SCL could require us, among other things, to use certain asset adequacy testing assumptions resulting in increases or releases of certain asset adequacy reserves for a particular year, which could have a material impact on our statutory capital and surplus. There was no impact to our statutory capital and surplus resulting from SCLs for the years ended December 31, 2020 and 2019.</w:t>
      </w:r>
    </w:p>
    <w:p>
      <w:pPr>
        <w:spacing w:after="0" w:line="72"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See “Risk Factors — Regulatory and Legal Risks — Our business is highly regulated, and changes in regulation and in supervisory and enforcement policies may materially impact our capitalization or cash flows, reduce our profitability and limit our growth.”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Holding Company Regulation</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In 2010 and 2014, the NAIC adopted revisions to the NAIC Insurance Holding Company System Model Act and the Insurance Holding Company System Model Regulation. New York has adopted a modified version, although its supporting regulation is substantially similar to the model regulation.</w:t>
      </w:r>
    </w:p>
    <w:p>
      <w:pPr>
        <w:spacing w:after="0" w:line="75"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New York insurance laws generally provide that no person, corporation or other entity may acquire control of a New York-domiciled insurance company, or a controlling interest in any parent company of any such insurance company, without the prior approval of the NYDFS. Under the laws of New York,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NYDFS, however, may find that “control” exists in circumstances in which a person owns or controls less than 10% of an insurance company’s voting securities.</w:t>
      </w:r>
    </w:p>
    <w:p>
      <w:pPr>
        <w:spacing w:after="0" w:line="79"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laws and regulations regarding acquisition of control transactions may discourage potential acquisition proposals and may delay, deter or prevent a change of control involving us, including through unsolicited transactions.</w:t>
      </w:r>
    </w:p>
    <w:p>
      <w:pPr>
        <w:spacing w:after="0" w:line="5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New York has enacted this enterprise risk reporting requirement.</w:t>
      </w:r>
    </w:p>
    <w:p>
      <w:pPr>
        <w:spacing w:after="0" w:line="72" w:lineRule="exact"/>
        <w:rPr>
          <w:sz w:val="20"/>
          <w:szCs w:val="20"/>
          <w:color w:val="auto"/>
        </w:rPr>
      </w:pPr>
    </w:p>
    <w:p>
      <w:pPr>
        <w:jc w:val="both"/>
        <w:ind w:left="180" w:firstLine="324"/>
        <w:spacing w:after="0" w:line="252" w:lineRule="auto"/>
        <w:rPr>
          <w:sz w:val="20"/>
          <w:szCs w:val="20"/>
          <w:color w:val="auto"/>
        </w:rPr>
      </w:pPr>
      <w:r>
        <w:rPr>
          <w:rFonts w:ascii="Times New Roman" w:cs="Times New Roman" w:eastAsia="Times New Roman" w:hAnsi="Times New Roman"/>
          <w:sz w:val="18"/>
          <w:szCs w:val="18"/>
          <w:color w:val="auto"/>
        </w:rPr>
        <w:t>Under New York insurance laws,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 The NY Superintendent has broad discretion in determining whether the financial condition of a stock life insurance company would support the payment of such dividends to its stockholders.</w:t>
      </w:r>
    </w:p>
    <w:p>
      <w:pPr>
        <w:spacing w:after="0" w:line="87"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See “Dividend Restrictions” in Note 10 of the Notes to the Financial Statements for further information regarding such limitations and dividends paid.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 Risk and Solvency Assessment Model Act</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In 2012, the NAIC adopted the Risk Management and Own Risk and Solvency Assessment Model Act (“ORSA”), which has been enacted by New York.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Federal Initiatives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Although the insurance business in the United States is primarily regulated by the states, federal initiatives often have an impact on our business in a variety of ways. Federal regulation of financial services, securities, derivatives and pensions, as well as legislation affecting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Guaranty Associations and Similar Arrangements</w:t>
      </w:r>
    </w:p>
    <w:p>
      <w:pPr>
        <w:spacing w:after="0" w:line="121" w:lineRule="exact"/>
        <w:rPr>
          <w:sz w:val="20"/>
          <w:szCs w:val="20"/>
          <w:color w:val="auto"/>
        </w:rPr>
      </w:pPr>
    </w:p>
    <w:p>
      <w:pPr>
        <w:jc w:val="both"/>
        <w:ind w:left="180" w:firstLine="324"/>
        <w:spacing w:after="0" w:line="277" w:lineRule="auto"/>
        <w:rPr>
          <w:sz w:val="20"/>
          <w:szCs w:val="20"/>
          <w:color w:val="auto"/>
        </w:rPr>
      </w:pPr>
      <w:r>
        <w:rPr>
          <w:rFonts w:ascii="Times New Roman" w:cs="Times New Roman" w:eastAsia="Times New Roman" w:hAnsi="Times New Roman"/>
          <w:sz w:val="17"/>
          <w:szCs w:val="17"/>
          <w:color w:val="auto"/>
        </w:rPr>
        <w:t>New York requires us to participate in The Life Insurance Guaranty Corporation, which is a guaranty association organized to pay certain contractual benefits owed pursuant to insurance policies issued by impaired, insolvent or failed insurers, or those that may become impaired, insolvent or fail, for example, following the occurrence of one or more catastrophic events. This association levies assessments, up to prescribed limits, on all member insurers in the state on the basis of the proportionate share of the premiums written by member insurers in the lines of business in which the impaired, insolvent or failed insurer is engaged. New York permits member insurers to recover assessments paid through full or partial premium tax offsets.</w:t>
      </w:r>
    </w:p>
    <w:p>
      <w:pPr>
        <w:spacing w:after="0" w:line="60"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Over the past several years, the aggregate assessments levied against us have not been material. We have established liabilities for guaranty fund assessments that we consider adequate.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Regulatory Examinations and Other Activities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As part of its regulatory oversight process, the NYDFS conducts periodic detailed examinations of our books, records, accounts, and business practices, including periodic financial examinations and market conduct examinations, one of which is currently underway. Over the past several years, there have been no material adverse findings in connection with any examinations of us conducted by the NYDFS, although there can be no assurance that there will not be any material adverse findings in the future.</w:t>
      </w:r>
    </w:p>
    <w:p>
      <w:pPr>
        <w:spacing w:after="0" w:line="72"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us and our affiliates.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us and our affiliates by other regulatory authorities were resolved for monetary payments and certain other relief, including restitution payments. We may continue to receive, and may resolve, further investigations and actions on these matters in a similar manner.</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claims payment practices by insurance companies have received increased scrutiny from regulators.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Policy and Contract Reserve Adequacy Analysis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Annually, we are required to conduct an analysis of the adequacy of all statutory reserves. A qualified actuary must submit an opinion which states that the statutory reserves make adequate provision, according to accepted actuarial standards of practice, for the anticipated cash flows required by the contractual obligations and related expenses. The adequacy of the statutory reserves is considered in light of the assets held by us with respect to such reserves and related actuarial items including, but not limited to, the investment earnings on such assets, and the consideration anticipated to be received and retained under the related policies and contracts. We may increase reserves in order to submit an opinion without qualification. Since the inception of this requirement, we have provided the NYDFS such opinions without qualifications.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 of Investments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New York insurance laws require diversification of investment portfolios and limit the amount of investments that an insurer may have in certain asset categories, such as below investment grade fixed income securities, real estate equity, other equity investments, and derivatives. Failure to comply with these laws and regulations would cause investments exceeding regulatory limitations to be treated as non-admitted assets for purposes of measuring surplus and, in some instances, would require divestiture of such non-qualifying investments. We believe that our investments complied, in all material respects, with such regulations at December 31, 2020.</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210</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March 2018, NYDFS Insurance Regulation 210: Life Insurance and Annuity Non-Guaranteed Elements took effect. The regulation establishes standards for the determination and readjustment of non-guaranteed elements (“NGEs”) that may vary at the insurer’s discretion for life insurance policies and annuity contracts delivered or issued for delivery in New York. In addition, the regulation establishes guidelines for related disclosure to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Regulation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course of our business, we and our distributors collect and maintain customer data, including personally identifiable nonpublic financial and health information. We also collect and handle the personal information of our employees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the state laws described below. These laws require that we institute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in 2017, the NYDFS adopted a broad cybersecurity regulation that requires financial services institutions to, among other things, implement and maintain a cybersecurity program and a cybersecurity policy that will be monitored and tested periodically, develop controls and technology standards for data protection, meet minimum standards in response to any cybersecurity breach and annually certify their compliance with the regulation. In addition, 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A number of states have enacted the Insurance Data Security Model Law or similar laws, and we expect more states to follow.</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California Consumer Privacy Act of 2018 (the “CCPA”) went into effect on January 1, 2020, granting California residents new privacy rights and requiring disclosures regarding personal information, among other privacy protective measures. The California Privacy Rights Act (the “CPRA”) ballot measure passed in the November 2020 election. The CPRA becomes fully operative January 1, 2023 and amends the CCPA, expanding consumer privacy rights and establishing a new privacy enforcement agency. Additional states are considering enacting, or have enacted, consumer information privacy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Broker-Dealer and Investment Advisor Regulation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also are subject to the requirements of FINRA rules.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utilize Brighthouse Securities, LLC, an affiliate, to distribute our variable and registered fixed products. Brighthouse Securities, LLC is a FINRA member and a broker-dealer registered with the SEC and applicable state regulators.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mutual fund which is itself a registered investment company under the Investment Company Act. Our affiliate, Brighthouse Investment Advisers, LLC is registered as an investment advisor with the SEC under the Investment Advisers Act of 1940, and its primary business is to serve as investment advisor to the registered mutual funds that underlie our variable annuity contracts and variable life insurance policies. Certain variable contract separate accounts sponsored by us and our affiliates are exempt from registration under the Securities Act and the Investment Company Act but may be subject to other provisions of the federal securities laws.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Labor and ERISA Considerations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In June 2020, the Department of Labor (“DOL”) issued guidance that expands the definition of “investment advice.” See “— Standard of Conduct Regulation — Department of Labor Fiduciary Advice Rule.”</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BHNY has taken and continues to take steps designed to ensure compliance with these regulations as they apply to service providers.</w:t>
      </w:r>
    </w:p>
    <w:p>
      <w:pPr>
        <w:spacing w:after="0" w:line="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John Hancock Mutual Life Insurance Company v. Harris Trust and Savings Bank</w:t>
      </w:r>
      <w:r>
        <w:rPr>
          <w:rFonts w:ascii="Times New Roman" w:cs="Times New Roman" w:eastAsia="Times New Roman" w:hAnsi="Times New Roman"/>
          <w:sz w:val="18"/>
          <w:szCs w:val="18"/>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 guaranteed benefit policy. We have taken and continue to take steps designed to ensure that policies issued to ERISA plans after 1998 qualify as guaranteed benefit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of Conduct Regulation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Labor Fiduciary Advice Rule</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A new regulatory action by the DOL (the “Fiduciary Advice Rule”), which became effective on February 16, 2021, reinstates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reverses an earlier DOL interpretation suggesting that roll over advice does not constitute investment advice giving rise to a fiduciary relationship.</w:t>
      </w:r>
    </w:p>
    <w:p>
      <w:pPr>
        <w:spacing w:after="0" w:line="81" w:lineRule="exact"/>
        <w:rPr>
          <w:sz w:val="20"/>
          <w:szCs w:val="20"/>
          <w:color w:val="auto"/>
        </w:rPr>
      </w:pPr>
    </w:p>
    <w:p>
      <w:pPr>
        <w:jc w:val="both"/>
        <w:ind w:left="180" w:firstLine="324"/>
        <w:spacing w:after="0" w:line="289" w:lineRule="auto"/>
        <w:rPr>
          <w:sz w:val="20"/>
          <w:szCs w:val="20"/>
          <w:color w:val="auto"/>
        </w:rPr>
      </w:pPr>
      <w:r>
        <w:rPr>
          <w:rFonts w:ascii="Times New Roman" w:cs="Times New Roman" w:eastAsia="Times New Roman" w:hAnsi="Times New Roman"/>
          <w:sz w:val="17"/>
          <w:szCs w:val="17"/>
          <w:color w:val="auto"/>
        </w:rPr>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50"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Fiduciary Advice Rule, the DOL also issued an exemption, Prohibited Transaction Exemption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79"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Because we do not engage in direct distribution of retail products, including IRA products and retail annuities sold to ERISA plan participants and to IRA owners, we believe that we will have limited exposure to the new Fiduciary Advice Rule. However, while we cannot predict the rule’s impact, the DOL’s interpretation of the ERISA fiduciary investment advice regulation could have an adverse effect on sales of annuity products through our independent distribution partners, as a significant portion of our annuity sales are as IRAs. The Fiduciary Advice Rule may also lead to changes to our compensation practices, product offerings and increased litigation risk, which could adversely affect our financial condition and results of operations. We may also need to take certain additional actions in order to comply with, or assist our distributors in their compliance with, the Fiduciary Advice Rule.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New York Regulation 187</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In July 2018, the NYDFS issued Regulation 187 (“Regulation 187”), which adopted a “best interest” standard for the sale of annuities and life insurance products in New York. The regulation generally requires a consumer’s best interest, and not the financial interests of a producer or insurer, in making a producer’s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 Rules Addressing Standards of Conduct for Broker-Dealers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new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Regulation Best Interest. Among other things, this regulatory package:</w:t>
      </w:r>
    </w:p>
    <w:p>
      <w:pPr>
        <w:spacing w:after="0" w:line="99" w:lineRule="exact"/>
        <w:rPr>
          <w:sz w:val="20"/>
          <w:szCs w:val="20"/>
          <w:color w:val="auto"/>
        </w:rPr>
      </w:pPr>
    </w:p>
    <w:p>
      <w:pPr>
        <w:jc w:val="both"/>
        <w:ind w:left="82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the nature of the fiduciary obligations owed by registered investment advisers to their clients;</w:t>
      </w:r>
    </w:p>
    <w:p>
      <w:pPr>
        <w:spacing w:after="0" w:line="117"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broker-dealers and their financial professionals from using certain compensation practices and the terms “adviser” or “advisor.”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pacing w:after="0" w:line="68"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Given the novelty and complexity of this package of regulations, its likely impact on the distribution of our products is uncertain.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Over-the-Counter Derivatives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mandatory exchange of margin for OTC derivatives transactions that are bilateral contracts between two counterparties (“OTC-bilateral”) entered into after the applicable phase-in period. The initial margin requirements for OTC-bilateral derivatives transactions will be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Property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laws and regulations of New York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Ratings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strength ratings represent the opinion of rating agencies regarding the ability of an insurance company to pay obligations under insurance policies and contracts in accordance with their terms. The level and composition of our regulatory capital are among the many factors considered in determining our financial strength ratings. Each agency has its own capital adequacy evaluation methodology, and assessments are generally based on a combination of factors. Rating agencies may increase the frequency and scope of their credit reviews, may request additional information from the companies that they rate and may adjust upward the capital and other requirements employed in the rating agency models for maintenance of certain ratings levels. See “Management’s Discussion and Analysis of Financial Condition and Results of Operations — Liquidity and Capital Resources — Rating Agencies” and “Risk Factors — Risks Related to Our Business — A downgrade or a potential downgrade in our financial strength ratings could result in a loss of business and materially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Both the annuities and the life insurance markets are very competitive, with many participants and no one company dominating the market for all products. According to the American Council of Life Insurers (Life Insurers Fact Book 2020), the U.S. life insurance industry is made up of approximately 760 companies with sales and operations across the country. We compete with major, well-established stock and mutual life insurance companies in all of our product offerings.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the primary competitive feature for the variable annuity business is our living benefit rider product features, and for our Shield business it is the crediting methodology. Additionally, the quality of our relationship management and wholesaling support are key drivers in our competitive position. In the fixed annuity business, the crediting rates and guaranteed payout product features are the primary competitive factors. For income annuities, the competitiveness of the lifetime income payment amount is generally the principal factor.</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Principal competitive factors in the life insurance business include customer service and distribution channel relationships, price, the financial strength ratings of the insurance company, technology and financial stability.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1460" w:type="dxa"/>
            <w:vAlign w:val="bottom"/>
          </w:tcPr>
          <w:p>
            <w:pPr>
              <w:spacing w:after="0"/>
              <w:rPr>
                <w:sz w:val="20"/>
                <w:szCs w:val="20"/>
                <w:color w:val="auto"/>
              </w:rPr>
            </w:pPr>
          </w:p>
        </w:tc>
      </w:tr>
      <w:tr>
        <w:trPr>
          <w:trHeight w:val="378"/>
        </w:trPr>
        <w:tc>
          <w:tcPr>
            <w:tcW w:w="978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Index to Risk Factors</w:t>
            </w:r>
          </w:p>
        </w:tc>
        <w:tc>
          <w:tcPr>
            <w:tcW w:w="1460" w:type="dxa"/>
            <w:vAlign w:val="bottom"/>
          </w:tcPr>
          <w:p>
            <w:pPr>
              <w:spacing w:after="0"/>
              <w:rPr>
                <w:sz w:val="24"/>
                <w:szCs w:val="24"/>
                <w:color w:val="auto"/>
              </w:rPr>
            </w:pPr>
          </w:p>
        </w:tc>
      </w:tr>
      <w:tr>
        <w:trPr>
          <w:trHeight w:val="337"/>
        </w:trPr>
        <w:tc>
          <w:tcPr>
            <w:tcW w:w="978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8"/>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Overview</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8">
              <w:r>
                <w:rPr>
                  <w:rFonts w:ascii="Times New Roman" w:cs="Times New Roman" w:eastAsia="Times New Roman" w:hAnsi="Times New Roman"/>
                  <w:sz w:val="18"/>
                  <w:szCs w:val="18"/>
                  <w:u w:val="single" w:color="auto"/>
                  <w:color w:val="0000FF"/>
                  <w:w w:val="99"/>
                </w:rPr>
                <w:t>18</w:t>
              </w:r>
            </w:hyperlink>
          </w:p>
        </w:tc>
      </w:tr>
      <w:tr>
        <w:trPr>
          <w:trHeight w:val="230"/>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Risks Related to Our Business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9">
              <w:r>
                <w:rPr>
                  <w:rFonts w:ascii="Times New Roman" w:cs="Times New Roman" w:eastAsia="Times New Roman" w:hAnsi="Times New Roman"/>
                  <w:sz w:val="18"/>
                  <w:szCs w:val="18"/>
                  <w:u w:val="single" w:color="auto"/>
                  <w:color w:val="0000FF"/>
                  <w:w w:val="99"/>
                </w:rPr>
                <w:t>18</w:t>
              </w:r>
            </w:hyperlink>
          </w:p>
        </w:tc>
      </w:tr>
      <w:tr>
        <w:trPr>
          <w:trHeight w:val="229"/>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Economic Environment and Capital Markets-Related Risks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6">
              <w:r>
                <w:rPr>
                  <w:rFonts w:ascii="Times New Roman" w:cs="Times New Roman" w:eastAsia="Times New Roman" w:hAnsi="Times New Roman"/>
                  <w:sz w:val="18"/>
                  <w:szCs w:val="18"/>
                  <w:u w:val="single" w:color="auto"/>
                  <w:color w:val="0000FF"/>
                  <w:w w:val="99"/>
                </w:rPr>
                <w:t>25</w:t>
              </w:r>
            </w:hyperlink>
          </w:p>
        </w:tc>
      </w:tr>
      <w:tr>
        <w:trPr>
          <w:trHeight w:val="229"/>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Investments-Related Risks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0">
              <w:r>
                <w:rPr>
                  <w:rFonts w:ascii="Times New Roman" w:cs="Times New Roman" w:eastAsia="Times New Roman" w:hAnsi="Times New Roman"/>
                  <w:sz w:val="18"/>
                  <w:szCs w:val="18"/>
                  <w:u w:val="single" w:color="auto"/>
                  <w:color w:val="0000FF"/>
                  <w:w w:val="99"/>
                </w:rPr>
                <w:t>29</w:t>
              </w:r>
            </w:hyperlink>
          </w:p>
        </w:tc>
      </w:tr>
      <w:tr>
        <w:trPr>
          <w:trHeight w:val="230"/>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Regulatory and Legal Risks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2">
              <w:r>
                <w:rPr>
                  <w:rFonts w:ascii="Times New Roman" w:cs="Times New Roman" w:eastAsia="Times New Roman" w:hAnsi="Times New Roman"/>
                  <w:sz w:val="18"/>
                  <w:szCs w:val="18"/>
                  <w:u w:val="single" w:color="auto"/>
                  <w:color w:val="0000FF"/>
                  <w:w w:val="99"/>
                </w:rPr>
                <w:t>31</w:t>
              </w:r>
            </w:hyperlink>
          </w:p>
        </w:tc>
      </w:tr>
      <w:tr>
        <w:trPr>
          <w:trHeight w:val="229"/>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Operational Risks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5">
              <w:r>
                <w:rPr>
                  <w:rFonts w:ascii="Times New Roman" w:cs="Times New Roman" w:eastAsia="Times New Roman" w:hAnsi="Times New Roman"/>
                  <w:sz w:val="18"/>
                  <w:szCs w:val="18"/>
                  <w:u w:val="single" w:color="auto"/>
                  <w:color w:val="0000FF"/>
                  <w:w w:val="99"/>
                </w:rPr>
                <w:t>34</w:t>
              </w:r>
            </w:hyperlink>
          </w:p>
        </w:tc>
      </w:tr>
      <w:tr>
        <w:trPr>
          <w:trHeight w:val="234"/>
        </w:trPr>
        <w:tc>
          <w:tcPr>
            <w:tcW w:w="9780" w:type="dxa"/>
            <w:vAlign w:val="bottom"/>
          </w:tcPr>
          <w:p>
            <w:pPr>
              <w:ind w:left="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Risks Related to Our Separation from, and Continuing Relationship with, MetLife</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6">
              <w:r>
                <w:rPr>
                  <w:rFonts w:ascii="Times New Roman" w:cs="Times New Roman" w:eastAsia="Times New Roman" w:hAnsi="Times New Roman"/>
                  <w:sz w:val="18"/>
                  <w:szCs w:val="18"/>
                  <w:u w:val="single" w:color="auto"/>
                  <w:color w:val="0000FF"/>
                  <w:w w:val="99"/>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Differences between actual experience and actuarial assumptions and the effectiveness of our actuarial models may adversely affect our financial results, capitalization and financial condition</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amounts are established based on actuarial estimates of how much we will need to pay for future benefits and claims. To the extent that actual claims and benefits experience is less favorable than the underlying assumptions we used in establishing such liabilities, we could be required to increase our liabilities. We make assumptions regarding policyholder behavior at the time of pricing and in selecting and utilizing the guaranteed options inherent within our products based in part upon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adverse publicity or any potential negative rating agency actions. The pricing of certain of our variable annuity products that contain certain living benefit guarantees is also based on assumptions about utilization rates, or the percentage of contracts that will utilize the benefit during the contract duration, including the timing of the first withdrawal. Results may vary based on differences between actual and expected benefit utilization. A material increase in the valuation of the liability could result to the extent that emerging and actual experience deviates from these policyholder option utilization assumptions, and in certain circumstances this deviation may impair our solvency. We conduct an annual actuarial review (the “AAR”) of the key inputs into our actuarial models that rely on management judgment and update those where we have credible evidence from actual experience, industry data or other relevant sources to ensure our price-setting criteria and reserve valuation practices continue to be appropriate.</w:t>
      </w:r>
    </w:p>
    <w:p>
      <w:pPr>
        <w:spacing w:after="0" w:line="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and, even after such validation and testing, our models remain subject to inherent limitations. Accordingly, no assurances can be given as to whether or when we will implement refinements to our actuarial models, and, if implemented, the extent of such refinements. Furthermore, if implemented, any such refinements could cause us to increase the reserves we hold for our insurance policy and annuity contract liabilities. Such refinement would also cause us to accelerate the amortization of deferred policy acquisition costs (“DAC”) associated with the affected reserves.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liabilities for future policy benefits and claims, we cannot determine precisely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increase in our reserves or any other adverse impacts, for any of the above reasons, individually or in the aggregate, could have a material adverse effect on our financial condition and results of operations and our profitability measures, as well as materially impact our capitalization, our dividend capacity and our liquidity. These impacts could then, in turn, impact our RBC ratios and our financial strength ratings, which are necessary to support our product sales, and, in certain circumstances, ultimately impact our solvency.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Policyholder Liabilities” and “Management’s Discussion and Analysis of Financial Condition and Results of Operations — Summary of Critical Accounting Estimates — Deferred Policy Acquisition Costs.”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Guarantees within certain of our annuity products may decrease our earnings, decrease our capitalization, increase the volatility of our results and negatively affect our statutory capital</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risk manage the equity exposure. Our risk management program for Shield seeks to mitigate the potential adverse effects of changes in equity markets primarily by hedging using equity index options that attempt to approximately match the equity risk in the policyholder options.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hedging instruments we enter into may not effectively offset the equity participation risk in the policyholder options or may otherwise be insufficient in relation to our obligations. For example, in the event that derivative counterparties or central clearinghouses are unable or unwilling to pay, we remain liable for the policyholder liabilities. Furthermore, we are subject to the risk that changes in policyholder behavior, combined with adverse market events, could produce economic losses not addressed by the risk management techniques employed. Under our hedging strategy, period to period changes in the valuation of our hedges relative to the guarantee liabilities may result in significant volatility to certain of our profitability measures, which in certain circumstances could be more significant than has been the case historically.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hedging strategy is ineffective for any of the above reasons, individually or in the aggregate, it could have a material adverse effect on our financial condition and results of operations, profitability measures as well as impact our capitalization, our dividend capacity and our liquidity. These impacts could in turn impact our RBC ratio and our financial strength ratings, which are necessary to support our product sales, and in certain circumstances ultimately impact our solvency. Additionally, to the extent policyholder persistency is different than we anticipate, it could have an impact on our liquidity.</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we may be exposed to the risks related to guarantees included in certain of our variable annuity products. While we have ceded all of the economic risk associated with our guaranteed minimum benefits to Brighthouse Life Insurance Company, we retain exposure related to the guarantees in the event Brighthouse Life Insurance Company fails to perform. In that case, we would be exposed to the risks created by guaranteed benefits designed to protect contract holders against significant changes in equity markets and interest rates, including guaranteed minimum death benefits (“GMDB”), guaranteed minimum withdrawal benefits and guaranteed minimum accumulation benefits. While we continue to have guaranteed minimum income benefits (“GMIB”) in-force with respect to which we are obligated to perform, we no longer offer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make assumptions regarding policyholder behavior at the time of pricing and in selecting and utilizing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could materially adversely affect our business, financial condition and results of operations, including our capitalization and liquidity</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closely monitoring developments related to the COVID-19 pandemic, which has already negatively impacted us in certain respects, including as discussed below and as further discussed in “Management’s Discussion and Analysis of Financial Condition and Results of Operations — Overview — COVID-19 Pandemic.” At this time, it is not possible to estimate the severity or duration of the pandemic, including the severity, duration and frequency of any additional “waves” of the pandemic or the timetable for the implementation, and the efficacy, of any therapeutic treatments and vaccines for COVID-19, including their efficacy with respect to variants or mutations of COVID-19 that have emerged or could emerge in the future. It is likewise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targets previously provided to the markets or aspects of our business model. See “— Extreme mortality events may adversely impact liabilities for policyholder claims.”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key part of our operating strategy is leveraging third parties to deliver certain services important to our business. As a result, we rely upon the successful implementation and execution of the business continuity plans of such entities in the current environment. While our third-party provider contracts require business continuity and we closely monitor the performance of such third parties, including those that are operating in a remote work environment, successful implementation and execution of their business continuity strategies are largely outside of our control. If any of our third-party providers or partners (including third-party reinsurers) experience operational or financial failures related to the COVID-19 pandemic, or are unable to perform any of their contractual obligations due to a force majeure or otherwise, it could have a material adverse effect on our business, financial condition or results of operations. See “— The failure of third parties to provide various services, or any failure of the practices and procedures that these third parties use to provide services to us, could have a material adverse effect on our business.”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sectors of our investment portfolio may be adversely affected as a result of the impact of the COVID-19 pandemic on capital markets and the global economy, as well as uncertainty regarding its duration and outcome. A sustained period of low interest rates, reduced liquidity and a continued slowdown in U.S. or global economic conditions may adversely affect, the values and cash flows of some of our investments. In addition, we have exposure to fixed maturity securities, mortgage loans and certain residential mortgage-backed securities, commercial mortgage-backed securities, and asset-backed securities that may be impacted by the COVID-19 pandemic. Our investment managers are actively working with borrowers who are experiencing short-term financial or operational problems as a result of the COVID-19 pandemic to provide temporary relief. To actively mitigate losses and enhance borrower support across the mortgage loan portfolio segments, we have expanded our loan modification and customer assistance programs. See “— Investments-Related Risks — Defaults on our mortgage loans and volatility in performance may adversely affect our profitability” and “Management’s Discussion and Analysis of Financial Condition and Results of Operations — Overview — COVID-19 Pandemic.”</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financial strength rating based on their overall view of our industry. For example, in April 2020, Fitch revised the rating outlook of certain affiliates to negative from stable due to the disruption to economic activity and the financial markets from the COVID-19 pandemic. See “— A downgrade or a potential downgrade in our financial strength ratings could result in a loss of business and materially adversely affect our financial condition and results of operations” and “Management’s Discussion and Analysis of Financial Condition and Results of Operations — Liquidity and Capital Resources — Rating Agencies.”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Increased economic uncertainty and increased unemployment resulting from the economic impacts of the COVID-19 pandemic have also impacted sales of certain of our products and have prompted us to take actions to provide relief to customers adversely affected by the COVID-19 pandemic, as further described in “Business — Regulation — Insurance Regulation.” Circumstances resulting from the COVID-19 pandemic may affect the incidence of claims, utilization of benefits, lapses or surrenders of policies and payments on insurance premiums, any of which could impact the revenues and expenses associated with our products.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risk management or contingency plans or preventative measures we take may not adequately predict or address the impact of the COVID-19 pandemic on our business. Currently, our employees are working remotely. An extended period of remote work arrangements could increase operational risk, including, but not limited to, cybersecurity risks, and could impair our ability to manage our business.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U.S. federal government and many state legislatures and insurance regulators have passed legislation and regulations in response to the COVID-19 pandemic that affect the conduct of our business. Changes in our circumstances due to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COVID-19 pandemic could subject us to additional legal and regulatory restrictions under existing laws and regulations, such as the Coronavirus Aid, Relief, and Economic Security Act. Future legal and regulatory responses could also materially affect the conduct of our business going forward, as well as our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issued by the Financial Accounting Standards Board may adversely affect our financial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The impact of accounting pronouncements that have been issued but not yet implemented is disclosed in our reports filed with the SEC. See Note 1 of the Notes to the Financial Statements.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FASB issued an accounting standards update (“ASU”) in August 2018 that will result in significant changes to the accounting for long-duration insurance contracts, including that all of our variable annuity guarantees be considered market risk benefits and measured at fair value, whereas today a significant amount of our variable annuity guarantees are classified as insurance liabilities. The ASU will be effective as of January 1, 2023. The impact of the new guidance on our variable annuity guarantees is highly dependent on market conditions, especially interest rates, as our stockholders’ equity would decrease as interest rates decrease and increase as interest rates rise. We are, therefore, unable to estimate the ultimate impact of the ASU on our financial statements; however, at current market interest rate levels, the ASU would ultimately result in a material decrease in our stockholder’s equity, which could have a material adverse effect on our leverage ratios and other rating agency metrics and could consequently adversely impact our financial strength ratings and our ability to incur new indebtedness or refinance our existing indebtedness. In addition, the ASU could also result in increased market sensitivity of our financial statements and results of operations. See “— A downgrade or a potential downgrade in our financial strength ratings could result in a loss of business and materially adversely affect our financial condition and results of operations.”</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or a potential downgrade in our financial strength ratings could result in a loss of business and materially adversely affect our financial condition and results of operations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strength ratings are published by various nationally recognized statistical rating organizations (“NRSROs”) and similar entities not formally recognized as NRSROs. They indicate the NRSROs’ opinions regarding an insurance company’s ability to meet contract holder and policyholder obligations and are important to maintaining public confidence in our products and our competitive position. See “Management’s Discussion and Analysis of Financial Condition and Results of Operations — Liquidity and Capital Resources — Rating Agencies” for additional information regarding our financial strength ratings, including current rating agency ratings and outlooks.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Downgrades in our financial strength ratings or changes to our ratings outlooks could have a material adverse effect on our financial condition and results of operations in many ways, including:</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distributors;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relationships with independent sales intermediaries;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generate new sales, as our products depend on strong financial strength ratings to compete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or amount of policy surrenders and withdrawals by contract holders and policyholders;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reduce prices for many of our products and services to remain competitive;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our derivative instrument counterparties;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obtain reinsurance at reasonable prices,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potentially increased regulatory scrutiny.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capital markets or other contingency funding sources;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increasing our cost of capital, which could adversely affect our liquidity.</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financial strength rating based on their overall view of our industry. For example, in April 2020, Fitch revised the rating outlook of certain affiliates to negative from stable due to the disruption to economic activity and the financial markets from the COVID-19 pandemic. This action by Fitch followed its revision of the rating outlook on the U.S. life insurance industry to negative. There can be no assurance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the credit rating agencies will not take similar actions in the future. Each rating should be evaluated independently of any other rating. See “Management’s Discussion and Analysis of Financial Condition and Results of Operations — Liquidity and Capital Resources — Rating Agencies.”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access credit facilities could result in a reduction in our liquidity and lead to downgrades in Brighthouse’s credit ratings and our financial strength ratings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Brighthouse had approximately $3.4 billion of total long-term consolidated indebtedness outstanding at December 31, 2020, consisting of debt securities issued to its investors. BHF also has a $1.0 billion senior unsecured revolving credit facility maturing May 7, 2024 (the “Revolving Credit Facility”). The right to borrow funds under the Revolving Credit Facility is subject to the fulfillment of certain conditions, including compliance with all covenants.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BHF’s ability to access the Revolving Credit Facility when needed and, consequently, could have a material adverse effect on our financial condition, results of operations and liquidity.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not be available, affordable or adequate to protect us against losses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overall risk management strategy, we may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onto our customers and our profitability will be negatively impacted. Additionally, such a rate increase could result in our recapturing of the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“Business — Reinsurance Activity.”</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reinsurance, indemnification and derivatives to mitigate our risks in various circumstances. In general, reinsurance, indemnification and derivatives do not relieve us of our direct liability to our policyholders, even when the reinsurer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we use derivatives to hedge various business risks. We enter into a variety of OTC-bilateral derivatives, including equity index options, interest rate caps and currency swaps. If our counterparties fail or refuse to honor their obligations under these derivatives, our hedges of the related risk will be ineffective. Such failure could have a material adverse effect on our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competitiveness may adversely affect our market share and profitability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competition among insurance companies is based on a number of factors, including service, product features, scale, price, actual or perceived financial strength, claims-paying ratings, financial strength ratings, e-business capabilities and name recognition. We face intense competition from a large number of other insurance companies, as well as non-insurance financial services companies, such as banks, broker-dealers and asset managers. Some of these companies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Competition.”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financial strength ratings that are commensurate with our business strategy, over time, our competitive position could be adversely affected.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since numerous aspects of our business are subject to regulation, legislative and other changes affecting the regulatory environment for our business may have, over time, the effect of supporting or burdening some aspects of the financial services industry. This can affect our competitive position within the annuities and life insurance industry, and within the broader financial services industry. See “— Regulatory and Legal Risks” and “Business — Regulation.”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Brighthouse may experience difficulty in marketing and distributing products through our distribution channels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distribute our products exclusively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and adversely impact the effectiveness of our distribution efforts. Also, if we are unsuccessful in attracting and retaining key internal associates who conduct our business, including wholesalers, our sales could decline.</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they are unsuitable, we may suffer reputational and other harm to our business.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distributors may also sell our competitors’ products. If our competitors offer products that are more attractive than ours or pay higher commission rates to the sales representatives than we do, these representatives may concentrate their efforts in selling our competitors’ products instead of ours.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various services, or any failure of the practices and procedures that these third parties use to provide services to us, could have a material adverse effect on our business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part of our operating strategy is to leverage third parties to deliver certain services important to our business, including administrative, operational, technology, financial, investment and actuarial services. For example, we have certain arrangements with third-party service providers relating to the administration of both in-force policies and new life and annuities business, as well as engagements with a select group of experienced external asset management firms to manage the investment of the assets comprising our general account portfolio and certain other assets.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processes they handle on our behalf, or that any remedies available under these third-party arrangements will be sufficient to us in the event of a dispute or nonperformance. In addition, we continue to focus on further sourcing opportunities with third-party vendors; as we transition to new third-party service providers and convert certain administrative systems or platforms, certain issues may arise. For example, during the third quarter of 2020, we completed the conversion of a significant portion of the administration of our in-force annuity business to a single third-party service provider. Following the conversion, a number of our customers and distribution partners experienced delays and service interruptions. While these issues have been largely resolved, there can be no assurance that in connection with this or future conversions, transitions to new third-party service providers, or in connection with any of the services provided to us by third parties (or such third party’s supplier, vendor or subcontractor), we will not incur any unanticipated expenses or experience other economic or reputational harm, experience service delays or interruptions, or be subject to litigation or regulatory investigations and actions, any of which could have a material adverse effect on our business and financial reporting.</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if a third-party provider (or such third-party’s supplier, vendor or subcontractor) fails to meet contractual requirements, such as compliance with applicable laws and regulations, suffers a cyberattack or other security breach, or fails to provide material information on a timely basis,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Brighthouse may experience difficulty in marketing and distributing products through our distribution channels” and “— Operational Risks — 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it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may be difficult, disruptive and more expensive for us to replace some of our third-party providers in a timely manner if in the future they were unwilling or unable to provide us with the services we require (as a result of their financial or business conditions or otherwise), and our business and financial condition and results of operations could be materially adversely affected. In addition, if a third-party provider raises the rates that it charges us for its services, in some instances, we will not be able to pass the increased costs onto our customers and our profitability may be negatively impacted.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could also affect the value of our deferred income tax assets and may require a write-off of some of those assets. See “Management’s Discussion and Analysis of Financial Condition and Results of Operations — Summary of Critical Accounting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Extreme mortality events may adversely impact liabilities for policyholder claims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life insurance operations are exposed to the risk of catastrophic mortality, such as a pandemic or other event that causes a large number of deaths. For example, the COVID-19 pandemic is ongoing and several significant influenza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pandemics have occurred in the last century. The likelihood, timing, and severity of a future pandemic that may impact our policyholders cannot be predicted. A significant pandemic could have a major impact on the global economy and the financial markets or the economies of particular countries or regions, including disruptions to commerce, the health system, and the food supply and reduced economic activity. In addition, a pandemic that affected our employees or the employees of our distributors or of other companies with which we do business, including providers of third-party services, could disrupt our business operations. Furthermore, the value of our investment portfolio could be negatively impacted, see “— Investments-Related Risks — The continued threat of terrorism, ongoing military actions as well as other catastrophic events may adversely affect the value of our investment portfolio and the level of claim losses we incur.” The effectiveness of external parties, including governmental and non-governmental organizations, in combating the spread and severity of such a pandemic could have a material impact on the losses we experience. These events could cause a material adverse effect on our results of operations in any period and, depending on their severity, could also materially and adversely affect our financial condition.</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Environment and Capital Markets-Related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and the returns of capital markets. In an economic downturn characterized by higher unemployment, lower family income, lower corporate earnings, lower business investment and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and results of operations. Accordingly, both market and economic factors may affect our business results, as well as our ability to pay dividends or distributions to our parent company, and our liquidity.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Extreme declines or shocks in equity markets, such as sustained stagnation in equity markets and low interest rates, could cause us to incur significant capital or operating losses due to, among other reasons, the impact on us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liabilities for claims and future benefits due to inherent market return guarantees in these liabilities. We ceded all of the risks associated with these guarantees to Brighthouse Life Insurance Company. However, because the accounting for the ceded reinsurance is different from the accounting for the directly written guarantees, there can be a net impact to our financial statements even though all of the economic risks have been ceded. Similarly, sustained periods of low interest rates and risk asset returns could reduce income from our investment portfolio, increase our liabilities for claims and future benefits, and increase the cost of risk transfer measures such as hedging, causing our profit margins to erode as a result of reduced income from our investment portfolio and increase in insurance liabilities. See also “Risks Related to Our Business — Guarantees within certain of our annuity products may decrease our earnings, decrease our capitalization, increase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volatility of our results and negatively affect our statutory capital” and “Risks Related to Our Business — The ongoing COVID-19 pandemic could materially adversely affect our business, financial condition and results of operations, including our capitalization and liquidity.”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and our access to capital</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need liquidity to pay our operating expenses and replace certain maturing liabilities. Without sufficient liquidity, we could be forced to curtail our operations and limit the investments necessary to grow our business.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insurance premiums and fees paid in connection with annuity products, and cash flow from our investment portfolio to the extent consisting of cash and readily marketable securities.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capital market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financial strength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liquidity requirements may change if, among other things, we are required to return significant amounts of cash collateral on short notice under collateral requirements. See “— Investments-Related Risks — Should the need arise, we may have difficulty selling certain holdings in our investment portfolio in a timely manner and realizing full value given that not all assets are liquid” and “Management’s Discussion and Analysis of Financial Condition and Results of Operations — Off-Balance Sheet Arrangements — Collateral for Derivatives.”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business is highly regulated, and changes in regulation and in supervisory and enforcement policies may materially impact our capitalization or cash flows, reduce our profitability and limit our growth.”</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risks which may adversely affect our financial condition, results of operations and liquidity, and may cause our net investment income and our profitability measures to vary from period to period</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significant financial risks both in the U.S. and global capital and credit markets, including changes and volatility in interest rates, credit spreads, equity prices, real estate, foreign currency, commodity prices, performance of the obligors included in our investment portfolio (including governments), derivatives (including performance of our derivatives counterparties) and other factors outside our control. We may be exposed to substantial risk of loss due to market downturn or market volatility.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spread risk</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Our exposure to credit spreads primarily relates to market price volatility and investment risk associated with the fluctuation in credit spreads. Widening credit spreads may cause unrealized losses in our investment portfolio. Increases in credit spreads of issuers due to credit deterioration may result in higher level of impairments.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Some of our current or anticipated future products, principally traditional life, universal life and fixed annuities,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72"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In a low interest rate environment, we may be forced to reinvest proceeds from investments that have matured or have been prepaid or sold at lower yields, which will reduce our net investment spread. Moreover, borrowers may prepay or redeem the fixed income securities, commercial and agricultural mortgage loans in our investment portfolio with greater frequency in order to borrow at lower market rates, thereby exacerbating this risk. 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 See “Management’s Discussion and Analysis of Financial Condition and Results of Operations — Policyholder Liabilities.”</w:t>
      </w:r>
    </w:p>
    <w:p>
      <w:pPr>
        <w:spacing w:after="0" w:line="8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Our estimation of future net investment spreads is an important component in the amortization of DAC. Significantly lower than anticipated net investment spreads can reduce our profitability measures and may cause us to accelerate amortization, which would result in a reduction of net income in the affected reporting period and potentially negatively affect our credit instrument covenants or the rating agencies’ assessment of our financial condition and results of operations.</w:t>
      </w:r>
    </w:p>
    <w:p>
      <w:pPr>
        <w:spacing w:after="0" w:line="72"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and significantly reduce our profitability.</w:t>
      </w:r>
    </w:p>
    <w:p>
      <w:pPr>
        <w:spacing w:after="0" w:line="72" w:lineRule="exact"/>
        <w:rPr>
          <w:sz w:val="20"/>
          <w:szCs w:val="20"/>
          <w:color w:val="auto"/>
        </w:rPr>
      </w:pPr>
    </w:p>
    <w:p>
      <w:pPr>
        <w:jc w:val="both"/>
        <w:ind w:left="180" w:firstLine="324"/>
        <w:spacing w:after="0" w:line="253" w:lineRule="auto"/>
        <w:rPr>
          <w:sz w:val="20"/>
          <w:szCs w:val="20"/>
          <w:color w:val="auto"/>
        </w:rPr>
      </w:pPr>
      <w:r>
        <w:rPr>
          <w:rFonts w:ascii="Times New Roman" w:cs="Times New Roman" w:eastAsia="Times New Roman" w:hAnsi="Times New Roman"/>
          <w:sz w:val="18"/>
          <w:szCs w:val="18"/>
          <w:color w:val="auto"/>
        </w:rPr>
        <w:t>Increases in interest rates could also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Therefore, we may have to accept a lower credit spread and lower profitability or face a decline in sales and greater loss of existing contracts and related assets.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Unanticipated withdrawals, terminations and substantial policy amendments may cause us to accelerate the amortization of DAC; such events may reduce our profitability measures and potentially negatively affect our credit instrument covenants and the rating agencies’ assessments of our financial condition and results of operations. An increase in interest rates could also have a material adverse effect on the value of our investments, for example, by decreasing the estimated fair values of the fixed income securities and mortgage loans that comprise a significant portion of our investment portfolio. See “— Investments-Related Risks — Gross unrealized losses on fixed maturity securities and defaults, downgrades or other events may result in future impairments to the carrying value of such securities, resulting in a reduction in our profitability measures.” Finally, an increase in interest rates could result in decreased fee revenue associated with a decline in the value of variable annuity account balances invested in fixed income funds.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an increase in inflation could affect our business in several ways. During inflationary periods, the value of fixed income investments may fall, which could increase realized and unrealized losses. Inflation also increases expenses, potentially putting pressure on profitability in the event that such additional costs cannot be passed through. Prolonged and elevated inflation could adversely affect the financial markets and the economy generally, and dispelling it may require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governments to pursue a restrictive fiscal and monetary policy, which could constrain overall economic activity and inhibit revenue growth.</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to LIBOR</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is currently uncertainty regarding the continued use and reliability of the London Inter-Bank Offered Rate (“LIBOR”), and any financial instruments or agreements currently using LIBOR as a benchmark interest rate may be adversely affected. As a result of concerns about the accuracy of the calculation of LIBOR, actions by regulators, law enforcement agencies or the ICE Benchmark Administration, the current administrator of LIBOR may enact changes to the manner in which LIBOR is determined. In July 2017, the UK Financial Conduct Authority announced that it will no longer persuade or compel banks to submit rates for the calculation of LIBOR rates after 2021, which was expected to result in these widely used reference rates no longer being available. As a result, the Federal Reserve began publishing a secured overnight funding rate, which is intended to replace U.S. dollar LIBOR. Plans for alternative reference rates for other currencies have also been announced. On November 30, 2020, the administrator of LIBOR announced that only the one week and the two-month USD LIBOR settings would cease publication on December 31, 2020, while the remaining tenors will continue to be published through June 30, 2023. Regulators in the US and globally have continued to push for market participants to transition away from the use of LIBOR and have urged market participants to not enter into new contracts that reference USD LIBOR after December 31, 2021. At this time, it is not possible to predict how such changes or other reforms may adversely affect the trading market for LIBOR-based securities and derivatives, including those held in our investment portfolio. Such changes or reforms may result in adjustments or replacements to LIBOR, which could have an adverse impact on the market for LIBOR-based securities and the value of our investment portfolio. Furthermore, we previously entered into agreements that currently reference LIBOR and may be adversely affected by any changes or reforms to LIBOR or discontinuation of LIBOR, including if such agreements are not amended prior to any such changes, reform or discontinuation.</w:t>
      </w:r>
    </w:p>
    <w:p>
      <w:pPr>
        <w:spacing w:after="0" w:line="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risk</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Our primary exposure to equity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assets under management, a decline in the equity markets could reduce our revenues as a result of the reduction in the value of the investment assets supporting those products and services. See “— Risks Related to Our Business — Guarantees within certain of our annuity products may decrease our earnings, decrease our capitalization, increase the volatility of our results and negatively affect our statutory capital.”</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 risk</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A portion of our investment portfolio consists of mortgage loans on commercial and agricultural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and agricultural real estate assets through geographic, property type and product type diversification, and asset allocation, general economic conditions in the commercial and agricultural real estate sectors will continue to influence the performance of these investments. These factors, which are beyond our control, could have a material adverse effect on our financial condition, results of operations, liquidity or cash flows.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Obligor-related risk</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Fixed income securities and mortgage loans represent a significant portion of our investment portfolio. We are subject to the risk that the issuers, or guarantors, of the fixed income securities and mortgage loans in our investment portfolio may default on principal and interest payments they owe us. We are also subject to the risk that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 risk</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Our derivatives counterparties’ defaults could have a material adverse effect on our financial condition and results of operations. Substantially all of our derivatives (whether entered into bilaterally with specific counterparties or cleared through a clearinghouse) require us to pledge or receive collateral or make payments related to any decline in the net estimated fair value of such derivatives.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Economic or counterparty risks and other factors described above, and significant volatility in the markets, individually or collectively, could have a material adverse effect on our financial condition, results of operations,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72"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Market price volatility can also make it difficult to value certain assets in our investment portfolio if trading in such assets becomes less frequent, for example, as was the case during the 2008 financial crisis. In such case, valuations may include assumptions or estimates that may have significant period to period changes, which could have a material adverse effect on our financial condition and results of operations and could require additional reserves. Significant volatility in the markets could cause changes in the credit spreads and defaults and a lack of pricing transparency which, individually or in the aggregate, could have a material adverse effect on our financial condition, results of operations,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Investments-Related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the need arise, we may have difficulty selling certain holdings in our investment portfolio in a timely manner and realizing full value given that not all assets are liquid</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may be a limited market for certain investments we hold in our investment portfolio, making them relatively illiquid. These include privately-placed fixed maturity securities, derivative instruments such as options and mortgage loans.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rating agency capital adequacy measures.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 and economic conditions, liquidity broadly deteriorates, which could further restrict our ability to sell securities.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requirements to pledge collateral or make payments related to declines in estimated fair value of derivatives transactions or specified assets in connection with OTC-cleared and OTC-bilateral transactions may adversely affect our liquidity, expose us to central clearinghouse and counterparty credit risk, or increase our costs of hedging</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derivatives transactions require us to pledge collateral related to any decline in the net estimated fair value of such derivatives transactions executed through a specific broker at a clearinghouse or entered into with a specific counterparty on a bilateral basis. The amount of collateral we may be required to pledge and the payments we may be required to make under our derivatives transactions may increase under certain circumstances as a result of the requirement to pledge initial margin for OTC-bilateral transactions entered into after the phase-in period, which we expect to be applicable to us in September 2021 as a result of the adoption by the Office of the Comptroller of the Currency, the Federal Reserve Board, Federal Deposit Insurance Corporation, Farm Credit Administration and Federal Housing Finance Agency and the U.S. Commodity Futures Trading Commission of final margin requirements for non-centrally cleared derivatives. Such requirements could adversely affect our liquidity, expose us to central clearinghouse and counterparty credit risk, or increase our costs of hedging. See “Business — Regulation — Regulation of Over-the-Counter Derivatives.”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Gross unrealized losses on fixed maturity securities and defaults, downgrades or other events may result in future impairments to the carrying value of such securities, resulting in a reduction in our profitability measures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Fixed maturity securities classified as available-for-sale (“AFS”) securities are reported at their estimated fair value. Unrealized gains or losses on AFS securities are recognized as a component of other comprehensive income (loss) (“OCI”) and are, therefore, excluded from our profitability measures. In recent periods, as a result of low interest rates, the unrealized gains on our fixed maturity securities have exceeded the unrealized losses. However, if interest rates rise, our unrealized gains would decrease, and our unrealized losses would increase, perhaps substantially.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to earnings are taken.</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occurrence of a major economic downturn, acts of corporate malfeasance, widening credit risk spreads, or other events that adversely affect the issuers or guarantors of securities or the underlying collateral of residential mortgage-backed securities, commercial mortgage-backed securities and ABS could cause the estimated fair value of our fixed maturity securities portfolio and corresponding earnings to decline and cause the default rate of the fixed maturity securities in our investment portfolio to increase. A ratings downgrade affecting issuers or guarantors of particular securities, or similar trends that could worsen the credit quality of issuers, such as the corporate issuers of securities in our investment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 Realized losses or impairments on these securities could have a material adverse effect on our financial condition and results of operations in, or at the end of, any quarterly or annual period.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valuation of securities and investments and the determination of the amount of allowances and impairments taken on our investments are subjective and, if changed, could materially adversely affect our financial condition or results of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Fixed maturity securities, as well as short-term investments that are reported at estimated fair value, represent the majority of our total cash and investments. See Note 1 to the Notes to the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financial statements and the period to period changes in estimated fair value could vary significantly. Decreases in the estimated fair value of securities we hold could have a material adverse effect on our financial condition and results of operations.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determination of the amount of allowances and impairments varies by investment type and is based upon our periodic evaluation and assessment of known and inherent risks associated with the respective asset class. However, historical trends may not be indicative of future impairments or allowances and any such future impairments or allowances could have a materially adverse effect on our earnings and financial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Defaults on our mortgage loans and volatility in performance may adversely affect our profitability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mortgage loans face default risk and are principally collateralized by commercial and agricultural properties. An increase in the default rate of our mortgage loan investments or fluctuations in their performance, as a result of the COVID-19 pandemic or otherwise, could have a material adverse effect on our financial condition and results of operations.</w:t>
      </w:r>
    </w:p>
    <w:p>
      <w:pPr>
        <w:spacing w:after="0" w:line="6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 any geographic or property type concentration of our mortgage loans may have adverse effects on our investment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Notes 6 and 8 of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defaults or deteriorating credit of other financial institutions could adversely affect us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many different industries and counterparties, and routinely execute transactions with counterparties in the financial services industry, including brokers and dealers, central clearinghouses, commercial banks, investment banks,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and derivatives. Any losses or impairments to the carrying value of these investments or other changes could materially and adversely affect our financial condition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threat of terrorism, ongoing military actions as well as other catastrophic events may adversely affect the value of our investment portfolio and the level of claim losses we incur</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continued threat of terrorism, both within the United States and abroad, ongoing military and other actions and heightened security measures in response to these types of threats, as well as other natural or man-made catastrophic events, may cause significant decline and volatility in global financial markets and result in loss of life, property damage, additional disruptions to commerce, the health system, and the food supply and reduced economic activity.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regulated, and changes in regulation and in supervisory and enforcement policies may materially impact our capitalization or cash flows, reduce our profitability and limit our growth</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a wide variety of insurance and other laws and regulations. We are domiciled in New York and regulated by the NYDFS. See “Business — Regulation,” as supplemented by discussions of regulatory developments in our subsequently filed Quarterly Reports on Form 10-Q under the caption “Management’s Discussion and Analysis of Financial Condition and Results of Operations — Regulatory Developments.”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what proposals may be made, what legislation or regulations may be introduced or enacted, or what impact any future legislation or regulations could have on our business, financial condition and results of operations.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to the laws and regulations that govern the standards of conduct that apply to the sale of our variable and registered fixed insurance products business and the firms that distribute these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 recruiting and retaining key personnel. Additionally, our ability to react to rapidly changing economic conditions and the dynamic, competitive market for variable and registered fixed products will depend on the continued efficacy of provisions we have incorporated into our product design allowing frequent and contemporaneous revisions of key pricing elements, as well as our ability to work collaboratively with securities regulators. Changes in regulatory approval processes, rules and other dynamics in the regulatory process could adversely impact our ability to react to such changing conditions.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Revisions to the NAIC’s RBC calculation, as well as further changes to the NY VA Reform framework, could result in a reduction in our RBC ratio below certain prescribed levels, and in case of such a reduction we may be required to hold additional capital. See also “— A decrease in our RBC ratio (as a result of a reduction in statutory surplus or increase in RBC requirements) could result in increased scrutiny by insurance regulators and rating agencies and could have a material adverse effect on our financial condition and results of operations” and “Business — Regulation — Insurance Regulation — Surplus and Capital; Risk-Based Capital.”</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cannot predict the impact that “best interest” or fiduciary standards recently adopted or proposed by various regulators may have on our business, financial condition or results of operations. Compliance with new or changed rules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legislation in this area may increase our regulatory burden and that of our distribution partners, require changes to our compensation practices and product offerings, and increase litigation risk, which could adversely affect our financial condition and results of operations. For example, we cannot predict the impact of the DOL’s Fiduciary Advice Rule that became effective on February 16, 2021, including the DOL’s guidance broadening the scope of what constitutes fiduciary “investment advice” under ERISA and the Tax Code. The DOL’s interpretation of the ERISA fiduciary investment advice regulation could have an adverse effect on sales of annuity products through our independent distribution partners, as a significant portion of our annuity sales are to IRAs. The Fiduciary Advice Rule may also lead to changes to our compensation practices, product offerings and increased litigation risk, which could adversely affect our financial condition and results of operations. We may also need to take certain additional actions in order to comply with, or assist our distributors in their compliance with, the Fiduciary Advice Rule.</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associates fail to adhere to regulatory requirements or our policies and procedures, we may be subject to penalties, restrictions or other sanctions by applicable regulators, and we may suffer reputational harm. See “Business - Regulation.”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our RBC ratio (as a result of a reduction in statutory surplus or increase in RBC requirements) could result in increased scrutiny by insurance regulators and rating agencies and could have a material adverse effect on our financial condition and results of operations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NAIC has established model regulations that provide minimum capitalization requirements based on RBC formulas for insurance companies. We are subject to RBC standards or other minimum statutory capital and surplus requirements imposed under New York insurance laws. See “Business — Regulation — Insurance Regulation — Surplus and Capital; Risk-Based Capital.”</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any particular year, statutory surplus amounts and RBC ratios may increase or decrease depending on a variety of factors, including the amount of statutory income or losses generated by us (which itself is sensitive to equity market and credit market conditions), the amount of additional capital we must hold to support business growth, changes in equity market levels, the value and credit ratings of certain fixed-income securities in our investment portfolio, the value of certain derivative instruments that do not receive hedge accounting and changes in interest rates, as well as changes to the RBC formulas and the interpretation of the NAIC’s instructions with respect to RBC calculation methodologies. Our financial strength ratings are significantly influenced by statutory surplus amounts and RBC ratios. In addition, rating agencies may implement changes to their own internal models, which differ from the RBC capital model, that have the effect of increasing or decreasing the amount of statutory capital we should hold relative to the rating agencies’ expectations. Under stressed or stagnant capital market conditions and with the aging of existing insurance liabilities, without offsets from new business, the amount of additional statutory reserves that we are required to hold may materially increase. This increase in reserves would decrease the statutory surplus available for use in calculating our RBC ratio. To the extent that our RBC ratio is deemed to be insufficient, we may seek to take actions either to increase our capitalization or to reduce the capitalization requirements. If we were unable to accomplish such actions, the rating agencies may view this as a reason for a ratings downgrade.</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failure to meet our RBC requirements or minimum capital and surplus requirements could subject us to further examination or corrective action imposed by the NYDFS, including limitations on our ability to write additional business, supervision by regulators or seizure or liquidation. Any corrective action imposed could have a material adverse effect on our business, financial condition and results of operations. A decline in RBC ratios, whether or not it results in a failure to meet applicable RBC requirements, could limit our ability to pay dividends or distributions to our parent company, could result in a loss of customers or new business, or could be a factor in causing ratings agencies to downgrade our financial strength ratings, each of which could have a material adverse effect on our business, financial condition and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and state securities laws and regulations and rules of self-regulatory organizations which, among other things, require that we distribute certain of our products through a registered broker-dealer; failure to comply with these laws or changes to these laws could have a material adverse effect on our operations and our profitability</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Federal and state securities laws and regulations apply to insurance products that are also “securities,” including variable annuity contracts and variable life insurance policies, to the separate accounts that issue them, and to certain fixed interest rate or index-linked contracts. Such laws and regulations require these products to be distributed through a broker-dealer that is registered with the SEC and certain state securities regulators and is also a member of FINRA. Accordingly, by offering and selling these registered products, we are subject to, and bear the costs of compliance with, extensive regulation under federal and state securities laws, as well as FINRA rules.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Federal and state securities laws and regulations are primarily intended to protect investors in the securities markets, protect investment advisory and brokerage clients, and ensure the integrity of the financial markets. These laws and regulations generally grant regulatory and self-regulatory agencies broad rulemaking and enforcement powers impacting new and existing products. These powers include the power to adopt new rules to regulate the issuance, sale and distribution of our products and powers to limit or restrict the conduct of business for failure to comply with securities laws and regulations. See “Business — Regulation — Securities, Broker-Dealer and Investment Advisor Regulation.”</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financial crisis of 2008 led to significant changes in economic and financial markets that have, in turn, led to a dynamic competitive landscape for issuers of variable and registered insurance products. Our ability to react to rapidly changing market and economic conditions will depend on the continued efficacy of provisions we have incorporated into our product design allowing frequent and contemporaneous revisions of key pricing elements and our ability to work collaboratively with federal securities regulators. Changes in regulatory approval processes, rules and other dynamics in the regulatory process could adversely impact our ability to react to such changing conditions.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tax laws or interpretations of such laws could have a material adverse effect on our profitability and financial condition and could result in our incurring materially higher statutory taxes. Higher tax rates may adversely affect our business, financial condition, results of operations and liquidity. Conversely, declines in tax rates could make our products less attractive to consumers.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most of the changes introduced by the Tax Cuts and Jobs Act went into effect on January 1, 2018, it resulted in sweeping changes to the Tax Code. The Tax Cuts and Jobs Act reduced the corporate tax rate to 21%, limited deductibility of interest expense, increased capitalization amounts for DAC, eliminated the corporate alternative minimum tax, provided for determining reserve deductions as 92.81% of statutory reserves, and reduced the dividends received deduction.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regulatory investigations are common in our businesses and may result in significant financial losses or harm to our reputation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a significant risk of litigation actions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 In addition, the Master Separation Agreement that sets forth our agreements with MetLife relating to the ownership of certain assets and the allocation of certain liabilities in connection with the Separation allocated responsibility among MetLife and Brighthouse with respect to certain claims (including litigation or regulatory actions or investigations where Brighthouse is not a party). As a result, we may face indemnification obligations or be required to share in certain of MetLife’s liabilities with respect to such claims.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product design, disclosure, administration, investments, denial or delay of benefits,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regulatory matters affecting us and risks to our business presented by these proceedings, if any, are discussed in Note 13 of the Notes to the Financial Statements.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litigation may also cause volatility in the price of BHF securities and the securities of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 claims, litigation, unasserted claims probable of assertion, investigations and other proceedings against us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gaps in our policies and procedures may leave us exposed to unidentified or unanticipated risk, which could negatively affect our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developed policies and procedures to reflect the ongoing review of our risks and expect to continue to do so in the future. Nonetheless, our policies and procedures may not be fully effective, leaving us exposed to unidentified or unanticipated risks. In addition, we rely on third-party providers to administer and service many of our products, and our policies and procedures may not enable us to identify and assess every risk with respect to those products, especially to the extent we rely on those providers for detailed information regarding the holders of our products and other relevant information.</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of our methods for managing risk and exposures rely on assumptions that are based on observed historical financial and non-financial trends or projections of potential future exposure, and our assumptions and projections may be inaccurate. Business decisions based on incorrect or misused model output and reports could have a material adverse impact on our results of operations. If models are misused or fail to serve their intended purposes, they could produce incorrect or inappropriate results. Furthermore, models used by our business may not operate properly and could contain errors related to model inputs, data, assumptions, calculations, or output which could give rise to adjustments to models that may adversely impact our results of operations. As a result, these methods may not fully predict future exposures, which can be significantly greater than our historical measures indicate.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risk management methods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and procedures, nor can there be any assurance that our policies and procedures, or the policies and procedures of third parties that administer or service our products, will enable us to accurately identify all risks and limit our exposures based on our assessments. In addition, we may have to implement more extensive and perhaps different policies and procedures under pending regulations.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upon the effective operation of computer systems. For some of these systems, we rely on third parties, such as our outside vendors and distributors.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Such computer systems have been, and will likely continue to be, subject to a variety of forms of cyberattacks with the objective of gaining unauthorized access to our systems and data or disrupting our operations. These include, but are not limited to, phishing attacks, account takeover attempts, malware, ransomware, denial of service attacks, and other computer-related penetrations. Administrative and technical controls and other preventive actions taken to reduce the risk of cyber-incidents and protect our information technology may be insufficient to prevent physical and electronic break-ins, cyberattacks or other security breaches to such computer systems. In some cases, such physical and electronic break-ins, cyberattacks or other security breaches may not be immediately detected. This may impede or interrupt our business operations and could adversely affect our business, financial condition and results of operations.</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disaster such as a natural catastrophe, epidemic, pandemic, industrial accident, blackout, computer virus,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and our employees’ ability to perform their job responsibilities. In addition, an extended period of remote work arrangements resulting from such interruptions could increase our operational risk, including, but not limited to, cybersecurity risks, and could impair our ability to manage our business.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client and employee information could adversely affect our reputation and have a material adverse effect on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Brighthouse’s associates and those of our third-party service providers may take excessive risks which could negatively affect our financial condition and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accepting certain risks. The associates who conduct our business include executive officers and other members of management, sales intermediaries, investment professionals, product managers, and other associates, as well as associates of our various third-party service providers. Each of these associates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Associates may take excessive risks regardless of the structure of our compensation programs and practices.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confidentiality of client and employee information could adversely affect our reputation and have a material adverse effect on our business, financial condition and results of operations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Federal and state legislatures and various government agencies have established laws and regulations protecting the privacy and security of personal information. See “Business — Regulation — Cybersecurity Regulation.” Our third-party service-providers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the subject of cyberattacks and could be subject to additional attacks. If we or any of our third-party service providers (or their suppliers, vendors or subcontractors) fail to maintain adequate internal controls or if our associates fail to comply with our policies and procedures, misappropriation or intentional or unintentional inappropriate disclosure or misuse of employee or client information could occur. Any data breach or unlawful disclosure of confidential personal information could materially damage our reputation or lead to civil or criminal penalties, which, in turn, could have a material adverse effect on our business, financial condition and results of operations. See “— Any failure in cyber- or other information security systems, as well as the occurrence of events unanticipated in Brighthouse’s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Separation from, and Continuing Relationship with, MetLife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MetLife received a private letter ruling from the Internal Revenue Service (“IRS”) regarding certain significant issues under the Tax Code, as well as an opinion from its tax advisor that, subject to certain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Brighthouse could have an indemnification obligation to MetLife.</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Brighthouse against such taxes if the failure to qualify for tax-free treatment results from, among other things, any action or inaction that is within MetLife’s control. MetLife may dispute an indemnification obligation to Brighthouse under the Tax Separation Agreement, and there can be no assurance that MetLife will be able to satisfy its indemnification obligation to Brighthouse or that such indemnification will be sufficient for us in the event of nonperformance by MetLife. The failure of MetLife to fully indemnify Brighthouse could have a material adverse effect on our financial condition and results of operations.</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MetLife will generally bear tax-related losses due to the failure of certain steps that were part of the Separation to qualify for their intended tax treatment. However, the IRS could seek to hold Brighthouse responsible for such liabilities, and under the Tax Separation Agreement, Brighthouse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Brighthouse could be required to pay material additional taxes or be obligated to indemnify MetLife, which could have a material adverse effect on our financial condition and results of operations.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or disagreements with MetLife may affect our financial statements and business operations, and Brighthouse’s contractual remedies may not be sufficient</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Brighthouse entered into certain agreements that provide a framework for the ongoing relationship with MetLife, including a transition services agreement, the Tax Separation Agreement and a tax receivables agreement that provides MetLife with the right to receive future payments from us as partial consideration for its contribution of assets to us. Disagreements regarding the obligations of MetLife or Brighthouse, including us, under these agreements could create disputes that may be resolved in a manner unfavorable to us. In addition, there can be no assurance that any remedies available under these agreements will be sufficient to Brighthouse, including us, in the event of a dispute or nonperformance by MetLife. The failure of MetLife to perform its obligations under these agreements (or claims by MetLife that we have failed to perform our obligations under the agreements) may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13 of the Notes to the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established public trading market exists for BHNY’s common equity; all of BHNY’s common stock is held by Brighthouse Life Insurance Company.</w:t>
      </w:r>
    </w:p>
    <w:p>
      <w:pPr>
        <w:spacing w:after="0" w:line="108" w:lineRule="exact"/>
        <w:rPr>
          <w:sz w:val="20"/>
          <w:szCs w:val="20"/>
          <w:color w:val="auto"/>
        </w:rPr>
      </w:pPr>
    </w:p>
    <w:p>
      <w:pPr>
        <w:ind w:right="320" w:firstLine="324"/>
        <w:spacing w:after="0" w:line="406" w:lineRule="auto"/>
        <w:rPr>
          <w:sz w:val="20"/>
          <w:szCs w:val="20"/>
          <w:color w:val="auto"/>
        </w:rPr>
      </w:pPr>
      <w:r>
        <w:rPr>
          <w:rFonts w:ascii="Times New Roman" w:cs="Times New Roman" w:eastAsia="Times New Roman" w:hAnsi="Times New Roman"/>
          <w:sz w:val="18"/>
          <w:szCs w:val="18"/>
          <w:color w:val="auto"/>
        </w:rPr>
        <w:t xml:space="preserve">See Note 10 of the Notes to the Financial Statements for a discussion of dividends paid, as well as restrictions on BHNY’s ability to pay dividends. </w:t>
      </w:r>
      <w:r>
        <w:rPr>
          <w:rFonts w:ascii="Times New Roman" w:cs="Times New Roman" w:eastAsia="Times New Roman" w:hAnsi="Times New Roman"/>
          <w:sz w:val="18"/>
          <w:szCs w:val="18"/>
          <w:b w:val="1"/>
          <w:bCs w:val="1"/>
          <w:color w:val="auto"/>
        </w:rPr>
        <w:t>Item 6. Selected Financial Data</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I(2)(a)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97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4"/>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Introduction</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39">
              <w:r>
                <w:rPr>
                  <w:rFonts w:ascii="Times New Roman" w:cs="Times New Roman" w:eastAsia="Times New Roman" w:hAnsi="Times New Roman"/>
                  <w:sz w:val="18"/>
                  <w:szCs w:val="18"/>
                  <w:u w:val="single" w:color="auto"/>
                  <w:color w:val="0000FF"/>
                  <w:w w:val="99"/>
                </w:rPr>
                <w:t>39</w:t>
              </w:r>
            </w:hyperlink>
          </w:p>
        </w:tc>
      </w:tr>
      <w:tr>
        <w:trPr>
          <w:trHeight w:val="230"/>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Overview</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0">
              <w:r>
                <w:rPr>
                  <w:rFonts w:ascii="Times New Roman" w:cs="Times New Roman" w:eastAsia="Times New Roman" w:hAnsi="Times New Roman"/>
                  <w:sz w:val="18"/>
                  <w:szCs w:val="18"/>
                  <w:u w:val="single" w:color="auto"/>
                  <w:color w:val="0000FF"/>
                  <w:w w:val="99"/>
                </w:rPr>
                <w:t>39</w:t>
              </w:r>
            </w:hyperlink>
          </w:p>
        </w:tc>
      </w:tr>
      <w:tr>
        <w:trPr>
          <w:trHeight w:val="229"/>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Summary of Critical Accounting Estimates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1">
              <w:r>
                <w:rPr>
                  <w:rFonts w:ascii="Times New Roman" w:cs="Times New Roman" w:eastAsia="Times New Roman" w:hAnsi="Times New Roman"/>
                  <w:sz w:val="18"/>
                  <w:szCs w:val="18"/>
                  <w:u w:val="single" w:color="auto"/>
                  <w:color w:val="0000FF"/>
                  <w:w w:val="99"/>
                </w:rPr>
                <w:t>40</w:t>
              </w:r>
            </w:hyperlink>
          </w:p>
        </w:tc>
      </w:tr>
      <w:tr>
        <w:trPr>
          <w:trHeight w:val="230"/>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Non-GAAP Disclosures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43</w:t>
              </w:r>
            </w:hyperlink>
          </w:p>
        </w:tc>
      </w:tr>
      <w:tr>
        <w:trPr>
          <w:trHeight w:val="229"/>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Results of Operations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5">
              <w:r>
                <w:rPr>
                  <w:rFonts w:ascii="Times New Roman" w:cs="Times New Roman" w:eastAsia="Times New Roman" w:hAnsi="Times New Roman"/>
                  <w:sz w:val="18"/>
                  <w:szCs w:val="18"/>
                  <w:u w:val="single" w:color="auto"/>
                  <w:color w:val="0000FF"/>
                  <w:w w:val="99"/>
                </w:rPr>
                <w:t>45</w:t>
              </w:r>
            </w:hyperlink>
          </w:p>
        </w:tc>
      </w:tr>
      <w:tr>
        <w:trPr>
          <w:trHeight w:val="229"/>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Effects of Inflation</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8">
              <w:r>
                <w:rPr>
                  <w:rFonts w:ascii="Times New Roman" w:cs="Times New Roman" w:eastAsia="Times New Roman" w:hAnsi="Times New Roman"/>
                  <w:sz w:val="18"/>
                  <w:szCs w:val="18"/>
                  <w:u w:val="single" w:color="auto"/>
                  <w:color w:val="0000FF"/>
                  <w:w w:val="99"/>
                </w:rPr>
                <w:t>47</w:t>
              </w:r>
            </w:hyperlink>
          </w:p>
        </w:tc>
      </w:tr>
      <w:tr>
        <w:trPr>
          <w:trHeight w:val="230"/>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Off-Balance Sheet Arrangements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48</w:t>
              </w:r>
            </w:hyperlink>
          </w:p>
        </w:tc>
      </w:tr>
      <w:tr>
        <w:trPr>
          <w:trHeight w:val="229"/>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Policyholder Liabilities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48</w:t>
              </w:r>
            </w:hyperlink>
          </w:p>
        </w:tc>
      </w:tr>
      <w:tr>
        <w:trPr>
          <w:trHeight w:val="234"/>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Liquidity and Capital Resources</w:t>
              </w:r>
            </w:hyperlink>
          </w:p>
        </w:tc>
        <w:tc>
          <w:tcPr>
            <w:tcW w:w="14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purposes of this discussion, unless otherwise mentioned or unless the context indicates otherwise, “BHNY,” the “Company,” “we,” “our” and “us” refer to Brighthouse Life Insurance Company of NY, a New York domiciled life insurance company. BHNY is an indirect wholly-owned subsidiary of Brighthouse Financial, Inc. (together with its subsidiaries and affiliates, “Brighthouse”). Management’s narrative analysis of the results of operations is presented pursuant to General Instruction I(2)(a) of Form 10-K. This Management’s Discussion and Analysis of Financial Condition and Results of Operations should be read in conjunction with “Note Regarding Forward-Looking Statements and Summary of Risk Factors,” “Risk Factors,” “Quantitative and Qualitative Disclosures About Market Risk” and the Company’s financial statements included elsewhere herein.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2016, MetLife, Inc. (together with its subsidiaries and affiliates, “MetLife”) announced its plan to pursue the separation of a substantial portion of its former U.S. retail business (the “Separation”). In connection with the Separation, 80.8% of MetLife, Inc.’s interest in BHF was distributed to holders of MetLife, Inc.’s common stock. On June 14, 2018, MetLife, Inc. divested all its remaining shares of BHF common stock (the “MetLife Divestiture”). As a result, MetLife, Inc. and its subsidiaries and affiliates were no longer considered related parties subsequent to the MetLife Divestiture. See Note 1 of the Notes to the Financial Statements.</w:t>
      </w:r>
    </w:p>
    <w:p>
      <w:pPr>
        <w:spacing w:after="0" w:line="1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a range of individual annuities and individual life insurance products in New York. For operating purposes, we have established two segments: Annuities and Life. In addition, we report certain of our results of operations in Corporate &amp; Other. See “Business — Segments and Corporate &amp; Other” and Note 2 of the Notes to the Financial Statements for further information on our segments and Corporate &amp; Other.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developments related to the worldwide pandemic sparked by the novel coronavirus (“COVID-19 pandemic”), which has negatively impacted us in certain respects, as discussed below. At this time, it is not possible to estimate the severity or duration of the pandemic, including the severity, duration and frequency of any additional “waves” of the pandemic or the timetable for the implementation, and the efficacy, of any therapeutic treatments and vaccines for COVID-19, including their efficacy with respect to variants of COVID-19 that have emerged or could emerge in the future. It is likewise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targets previously provided to the markets or aspects of our business model. See “Risk Factors — Risks Related to Our Business — The ongoing COVID-19 pandemic could materially adversely affect our business, financial condition and results of operations, including our capitalization and liquidity.”</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in response to the COVID-19 pandemic, management promptly implemented our business continuity plans, and quickly and successfully shifted all our employees to a work-from-home environment, where they currently remain. Our sales and support teams remain fully operational, and the COVID-19 pandemic has not interrupted our ability to service our distribution partners and customers. Additionally, we are closely monitoring all aspects of our business, including but not limited to, levels of sales and claims activity, policy lapses or surrenders, payments of premiums, sources and uses of liquidity, the valuation of our investments and the performance of our derivatives programs. We have observed varying degrees of impact in these areas, and we have taken prudent and proportionate measures to address such impacts; however, at this time it is impossible to predict if the COVID-19 pandemic will have a material adverse impact on our business, financial condition or results of operations. We continue to closely monitor this evolving situation as we remain focused on ensuring the health and safety of our employees, on supporting our partners and customers as usual and on mitigating potential adverse impacts to our business.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Increased economic uncertainty and increased unemployment resulting from the economic impacts of the COVID-19 pandemic have also impacted sales of certain of our products and have prompted us to take actions to provide relief to customers affected by adverse circumstances due to the COVID-19 pandemic. While the relief granted to customers to date has not had a material impact on our financial condition or results of operations, it is not possible to estimate the potential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impact of any future relief. Circumstances resulting from the COVID-19 pandemic have also impacted the incidence of claims and may have impacted the utilization of benefits, lapses or surrenders of policies and payments on insurance premiums, though such impacts have not been material through year end 2020. Additionally, circumstances resulting from the COVID-19 pandemic have not materially impacted services we receive from third-party vendors, nor have such circumstances led to the identification of new loss contingencies or any increases in existing loss contingencies. However, there can be no assurance that any future impact from the COVID-19 pandemic, including, without limitation, with respect to revenues and expenses associated with our products, services we receive from third-party vendors, or loss contingencies, will not be material.</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sectors of our investment portfolio may be adversely affected as a result of the impact of the COVID-19 pandemic on capital markets and the global economy, as well as uncertainty regarding its duration and outcome. See Note 6 of the Notes to the Financial Statements.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The credit rating agencies also evaluate the insurance industry as a whole and may change our financial strength rating based on their overall view of our industry.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future policy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critical accounting estimates are described below and in Note 1 of the Notes to the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Future policy benefits for traditional long-duration insurance contracts (term life insurance and income annuities) are payable over an extended period of time and the related liabilities are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These assumptions, intended to estimate the experience for the period the policy benefits are payable, are established at the time the policy is issued and are not updated unless a premium deficiency exists. Utilizing these assumptions, liabilities are established for each line of business. If experience is less favorable than assumed and a premium deficiency exists, DAC may be reduced, or additional insurance liabilities established, resulting in a reduction in earnings.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Future policy benefit liabilities for GMDBs and certain GMIBs relating to variable annuity contracts are based on estimates of the expected value of benefits in excess of the projected account balance, recognizing the excess ratably over the accumulation period based on total expected assessments. The most significant assumptions for variable annuity guarantees included in future policyholder benefits are projected general account and separate account investment returns, as well as policyholder behavior including mortality, benefit election and utilization, and withdrawals.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regularly review our assumptions supporting our estimates of all actuarial liabilities for future policy benefits. For variable annuity product guarantees, assumptions are updated periodically, whereas for traditional long-duration insurance contracts, assumptions are established at inception and not updated unless a premium deficiency exists. We also review our liability projections to determine if profits are projected in earlier years followed by losses projected in later years, which could require us to establish an additional liability. We aggregate insurance contracts by product and segment in assessing whether a premium deficiency or profits followed by losses exists. Differences between actual experience and the assumptions used in pricing our policies and guarantees, as well as adjustments to the related liabilities, result in changes to earnings.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of the Notes to the Financial Statements for additional information on our accounting policy relating to variable annuity guarantees and the liability for future policy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DAC represents deferred costs that relate directly to the successful acquisition or renewal of insurance contracts. The recovery of DAC is dependent upon the future profitability of the related business.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DAC related to deferred annuities is amortized based on expected future gross profits, which is determined by using assumptions consistent with measuring the related liabilities. DAC balances and amortization for variable annuity contracts can be significantly impacted by changes in expected future gross profits related to projected separate account rates of return. Our practice of determining changes in projected separate account returns assumes that long-term appreciation in equity markets is not changed by short-term market fluctuations and is only changed when sustained interim deviations are expected. We monitor these events and only change the assumption when our long-term expectation changes. The effect of an increase (decrease) by 100 basis points in the assumed future rate of return is reasonably likely to result in a decrease (increase) in the DAC amortization with an offset to our unearned revenue liability which nets to approximately $15 million. We use a mean reversion approach to separate account returns where the mean reversion period is five years with a long-term separate account return after the five-year reversion period is over. The current long-term rate of return assumption for variable annuity contracts is in the 6-7% range.</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generally review other long-term assumptions underlying the projections of expected future gross profits on an annual basis. These assumptions primarily relate to general account investment returns, mortality, in-force or persistency, benefit elections and utilization, and withdrawals. Assumptions used in the calculation of expected future gross profits which have significantly changed are updated annually. If the update of assumptions causes expected future gross profits to increase, DAC amortization will generally decrease, resulting in a current period increase to earnings. The opposite result occurs when the assumption update causes expected future gross profits to decrease.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DAC balances are also impacted by replacing expected future gross profits with actual gross profits in each reporting period, including changes in annuity embedded derivatives and the related nonperformance risk. When the change in expected future gross profits principally relates to the difference between actual and estimates in the current period, an increase in profits will generally result in an increase in amortization and a decrease in profits will generally result in a decrease in amortization.</w:t>
      </w:r>
    </w:p>
    <w:p>
      <w:pPr>
        <w:spacing w:after="0" w:line="72" w:lineRule="exact"/>
        <w:rPr>
          <w:sz w:val="20"/>
          <w:szCs w:val="20"/>
          <w:color w:val="auto"/>
        </w:rPr>
      </w:pPr>
    </w:p>
    <w:p>
      <w:pPr>
        <w:ind w:right="9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See Notes 1 and 4 of the Notes to the Financial Statements for additional information relating to DAC accounting policy and amortization. </w:t>
      </w:r>
      <w:r>
        <w:rPr>
          <w:rFonts w:ascii="Times New Roman" w:cs="Times New Roman" w:eastAsia="Times New Roman" w:hAnsi="Times New Roman"/>
          <w:sz w:val="18"/>
          <w:szCs w:val="18"/>
          <w:b w:val="1"/>
          <w:bCs w:val="1"/>
          <w:i w:val="1"/>
          <w:iCs w:val="1"/>
          <w:color w:val="auto"/>
        </w:rPr>
        <w:t>Derivatives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freestanding derivative instruments to hedge various capital market risks in our products, including: (i) crediting rates associated with index-linked annuities which are reported as embedded derivatives; (ii) current or future changes in the fair value of our assets and liabilities; and (iii) current or future changes in cash flows. All derivatives, whether freestanding or embedded, are required to be carried on the balance sheet at fair value with changes reflected in either net income (loss) or in OCI, depending on the type of hedge. Below is a summary of critical accounting estimates by type of derivative.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Freestanding Derivatives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7 of the Notes to the Financial Statements for additional information on significant inputs into the OTC derivative pricing models and credit risk adjustment.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 in Variable Annuity Guarantees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We issue variable annuity products with guaranteed minimum benefits, some of which are embedded derivatives measured at estimated fair value separately from the host variable annuity product, with changes in estimated fair value reported in net derivative gains (losses). The estimated fair values of these embedded derivatives are determined based on the present value of projected future benefits minus the present value of projected future fees attributable to the guarantee. The projections of future benefits and future fees require capital markets and actuarial assumptions, including expectations concerning policyholder behavior. A risk neutral valuation methodology is used under which the cash flows from the guarantees are projected under multiple capital market scenarios using observable risk-free rates and implied equity volatilities.</w:t>
      </w:r>
    </w:p>
    <w:p>
      <w:pPr>
        <w:spacing w:after="0" w:line="79"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We cede the risk associated with the variable annuities with guaranteed minimum benefits described in the preceding paragraphs to our parent, Brighthouse Life Insurance Company. Certain features of the ceded guarantees are accounted for as an embedded derivative with the value determined using a methodology consistent with that described previously for the guarantees directly written by us. However, because certain directly written GMIB riders are accounted for as insurance liabilities rather than fair value, significant fluctuations in net income may occur when the change in the fair value of the reinsurance recoverable is recorded in net income without a corresponding and offsetting change in fair value of the directly written guaranteed liability.</w:t>
      </w:r>
    </w:p>
    <w:p>
      <w:pPr>
        <w:spacing w:after="0" w:line="79"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 inputs, as well as changes in our nonperformance risk may result in significant fluctuations in the estimated fair value of the guarantees that could have a material impact on net income. Changes to actuarial assumptions, principally related to contract holder behavior such as annuitization utilization and withdrawals associated with GMIB riders, can result in a change of expected future cash outflows of a guarantee between the accrual-based model for insurance liabilities and the fair value based model for embedded derivatives. See Note 1 of the Notes to the Financial Statements for additional information relating to the determination of the accounting model. Risk margins are established to capture the non-capital market risks of the instrument which represent the additional compensation a market participant would require to assume the risks related to the uncertainties in certain actuarial assumptions. The establishment of risk margins requires the use of significant management judgment, including assumptions of the amount and cost of capital needed to cover the guarantees.</w:t>
      </w:r>
    </w:p>
    <w:p>
      <w:pPr>
        <w:spacing w:after="0" w:line="80"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Assumptions for embedded derivatives are reviewed at least annually, and if they change significantly, the estimated fair value is adjusted by a cumulative charge or credit to net income.</w:t>
      </w:r>
    </w:p>
    <w:p>
      <w:pPr>
        <w:spacing w:after="0" w:line="54"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See Notes 7 and 8 of the Notes to the Financial Statements for additional information on our embedded derivatives and the determination of their fair values.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 in Index-Linked Annuities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issues index-linked annuities that contain equity crediting rates accounted for as an embedded derivative. The crediting rates are measured at estimated fair value which is determined using a combination of an option pricing methodology and an option-budget approach. The estimated fair value includes capital market and actuarial policyholder behavior and biometric assumptions, including expectations for renewals at the end of the term period. 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Nonperformance Risk Adjustment</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valuation of our embedded derivatives includes an adjustment for the risk that we fail to satisfy our obligations, which we refer to as our nonperformance risk. The nonperformance risk adjustment is captured as a spread over the risk-free rate in determining the discount rate to discount the cash flows of the liability.</w:t>
      </w:r>
    </w:p>
    <w:p>
      <w:pPr>
        <w:spacing w:after="0" w:line="68"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spread over the risk-free rate is based on BHF’s creditworthiness taking into consideration publicly available information relating to spreads in the secondary market for BHF’s debt. These observable spreads are then adjusted, as necessary, to reflect our financial strength ratings as compared to the credit rating of BHF.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Financial Statements for additional information relating to our determination of such valuation allowances.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1 and 12 of the Notes to the Financial Statements for additional information on our income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definitions of the non-GAAP measures may differ from those used by other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Earnings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In this report, we present adjusted earnings as a measure of our performance that is not calculated in accordance with GAAP. We believe that this non-GAAP financial measure highlights our results of operations and the underlying profitability drivers of our business. However, adjusted earnings should not be viewed as a substitute for net income (loss), which is the most directly comparable financial measure calculated in accordance with GAAP. See “— Results of Operations” for a reconciliation of adjusted earnings to net income (loss).</w:t>
      </w:r>
    </w:p>
    <w:p>
      <w:pPr>
        <w:spacing w:after="0" w:line="72"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GMIB fees (“GMIB Fees”).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related to GMIBs (“GMIB Costs”);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hanging="326"/>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related to (i) net investment gains (losses), (ii) net derivative gains (losses), (iii) GMIB Fees and GMIB Costs and (iv) Market Value Adjustments.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 of Adjusted Earnings</w:t>
            </w:r>
          </w:p>
        </w:tc>
        <w:tc>
          <w:tcPr>
            <w:tcW w:w="7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How Derived from GAAP (1)</w:t>
            </w:r>
          </w:p>
        </w:tc>
      </w:tr>
      <w:tr>
        <w:trPr>
          <w:trHeight w:val="189"/>
        </w:trPr>
        <w:tc>
          <w:tcPr>
            <w:tcW w:w="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Fee income</w:t>
            </w:r>
          </w:p>
        </w:tc>
        <w:tc>
          <w:tcPr>
            <w:tcW w:w="940" w:type="dxa"/>
            <w:vAlign w:val="bottom"/>
          </w:tcPr>
          <w:p>
            <w:pPr>
              <w:jc w:val="center"/>
              <w:ind w:left="471"/>
              <w:spacing w:after="0" w:line="189" w:lineRule="exact"/>
              <w:rPr>
                <w:sz w:val="20"/>
                <w:szCs w:val="20"/>
                <w:color w:val="auto"/>
              </w:rPr>
            </w:pPr>
            <w:r>
              <w:rPr>
                <w:rFonts w:ascii="Times New Roman" w:cs="Times New Roman" w:eastAsia="Times New Roman" w:hAnsi="Times New Roman"/>
                <w:sz w:val="18"/>
                <w:szCs w:val="18"/>
                <w:color w:val="auto"/>
              </w:rPr>
              <w:t>(i)</w:t>
            </w:r>
          </w:p>
        </w:tc>
        <w:tc>
          <w:tcPr>
            <w:tcW w:w="62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Universal life and investment-type policy fees </w:t>
            </w:r>
            <w:r>
              <w:rPr>
                <w:rFonts w:ascii="Times New Roman" w:cs="Times New Roman" w:eastAsia="Times New Roman" w:hAnsi="Times New Roman"/>
                <w:sz w:val="18"/>
                <w:szCs w:val="18"/>
                <w:color w:val="auto"/>
              </w:rPr>
              <w:t>(excluding (a) unearned revenue</w:t>
            </w:r>
          </w:p>
        </w:tc>
      </w:tr>
      <w:tr>
        <w:trPr>
          <w:trHeight w:val="162"/>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20" w:type="dxa"/>
            <w:vAlign w:val="bottom"/>
          </w:tcPr>
          <w:p>
            <w:pPr>
              <w:ind w:left="60"/>
              <w:spacing w:after="0" w:line="162" w:lineRule="exact"/>
              <w:rPr>
                <w:sz w:val="20"/>
                <w:szCs w:val="20"/>
                <w:color w:val="auto"/>
              </w:rPr>
            </w:pPr>
            <w:r>
              <w:rPr>
                <w:rFonts w:ascii="Times New Roman" w:cs="Times New Roman" w:eastAsia="Times New Roman" w:hAnsi="Times New Roman"/>
                <w:sz w:val="18"/>
                <w:szCs w:val="18"/>
                <w:color w:val="auto"/>
              </w:rPr>
              <w:t>adjustments related to net investment gains (losses) and net derivative gains (losses)</w:t>
            </w:r>
          </w:p>
        </w:tc>
      </w:tr>
      <w:tr>
        <w:trPr>
          <w:trHeight w:val="176"/>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and (b) GMIB Fees) plus Other revenues (excluding other revenues associated with</w:t>
            </w:r>
          </w:p>
        </w:tc>
      </w:tr>
      <w:tr>
        <w:trPr>
          <w:trHeight w:val="229"/>
        </w:trPr>
        <w:tc>
          <w:tcPr>
            <w:tcW w:w="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reinsurance) and amortization of deferred gain on reinsurance.</w:t>
            </w:r>
          </w:p>
        </w:tc>
      </w:tr>
      <w:tr>
        <w:trPr>
          <w:trHeight w:val="189"/>
        </w:trPr>
        <w:tc>
          <w:tcPr>
            <w:tcW w:w="4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Net investment spread</w:t>
            </w:r>
          </w:p>
        </w:tc>
        <w:tc>
          <w:tcPr>
            <w:tcW w:w="940" w:type="dxa"/>
            <w:vAlign w:val="bottom"/>
            <w:shd w:val="clear" w:color="auto" w:fill="CCEEFF"/>
          </w:tcPr>
          <w:p>
            <w:pPr>
              <w:jc w:val="center"/>
              <w:ind w:left="471"/>
              <w:spacing w:after="0" w:line="189" w:lineRule="exact"/>
              <w:rPr>
                <w:sz w:val="20"/>
                <w:szCs w:val="20"/>
                <w:color w:val="auto"/>
              </w:rPr>
            </w:pPr>
            <w:r>
              <w:rPr>
                <w:rFonts w:ascii="Times New Roman" w:cs="Times New Roman" w:eastAsia="Times New Roman" w:hAnsi="Times New Roman"/>
                <w:sz w:val="18"/>
                <w:szCs w:val="18"/>
                <w:color w:val="auto"/>
                <w:w w:val="99"/>
              </w:rPr>
              <w:t>(ii)</w:t>
            </w:r>
          </w:p>
        </w:tc>
        <w:tc>
          <w:tcPr>
            <w:tcW w:w="62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Net investment income </w:t>
            </w:r>
            <w:r>
              <w:rPr>
                <w:rFonts w:ascii="Times New Roman" w:cs="Times New Roman" w:eastAsia="Times New Roman" w:hAnsi="Times New Roman"/>
                <w:sz w:val="18"/>
                <w:szCs w:val="18"/>
                <w:color w:val="auto"/>
              </w:rPr>
              <w:t>plus Investment Hedge Adjustments and interest received on</w:t>
            </w:r>
          </w:p>
        </w:tc>
      </w:tr>
      <w:tr>
        <w:trPr>
          <w:trHeight w:val="162"/>
        </w:trPr>
        <w:tc>
          <w:tcPr>
            <w:tcW w:w="40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8"/>
                <w:szCs w:val="18"/>
                <w:color w:val="auto"/>
              </w:rPr>
              <w:t xml:space="preserve">ceded fixed annuity reinsurance deposit funds reduced by </w:t>
            </w:r>
            <w:r>
              <w:rPr>
                <w:rFonts w:ascii="Times New Roman" w:cs="Times New Roman" w:eastAsia="Times New Roman" w:hAnsi="Times New Roman"/>
                <w:sz w:val="18"/>
                <w:szCs w:val="18"/>
                <w:i w:val="1"/>
                <w:iCs w:val="1"/>
                <w:color w:val="auto"/>
              </w:rPr>
              <w:t>Interest credited to</w:t>
            </w:r>
          </w:p>
        </w:tc>
      </w:tr>
      <w:tr>
        <w:trPr>
          <w:trHeight w:val="230"/>
        </w:trPr>
        <w:tc>
          <w:tcPr>
            <w:tcW w:w="4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policyholder account balances </w:t>
            </w:r>
            <w:r>
              <w:rPr>
                <w:rFonts w:ascii="Times New Roman" w:cs="Times New Roman" w:eastAsia="Times New Roman" w:hAnsi="Times New Roman"/>
                <w:sz w:val="18"/>
                <w:szCs w:val="18"/>
                <w:color w:val="auto"/>
              </w:rPr>
              <w:t>and interest on future policy benefits.</w:t>
            </w:r>
          </w:p>
        </w:tc>
      </w:tr>
      <w:tr>
        <w:trPr>
          <w:trHeight w:val="189"/>
        </w:trPr>
        <w:tc>
          <w:tcPr>
            <w:tcW w:w="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40" w:type="dxa"/>
            <w:vAlign w:val="bottom"/>
          </w:tcPr>
          <w:p>
            <w:pPr>
              <w:jc w:val="center"/>
              <w:ind w:left="471"/>
              <w:spacing w:after="0" w:line="189" w:lineRule="exact"/>
              <w:rPr>
                <w:sz w:val="20"/>
                <w:szCs w:val="20"/>
                <w:color w:val="auto"/>
              </w:rPr>
            </w:pPr>
            <w:r>
              <w:rPr>
                <w:rFonts w:ascii="Times New Roman" w:cs="Times New Roman" w:eastAsia="Times New Roman" w:hAnsi="Times New Roman"/>
                <w:sz w:val="18"/>
                <w:szCs w:val="18"/>
                <w:color w:val="auto"/>
                <w:w w:val="96"/>
              </w:rPr>
              <w:t>(iii)</w:t>
            </w:r>
          </w:p>
        </w:tc>
        <w:tc>
          <w:tcPr>
            <w:tcW w:w="62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 </w:t>
            </w:r>
            <w:r>
              <w:rPr>
                <w:rFonts w:ascii="Times New Roman" w:cs="Times New Roman" w:eastAsia="Times New Roman" w:hAnsi="Times New Roman"/>
                <w:sz w:val="18"/>
                <w:szCs w:val="18"/>
                <w:color w:val="auto"/>
              </w:rPr>
              <w:t>(excluding (a) GMIB Costs, (b)</w:t>
            </w:r>
          </w:p>
        </w:tc>
      </w:tr>
      <w:tr>
        <w:trPr>
          <w:trHeight w:val="162"/>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20" w:type="dxa"/>
            <w:vAlign w:val="bottom"/>
          </w:tcPr>
          <w:p>
            <w:pPr>
              <w:ind w:left="60"/>
              <w:spacing w:after="0" w:line="162" w:lineRule="exact"/>
              <w:rPr>
                <w:sz w:val="20"/>
                <w:szCs w:val="20"/>
                <w:color w:val="auto"/>
              </w:rPr>
            </w:pPr>
            <w:r>
              <w:rPr>
                <w:rFonts w:ascii="Times New Roman" w:cs="Times New Roman" w:eastAsia="Times New Roman" w:hAnsi="Times New Roman"/>
                <w:sz w:val="18"/>
                <w:szCs w:val="18"/>
                <w:color w:val="auto"/>
              </w:rPr>
              <w:t>Market Value Adjustments, (c) interest on future policy benefits and (d) amortization</w:t>
            </w:r>
          </w:p>
        </w:tc>
      </w:tr>
      <w:tr>
        <w:trPr>
          <w:trHeight w:val="175"/>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of deferred gain on reinsurance) plus the pass through of performance of ceded</w:t>
            </w:r>
          </w:p>
        </w:tc>
      </w:tr>
      <w:tr>
        <w:trPr>
          <w:trHeight w:val="230"/>
        </w:trPr>
        <w:tc>
          <w:tcPr>
            <w:tcW w:w="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account assets.</w:t>
            </w:r>
          </w:p>
        </w:tc>
      </w:tr>
      <w:tr>
        <w:trPr>
          <w:trHeight w:val="189"/>
        </w:trPr>
        <w:tc>
          <w:tcPr>
            <w:tcW w:w="4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Amortization of DAC</w:t>
            </w:r>
          </w:p>
        </w:tc>
        <w:tc>
          <w:tcPr>
            <w:tcW w:w="940" w:type="dxa"/>
            <w:vAlign w:val="bottom"/>
            <w:shd w:val="clear" w:color="auto" w:fill="CCEEFF"/>
          </w:tcPr>
          <w:p>
            <w:pPr>
              <w:jc w:val="center"/>
              <w:ind w:left="471"/>
              <w:spacing w:after="0" w:line="189" w:lineRule="exact"/>
              <w:rPr>
                <w:sz w:val="20"/>
                <w:szCs w:val="20"/>
                <w:color w:val="auto"/>
              </w:rPr>
            </w:pPr>
            <w:r>
              <w:rPr>
                <w:rFonts w:ascii="Times New Roman" w:cs="Times New Roman" w:eastAsia="Times New Roman" w:hAnsi="Times New Roman"/>
                <w:sz w:val="18"/>
                <w:szCs w:val="18"/>
                <w:color w:val="auto"/>
                <w:w w:val="99"/>
              </w:rPr>
              <w:t>(iv)</w:t>
            </w:r>
          </w:p>
        </w:tc>
        <w:tc>
          <w:tcPr>
            <w:tcW w:w="62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Amortization of DAC </w:t>
            </w:r>
            <w:r>
              <w:rPr>
                <w:rFonts w:ascii="Times New Roman" w:cs="Times New Roman" w:eastAsia="Times New Roman" w:hAnsi="Times New Roman"/>
                <w:sz w:val="18"/>
                <w:szCs w:val="18"/>
                <w:color w:val="auto"/>
              </w:rPr>
              <w:t>(excluding amounts related to (a) net investment gains (losses),</w:t>
            </w:r>
          </w:p>
        </w:tc>
      </w:tr>
      <w:tr>
        <w:trPr>
          <w:trHeight w:val="162"/>
        </w:trPr>
        <w:tc>
          <w:tcPr>
            <w:tcW w:w="40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2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8"/>
                <w:szCs w:val="18"/>
                <w:color w:val="auto"/>
              </w:rPr>
              <w:t>(b) net derivative gains (losses), (c) GMIB Fees and GMIB Costs and (d) Market</w:t>
            </w:r>
          </w:p>
        </w:tc>
      </w:tr>
      <w:tr>
        <w:trPr>
          <w:trHeight w:val="229"/>
        </w:trPr>
        <w:tc>
          <w:tcPr>
            <w:tcW w:w="4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Adjustments).</w:t>
            </w: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expenses, net of DAC capitalization</w:t>
            </w:r>
          </w:p>
        </w:tc>
        <w:tc>
          <w:tcPr>
            <w:tcW w:w="9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rPr>
              <w:t>(v)</w:t>
            </w: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reduced by capitalization of DAC.</w:t>
            </w:r>
          </w:p>
        </w:tc>
      </w:tr>
      <w:tr>
        <w:trPr>
          <w:trHeight w:val="27"/>
        </w:trPr>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20" w:type="dxa"/>
            <w:vAlign w:val="bottom"/>
          </w:tcPr>
          <w:p>
            <w:pPr>
              <w:spacing w:after="0"/>
              <w:rPr>
                <w:sz w:val="2"/>
                <w:szCs w:val="2"/>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9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(vi)</w:t>
            </w:r>
          </w:p>
        </w:tc>
        <w:tc>
          <w:tcPr>
            <w:tcW w:w="6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impact of the above items.</w:t>
            </w:r>
          </w:p>
        </w:tc>
      </w:tr>
      <w:tr>
        <w:trPr>
          <w:trHeight w:val="27"/>
        </w:trPr>
        <w:tc>
          <w:tcPr>
            <w:tcW w:w="4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 of operations line items.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Years Ended December 31, 2020 and 2019</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80" w:type="dxa"/>
            <w:vAlign w:val="bottom"/>
            <w:gridSpan w:val="4"/>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DAC</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DAC</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3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4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net income (loss) were as follows:</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2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220" w:type="dxa"/>
            <w:vAlign w:val="bottom"/>
          </w:tcPr>
          <w:p>
            <w:pPr>
              <w:spacing w:after="0"/>
              <w:rPr>
                <w:sz w:val="24"/>
                <w:szCs w:val="24"/>
                <w:color w:val="auto"/>
              </w:rPr>
            </w:pPr>
          </w:p>
        </w:tc>
        <w:tc>
          <w:tcPr>
            <w:tcW w:w="2580" w:type="dxa"/>
            <w:vAlign w:val="bottom"/>
            <w:gridSpan w:val="4"/>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GMLB Riders</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derivative instruments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GMLB Riders</w:t>
      </w:r>
      <w:r>
        <w:rPr>
          <w:rFonts w:ascii="Times New Roman" w:cs="Times New Roman" w:eastAsia="Times New Roman" w:hAnsi="Times New Roman"/>
          <w:sz w:val="18"/>
          <w:szCs w:val="18"/>
          <w:color w:val="auto"/>
        </w:rPr>
        <w:t>. We directly issue variable annuity products with guaranteed minimum living benefits (“GMLB”) riders (“GMLB Riders”)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obligation to protect policyholders against the possibility that a downturn in the markets will reduce the specified benefits. Any periods of significant or sustained downturns in equity markets, increased equity volatility, or reduced interest rates could result in an increase in the valuation of these liabilities. An increase in these liabilities would result in a decrease to our net income (loss), which could be significant. To mitigate this exposure, all of the economic risk associated with the GMLB Riders is currently ceded under reinsurance agreements with Brighthouse Life Insurance Company. Certain features of the ceded GMLBs are accounted for as embedded derivatives, even when those same features are not accounted for as embedded derivatives on the directly written GMLBs. This difference in accounting may result in significant fluctuations in net income (loss) when a change in the fair value of the reinsurance receivable is recorded in net income (loss) with only a partial corresponding offset in the value of the directly written GMLBs. See “— Summary of Critical Accounting Estimates — Derivatives.”</w:t>
      </w:r>
    </w:p>
    <w:p>
      <w:pPr>
        <w:spacing w:after="0" w:line="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Shield Annuities, also included in GMLB Riders, provide the ability for the contract holder to participate in the appreciation of certain financial markets up to a stated level, while offering protection from a portion of declines in the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applicable indices or benchmark. We use derivative instruments, primarily equity options, to hedge against our exposure to changes in fair value of the Shield Annuities.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Derivative Instruments. </w:t>
      </w:r>
      <w:r>
        <w:rPr>
          <w:rFonts w:ascii="Times New Roman" w:cs="Times New Roman" w:eastAsia="Times New Roman" w:hAnsi="Times New Roman"/>
          <w:sz w:val="18"/>
          <w:szCs w:val="18"/>
          <w:color w:val="auto"/>
        </w:rPr>
        <w:t>In addition to derivatives included in GMLB Riders, we enter into other freestanding derivative instruments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 foreign currency risks when we have foreign denominated fixed maturity securities backing our U.S dollar denominated liabilities. The changes in fair value of the hedges are accounted for in net income (loss), through net derivative gains (losses), while the offsetting economic impact on the items they are hedging are either not recognized or recognized in equity through other comprehensive income.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Pre-tax Adjusted Earnings. </w:t>
      </w:r>
      <w:r>
        <w:rPr>
          <w:rFonts w:ascii="Times New Roman" w:cs="Times New Roman" w:eastAsia="Times New Roman" w:hAnsi="Times New Roman"/>
          <w:sz w:val="18"/>
          <w:szCs w:val="18"/>
          <w:color w:val="auto"/>
        </w:rPr>
        <w:t>As more fully described in “— Non-GAAP Disclosures,” we use adjusted earnings, which does not equate to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as determined in accordance with GAAP. We believe that the presentation of adjusted earnings, as we measure it for management purposes, enhances the understanding of our performance by highlighting the results of operations and the underlying profitability drivers of the business. Adjusted earnings and other financial measures based on adjusted earnings allow analysis of our performance relative to our business plan and facilitate comparisons to industry results. Adjusted earnings should not be viewed as a substitute for net income (loss).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2020 Compared with the Year Ended December 31, 2019</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Income before provision for income tax was $132 million ($107 million, net of income tax), an increase of $101 million ($79 million, net of income tax) from income before provision for income tax of $31 million ($28 million, net of income tax) in the prior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discussed in greater detail below; and</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GMLB and GMLB Riders from equity markets increasing less in the current period than in the prior period and lower interest rates resulted in:</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our ceded reinsurance; and</w:t>
      </w:r>
    </w:p>
    <w:p>
      <w:pPr>
        <w:spacing w:after="0" w:line="117" w:lineRule="exact"/>
        <w:rPr>
          <w:rFonts w:ascii="Times New Roman" w:cs="Times New Roman" w:eastAsia="Times New Roman" w:hAnsi="Times New Roman"/>
          <w:sz w:val="18"/>
          <w:szCs w:val="18"/>
          <w:color w:val="auto"/>
        </w:rPr>
      </w:pPr>
    </w:p>
    <w:p>
      <w:pPr>
        <w:ind w:left="1140" w:hanging="322"/>
        <w:spacing w:after="0" w:line="282" w:lineRule="auto"/>
        <w:tabs>
          <w:tab w:leader="none" w:pos="11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freestanding equity derivative positions hedging Shield Annuities, which more than offset the unfavorable changes in Shield liabilities;</w:t>
      </w:r>
    </w:p>
    <w:p>
      <w:pPr>
        <w:spacing w:after="0" w:line="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140" w:hanging="322"/>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fair value of variable annuity liability reserves;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GMLB DAC;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the current period due to the annual actuarial review resulting in higher reserves and higher DAC amortization;</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in the current period from freestanding derivatives due to the impact of long-term interest rates decreasing in the current period and favorable changes in foreign currency swaps due to the U.S. dollar weakening;</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net investment gains (losses) reflecting gains in the current period from the sale of fixed maturity securities.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19%, compared to 10% in the prior period.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Income (Loss) to Adjusted Earnings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of net income (loss) to adjusted earnings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8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GMLB Riders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6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Years Ended December 31, 2020 and 2019 - Adjusted Earnings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adjusted earnings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earnings</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8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2020 Compared with the Year Ended December 31, 2019</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$15 million, an increase of $45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favorable impacts were:</w:t>
      </w:r>
    </w:p>
    <w:p>
      <w:pPr>
        <w:spacing w:after="0" w:line="117"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driven by lower paid claims, net of reinsurance;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higher average invested assets resulting from positive net flows in the general account.</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lower fee income due to lower asset-based fees resulting from lower average separate account balances.</w:t>
      </w:r>
    </w:p>
    <w:p>
      <w:pPr>
        <w:spacing w:after="0" w:line="54"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6%, compared to 29% in the prior period. Our effective tax rate differs from the statutory tax rate primarily due to the impacts of the dividends received deduction and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inflation has not had a material effect on the Company’s results of operations, except insofar as inflation may affect interest rates.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increase in inflation could affect our business in several ways. During inflationary periods, the value of fixed income investments falls which could increase realized and unrealized losses. Inflation also increases expenses for labor and other materials, potentially putting pressure on profitability if such costs cannot be passed through in our product prices. Prolonged and elevated inflation could adversely affect the financial markets and the economy generally and dispelling it may require governments to pursue a restrictive fiscal and monetary policy, which could constrain overall economic activity, inhibit revenue growth and reduce the number of attractive investment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for Derivatives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have non-cash collateral derivatives, which can be sold or re-pledged subject to certain constraints, and which has not been recorded on our balance sheets. The amount of this non-cash collateral was $35 million and $4 million at December 31, 2020 and 2019, respectively. See Note 7 of the Notes to the Financial Statements for information regarding the earned income on and the gross notional amount, estimated fair value of assets and liabilities and primary underlying risk exposure of our derivatives.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“Guarantees” in Note 13 of the Notes to the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enter into mortgage loan commitments for the purpose of enhancing the total return on our investment portfolio. See Note 6 of the Notes to the Financial Statements for information on the investment income, investment expense, gains and losses from such investments, as well as for information on our investments in mortgage loans.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the commitments disclosed in Note 13 of the Notes to the Financial Statements, there are no other material obligations or liabilities arising from the commitments to fund mortgage loans.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 Summary of Critical Accounting Estimates.”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and will likely in the future experience, catastrophe losses and possibly acts of terrorism, as well as turbulent financial markets that may have an adverse impact on our business, financial condition and results of operations. Due to their nature, we cannot predict the incidence, timing, severity or amount of losses from catastrophes and acts of terrorism, but we make broad use of catastrophic and non-catastrophic reinsurance to manage risk from these perils.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For further information regarding market factors that could affect our ability to meet liquidity and capital needs, including those related to the COVID-19 pandemic, see “Risk Factors — Risks Related to Our Business — The ongoing COVID-19 pandemic could materially adversely affect our business, financial condition and results of operations, including our capitalization and liquidity” and “— Overview — COVID-19 Pandemic.”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We continuously monitor and adjust our liquidity and capital plans in light of market conditions, as well as changing needs and opportunities.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$203 million and $115 million at December 31, 2020 and 2019, respectively. Short-term liquidity is comprised of cash and cash equivalents and short-term investments, excluding assets that are pledged or otherwise committed. Assets pledged or otherwise committed include amounts received in connection with derivatives and assets held on deposit or in trust.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$3.3 billion and $2.6 billion at December 31, 2020 and 2019, respectively. Liquid assets are comprised of cash and cash equivalents, short-term investments and publicly-traded securities, excluding assets that are pledged or otherwise committed. Assets pledged or otherwise committed include amounts received in connection with derivatives and assets held on deposit or in trust.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 Agencies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financial strength ratings represent each rating agency’s current opinion of our ability to pay obligations under insurance policies and contracts in accordance with their terms and are not evaluations directed toward the protection of investors in our securities. Financial strength ratings are not statements of fact nor are they recommendations to purchase, hold or sell any security, contract or policy. Each rating should be evaluated independently of any other rating.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strength ratings as of the date of this filing are indicated in the following table. All financial strength ratings have a stable outlook.</w:t>
      </w:r>
    </w:p>
    <w:p>
      <w:pPr>
        <w:sectPr>
          <w:pgSz w:w="11900" w:h="16838" w:orient="portrait"/>
          <w:cols w:equalWidth="0" w:num="1">
            <w:col w:w="11240"/>
          </w:cols>
          <w:pgMar w:left="320" w:top="266" w:right="339" w:bottom="1440" w:gutter="0" w:footer="0" w:header="0"/>
        </w:sect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2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r>
      <w:tr>
        <w:trPr>
          <w:trHeight w:val="23"/>
        </w:trPr>
        <w:tc>
          <w:tcPr>
            <w:tcW w:w="37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9"/>
        </w:trPr>
        <w:tc>
          <w:tcPr>
            <w:tcW w:w="37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 (superior)” to “S</w:t>
            </w:r>
          </w:p>
        </w:tc>
        <w:tc>
          <w:tcPr>
            <w:tcW w:w="1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“AAA (exceptionally strong)”</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“Aaa (highest quality)” to “C</w:t>
            </w:r>
          </w:p>
        </w:tc>
      </w:tr>
      <w:tr>
        <w:trPr>
          <w:trHeight w:val="190"/>
        </w:trPr>
        <w:tc>
          <w:tcPr>
            <w:tcW w:w="37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(suspended)”</w:t>
            </w:r>
          </w:p>
        </w:tc>
        <w:tc>
          <w:tcPr>
            <w:tcW w:w="12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to “C (distressed)”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(lowest rated)”</w:t>
            </w:r>
          </w:p>
        </w:tc>
      </w:tr>
      <w:tr>
        <w:trPr>
          <w:trHeight w:val="104"/>
        </w:trPr>
        <w:tc>
          <w:tcPr>
            <w:tcW w:w="37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NR</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NR</w:t>
            </w:r>
          </w:p>
        </w:tc>
      </w:tr>
      <w:tr>
        <w:trPr>
          <w:trHeight w:val="263"/>
        </w:trPr>
        <w:tc>
          <w:tcPr>
            <w:tcW w:w="3780" w:type="dxa"/>
            <w:vAlign w:val="bottom"/>
            <w:shd w:val="clear" w:color="auto" w:fill="CCEEFF"/>
          </w:tcPr>
          <w:p>
            <w:pPr>
              <w:spacing w:after="0"/>
              <w:rPr>
                <w:sz w:val="22"/>
                <w:szCs w:val="22"/>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3rd of 16</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328"/>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-516255</wp:posOffset>
            </wp:positionV>
            <wp:extent cx="47320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32020" cy="30861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 = Not rated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about financial strength ratings can be found on the respective websites of the rating agencies.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33655</wp:posOffset>
            </wp:positionV>
            <wp:extent cx="1131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49" w:lineRule="exact"/>
        <w:rPr>
          <w:sz w:val="20"/>
          <w:szCs w:val="20"/>
          <w:color w:val="auto"/>
        </w:rPr>
      </w:pPr>
    </w:p>
    <w:p>
      <w:pPr>
        <w:jc w:val="center"/>
        <w:ind w:right="60"/>
        <w:spacing w:after="0" w:line="263" w:lineRule="auto"/>
        <w:rPr>
          <w:sz w:val="20"/>
          <w:szCs w:val="20"/>
          <w:color w:val="auto"/>
        </w:rPr>
      </w:pPr>
      <w:r>
        <w:rPr>
          <w:rFonts w:ascii="Times New Roman" w:cs="Times New Roman" w:eastAsia="Times New Roman" w:hAnsi="Times New Roman"/>
          <w:sz w:val="14"/>
          <w:szCs w:val="14"/>
          <w:i w:val="1"/>
          <w:iCs w:val="1"/>
          <w:color w:val="auto"/>
        </w:rPr>
        <w:t>“AAA (extremely strong)” to “SD (Selective Default)” or “D (Default)”</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w:t>
      </w:r>
    </w:p>
    <w:p>
      <w:pPr>
        <w:spacing w:after="0" w:line="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5th of 22</w:t>
      </w:r>
    </w:p>
    <w:p>
      <w:pPr>
        <w:spacing w:after="0" w:line="1107" w:lineRule="exact"/>
        <w:rPr>
          <w:sz w:val="20"/>
          <w:szCs w:val="20"/>
          <w:color w:val="auto"/>
        </w:rPr>
      </w:pPr>
    </w:p>
    <w:p>
      <w:pPr>
        <w:sectPr>
          <w:pgSz w:w="11900" w:h="16838" w:orient="portrait"/>
          <w:cols w:equalWidth="0" w:num="2">
            <w:col w:w="9340" w:space="180"/>
            <w:col w:w="1720"/>
          </w:cols>
          <w:pgMar w:left="320" w:top="266" w:right="339" w:bottom="1440" w:gutter="0" w:footer="0" w:header="0"/>
          <w:type w:val="continuous"/>
        </w:sect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Credit rating agencies may continue to review and adjust our ratings. For example, in April 2020, Fitch revised the rating outlook for certain affiliates to negative from stable due to the disruption to economic activity and the financial markets from the COVID-19 pandemic. This action by Fitch followed its revision of the rating outlook on the U.S. life insurance industry to negative. See “Risk Factors — Risks Related to Our Business — A downgrade or a potential downgrade in our financial strength ratings could result in a loss of business and materially adversely affect our financial condition and results of operations” for an in-depth description of the impact of a ratings downgrade.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 and Capital</w:t>
      </w:r>
    </w:p>
    <w:p>
      <w:pPr>
        <w:spacing w:after="0" w:line="117" w:lineRule="exact"/>
        <w:rPr>
          <w:sz w:val="20"/>
          <w:szCs w:val="20"/>
          <w:color w:val="auto"/>
        </w:rPr>
      </w:pPr>
    </w:p>
    <w:p>
      <w:pPr>
        <w:jc w:val="center"/>
        <w:ind w:right="81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Flows from Operating Activities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Flows from Investing Activities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Asset Liability Management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Flows from Financing Activities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principal cash flows from our financing activities come from deposits and withdrawal of funds associated with policyholder account balances and changes in collateral related to derivative activities, as well as occasional capital contributions received from and cash dividends paid to our parent, Brighthouse Life Insurance Company. The primary liquidity concerns with respect to these cash flows are market disruption and the risk of early policyholder withdrawal.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Uses of Liquidity and Capital</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Intercompany Liquidity Facilities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See Note 9 of the Notes to the Financial Statements for information relating to our intercompany liquidity facilities including obligations outstanding, issuances and repayments.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Liabilities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years ended December 31, 2020, 2019 and 2018, general account surrenders and withdrawals totaled $48 million, $92 million and $108 million, respectively.</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Pledged Collateral</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We pledge collateral to, and have collateral pledged to us by, counterparties in connection with our derivatives. At both December 31, 2020 and 2019, we did not pledge any cash collateral to counterparties. At December 31, 2020 and 2019, we were obligated to return cash collateral pledged to us by counterparties of $137 million and $82 million, respectively. See Note 7 of the Notes to the Financial Statements for additional information about pledged collateral.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an integrated process for managing risk exposures, which is coordinated among our Risk Management, Finance and Investment Departments. The process is designed to assess and manage exposures on a company-wide basis. Brighthouse Financial, Inc. has established a Balance Sheet Committee (“BSC”). The BSC is responsible for periodically reviewing all material financial risks to us and, in the event risks exceed desired tolerances, informs the Finance and Risk Committee of the Brighthouse Financial, Inc.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Brighthouse’s senior management: Chief Executive Officer, Chief Risk Officer, Chief Financial Officer, Chief Operating Officer and Chief Investment Officer.</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significant market risk management practices include, but are not limited to the following:</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Interest Rate Risk</w:t>
      </w:r>
    </w:p>
    <w:p>
      <w:pPr>
        <w:spacing w:after="0" w:line="121"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including a macro interest rate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financial condition and results of operations.</w:t>
      </w:r>
    </w:p>
    <w:p>
      <w:pPr>
        <w:spacing w:after="0" w:line="80"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We also employ product design and pricing strategies to mitigate the potential effects of interest rate movements. These strategies include the use of surrender charges or restrictions on withdrawals in some products and the ability to reset crediting rates for certain products.</w:t>
      </w:r>
    </w:p>
    <w:p>
      <w:pPr>
        <w:spacing w:after="0" w:line="54"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8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Equity Market and Foreign Currency Risks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We manage equity market risk in a coordinated process across our Risk Management, Investment and Finance Departments primarily through the use of derivatives to hedge losses, which may be temporary, from changes in equity markets without adversely affecting our financial strength ratings. We may also employ reinsurance strategies to manage these exposures. 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 Fair Value Exposures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policyholder account balances related to certain investment-type contracts, and embedded derivatives in variable annuity contracts with guaranteed minimum benefits.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options to mitigate the exposure related to interest rate risks from our product liabilities.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have fair value exposure to equity market risk through certain liabilities that allow the policyholder to participate in returns from equity indices and have a specified level of market downside protection, and other liabilities that involve long-term guarantees on equity performance such as embedded derivatives in variable annuity contracts with guaranteed minimum benefits.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Our fair value exposure to fluctuations in foreign currency exchange rates against the U.S. dollar results from our holdings in non-U.S. dollar denominated fixed maturity securities and mortgage loans. The principal currencies that create foreign currency exchange rate risk in our investment portfolios and liabilities are the Euro and the British pound. We economically hedge substantially all of our foreign currency exposure.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Measurement: Sensitivity Analysis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2020. We modeled the impact of changes in market rates and prices on the estimated fair values of our market sensitive assets and liabilities as follows:</w:t>
      </w:r>
    </w:p>
    <w:p>
      <w:pPr>
        <w:spacing w:after="0" w:line="7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interest rate sensitive exposures resulting from a 100 basis point change (increase or decrease) in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equity positions due to a 10% change (increase or decrease) in equity market prices;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54"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sensitive liabilities do not include $837 million of insurance contracts at December 31, 2020,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risk information is limited by the assumptions and parameters established in creating the related sensitivity analysis, including the impact of prepayment rates on mortgage loans;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risk is not isolated for certain embedded derivatives within host asset and liability contracts, as the risk on these instruments is reflected as equity;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derivatives that qualify for hedge accounting, the impact on reported earnings may be materially different from the change in market values;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assumes that the composition of assets and liabilities remains unchanged throughout the period.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we use such models as tools and not as substitutes for the experience and judgment of our management.</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6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1"/>
              <w:spacing w:after="0" w:line="158" w:lineRule="exact"/>
              <w:rPr>
                <w:sz w:val="20"/>
                <w:szCs w:val="20"/>
                <w:color w:val="auto"/>
              </w:rPr>
            </w:pPr>
            <w:r>
              <w:rPr>
                <w:rFonts w:ascii="Times New Roman" w:cs="Times New Roman" w:eastAsia="Times New Roman" w:hAnsi="Times New Roman"/>
                <w:sz w:val="14"/>
                <w:szCs w:val="14"/>
                <w:b w:val="1"/>
                <w:bCs w:val="1"/>
                <w:color w:val="auto"/>
              </w:rPr>
              <w:t>100 Basis</w:t>
            </w:r>
          </w:p>
        </w:tc>
      </w:tr>
      <w:tr>
        <w:trPr>
          <w:trHeight w:val="162"/>
        </w:trPr>
        <w:tc>
          <w:tcPr>
            <w:tcW w:w="6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Point Increase</w:t>
            </w:r>
          </w:p>
        </w:tc>
      </w:tr>
      <w:tr>
        <w:trPr>
          <w:trHeight w:val="162"/>
        </w:trPr>
        <w:tc>
          <w:tcPr>
            <w:tcW w:w="6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4"/>
                <w:szCs w:val="14"/>
                <w:color w:val="auto"/>
              </w:rPr>
            </w:pPr>
          </w:p>
        </w:tc>
        <w:tc>
          <w:tcPr>
            <w:tcW w:w="12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the Yield</w:t>
            </w:r>
          </w:p>
        </w:tc>
      </w:tr>
      <w:tr>
        <w:trPr>
          <w:trHeight w:val="190"/>
        </w:trPr>
        <w:tc>
          <w:tcPr>
            <w:tcW w:w="6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200" w:type="dxa"/>
            <w:vAlign w:val="bottom"/>
          </w:tcPr>
          <w:p>
            <w:pPr>
              <w:spacing w:after="0"/>
              <w:rPr>
                <w:sz w:val="16"/>
                <w:szCs w:val="16"/>
                <w:color w:val="auto"/>
              </w:rPr>
            </w:pPr>
          </w:p>
        </w:tc>
        <w:tc>
          <w:tcPr>
            <w:tcW w:w="12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Curve</w:t>
            </w: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 with interest rate risk</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3,843</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681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436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within asset host contracts (2)</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477</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3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assets</w:t>
            </w:r>
          </w:p>
        </w:tc>
        <w:tc>
          <w:tcPr>
            <w:tcW w:w="10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03"/>
        </w:trPr>
        <w:tc>
          <w:tcPr>
            <w:tcW w:w="6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 with interest rate risk (3)</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979</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430</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within liability host contracts (2)</w:t>
            </w: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407</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liabilities</w:t>
            </w:r>
          </w:p>
        </w:tc>
        <w:tc>
          <w:tcPr>
            <w:tcW w:w="10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3"/>
        </w:trPr>
        <w:tc>
          <w:tcPr>
            <w:tcW w:w="6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with interest rate risk</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contracts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contracts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6,157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163</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derivative instruments</w:t>
            </w:r>
          </w:p>
        </w:tc>
        <w:tc>
          <w:tcPr>
            <w:tcW w:w="10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6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account assets and liabilities, which are interest rate sensitive, are not included herein as any interest rate risk is borne by the contract holder.</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are recognized on the balance sheet in the same caption as the host contract.</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$837 million of liabilities at carrying value pursuant to insurance contracts reported within future policy benefits and other policy-related balances on the balance sheet at December 31, 2020. Management believes that the changes in the economic value of those contracts under changing interest rates would offset a significant portion of the fair value changes of interest rate sensitive assets.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Summary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Sensitivity to rising interest rates increased by $88 million, or 31%, to $368 million at December 31, 2020 from $280 million at December 31, 2019, primarily as a result of an increase in our fixed maturity securities portfolio and the impact of lower interest rates on the estimated fair value of these securities, in line with management expectations.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Sensitivity to a 10% rise in equity prices increased by $16 million, or 178%, to $25 million at December 31, 2020 from $9 million at December 31, 2019.</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previously mentioned,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Index to Financial Statements, Notes and Schedules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760" w:type="dxa"/>
            <w:vAlign w:val="bottom"/>
          </w:tcPr>
          <w:p>
            <w:pPr>
              <w:spacing w:after="0"/>
              <w:rPr>
                <w:sz w:val="18"/>
                <w:szCs w:val="18"/>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4"/>
        </w:trPr>
        <w:tc>
          <w:tcPr>
            <w:tcW w:w="9760" w:type="dxa"/>
            <w:vAlign w:val="bottom"/>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Report of Independent Registered Public Accounting Firm</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56</w:t>
              </w:r>
            </w:hyperlink>
          </w:p>
        </w:tc>
      </w:tr>
      <w:tr>
        <w:trPr>
          <w:trHeight w:val="229"/>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at December 31, 2020 and 2019 and for the Years Ended December 31, 2020, 2019 and 2018:</w:t>
            </w:r>
          </w:p>
        </w:tc>
        <w:tc>
          <w:tcPr>
            <w:tcW w:w="1460" w:type="dxa"/>
            <w:vAlign w:val="bottom"/>
          </w:tcPr>
          <w:p>
            <w:pPr>
              <w:spacing w:after="0"/>
              <w:rPr>
                <w:sz w:val="19"/>
                <w:szCs w:val="19"/>
                <w:color w:val="auto"/>
              </w:rPr>
            </w:pPr>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Balance Sheets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59</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Statements of Operations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0">
              <w:r>
                <w:rPr>
                  <w:rFonts w:ascii="Times New Roman" w:cs="Times New Roman" w:eastAsia="Times New Roman" w:hAnsi="Times New Roman"/>
                  <w:sz w:val="18"/>
                  <w:szCs w:val="18"/>
                  <w:u w:val="single" w:color="auto"/>
                  <w:color w:val="0000FF"/>
                  <w:w w:val="99"/>
                </w:rPr>
                <w:t>60</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Statements of Comprehensive Income (Loss)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1">
              <w:r>
                <w:rPr>
                  <w:rFonts w:ascii="Times New Roman" w:cs="Times New Roman" w:eastAsia="Times New Roman" w:hAnsi="Times New Roman"/>
                  <w:sz w:val="18"/>
                  <w:szCs w:val="18"/>
                  <w:u w:val="single" w:color="auto"/>
                  <w:color w:val="0000FF"/>
                  <w:w w:val="99"/>
                </w:rPr>
                <w:t>61</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Statements of Stockholder’s Equity</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2">
              <w:r>
                <w:rPr>
                  <w:rFonts w:ascii="Times New Roman" w:cs="Times New Roman" w:eastAsia="Times New Roman" w:hAnsi="Times New Roman"/>
                  <w:sz w:val="18"/>
                  <w:szCs w:val="18"/>
                  <w:u w:val="single" w:color="auto"/>
                  <w:color w:val="0000FF"/>
                  <w:w w:val="99"/>
                </w:rPr>
                <w:t>62</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Statements of Cash Flows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3">
              <w:r>
                <w:rPr>
                  <w:rFonts w:ascii="Times New Roman" w:cs="Times New Roman" w:eastAsia="Times New Roman" w:hAnsi="Times New Roman"/>
                  <w:sz w:val="18"/>
                  <w:szCs w:val="18"/>
                  <w:u w:val="single" w:color="auto"/>
                  <w:color w:val="0000FF"/>
                  <w:w w:val="99"/>
                </w:rPr>
                <w:t>63</w:t>
              </w:r>
            </w:hyperlink>
          </w:p>
        </w:tc>
      </w:tr>
      <w:tr>
        <w:trPr>
          <w:trHeight w:val="230"/>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Financial Statements</w:t>
            </w:r>
          </w:p>
        </w:tc>
        <w:tc>
          <w:tcPr>
            <w:tcW w:w="1460" w:type="dxa"/>
            <w:vAlign w:val="bottom"/>
          </w:tcPr>
          <w:p>
            <w:pPr>
              <w:spacing w:after="0"/>
              <w:rPr>
                <w:sz w:val="19"/>
                <w:szCs w:val="19"/>
                <w:color w:val="auto"/>
              </w:rPr>
            </w:pPr>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Note 1 — Business, Basis of Presentation and Summary of Significant Accounting Policies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5">
              <w:r>
                <w:rPr>
                  <w:rFonts w:ascii="Times New Roman" w:cs="Times New Roman" w:eastAsia="Times New Roman" w:hAnsi="Times New Roman"/>
                  <w:sz w:val="18"/>
                  <w:szCs w:val="18"/>
                  <w:u w:val="single" w:color="auto"/>
                  <w:color w:val="0000FF"/>
                  <w:w w:val="99"/>
                </w:rPr>
                <w:t>64</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Note 2 — Segment Information</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2">
              <w:r>
                <w:rPr>
                  <w:rFonts w:ascii="Times New Roman" w:cs="Times New Roman" w:eastAsia="Times New Roman" w:hAnsi="Times New Roman"/>
                  <w:sz w:val="18"/>
                  <w:szCs w:val="18"/>
                  <w:u w:val="single" w:color="auto"/>
                  <w:color w:val="0000FF"/>
                  <w:w w:val="99"/>
                </w:rPr>
                <w:t>72</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Note 3 — Insurance</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75</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Note 4 — Deferred Policy Acquisition Costs and Deferred Sales Inducements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8">
              <w:r>
                <w:rPr>
                  <w:rFonts w:ascii="Times New Roman" w:cs="Times New Roman" w:eastAsia="Times New Roman" w:hAnsi="Times New Roman"/>
                  <w:sz w:val="18"/>
                  <w:szCs w:val="18"/>
                  <w:u w:val="single" w:color="auto"/>
                  <w:color w:val="0000FF"/>
                  <w:w w:val="99"/>
                </w:rPr>
                <w:t>78</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Note 5 — Reinsurance</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9">
              <w:r>
                <w:rPr>
                  <w:rFonts w:ascii="Times New Roman" w:cs="Times New Roman" w:eastAsia="Times New Roman" w:hAnsi="Times New Roman"/>
                  <w:sz w:val="18"/>
                  <w:szCs w:val="18"/>
                  <w:u w:val="single" w:color="auto"/>
                  <w:color w:val="0000FF"/>
                  <w:w w:val="99"/>
                </w:rPr>
                <w:t>78</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Note 6 — Investments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82">
              <w:r>
                <w:rPr>
                  <w:rFonts w:ascii="Times New Roman" w:cs="Times New Roman" w:eastAsia="Times New Roman" w:hAnsi="Times New Roman"/>
                  <w:sz w:val="18"/>
                  <w:szCs w:val="18"/>
                  <w:u w:val="single" w:color="auto"/>
                  <w:color w:val="0000FF"/>
                  <w:w w:val="99"/>
                </w:rPr>
                <w:t>82</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Note 7 — Derivatives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90">
              <w:r>
                <w:rPr>
                  <w:rFonts w:ascii="Times New Roman" w:cs="Times New Roman" w:eastAsia="Times New Roman" w:hAnsi="Times New Roman"/>
                  <w:sz w:val="18"/>
                  <w:szCs w:val="18"/>
                  <w:u w:val="single" w:color="auto"/>
                  <w:color w:val="0000FF"/>
                  <w:w w:val="99"/>
                </w:rPr>
                <w:t>89</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Note 8 — Fair Value</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93</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Note 9 — Short-term Debt</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2">
              <w:r>
                <w:rPr>
                  <w:rFonts w:ascii="Times New Roman" w:cs="Times New Roman" w:eastAsia="Times New Roman" w:hAnsi="Times New Roman"/>
                  <w:sz w:val="18"/>
                  <w:szCs w:val="18"/>
                  <w:u w:val="single" w:color="auto"/>
                  <w:color w:val="0000FF"/>
                  <w:w w:val="96"/>
                </w:rPr>
                <w:t>102</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Note 10 — Equity</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3">
              <w:r>
                <w:rPr>
                  <w:rFonts w:ascii="Times New Roman" w:cs="Times New Roman" w:eastAsia="Times New Roman" w:hAnsi="Times New Roman"/>
                  <w:sz w:val="18"/>
                  <w:szCs w:val="18"/>
                  <w:u w:val="single" w:color="auto"/>
                  <w:color w:val="0000FF"/>
                  <w:w w:val="96"/>
                </w:rPr>
                <w:t>102</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Note 11 — Other Revenues and Other Expenses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5">
              <w:r>
                <w:rPr>
                  <w:rFonts w:ascii="Times New Roman" w:cs="Times New Roman" w:eastAsia="Times New Roman" w:hAnsi="Times New Roman"/>
                  <w:sz w:val="18"/>
                  <w:szCs w:val="18"/>
                  <w:u w:val="single" w:color="auto"/>
                  <w:color w:val="0000FF"/>
                  <w:w w:val="96"/>
                </w:rPr>
                <w:t>105</w:t>
              </w:r>
            </w:hyperlink>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Note 12 — Income Tax</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6">
              <w:r>
                <w:rPr>
                  <w:rFonts w:ascii="Times New Roman" w:cs="Times New Roman" w:eastAsia="Times New Roman" w:hAnsi="Times New Roman"/>
                  <w:sz w:val="18"/>
                  <w:szCs w:val="18"/>
                  <w:u w:val="single" w:color="auto"/>
                  <w:color w:val="0000FF"/>
                  <w:w w:val="96"/>
                </w:rPr>
                <w:t>105</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Note 13 — Contingencies, Commitments and Guarantees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8">
              <w:r>
                <w:rPr>
                  <w:rFonts w:ascii="Times New Roman" w:cs="Times New Roman" w:eastAsia="Times New Roman" w:hAnsi="Times New Roman"/>
                  <w:sz w:val="18"/>
                  <w:szCs w:val="18"/>
                  <w:u w:val="single" w:color="auto"/>
                  <w:color w:val="0000FF"/>
                  <w:w w:val="96"/>
                </w:rPr>
                <w:t>107</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Note 14 — Related Party Transactions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09">
              <w:r>
                <w:rPr>
                  <w:rFonts w:ascii="Times New Roman" w:cs="Times New Roman" w:eastAsia="Times New Roman" w:hAnsi="Times New Roman"/>
                  <w:sz w:val="18"/>
                  <w:szCs w:val="18"/>
                  <w:u w:val="single" w:color="auto"/>
                  <w:color w:val="0000FF"/>
                  <w:w w:val="96"/>
                </w:rPr>
                <w:t>109</w:t>
              </w:r>
            </w:hyperlink>
          </w:p>
        </w:tc>
      </w:tr>
      <w:tr>
        <w:trPr>
          <w:trHeight w:val="230"/>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 Schedules at December 31, 2020 and 2019 and for the Years Ended December 31, 2020, 2019 and 2018:</w:t>
            </w:r>
          </w:p>
        </w:tc>
        <w:tc>
          <w:tcPr>
            <w:tcW w:w="1460" w:type="dxa"/>
            <w:vAlign w:val="bottom"/>
          </w:tcPr>
          <w:p>
            <w:pPr>
              <w:spacing w:after="0"/>
              <w:rPr>
                <w:sz w:val="19"/>
                <w:szCs w:val="19"/>
                <w:color w:val="auto"/>
              </w:rPr>
            </w:pPr>
          </w:p>
        </w:tc>
      </w:tr>
      <w:tr>
        <w:trPr>
          <w:trHeight w:val="229"/>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Schedule I — Summary of Investments — Other Than Investments in Related Parties</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10">
              <w:r>
                <w:rPr>
                  <w:rFonts w:ascii="Times New Roman" w:cs="Times New Roman" w:eastAsia="Times New Roman" w:hAnsi="Times New Roman"/>
                  <w:sz w:val="18"/>
                  <w:szCs w:val="18"/>
                  <w:u w:val="single" w:color="auto"/>
                  <w:color w:val="0000FF"/>
                  <w:w w:val="96"/>
                </w:rPr>
                <w:t>110</w:t>
              </w:r>
            </w:hyperlink>
          </w:p>
        </w:tc>
      </w:tr>
      <w:tr>
        <w:trPr>
          <w:trHeight w:val="230"/>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11">
              <w:r>
                <w:rPr>
                  <w:rFonts w:ascii="Times New Roman" w:cs="Times New Roman" w:eastAsia="Times New Roman" w:hAnsi="Times New Roman"/>
                  <w:sz w:val="18"/>
                  <w:szCs w:val="18"/>
                  <w:u w:val="single" w:color="auto"/>
                  <w:color w:val="0000FF"/>
                </w:rPr>
                <w:t>Schedule III — Supplementary Insurance Information</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11">
              <w:r>
                <w:rPr>
                  <w:rFonts w:ascii="Times New Roman" w:cs="Times New Roman" w:eastAsia="Times New Roman" w:hAnsi="Times New Roman"/>
                  <w:sz w:val="18"/>
                  <w:szCs w:val="18"/>
                  <w:u w:val="single" w:color="auto"/>
                  <w:color w:val="0000FF"/>
                  <w:w w:val="96"/>
                </w:rPr>
                <w:t>111</w:t>
              </w:r>
            </w:hyperlink>
          </w:p>
        </w:tc>
      </w:tr>
      <w:tr>
        <w:trPr>
          <w:trHeight w:val="234"/>
        </w:trPr>
        <w:tc>
          <w:tcPr>
            <w:tcW w:w="9760" w:type="dxa"/>
            <w:vAlign w:val="bottom"/>
          </w:tcPr>
          <w:p>
            <w:pPr>
              <w:ind w:left="160"/>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Schedule IV — Reinsurance</w:t>
              </w:r>
            </w:hyperlink>
          </w:p>
        </w:tc>
        <w:tc>
          <w:tcPr>
            <w:tcW w:w="14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13">
              <w:r>
                <w:rPr>
                  <w:rFonts w:ascii="Times New Roman" w:cs="Times New Roman" w:eastAsia="Times New Roman" w:hAnsi="Times New Roman"/>
                  <w:sz w:val="18"/>
                  <w:szCs w:val="18"/>
                  <w:u w:val="single" w:color="auto"/>
                  <w:color w:val="0000FF"/>
                  <w:w w:val="96"/>
                </w:rPr>
                <w:t>113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Brighthouse Life Insurance Company of 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Brighthouse Life Insurance Company of NY (the “Company”) as of December 31, 2020 and 2019, and the related statements of operations, comprehensive income (loss), stockholder’s equity, and cash flows for each of the three years in the period ended December 31, 2020, and the related notes and the schedules listed in the Index to Financial Statements, Notes and Schedules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 – Refer to Notes 1 and 3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2020, the liability for future policy benefits totaled $825 million, and included benefits related to variable annuity contracts with guaranteed benefit riders. Management regularly reviews its assumptions supporting the estimates of these actuarial liabilities and differences between actual experience and the assumptions used in pricing the policies and guarantees may require a change to the assumptions recorded at inception as well as an adjustment to the related liabilities. Updating such assumptions can result in variability of profits or the recognition of losses.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future policy benefit obligation for these contracts is sensitive to changes in the assumptions related to general account and separate account investment returns, and policyholder behavior including mortality, benefit election and utilization, and withdrawals, auditing management’s selection of these assumptions involves an especially high degree of estimation.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updating of assumptions by management included the following, among others:</w:t>
      </w:r>
    </w:p>
    <w:p>
      <w:pPr>
        <w:spacing w:after="0" w:line="104"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assumption review process, including those over the selection of the significant assumptions used related to general account and separate account investment returns, and policyholder behavior including mortality, benefit election and utilization, and withdrawals.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used, developed an independent estimate of the future policy benefit liability, and compared our estimates to management’s estimates.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underlying data that served as the basis for the actuarial analysis, including experience studies, to test that the inputs to the actuarial estimate were reasonable.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significant assumptions used by management to identify potential bias.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significant assumptions used were consistent with evidence obtained in other areas of the audit.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 (DAC) – Refer to Notes 1 and 4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incurs and defers certain costs in connection with acquiring new and renewal insurance business. These deferred costs, amounting to $160 million as of December 31, 2020, are amortized over the expected life of the policy contract in proportion to actual and expected future gross profits, premiums or margins. For deferred annuity contracts, expected future gross profits utilized in the amortization calculation are derived using assumptions such as separate account and general account investment returns, mortality, in-force or persistency, benefit elections and utilization, and withdrawals. The assumptions used in the calculation of expected future gross profits are reviewed at least annually.</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significance of the estimates and uncertainty associated with the long-term assumptions utilized in the determination of expected future gross profits, auditing management’s determination of the appropriateness of the assumptions used in the calculation of DAC amortization involves an especially high degree of estimation.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determination of DAC amortization included the following, among others:</w:t>
      </w:r>
    </w:p>
    <w:p>
      <w:pPr>
        <w:spacing w:after="0" w:line="104"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related to the determination of expected future gross profits, including those over management’s review that the significant assumptions utilized related to separate account and general account investment returns, mortality, in-force or persistency, benefit elections and utilization, and withdrawals represented a reasonable estimate.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assistance from our actuarial specialists, we evaluated the data included in the estimate provided by the Company’s actuaries and the methodology utilized, and evaluated the process used by the Company to determine whether the significant assumptions used were reasonable estimates based on the Company’s own experience and industry studies.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the Company’s actuarial specialists whether there were any changes in the methodology utilized during the year in the determination of expected future gross profits.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supporting documentation underlying the Company’s experience studies and, utilizing our actuarial specialists, independently recalculated the amortization for a sample of policies, and compared our estimates to management’s estimates.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significant assumptions used by the Company were consistent with evidence obtained in other areas of the audit and to identify potential bias.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sufficiency of the Company’s disclosures related to DAC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Liabilities Related to Variable Annuity Guarantees – Refer to Notes 1, 7, and 8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sells index-linked annuities and variable annuity products with guaranteed minimum benefits, some of which are embedded derivatives that are required to be bifurcated from the host contract, separately accounted for, and measured at fair value. As of December 31, 2020, the fair value of the embedded derivative liability associated with certain of the Company’s annuity contracts was $407 million. Management utilizes various assumptions in order to measure the embedded liability including expectations concerning policyholder behavior, mortality and risk margins, as well as changes in the Company’s own nonperformance risk. These assumptions are reviewed at least annually by management, and if they change significantly, the estimated fair value is adjusted by a cumulative charge or credit to net income.</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embedded derivative liability is sensitive to changes in these assumptions, auditing management’s selection of these assumptions involves an especially high degree of estimation.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assumptions selected by management for the embedded derivative liability included the following, among others:</w:t>
      </w:r>
    </w:p>
    <w:p>
      <w:pPr>
        <w:spacing w:after="0" w:line="104"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embedded derivative liability, including those over the selection of the significant assumptions related to policyholder behavior, mortality, risk margins and the Company’s nonperformance risk.</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tested the completeness and accuracy of the underlying data and the mathematical accuracy of the Company’s valuation model.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assumptions by comparing those selected by management to those independently derived by our actuarial specialists, drawing upon standard actuarial and industry practice.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assumptions used by management to identify potential bias in the determination of the embedded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assumptions used were consistent with evidence obtained in other areas of the audit.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 and 2019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Fixed maturity securities available-for-sale, at estimated fair value (amortized cost: $3,460 and $2,897, respectively; allowance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credit losses of $0 and $0, respectively)</w:t>
            </w: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 (net of allowance for credit losses of $2 and $3, respectively)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4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 principally at estimated fair value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invested assets, principally at estimated fair value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investments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Payables for collateral under derivative transactions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payable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0" w:type="dxa"/>
            <w:vAlign w:val="bottom"/>
          </w:tcPr>
          <w:p>
            <w:pPr>
              <w:spacing w:after="0"/>
              <w:rPr>
                <w:sz w:val="1"/>
                <w:szCs w:val="1"/>
                <w:color w:val="auto"/>
              </w:rPr>
            </w:pPr>
          </w:p>
        </w:tc>
      </w:tr>
      <w:tr>
        <w:trPr>
          <w:trHeight w:val="19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Contingencies, Commitments and Guarantees (Note 13)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$10 per share; 200,000 shares authorized, issued and outstanding</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62"/>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7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0"/>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0"/>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62"/>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7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net of related offsets</w:t>
            </w:r>
          </w:p>
        </w:tc>
        <w:tc>
          <w:tcPr>
            <w:tcW w:w="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3"/>
        </w:trPr>
        <w:tc>
          <w:tcPr>
            <w:tcW w:w="7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before income tax</w:t>
            </w:r>
          </w:p>
        </w:tc>
        <w:tc>
          <w:tcPr>
            <w:tcW w:w="7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 (loss)</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7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0"/>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7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
        </w:trPr>
        <w:tc>
          <w:tcPr>
            <w:tcW w:w="7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98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980" w:type="dxa"/>
            <w:vAlign w:val="bottom"/>
            <w:tcBorders>
              <w:top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9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5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contribution</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to Brighthouse Life Insurance Company</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5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5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9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8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2019 and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premiums and accretion of discounts associated with investments,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losses on investments, net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 losses on derivatives,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accrued investment income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premiums, reinsurance and other receivables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deferred policy acquisition costs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income tax</w:t>
            </w: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assets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future policy benefits and other policy-related balances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maturities and repayments of:</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in connection with freestanding derivatives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freestanding derivatives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other invested assets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3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Withdrawals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payables for collateral under derivative transactions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issued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repaid</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contribution</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paid (received) for: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Income tax</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ectPr>
          <w:pgSz w:w="11900" w:h="16838" w:orient="portrait"/>
          <w:cols w:equalWidth="0" w:num="1">
            <w:col w:w="11240"/>
          </w:cols>
          <w:pgMar w:left="320" w:top="266" w:right="339" w:bottom="2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299"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“BHNY” and the “Company” refer to Brighthouse Life Insurance Company of NY, a New York domiciled life insurance company. Brighthouse Life Insurance Company of NY is a wholly-owned subsidiary of Brighthouse Life Insurance Company, which is an indirect wholly-owned subsidiary of Brighthouse Financial, Inc. (“BHF” together with its subsidiaries and affiliates, “Brighthouse Financial”). The Company is licensed to transact business in the state of New York.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markets or administers a range of annuity and life insurance products to individuals. The Company is organized into two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Annuities and Life. In addition, the Company reports certain of its results of operations in Corporate &amp; Other.</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2016, MetLife, Inc. (together with its subsidiaries and affiliates, “MetLife”) announced its plan to pursue the separation of a substantial portion of its former U.S. retail business (the “Separation”). In connection with the Separation, 80.8% of MetLife, Inc.’s interest in BHF was distributed to holders of MetLife, Inc.’s common stock. On June 14, 2018, MetLife, Inc. divested its remaining shares of BHF common stock (the “MetLife Divestiture”). As a result, MetLife, Inc. and its subsidiaries and affiliates are no longer considered related parties subsequent to the MetLife Divestiture.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years’ financial statements and related footnotes thereto have been reclassified to conform with the current year presentation as may be discussed when applicable in the Notes to the Financial Statements.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Future Policy Benefit Liabilities and Policyholder Account Balances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 establishes liabilities for future amounts payable under insurance policies. Insurance liabilities are generally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as appropriate to the respective product type.</w:t>
      </w:r>
    </w:p>
    <w:p>
      <w:pPr>
        <w:spacing w:after="0" w:line="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For traditional long-duration insurance contracts (term life insurance and income annuities), assumptions are determined at issuance of the policy and are not updated unless a premium deficiency exists. A premium deficiency exists when the liability for future policy benefits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To assess whether a premium deficiency exists, the Company groups insurance contracts based on the manner acquired, serviced and measured for profitability. In applying the profitability criteria, groupings are limited by segment.</w:t>
      </w:r>
    </w:p>
    <w:p>
      <w:pPr>
        <w:spacing w:after="0" w:line="7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is also required to reflect the effect of investment gains and losses in its premium deficiency testing. When a premium deficiency exists related to unrealized gains and losses, any reductions in deferred acquisition costs or increases in insurance liabilities are recorded to other comprehensive income (loss) (“OCI”).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Policyholder account balances relate to customer deposits on deferred annuity contracts and are equal to the sum of deposits, plus interest credited, less charges and withdrawals. The Company may also hold additional liabilities for certain guaranteed benefits related to these contracts.</w:t>
      </w:r>
    </w:p>
    <w:p>
      <w:pPr>
        <w:spacing w:after="0" w:line="54"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Company issues directly, certain variable annuity products with guaranteed minimum benefits that provide the policyholder a minimum return based on their initial deposit (i.e., the benefit base) less withdrawals. These guarantees are accounted for as insurance liabilities or as embedded derivatives depending on how and when the benefit is paid. Specifically, a guarantee is accounted for as an embedded derivative if a guarantee is paid without requiring (i) the occurrence of specific insurable event, or (ii) the policyholder to annuitize. Alternatively, a guarantee is accounted for as an insurance liability if the guarantee is paid only upon either (i) the occurrence of a specific insurable event, or (ii) annuitization. In certain cases, a guarantee may have elements of both an insurance liability and an embedded derivative and in such cases the guarantee is split and accounted for under both models.</w:t>
      </w:r>
    </w:p>
    <w:p>
      <w:pPr>
        <w:spacing w:after="0" w:line="81"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Guarantees accounted for as insurance liabilities in future policy benefits include guaranteed minimum death benefits (“GMDB”), the portion of guaranteed minimum income benefits (“GMIB”) that require annuitization, and the life-contingent portion of guaranteed minimum withdrawal benefits (“GMWB”).</w:t>
      </w:r>
    </w:p>
    <w:p>
      <w:pPr>
        <w:spacing w:after="0" w:line="68"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Guarantees accounted for as embedded derivatives in policyholder account balances include the non-life contingent portion of GMWBs, guaranteed minimum accumulation benefits (“GMAB”) and the portion of GMIBs that do not require annuitization. At inception, the Company attributes to the embedded derivative a portion of the projected future guarantee fees to be collected from the policyholder equal to the present value of projected future guaranteed benefits. Any additional fees represent “excess” fees and are reported in universal life and investment-type product policy fees.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Recognition of Insurance Revenues and Deposits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Premiums related to traditional life insurance and annuity contracts are recognized as revenues when due from policyholders. When premiums for income annuities are due over a significantly shorter period than the period over which policyholder benefits are incurred, any excess profit is deferred and recognized into earnings in proportion to the amount of expected future benefit payments.</w:t>
      </w:r>
    </w:p>
    <w:p>
      <w:pPr>
        <w:spacing w:after="0" w:line="68"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Deposits related to deferred annuities are credited to policyholder account balances. Revenues from such contracts consist of asset-based investment management fees, risk charges, policy administration fees and surrender charges. These fees, which are included in universal life and investment-type product policy fees, are recognized when assessed to the contract holder.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policy fees, policyholder benefits and expenses are presented net of reinsurance.</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Policy Acquisition Costs and Deferred Sales Inducements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incurs significant costs in connection with acquiring new and renewal insurance business. Costs that are related directly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72"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amortizes DAC related to term life insurance over the appropriate premium paying period in proportion to the actual and expected future gross premiums that were set at contract issue. The expected premiums are based upon the premium requirement of each policy and assumptions for mortality, persistency and investment returns at policy issuance, include provisions for adverse deviation, and are consistent with the assumptions used to calculate future policy benefit liabilities. These assumptions are not revised after policy issuance or acquisition unless the DAC balance is deemed to be unrecoverable from future expected profits.</w:t>
      </w:r>
    </w:p>
    <w:p>
      <w:pPr>
        <w:spacing w:after="0" w:line="75"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amortizes DAC on deferred annuities over the estimated lives of the contracts in proportion to actual and expected future gross profits. The amortization includes interest based on rates in effect at inception or acquisition of the contracts. The amount of future gross profits is dependent principally upon investment returns in excess of the amounts credited to policyholders, mortality, in-force or persistency, benefit elections and utilization, and withdrawals. When significant negative gross profits are expected in future periods, the Company substitutes the amount of insurance in-force for expected future gross profits as the amortization basis for DAC.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Assumptions for DAC are reviewed at least annually, and if they change significantly, the cumulative DAC amortization is re-estimated and adjusted by a cumulative charge or credit to net income. When expected future gross profits are below those previously estimated, the DAC amortization will increase, resulting in a current period charge to net income. The opposite result occurs when the expected future gross profits are above the previously estimated expected future gross profits.</w:t>
      </w:r>
    </w:p>
    <w:p>
      <w:pPr>
        <w:spacing w:after="0" w:line="72"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updates expected future gross profits to reflect the actual gross profits for each period, including changes to its nonperformance risk related to embedded derivatives and the actual amount of business remaining in-force. When actual gross profits exceed those previously estimated, the DAC amortization will increase, resulting in a current period charge to net income. The opposite result occurs when the actual gross profits are below the previously expected future gross profits.</w:t>
      </w:r>
    </w:p>
    <w:p>
      <w:pPr>
        <w:spacing w:after="0" w:line="72"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DAC balances on deferred annuities are also adjusted to reflect the effect of investment gains and losses and certain embedded derivatives (including changes in nonperformance risk). These adjustments can create fluctuations in net income from period to period. Changes in DAC balances related to unrealized gains and losses are recorded to OCI.</w:t>
      </w:r>
    </w:p>
    <w:p>
      <w:pPr>
        <w:spacing w:after="0" w:line="68"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DAC balances and amortization for variable annuities can be significantly impacted by changes in expected future gross profits related to projected separate account rates of return. The Company’s practice of determining changes in separate account returns assumes that long-term appreciation in equity markets is only changed when sustained interim deviations are expected. The Company monitors these events and only changes the assumption when its long-term expectation changes.</w:t>
      </w:r>
    </w:p>
    <w:p>
      <w:pPr>
        <w:spacing w:after="0" w:line="72"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is written off immediately as net income and any new acquisition costs associated with the replacement contract are deferred. If the modification does not substantially change the contract, the DAC amortization on the original contract will continue and any acquisition costs associated with the related modification are expensed.</w:t>
      </w:r>
    </w:p>
    <w:p>
      <w:pPr>
        <w:spacing w:after="0" w:line="75"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also has intangible assets representing deferred sales inducements (“DSI”) which are included in other assets. The Company defers sales inducements and amortizes them over the life of the policy using the same methodology and assumptions used to amortize DAC. The amortization of DSI is included in policyholder benefits and claims. Each year, or more frequently if circumstances indicate a possible impairment exists, the Company reviews DSI to determine whether the assets are impaired.</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reinsurance arrangements pursuant to which it cedes certain insurance risks to unaffiliated and related party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68"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68"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within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within other liabilities. The Company recognizes interest on funds withheld, included in other expenses, at rates defined by the terms of the agreement which may be contractually specified or directly related to the investment portfolio. Certain funds withheld arrangements may also contain embedded derivatives measured at fair value that are related to the investment return on the assets withheld.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cedes the risk associated with the variable annuities with guaranteed minimum benefits to Brighthouse Life Insurance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Certain features of the ceded guarantees are accounted for as an embedded derivative and measured at fair value.</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Index-linked Annuities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issues index-linked annuities. The crediting rate associated with index-linked annuities is accounted for at fair value as an embedded derivative.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In subsequent periods, the embedded derivative is remeasured at fair value while the reduction in initial deposit is accreted back up to the initial deposit over the estimated life of the contract.</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Income and Net Investment Gains (Losses)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Income from investments is reported within net investment income, unless otherwise stated herein. Gains and losses on sales of investments, impairment losses and changes in valuation allowances are reported within net investment gains (losses), unless otherwise stated herein.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Available-For-Sale</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Company’s fixed maturity securities are classified as available-for-sale and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7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7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regularly evaluates fixed maturity securities for declines in fair value to determine if a credit loss exists. This evaluation is based on management’s case by case evaluation of the underlying reasons for the decline in fair value including, but not limited to an analysis of the gross unrealized losses by severity and financial condition of the issuer.</w:t>
      </w:r>
    </w:p>
    <w:p>
      <w:pPr>
        <w:spacing w:after="0" w:line="6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spacing w:after="0" w:line="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68"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Mortgage Loans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Investments</w:t>
      </w:r>
    </w:p>
    <w:p>
      <w:pPr>
        <w:spacing w:after="0" w:line="119"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Other Invested Assets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Other invested assets consist principally of freestanding derivatives with positive estimated fair values which are described in “— Derivatives” below.</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6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If a derivative is not designated or did not qualify as an accounting hedge, changes in the estimated fair value of the derivative are reported in net derivative gains (losses).</w:t>
      </w:r>
    </w:p>
    <w:p>
      <w:pPr>
        <w:spacing w:after="0" w:line="54"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Hedge Accounting</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68"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9"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index-linked annuities that are directly written; and ceded reinsurance of variable annuity with guaranteed minimum benefits. Embedded derivatives within asset host contracts are presented within premiums, reinsurance and other receivables on the balance sheets. Embedded derivatives within liability host contracts are presented within policyholder account balances on the balance sheets. Changes in the estimated fair value of the embedded derivative are reported in net derivative gains (losses).</w:t>
      </w:r>
    </w:p>
    <w:p>
      <w:pPr>
        <w:spacing w:after="0" w:line="7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See “— Variable Annuity Guarantees,” “— Index-Linked Annuities” and “— Reinsurance” for additional information on the accounting policies for embedded derivatives bifurcated from variable annuity and reinsurance host contracts.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68"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Separate Accounts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within the same line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80" w:right="20" w:firstLine="324"/>
        <w:spacing w:after="0" w:line="266" w:lineRule="auto"/>
        <w:rPr>
          <w:sz w:val="20"/>
          <w:szCs w:val="20"/>
          <w:color w:val="auto"/>
        </w:rPr>
      </w:pPr>
      <w:r>
        <w:rPr>
          <w:rFonts w:ascii="Times New Roman" w:cs="Times New Roman" w:eastAsia="Times New Roman" w:hAnsi="Times New Roman"/>
          <w:sz w:val="18"/>
          <w:szCs w:val="18"/>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within the general account.</w:t>
      </w:r>
    </w:p>
    <w:p>
      <w:pPr>
        <w:spacing w:after="0" w:line="68" w:lineRule="exact"/>
        <w:rPr>
          <w:sz w:val="20"/>
          <w:szCs w:val="20"/>
          <w:color w:val="auto"/>
        </w:rPr>
      </w:pPr>
    </w:p>
    <w:p>
      <w:pPr>
        <w:jc w:val="both"/>
        <w:ind w:left="180"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asset-based distribution and service fees from mutual funds available to the annuity contract holders as investment options in its separate accounts. These fees are recognized in the period in which the related services are performed and are included in other revenues in the statement of operations.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Income taxes as presented herein attribute current and deferred income taxes of MetLife, Inc., for periods up until the Separation, to Brighthouse Financial in a manner that is systematic, rational and consistent with the asset and liability method prescribed by the Financial Accounting Standards Board (“FASB”) guidance Accounting Standards Codification 740 — Income Taxes (“ASC 740”). The Company’s income tax provision was prepared following the modified separate return method. The modified separate return method applies ASC 740 to the standalone financial statements of each member of the consolidated group as if the group member were a separate taxpayer and a standalone enterprise, after providing benefits for losses. The Company’s accounting for income taxes represents management’s best estimate of various events and transactions.</w:t>
      </w:r>
    </w:p>
    <w:p>
      <w:pPr>
        <w:spacing w:after="0" w:line="79"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68"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8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72"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72" w:lineRule="exact"/>
        <w:rPr>
          <w:sz w:val="20"/>
          <w:szCs w:val="20"/>
          <w:color w:val="auto"/>
        </w:rPr>
      </w:pPr>
    </w:p>
    <w:p>
      <w:pPr>
        <w:ind w:left="180" w:right="15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Company classifies interest recognized as interest expense and penalties recognized as a component of income tax expense. </w:t>
      </w:r>
      <w:r>
        <w:rPr>
          <w:rFonts w:ascii="Times New Roman" w:cs="Times New Roman" w:eastAsia="Times New Roman" w:hAnsi="Times New Roman"/>
          <w:sz w:val="18"/>
          <w:szCs w:val="18"/>
          <w:b w:val="1"/>
          <w:bCs w:val="1"/>
          <w:i w:val="1"/>
          <w:iCs w:val="1"/>
          <w:u w:val="single" w:color="auto"/>
          <w:color w:val="auto"/>
        </w:rPr>
        <w:t>Litigation Contingencies</w:t>
      </w:r>
    </w:p>
    <w:p>
      <w:pPr>
        <w:spacing w:after="0" w:line="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is a party to a number of legal actions and may be involved in a number of regulatory investigations. Given the inherent unpredictability of these matters, it is difficult to estimate the impact on the Company’s financial position. Liabilities are established when it is probable that a loss has been incurred and the amount of the loss can be reasonably estimated. Legal costs are recognized as incurred. On a quarterly and annual basis, the Company reviews relevant information with respect to liabilities for litigation, regulatory investigations and litigation-related contingencies to be reflected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Accounting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Benefit Plans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Brighthouse Services, LLC (“Brighthouse Services”), an affiliate, sponsors qualified and non-qualified defined contribution plans, and New England Life Insurance Company, an affiliate, sponsors certain frozen defined benefit pension and postretirement plans. Within its statement of operations, the Company has included expenses associated with its participants in these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to GAAP are established by the FASB in the form of accounting standards updates (“ASU”) to the FASB Accounting Standards Codification. The Company considers the applicability and impact of all ASUs. ASUs not listed were assessed and determined to be either not applicable or are not expected to have a material impact on the Company’s financial statements.</w:t>
      </w:r>
    </w:p>
    <w:p>
      <w:pPr>
        <w:spacing w:after="0" w:line="1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Effective January 1, 2020, using the modified retrospective method, the Company adopted ASU 2016-13, </w:t>
      </w:r>
      <w:r>
        <w:rPr>
          <w:rFonts w:ascii="Times New Roman" w:cs="Times New Roman" w:eastAsia="Times New Roman" w:hAnsi="Times New Roman"/>
          <w:sz w:val="18"/>
          <w:szCs w:val="18"/>
          <w:i w:val="1"/>
          <w:iCs w:val="1"/>
          <w:color w:val="auto"/>
        </w:rPr>
        <w:t>Financial Instruments-Credit Losses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326): Measurement of Credit Losses on Financial Instruments</w:t>
      </w:r>
      <w:r>
        <w:rPr>
          <w:rFonts w:ascii="Times New Roman" w:cs="Times New Roman" w:eastAsia="Times New Roman" w:hAnsi="Times New Roman"/>
          <w:sz w:val="18"/>
          <w:szCs w:val="18"/>
          <w:color w:val="auto"/>
        </w:rPr>
        <w:t>. The amendments to Topic 326 replace the incurred loss impairment methodology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with one that reflects expected credit losses based on historical loss information, current conditions, and reasonable and supportable forecasts. The new guidance also requires that an other-than-temporary impairment on a debt security will be recognized as an allowance going forward, such that improvements in expected future cash flows after an impairment will no longer be reflected as a prospective yield adjustment through net investment income, but rather a reversal of the previous impairment and recognized through realized investment gains and losses. The Company recorded an after tax net increase to retained earnings of less than $1 million for the cumulative effect of adoption. The adjustment included establishing or updating the allowance for credit losses on fixed maturity securities, mortgage loans, and other invested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New Accounting Pronouncements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new guidance on long-duration contracts (ASU 2018-12, </w:t>
      </w:r>
      <w:r>
        <w:rPr>
          <w:rFonts w:ascii="Times New Roman" w:cs="Times New Roman" w:eastAsia="Times New Roman" w:hAnsi="Times New Roman"/>
          <w:sz w:val="18"/>
          <w:szCs w:val="18"/>
          <w:i w:val="1"/>
          <w:iCs w:val="1"/>
          <w:color w:val="auto"/>
        </w:rPr>
        <w:t>Financial Services-Insurance (Topic 944):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Long-Duration Contracts</w:t>
      </w:r>
      <w:r>
        <w:rPr>
          <w:rFonts w:ascii="Times New Roman" w:cs="Times New Roman" w:eastAsia="Times New Roman" w:hAnsi="Times New Roman"/>
          <w:sz w:val="18"/>
          <w:szCs w:val="18"/>
          <w:color w:val="auto"/>
        </w:rPr>
        <w:t>). This new guidance is effective for fiscal years beginning after January 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Topic 944 will result in significant changes to the accounting for long-duration insurance contracts. These changes (i) require all guarantees that qualify as market risk benefits to be measured at fair value, (ii) require more frequent updating of assumptions and modify existing discount rate requirements for certain insurance liabilities, (iii) modify the methods of amortization for DAC, and (iv) require new qualitative and quantitative disclosures around insurance contract asset and liability balances and the judgments, assumptions and methods used to measure those balances. The market risk benefit guidance is required to be applied on a retrospective basis, while the changes to guidance for insurance liabilities and DAC may be applied to existing carrying amounts on the effective date or on a retrospective basis.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the new guidance and therefore is unable to estimate the impact on its financial statements. The most significant impact from the ASU is the requirement that all variable annuity guarantees will be considered market risk benefits and measured at fair value, whereas today a significant amount of variable annuity guarantees are classified as insurance liabilities.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two segments: Annuities and Life. In addition, the Company reports certain of its results of operations in Corporate &amp; 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Life segment consists of insurance products and services, mainly term life insurance, designed to address policyholders’ needs for financial security and protected wealth transfer, which may be provided on a tax-advantaged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expenses associated with certain legal proceedings and income tax audit issues. Corporate &amp; Other also includes term life insurance sold direct to consumers, which is no longer being offered for new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 and Segment Accounting Policies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highlighting the results of operations and the underlying profitability drivers of the business. Adjusted earnings should not be viewed as a substitute for net income (loss).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principally by excluding the impact of market volatility, which could distort trends.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GMIB fees (“GMIB Fees”).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700" w:hanging="368"/>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related to GMIBs (“GMIB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related to: (i) net investment gains (losses), (ii) net derivative gains (losses), (iii) GMIB Fees and GMIB Costs and (iv) Market Value Adjustments.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impact of the adjustments mentioned above is calculated net of the statutory tax rate, which could differ from the Company’s effective tax rate.</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financial statements, except for the adjustments to calculate adjusted earnings described above. In addition, segment accounting policies include the methods of capital allocation described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(“RBC”). Assets in excess of those allocated to the segments, if any, are held in Corporate &amp; Other. Segment net investment income reflects the performance of each segment’s respective invested assets.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results by segment, as well as Corporate &amp; Other,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 to net income (loss)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6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6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 to net income (loss)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63"/>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5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 to net income (loss)</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8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by segment, as well as Corporate &amp; Other,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0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 by segment, as well as Corporate &amp; Other, were as follows at: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w:t>
            </w:r>
          </w:p>
        </w:tc>
        <w:tc>
          <w:tcPr>
            <w:tcW w:w="0" w:type="dxa"/>
            <w:vAlign w:val="bottom"/>
          </w:tcPr>
          <w:p>
            <w:pPr>
              <w:spacing w:after="0"/>
              <w:rPr>
                <w:sz w:val="1"/>
                <w:szCs w:val="1"/>
                <w:color w:val="auto"/>
              </w:rPr>
            </w:pPr>
          </w:p>
        </w:tc>
      </w:tr>
      <w:tr>
        <w:trPr>
          <w:trHeight w:val="23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5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11,502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0" w:type="dxa"/>
            <w:vAlign w:val="bottom"/>
          </w:tcPr>
          <w:p>
            <w:pPr>
              <w:spacing w:after="0"/>
              <w:rPr>
                <w:sz w:val="1"/>
                <w:szCs w:val="1"/>
                <w:color w:val="auto"/>
              </w:rPr>
            </w:pPr>
          </w:p>
        </w:tc>
      </w:tr>
      <w:tr>
        <w:trPr>
          <w:trHeight w:val="27"/>
        </w:trPr>
        <w:tc>
          <w:tcPr>
            <w:tcW w:w="67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026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9"/>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10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Company’s premiums, universal life and investment-type product policy fees and other revenues originated in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years ended December 31, 2020, 2019 and 2018.</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Liabilities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Insurance liabilities, including affiliated insurance liabilities on reinsurance ceded, are comprised of future policy benefits, policyholder account balances and other policy-related balances. Information regarding insurance liabilities by segment, as well as Corporate &amp; Other, was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3,612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940" w:type="dxa"/>
            <w:vAlign w:val="bottom"/>
          </w:tcPr>
          <w:p>
            <w:pPr>
              <w:spacing w:after="0"/>
              <w:rPr>
                <w:sz w:val="20"/>
                <w:szCs w:val="20"/>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3,988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w:t>
            </w:r>
          </w:p>
        </w:tc>
      </w:tr>
      <w:tr>
        <w:trPr>
          <w:trHeight w:val="27"/>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for discussion of affiliated reinsurance liabilities included in the table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 for Future Policyholder Benefits and Policyholder Account Balances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term life insurance, assumptions for mortality and persistency are based upon the Company’s experience. Interest rate assumptions for the aggregate future policy benefit liabilities range from 3% to 5%. The liability for single premium immediate annuities is based on the present value of expected future payments using the Company’s experience for mortality assumptions, with interest rate assumptions used in establishing such liabilities ranging from 1% to 8%.</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Policyholder account balances liabilities for deferred annuities have interest credited rates ranging from 1% to 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issues variable annuity contracts with guaranteed minimum benefits. GMDBs, the life contingent portion of GMWBs and certain portions of GMIBs are accounted for as insurance liabilities in future policyholder benefits, while other guarantees are accounted for in whole or in part as embedded derivatives in policyholder account balances and are further discussed in Note 7. The most significant assumptions for variable annuity guarantees included in future policyholder benefits are projected general account and separate account investment returns, and policyholder behavior including mortality, benefit election and utilization, and withdrawals.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 for more information on guarantees accounted for as insurance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the liabilities for guarantees (excluding policyholder account balances and embedded derivatives) relating to variable annuity contracts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8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Variable Annuity Contracts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7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GMDBs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GMIBs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Ceded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60" w:type="dxa"/>
            <w:vAlign w:val="bottom"/>
            <w:tcBorders>
              <w:top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9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guaranteed benefits</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guaranteed benefits</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the Company’s guarantee exposure was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4"/>
          </w:tcPr>
          <w:p>
            <w:pPr>
              <w:jc w:val="right"/>
              <w:ind w:right="14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6"/>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58"/>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422"/>
              <w:spacing w:after="0" w:line="158" w:lineRule="exact"/>
              <w:rPr>
                <w:sz w:val="20"/>
                <w:szCs w:val="20"/>
                <w:color w:val="auto"/>
              </w:rPr>
            </w:pPr>
            <w:r>
              <w:rPr>
                <w:rFonts w:ascii="Times New Roman" w:cs="Times New Roman" w:eastAsia="Times New Roman" w:hAnsi="Times New Roman"/>
                <w:sz w:val="14"/>
                <w:szCs w:val="14"/>
                <w:b w:val="1"/>
                <w:bCs w:val="1"/>
                <w:color w:val="auto"/>
              </w:rPr>
              <w:t>In the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524"/>
              <w:spacing w:after="0" w:line="158" w:lineRule="exact"/>
              <w:rPr>
                <w:sz w:val="20"/>
                <w:szCs w:val="20"/>
                <w:color w:val="auto"/>
              </w:rPr>
            </w:pPr>
            <w:r>
              <w:rPr>
                <w:rFonts w:ascii="Times New Roman" w:cs="Times New Roman" w:eastAsia="Times New Roman" w:hAnsi="Times New Roman"/>
                <w:sz w:val="14"/>
                <w:szCs w:val="14"/>
                <w:b w:val="1"/>
                <w:bCs w:val="1"/>
                <w:color w:val="auto"/>
              </w:rPr>
              <w:t>At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783"/>
              <w:spacing w:after="0" w:line="158" w:lineRule="exact"/>
              <w:rPr>
                <w:sz w:val="20"/>
                <w:szCs w:val="20"/>
                <w:color w:val="auto"/>
              </w:rPr>
            </w:pPr>
            <w:r>
              <w:rPr>
                <w:rFonts w:ascii="Times New Roman" w:cs="Times New Roman" w:eastAsia="Times New Roman" w:hAnsi="Times New Roman"/>
                <w:sz w:val="14"/>
                <w:szCs w:val="14"/>
                <w:b w:val="1"/>
                <w:bCs w:val="1"/>
                <w:color w:val="auto"/>
              </w:rPr>
              <w:t>In the</w:t>
            </w:r>
          </w:p>
        </w:tc>
        <w:tc>
          <w:tcPr>
            <w:tcW w:w="200" w:type="dxa"/>
            <w:vAlign w:val="bottom"/>
          </w:tcPr>
          <w:p>
            <w:pPr>
              <w:spacing w:after="0"/>
              <w:rPr>
                <w:sz w:val="13"/>
                <w:szCs w:val="13"/>
                <w:color w:val="auto"/>
              </w:rPr>
            </w:pPr>
          </w:p>
        </w:tc>
        <w:tc>
          <w:tcPr>
            <w:tcW w:w="1160" w:type="dxa"/>
            <w:vAlign w:val="bottom"/>
          </w:tcPr>
          <w:p>
            <w:pPr>
              <w:jc w:val="right"/>
              <w:ind w:right="522"/>
              <w:spacing w:after="0" w:line="158" w:lineRule="exact"/>
              <w:rPr>
                <w:sz w:val="20"/>
                <w:szCs w:val="20"/>
                <w:color w:val="auto"/>
              </w:rPr>
            </w:pPr>
            <w:r>
              <w:rPr>
                <w:rFonts w:ascii="Times New Roman" w:cs="Times New Roman" w:eastAsia="Times New Roman" w:hAnsi="Times New Roman"/>
                <w:sz w:val="14"/>
                <w:szCs w:val="14"/>
                <w:b w:val="1"/>
                <w:bCs w:val="1"/>
                <w:color w:val="auto"/>
              </w:rPr>
              <w:t>At</w:t>
            </w:r>
          </w:p>
        </w:tc>
        <w:tc>
          <w:tcPr>
            <w:tcW w:w="400" w:type="dxa"/>
            <w:vAlign w:val="bottom"/>
          </w:tcPr>
          <w:p>
            <w:pPr>
              <w:spacing w:after="0"/>
              <w:rPr>
                <w:sz w:val="13"/>
                <w:szCs w:val="13"/>
                <w:color w:val="auto"/>
              </w:rPr>
            </w:pPr>
          </w:p>
        </w:tc>
      </w:t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Annuitization</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200" w:type="dxa"/>
            <w:vAlign w:val="bottom"/>
          </w:tcPr>
          <w:p>
            <w:pPr>
              <w:spacing w:after="0"/>
              <w:rPr>
                <w:sz w:val="16"/>
                <w:szCs w:val="16"/>
                <w:color w:val="auto"/>
              </w:rPr>
            </w:pPr>
          </w:p>
        </w:tc>
        <w:tc>
          <w:tcPr>
            <w:tcW w:w="11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Annuitization</w:t>
            </w:r>
          </w:p>
        </w:tc>
        <w:tc>
          <w:tcPr>
            <w:tcW w:w="4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86"/>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4"/>
          </w:tcPr>
          <w:p>
            <w:pPr>
              <w:jc w:val="right"/>
              <w:ind w:right="122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Annuity Contracts (1), (2)</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Variable Annuity Guarantees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5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4,971</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rPr>
              <w:t>4,683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3,742</w:t>
            </w:r>
          </w:p>
        </w:tc>
        <w:tc>
          <w:tcPr>
            <w:tcW w:w="400" w:type="dxa"/>
            <w:vAlign w:val="bottom"/>
            <w:shd w:val="clear" w:color="auto" w:fill="CCEEFF"/>
          </w:tcPr>
          <w:p>
            <w:pPr>
              <w:spacing w:after="0"/>
              <w:rPr>
                <w:sz w:val="21"/>
                <w:szCs w:val="21"/>
                <w:color w:val="auto"/>
              </w:rPr>
            </w:pP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4,962</w:t>
            </w:r>
          </w:p>
        </w:tc>
        <w:tc>
          <w:tcPr>
            <w:tcW w:w="3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363"/>
              <w:spacing w:after="0"/>
              <w:rPr>
                <w:sz w:val="20"/>
                <w:szCs w:val="20"/>
                <w:color w:val="auto"/>
              </w:rPr>
            </w:pPr>
            <w:r>
              <w:rPr>
                <w:rFonts w:ascii="Times New Roman" w:cs="Times New Roman" w:eastAsia="Times New Roman" w:hAnsi="Times New Roman"/>
                <w:sz w:val="16"/>
                <w:szCs w:val="16"/>
                <w:color w:val="auto"/>
              </w:rPr>
              <w:t>4,675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3,741</w:t>
            </w:r>
          </w:p>
        </w:tc>
        <w:tc>
          <w:tcPr>
            <w:tcW w:w="400" w:type="dxa"/>
            <w:vAlign w:val="bottom"/>
          </w:tcPr>
          <w:p>
            <w:pPr>
              <w:spacing w:after="0"/>
              <w:rPr>
                <w:sz w:val="20"/>
                <w:szCs w:val="20"/>
                <w:color w:val="auto"/>
              </w:rPr>
            </w:pPr>
          </w:p>
        </w:tc>
      </w:tr>
      <w:tr>
        <w:trPr>
          <w:trHeight w:val="25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6"/>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 (4)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(5)</w:t>
            </w:r>
          </w:p>
        </w:tc>
      </w:tr>
      <w:tr>
        <w:trPr>
          <w:trHeight w:val="22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attained age of contract holders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years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years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68 years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years</w:t>
            </w:r>
          </w:p>
        </w:tc>
        <w:tc>
          <w:tcPr>
            <w:tcW w:w="400" w:type="dxa"/>
            <w:vAlign w:val="bottom"/>
          </w:tcPr>
          <w:p>
            <w:pPr>
              <w:spacing w:after="0"/>
              <w:rPr>
                <w:sz w:val="19"/>
                <w:szCs w:val="19"/>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40" w:hanging="332"/>
        <w:spacing w:after="0" w:line="282"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annuity contracts with guarantees may offer more than one type of guarantee in each contract. Therefore, the amounts listed above may not be mutually exclusive.</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for a discussion of guaranteed minimum benefits which have been reinsured.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contract holder’s investments in the general account and separate account, if applicable.</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7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balances of contracts with guarantees were invested in separate account asset classes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 Groupings:</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Balanced</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9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3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Bond</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6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Deferred Policy Acquisition Costs and Deferred Sales Inducements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 for a description of capitalized acquisition costs.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DAC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175</w:t>
            </w:r>
          </w:p>
        </w:tc>
        <w:tc>
          <w:tcPr>
            <w:tcW w:w="10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w:t>
            </w:r>
          </w:p>
        </w:tc>
        <w:tc>
          <w:tcPr>
            <w:tcW w:w="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Capitalizations</w:t>
            </w: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related to net investment gains (losses) and net derivative gains (losses)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amortization</w:t>
            </w:r>
          </w:p>
        </w:tc>
        <w:tc>
          <w:tcPr>
            <w:tcW w:w="4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amortization</w:t>
            </w: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w:t>
            </w:r>
          </w:p>
        </w:tc>
        <w:tc>
          <w:tcPr>
            <w:tcW w:w="4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160</w:t>
            </w:r>
          </w:p>
        </w:tc>
        <w:tc>
          <w:tcPr>
            <w:tcW w:w="10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Information regarding total DAC by segment, was as follows at:</w:t>
            </w:r>
          </w:p>
        </w:tc>
        <w:tc>
          <w:tcPr>
            <w:tcW w:w="42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Information regarding DSI was as follows:</w:t>
            </w: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DSI:</w:t>
            </w: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18</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6.</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annuities, the Company currently reinsures to its parent, Brighthouse Life Insurance Company, 100% of certain variable annuity risks or 100% of the living and death benefit guarantees issued in connection with variable annuities. Under the benefit guarantee reinsurance agreements, the Company pays a reinsurance premium generally based on fees associated with the guarantees collected from policyholders, and receives reimbursement for benefits paid or accrued in excess of account values, subject to certain limitations.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its individual life insurance products, the Company has historically reinsured the mortality risk primarily on an excess of retention basis or on a quota share basis. The Company currently retains up to $100,000 per life and reinsures 100% of amounts in excess of the amount the Company retains. In addition to reinsuring mortality risk as described above, the Company reinsures other risks, as well as specific coverages. Placement of reinsurance is done primarily on an automatic basis and also on a facultative basis for risks with specified characteristics. The Company evaluates its reinsurance programs routinely and may increase or decrease its retention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Recoverables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reinsures its business through a diversified group of highly rated reinsurers. The Company analyzes recent trends in arbitration and litigation outcomes in disputes, if any, with its reinsurers and monitors ratings and the financial strength of its reinsurers. In addition, the reinsurance recoverable balances due from each reinsurer and the recoverability of such balance is evaluated as part of this overall monitoring process.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2020 and 2019, were not significant. The Company had $20 million and $23 million of unsecured reinsurance recoverable balances with third-parties at December 31, 2020 and 2019, respectively.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2020, the Company had $443 million of net ceded reinsurance recoverables with third-party reinsurers. Of this total, $439 million, or 99%, were with the Company’s five largest ceded reinsurers, including $17 million of net ceded reinsurance recoverables which were unsecured. At December 31, 2019, the Company had $454 million of net ceded reinsurance recoverables with third-parties. Of this total, $451 million, or 99%, were with the Company’s five largest ceded reinsurers, including $20 million of net ceded reinsurance recoverables which were unsecured.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amounts on the statements of operations include the impact of reinsurance. Information regarding the significant effects of reinsurance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6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Premiums</w:t>
            </w:r>
          </w:p>
        </w:tc>
        <w:tc>
          <w:tcPr>
            <w:tcW w:w="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premiums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premiums</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Universal life and investment-type product policy fees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universal life and investment-type product policy fees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universal life and investment-type product policy fees</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
        </w:trPr>
        <w:tc>
          <w:tcPr>
            <w:tcW w:w="7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revenues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other revenues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other revenues</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
        </w:trPr>
        <w:tc>
          <w:tcPr>
            <w:tcW w:w="7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Policyholder benefits and claims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policyholder benefits and claims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policyholder benefits and claims</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other expenses</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8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other expenses</w:t>
            </w: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7"/>
        </w:trPr>
        <w:tc>
          <w:tcPr>
            <w:tcW w:w="7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on the balance sheets include the impact of reinsurance. Information regarding the significant effects of reinsurance was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8"/>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center"/>
              <w:ind w:right="124"/>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0"/>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20" w:type="dxa"/>
            <w:vAlign w:val="bottom"/>
          </w:tcPr>
          <w:p>
            <w:pPr>
              <w:spacing w:after="0"/>
              <w:rPr>
                <w:sz w:val="16"/>
                <w:szCs w:val="16"/>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340" w:type="dxa"/>
            <w:vAlign w:val="bottom"/>
          </w:tcPr>
          <w:p>
            <w:pPr>
              <w:spacing w:after="0"/>
              <w:rPr>
                <w:sz w:val="16"/>
                <w:szCs w:val="16"/>
                <w:color w:val="auto"/>
              </w:rPr>
            </w:pPr>
          </w:p>
        </w:tc>
        <w:tc>
          <w:tcPr>
            <w:tcW w:w="8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300" w:type="dxa"/>
            <w:vAlign w:val="bottom"/>
          </w:tcPr>
          <w:p>
            <w:pPr>
              <w:spacing w:after="0"/>
              <w:rPr>
                <w:sz w:val="16"/>
                <w:szCs w:val="16"/>
                <w:color w:val="auto"/>
              </w:rPr>
            </w:pP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80" w:type="dxa"/>
            <w:vAlign w:val="bottom"/>
          </w:tcPr>
          <w:p>
            <w:pPr>
              <w:spacing w:after="0"/>
              <w:rPr>
                <w:sz w:val="16"/>
                <w:szCs w:val="16"/>
                <w:color w:val="auto"/>
              </w:rPr>
            </w:pPr>
          </w:p>
        </w:tc>
        <w:tc>
          <w:tcPr>
            <w:tcW w:w="9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Sheet</w:t>
            </w:r>
          </w:p>
        </w:tc>
      </w:tr>
      <w:tr>
        <w:trPr>
          <w:trHeight w:val="23"/>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1,199</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1,030</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5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792</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86</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826</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r>
    </w:tbl>
    <w:p>
      <w:pPr>
        <w:spacing w:after="0" w:line="16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Reinsurance agreements that do not expose the Company to a reasonable possibility of a significant loss from insurance risk are recorded using the deposit method of accounting. The deposit assets on reinsurance were $435 million and $444 million at December 31, 2020 and 2019, respectively. There were no deposit liabilities on reinsurance at both December 31, 2020 and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Reinsurance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reinsurance agreements with its parent, Brighthouse Life Insurance Company, and Metropolitan Life Insurance Company, all of which were related parties until the completion of the MetLife Divestiture.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the significant effects of related party reinsurance included on the statements of operations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8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Premiums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0"/>
                <w:szCs w:val="20"/>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6"/>
              </w:rPr>
              <w:t>(3)</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revenues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Policyholder benefits and claims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6"/>
              </w:rPr>
              <w:t>(7)</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98"/>
        </w:trPr>
        <w:tc>
          <w:tcPr>
            <w:tcW w:w="99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Information regarding the significant effects of ceded related party reinsurance included on the balance sheets was as follows at: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6"/>
        </w:trPr>
        <w:tc>
          <w:tcPr>
            <w:tcW w:w="8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24"/>
                <w:szCs w:val="24"/>
                <w:color w:val="auto"/>
              </w:rPr>
            </w:pP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40" w:type="dxa"/>
            <w:vAlign w:val="bottom"/>
          </w:tcPr>
          <w:p>
            <w:pPr>
              <w:spacing w:after="0"/>
              <w:rPr>
                <w:sz w:val="20"/>
                <w:szCs w:val="20"/>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749</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5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9"/>
                <w:szCs w:val="19"/>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362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r>
    </w:tbl>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cedes risks to Brighthouse Life Insurance Company related to guaranteed minimum benefit guarantees written directly by the Company. These ceded reinsurance agreements contain embedded derivatives and changes in their estimated fair value are included within net derivative gains (losses). The embedded derivatives associated with the cessions are included within premiums, reinsurance and other receivables and were $477 million and $338 million at December 31, 2020 and 2019, respectively. Net derivative gains (losses) associated with the embedded derivatives were $138 million, $38 million and ($12) million for the years ended December 31, 2020, 2019 and 2018,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secured certain reinsurance recoverable balances with various forms of collateral, including secured trusts. The Company had no unsecured related party reinsurance recoverable balances at both December 31, 2020 and 2019.</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reinsurance agreements that do not expose the Company to a reasonable possibility of a significant loss from insurance risk are recorded using the deposit method of accounting. The deposit assets on related party reinsurance were $5 million and $4 million at December 31, 2020 and 2019, respectively. There were no deposit liabilities on related party reinsurance at both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8 for information about the fair value hierarchy for investments and the related valuation methodologies. In connection with the adoption of new guidance related to the credit losses (see Note 1), effective January 1, 2020, the Company updated its accounting policies on certain investments. Any accounting policy updates required by the new guidance are described in this footnote.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Allowance for</w:t>
            </w:r>
          </w:p>
        </w:tc>
        <w:tc>
          <w:tcPr>
            <w:tcW w:w="120" w:type="dxa"/>
            <w:vAlign w:val="bottom"/>
          </w:tcPr>
          <w:p>
            <w:pPr>
              <w:spacing w:after="0"/>
              <w:rPr>
                <w:sz w:val="14"/>
                <w:szCs w:val="14"/>
                <w:color w:val="auto"/>
              </w:rPr>
            </w:pPr>
          </w:p>
        </w:tc>
        <w:tc>
          <w:tcPr>
            <w:tcW w:w="13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Pr>
          <w:p>
            <w:pPr>
              <w:spacing w:after="0"/>
              <w:rPr>
                <w:sz w:val="14"/>
                <w:szCs w:val="14"/>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000" w:type="dxa"/>
            <w:vAlign w:val="bottom"/>
            <w:gridSpan w:val="3"/>
            <w:vMerge w:val="restart"/>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Allowance for</w:t>
            </w:r>
          </w:p>
        </w:tc>
        <w:tc>
          <w:tcPr>
            <w:tcW w:w="12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20" w:type="dxa"/>
            <w:vAlign w:val="bottom"/>
          </w:tcPr>
          <w:p>
            <w:pPr>
              <w:spacing w:after="0"/>
              <w:rPr>
                <w:sz w:val="8"/>
                <w:szCs w:val="8"/>
                <w:color w:val="auto"/>
              </w:rPr>
            </w:pPr>
          </w:p>
        </w:tc>
        <w:tc>
          <w:tcPr>
            <w:tcW w:w="920" w:type="dxa"/>
            <w:vAlign w:val="bottom"/>
            <w:gridSpan w:val="2"/>
            <w:vMerge w:val="restart"/>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80" w:type="dxa"/>
            <w:vAlign w:val="bottom"/>
          </w:tcPr>
          <w:p>
            <w:pPr>
              <w:spacing w:after="0"/>
              <w:rPr>
                <w:sz w:val="8"/>
                <w:szCs w:val="8"/>
                <w:color w:val="auto"/>
              </w:rPr>
            </w:pPr>
          </w:p>
        </w:tc>
        <w:tc>
          <w:tcPr>
            <w:tcW w:w="920" w:type="dxa"/>
            <w:vAlign w:val="bottom"/>
            <w:gridSpan w:val="2"/>
            <w:vMerge w:val="restart"/>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Credit Losses</w:t>
            </w:r>
          </w:p>
        </w:tc>
        <w:tc>
          <w:tcPr>
            <w:tcW w:w="12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center"/>
              <w:ind w:right="71"/>
              <w:spacing w:after="0" w:line="109"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80" w:type="dxa"/>
            <w:vAlign w:val="bottom"/>
          </w:tcPr>
          <w:p>
            <w:pPr>
              <w:spacing w:after="0"/>
              <w:rPr>
                <w:sz w:val="14"/>
                <w:szCs w:val="14"/>
                <w:color w:val="auto"/>
              </w:rPr>
            </w:pPr>
          </w:p>
        </w:tc>
        <w:tc>
          <w:tcPr>
            <w:tcW w:w="8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40" w:type="dxa"/>
            <w:vAlign w:val="bottom"/>
          </w:tcPr>
          <w:p>
            <w:pPr>
              <w:spacing w:after="0"/>
              <w:rPr>
                <w:sz w:val="14"/>
                <w:szCs w:val="14"/>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2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$2 million at December 31, 2020. The Company did not hold any non-income producing fixed maturity securities at December 31, 2019.</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Due After One</w:t>
            </w:r>
          </w:p>
        </w:tc>
        <w:tc>
          <w:tcPr>
            <w:tcW w:w="220" w:type="dxa"/>
            <w:vAlign w:val="bottom"/>
          </w:tcPr>
          <w:p>
            <w:pPr>
              <w:spacing w:after="0"/>
              <w:rPr>
                <w:sz w:val="14"/>
                <w:szCs w:val="14"/>
                <w:color w:val="auto"/>
              </w:rPr>
            </w:pPr>
          </w:p>
        </w:tc>
        <w:tc>
          <w:tcPr>
            <w:tcW w:w="116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62"/>
        </w:trPr>
        <w:tc>
          <w:tcPr>
            <w:tcW w:w="3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Due in One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Year Through</w:t>
            </w:r>
          </w:p>
        </w:tc>
        <w:tc>
          <w:tcPr>
            <w:tcW w:w="220" w:type="dxa"/>
            <w:vAlign w:val="bottom"/>
          </w:tcPr>
          <w:p>
            <w:pPr>
              <w:spacing w:after="0"/>
              <w:rPr>
                <w:sz w:val="14"/>
                <w:szCs w:val="14"/>
                <w:color w:val="auto"/>
              </w:rPr>
            </w:pPr>
          </w:p>
        </w:tc>
        <w:tc>
          <w:tcPr>
            <w:tcW w:w="11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Through Ten</w:t>
            </w:r>
          </w:p>
        </w:tc>
        <w:tc>
          <w:tcPr>
            <w:tcW w:w="200" w:type="dxa"/>
            <w:vAlign w:val="bottom"/>
          </w:tcPr>
          <w:p>
            <w:pPr>
              <w:spacing w:after="0"/>
              <w:rPr>
                <w:sz w:val="14"/>
                <w:szCs w:val="14"/>
                <w:color w:val="auto"/>
              </w:rPr>
            </w:pPr>
          </w:p>
        </w:tc>
        <w:tc>
          <w:tcPr>
            <w:tcW w:w="11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260" w:type="dxa"/>
            <w:vAlign w:val="bottom"/>
          </w:tcPr>
          <w:p>
            <w:pPr>
              <w:spacing w:after="0"/>
              <w:rPr>
                <w:sz w:val="14"/>
                <w:szCs w:val="14"/>
                <w:color w:val="auto"/>
              </w:rPr>
            </w:pPr>
          </w:p>
        </w:tc>
        <w:tc>
          <w:tcPr>
            <w:tcW w:w="112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08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Maturity</w:t>
            </w:r>
          </w:p>
        </w:tc>
      </w:tr>
      <w:tr>
        <w:trPr>
          <w:trHeight w:val="190"/>
        </w:trPr>
        <w:tc>
          <w:tcPr>
            <w:tcW w:w="3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or Less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20" w:type="dxa"/>
            <w:vAlign w:val="bottom"/>
          </w:tcPr>
          <w:p>
            <w:pPr>
              <w:spacing w:after="0"/>
              <w:rPr>
                <w:sz w:val="16"/>
                <w:szCs w:val="16"/>
                <w:color w:val="auto"/>
              </w:rPr>
            </w:pPr>
          </w:p>
        </w:tc>
        <w:tc>
          <w:tcPr>
            <w:tcW w:w="11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0" w:type="dxa"/>
            <w:vAlign w:val="bottom"/>
          </w:tcPr>
          <w:p>
            <w:pPr>
              <w:spacing w:after="0"/>
              <w:rPr>
                <w:sz w:val="16"/>
                <w:szCs w:val="16"/>
                <w:color w:val="auto"/>
              </w:rPr>
            </w:pPr>
          </w:p>
        </w:tc>
        <w:tc>
          <w:tcPr>
            <w:tcW w:w="11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12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6"/>
                <w:szCs w:val="16"/>
                <w:color w:val="auto"/>
              </w:rPr>
            </w:pPr>
          </w:p>
        </w:tc>
        <w:tc>
          <w:tcPr>
            <w:tcW w:w="10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3"/>
        </w:trPr>
        <w:tc>
          <w:tcPr>
            <w:tcW w:w="3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7"/>
              </w:rPr>
              <w:t>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r>
      <w:tr>
        <w:trPr>
          <w:trHeight w:val="22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1,217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1,108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920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r>
    </w:tbl>
    <w:p>
      <w:pPr>
        <w:spacing w:after="0" w:line="163"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20" w:type="dxa"/>
            <w:vAlign w:val="bottom"/>
          </w:tcPr>
          <w:p>
            <w:pPr>
              <w:spacing w:after="0"/>
              <w:rPr>
                <w:sz w:val="14"/>
                <w:szCs w:val="14"/>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12 Months or Greater</w:t>
            </w:r>
          </w:p>
        </w:tc>
        <w:tc>
          <w:tcPr>
            <w:tcW w:w="140" w:type="dxa"/>
            <w:vAlign w:val="bottom"/>
          </w:tcPr>
          <w:p>
            <w:pPr>
              <w:spacing w:after="0"/>
              <w:rPr>
                <w:sz w:val="14"/>
                <w:szCs w:val="1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40" w:type="dxa"/>
            <w:vAlign w:val="bottom"/>
          </w:tcPr>
          <w:p>
            <w:pPr>
              <w:spacing w:after="0"/>
              <w:rPr>
                <w:sz w:val="14"/>
                <w:szCs w:val="14"/>
                <w:color w:val="auto"/>
              </w:rPr>
            </w:pPr>
          </w:p>
        </w:tc>
        <w:tc>
          <w:tcPr>
            <w:tcW w:w="1840" w:type="dxa"/>
            <w:vAlign w:val="bottom"/>
            <w:gridSpan w:val="4"/>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12 Months or Greater</w:t>
            </w: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2"/>
                <w:szCs w:val="12"/>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140" w:type="dxa"/>
            <w:vAlign w:val="bottom"/>
          </w:tcPr>
          <w:p>
            <w:pPr>
              <w:spacing w:after="0"/>
              <w:rPr>
                <w:sz w:val="12"/>
                <w:szCs w:val="12"/>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40" w:type="dxa"/>
            <w:vAlign w:val="bottom"/>
          </w:tcPr>
          <w:p>
            <w:pPr>
              <w:spacing w:after="0"/>
              <w:rPr>
                <w:sz w:val="12"/>
                <w:szCs w:val="12"/>
                <w:color w:val="auto"/>
              </w:rPr>
            </w:pPr>
          </w:p>
        </w:tc>
        <w:tc>
          <w:tcPr>
            <w:tcW w:w="78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2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2"/>
                <w:szCs w:val="12"/>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2"/>
                <w:szCs w:val="12"/>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0" w:type="dxa"/>
            <w:vAlign w:val="bottom"/>
          </w:tcPr>
          <w:p>
            <w:pPr>
              <w:spacing w:after="0"/>
              <w:rPr>
                <w:sz w:val="1"/>
                <w:szCs w:val="1"/>
                <w:color w:val="auto"/>
              </w:rPr>
            </w:pPr>
          </w:p>
        </w:tc>
      </w:tr>
      <w:tr>
        <w:trPr>
          <w:trHeight w:val="166"/>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20" w:type="dxa"/>
            <w:vAlign w:val="bottom"/>
          </w:tcPr>
          <w:p>
            <w:pPr>
              <w:spacing w:after="0"/>
              <w:rPr>
                <w:sz w:val="14"/>
                <w:szCs w:val="14"/>
                <w:color w:val="auto"/>
              </w:rPr>
            </w:pPr>
          </w:p>
        </w:tc>
        <w:tc>
          <w:tcPr>
            <w:tcW w:w="7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40" w:type="dxa"/>
            <w:vAlign w:val="bottom"/>
          </w:tcPr>
          <w:p>
            <w:pPr>
              <w:spacing w:after="0"/>
              <w:rPr>
                <w:sz w:val="14"/>
                <w:szCs w:val="14"/>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40" w:type="dxa"/>
            <w:vAlign w:val="bottom"/>
          </w:tcPr>
          <w:p>
            <w:pPr>
              <w:spacing w:after="0"/>
              <w:rPr>
                <w:sz w:val="14"/>
                <w:szCs w:val="14"/>
                <w:color w:val="auto"/>
              </w:rPr>
            </w:pPr>
          </w:p>
        </w:tc>
        <w:tc>
          <w:tcPr>
            <w:tcW w:w="78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position</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9"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7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68"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6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$24 million at December 31, 2020 and is included in accrued investment income.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no allowance for credit losses on fixed maturity securities at December 31, 2020. Management concluded that for all other fixed maturity securities in an unrealized loss position, the unrealized loss was not due to issuer 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non-issuer-specific credit spreads. These issuers continued to make timely principal and interest payments and the estimated fair value is expected to recover as the securities approach maturity.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8"/>
        </w:trPr>
        <w:tc>
          <w:tcPr>
            <w:tcW w:w="556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2"/>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0"/>
        </w:trPr>
        <w:tc>
          <w:tcPr>
            <w:tcW w:w="55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71.2 %</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73.1 %</w:t>
            </w:r>
          </w:p>
        </w:tc>
      </w:tr>
      <w:tr>
        <w:trPr>
          <w:trHeight w:val="23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27.3</w:t>
            </w:r>
          </w:p>
        </w:tc>
      </w:tr>
      <w:tr>
        <w:trPr>
          <w:trHeight w:val="24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100.4</w:t>
            </w:r>
          </w:p>
        </w:tc>
      </w:tr>
      <w:tr>
        <w:trPr>
          <w:trHeight w:val="23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(0.4)</w:t>
            </w:r>
          </w:p>
        </w:tc>
      </w:tr>
      <w:tr>
        <w:trPr>
          <w:trHeight w:val="261"/>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 net</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9"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68"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worldwide pandemic sparked by the novel coronavirus (“COVID-19 pandemic”), interest continues to be accrued during the deferral period if the loan was less than 30 days past due at December 31, 2019 and performing at the onset of the pandemic. Accrued interest on COVID-19 pandemic impacted loans was not significant at December 31, 2020. The accrued interest receivable on mortgage loans is included in accrued investment income and totaled $4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72"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Mortgage loans are evaluated in both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77" w:lineRule="exact"/>
        <w:rPr>
          <w:sz w:val="20"/>
          <w:szCs w:val="20"/>
          <w:color w:val="auto"/>
        </w:rPr>
      </w:pPr>
    </w:p>
    <w:p>
      <w:pPr>
        <w:jc w:val="right"/>
        <w:ind w:left="340" w:right="4440"/>
        <w:spacing w:after="0" w:line="447"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0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761"/>
              <w:spacing w:after="0"/>
              <w:rPr>
                <w:sz w:val="20"/>
                <w:szCs w:val="20"/>
                <w:color w:val="auto"/>
              </w:rPr>
            </w:pPr>
            <w:r>
              <w:rPr>
                <w:rFonts w:ascii="Times New Roman" w:cs="Times New Roman" w:eastAsia="Times New Roman" w:hAnsi="Times New Roman"/>
                <w:sz w:val="16"/>
                <w:szCs w:val="16"/>
                <w:color w:val="auto"/>
                <w:w w:val="99"/>
              </w:rPr>
              <w:t>3</w:t>
            </w:r>
          </w:p>
        </w:tc>
      </w:tr>
      <w:tr>
        <w:trPr>
          <w:trHeight w:val="23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effect of change in accounting principle</w:t>
            </w:r>
          </w:p>
        </w:tc>
        <w:tc>
          <w:tcPr>
            <w:tcW w:w="108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tcPr>
          <w:p>
            <w:pPr>
              <w:jc w:val="center"/>
              <w:ind w:left="721"/>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2020</w:t>
            </w:r>
          </w:p>
        </w:tc>
        <w:tc>
          <w:tcPr>
            <w:tcW w:w="10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center"/>
              <w:ind w:left="761"/>
              <w:spacing w:after="0"/>
              <w:rPr>
                <w:sz w:val="20"/>
                <w:szCs w:val="20"/>
                <w:color w:val="auto"/>
              </w:rPr>
            </w:pPr>
            <w:r>
              <w:rPr>
                <w:rFonts w:ascii="Times New Roman" w:cs="Times New Roman" w:eastAsia="Times New Roman" w:hAnsi="Times New Roman"/>
                <w:sz w:val="16"/>
                <w:szCs w:val="16"/>
                <w:color w:val="auto"/>
                <w:w w:val="99"/>
              </w:rPr>
              <w:t>2</w:t>
            </w:r>
          </w:p>
        </w:tc>
      </w:tr>
      <w:tr>
        <w:trPr>
          <w:trHeight w:val="23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8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761"/>
              <w:spacing w:after="0"/>
              <w:rPr>
                <w:sz w:val="20"/>
                <w:szCs w:val="20"/>
                <w:color w:val="auto"/>
              </w:rPr>
            </w:pPr>
            <w:r>
              <w:rPr>
                <w:rFonts w:ascii="Times New Roman" w:cs="Times New Roman" w:eastAsia="Times New Roman" w:hAnsi="Times New Roman"/>
                <w:sz w:val="16"/>
                <w:szCs w:val="16"/>
                <w:color w:val="auto"/>
                <w:w w:val="99"/>
              </w:rPr>
              <w:t>2</w:t>
            </w:r>
          </w:p>
        </w:tc>
      </w:tr>
      <w:tr>
        <w:trPr>
          <w:trHeight w:val="27"/>
        </w:trPr>
        <w:tc>
          <w:tcPr>
            <w:tcW w:w="7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3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7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7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80%</w:t>
            </w:r>
          </w:p>
        </w:tc>
        <w:tc>
          <w:tcPr>
            <w:tcW w:w="7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0"/>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7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7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3"/>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7"/>
        </w:trPr>
        <w:tc>
          <w:tcPr>
            <w:tcW w:w="3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4"/>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3"/>
          </w:tcPr>
          <w:p>
            <w:pPr>
              <w:jc w:val="right"/>
              <w:ind w:right="110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right="62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980" w:type="dxa"/>
            <w:vAlign w:val="bottom"/>
          </w:tcPr>
          <w:p>
            <w:pPr>
              <w:jc w:val="right"/>
              <w:ind w:right="143"/>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445"/>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service coverage ratios: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98.0 %</w:t>
            </w:r>
          </w:p>
        </w:tc>
      </w:tr>
      <w:tr>
        <w:trPr>
          <w:trHeight w:val="25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7"/>
        </w:trPr>
        <w:tc>
          <w:tcPr>
            <w:tcW w:w="58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has a high-quality, well performing mortgage loan portfolio, with all mortgage loans classified as performing at both December 31, 2020 and 2019 . Delinquency is defined consistent with industry practice, when mortgage loans are past due as follows: commercial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December 31, 2020, the Company did not have any COVID-19 pandemic modified loans in delinquent status.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mortgage loans past due at December 31, 2020.</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 and in the process of foreclosure.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December 31, 2020, the Company did not have any COVID-19 pandemic modified loans in nonaccrual status.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mortgage loans in a nonaccrual status at either December 31, 2020 or 2019.</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any mortgage loans modified in a troubled debt restructuring during the year ended December 31, 2020.</w:t>
      </w:r>
    </w:p>
    <w:p>
      <w:pPr>
        <w:spacing w:after="0" w:line="75"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Short-term modifications made on a good faith basis to borrowers who were not more than 30 days past due at December 31, 2019 and in response to the COVID-19 pandemic are not considered TDRs.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DAC, DSI and future policy benefits, that would result from the realization of the unrealized gains (losses), are included in net unrealized investment gains (losses) in accumulated other comprehensive income (loss) (“AOCI”).</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DAC and DSI</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122</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year</w:t>
            </w:r>
          </w:p>
        </w:tc>
        <w:tc>
          <w:tcPr>
            <w:tcW w:w="102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0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cente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DAC and DSI</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7"/>
              </w:rPr>
              <w:t>(19)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w w:val="97"/>
              </w:rPr>
              <w:t>(36)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40" w:type="dxa"/>
            <w:vAlign w:val="bottom"/>
            <w:vMerge w:val="continue"/>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136</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December 31, 2020 and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and Pledged as Collateral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Invested assets on deposit and pledged as collateral at estimated fair value were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r>
      <w:tr>
        <w:trPr>
          <w:trHeight w:val="23"/>
        </w:trPr>
        <w:tc>
          <w:tcPr>
            <w:tcW w:w="8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60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
        </w:trPr>
        <w:tc>
          <w:tcPr>
            <w:tcW w:w="8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r>
      <w:tr>
        <w:trPr>
          <w:trHeight w:val="24"/>
        </w:trPr>
        <w:tc>
          <w:tcPr>
            <w:tcW w:w="8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(1)</w:t>
            </w: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invested assets on deposit and pledged as collateral (2)</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derivative transactions (see Note 7).</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hold any restricted cash and cash equivalents at either December 31, 2020 or 2019.</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has invested in legal entities that are variable interest entities (“VIE”). VIEs are consolidated when the investor is the primary beneficiary. A primary beneficiary is the variable interest holder in a VIE with both the power to (i) direct the activities of the VIE that most significantly impact the economic performance of the VIE and (ii) the obligation to absorb losses or the right to receive benefits that could potentially be significant to the VIE.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December 31, 2020 or 2019.</w:t>
      </w:r>
    </w:p>
    <w:p>
      <w:pPr>
        <w:spacing w:after="0" w:line="117"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8"/>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center"/>
              <w:ind w:right="166"/>
              <w:spacing w:after="0" w:line="158"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62"/>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08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rPr>
              <w:t>Exposure</w:t>
            </w:r>
          </w:p>
        </w:tc>
      </w:t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108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8"/>
              </w:rPr>
              <w:t>to Loss</w:t>
            </w:r>
          </w:p>
        </w:tc>
      </w:tr>
      <w:tr>
        <w:trPr>
          <w:trHeight w:val="23"/>
        </w:trPr>
        <w:tc>
          <w:tcPr>
            <w:tcW w:w="5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301</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394</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bl>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21"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7"/>
        </w:trPr>
        <w:tc>
          <w:tcPr>
            <w:tcW w:w="664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 Related Party Investment Transactions” for discussion of related party investment expenses.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(5)</w:t>
            </w: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(7)</w:t>
            </w:r>
          </w:p>
        </w:tc>
      </w:tr>
      <w:tr>
        <w:trPr>
          <w:trHeight w:val="27"/>
        </w:trPr>
        <w:tc>
          <w:tcPr>
            <w:tcW w:w="664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40" w:type="dxa"/>
            <w:vAlign w:val="bottom"/>
            <w:vMerge w:val="continue"/>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Investment Transactions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reported as related party activity occurred prior to the MetLife Divestiture (see Note 1).</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investment administrative services from MetLife Investment Management, LLC (formerly known as MetLife Investment Advisors, LLC), which was considered a related party investment manager until the completion of the MetLife Divestiture. The related investment administrative service charges were $2 million for the year ended December 31,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for a description of the Company’s accounting policies for derivatives and Note 8 for information about the fair value hierarchy for derivatives.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Strategies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including interest rate, foreign currency exchange rate and equity market.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and/or financial indices. Derivatives may be exchange-traded or contracted in the over-the-counter (“OTC”) market. The Company’s OTC derivatives are settled bilateral contracts between two counterparties (“OTC-bilateral”).</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Derivatives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Interest rate caps: The Company uses interest rate caps to protect against interest rate exposure arising from mismatches between assets and liabilities. Interest rate caps are used in non-qualifying hedging relationships.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 Derivatives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Derivatives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Equity index options: The Company uses equity index options to hedge index-linked annuity products against adverse changes in equity markets.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index options are used in non-qualifying hedging relationships.</w:t>
      </w:r>
    </w:p>
    <w:p>
      <w:pPr>
        <w:spacing w:after="0" w:line="99"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Equity total return swaps: The Company uses equity total return swaps to hedge index-linked annuity products against adverse changes in equity markets. Equity total return swaps are used in non-qualifying hedging relationships.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held were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56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17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65"/>
        </w:trPr>
        <w:tc>
          <w:tcPr>
            <w:tcW w:w="2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60" w:type="dxa"/>
            <w:vAlign w:val="bottom"/>
          </w:tcPr>
          <w:p>
            <w:pPr>
              <w:spacing w:after="0"/>
              <w:rPr>
                <w:sz w:val="4"/>
                <w:szCs w:val="4"/>
                <w:color w:val="auto"/>
              </w:rPr>
            </w:pPr>
          </w:p>
        </w:tc>
        <w:tc>
          <w:tcPr>
            <w:tcW w:w="2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Primary Underlying Risk Exposure</w:t>
            </w: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60" w:type="dxa"/>
            <w:vAlign w:val="bottom"/>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qualifying hedges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 Instruments: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caps</w:t>
            </w: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rate</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index options</w:t>
            </w:r>
          </w:p>
        </w:tc>
        <w:tc>
          <w:tcPr>
            <w:tcW w:w="2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 market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total return swaps</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market</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 non-designated or non-qualifying derivatives</w:t>
            </w: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Embedded derivatives:</w:t>
            </w:r>
          </w:p>
        </w:tc>
        <w:tc>
          <w:tcPr>
            <w:tcW w:w="2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Ceded guaranteed minimum income</w:t>
            </w:r>
          </w:p>
        </w:tc>
        <w:tc>
          <w:tcPr>
            <w:tcW w:w="298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5"/>
                <w:szCs w:val="15"/>
                <w:color w:val="auto"/>
              </w:rPr>
            </w:pPr>
          </w:p>
        </w:tc>
        <w:tc>
          <w:tcPr>
            <w:tcW w:w="700" w:type="dxa"/>
            <w:vAlign w:val="bottom"/>
            <w:gridSpan w:val="2"/>
          </w:tcPr>
          <w:p>
            <w:pPr>
              <w:ind w:left="300"/>
              <w:spacing w:after="0" w:line="175" w:lineRule="exact"/>
              <w:rPr>
                <w:sz w:val="20"/>
                <w:szCs w:val="20"/>
                <w:color w:val="auto"/>
              </w:rPr>
            </w:pPr>
            <w:r>
              <w:rPr>
                <w:rFonts w:ascii="Times New Roman" w:cs="Times New Roman" w:eastAsia="Times New Roman" w:hAnsi="Times New Roman"/>
                <w:sz w:val="16"/>
                <w:szCs w:val="16"/>
                <w:color w:val="auto"/>
              </w:rPr>
              <w:t>N/A</w:t>
            </w:r>
          </w:p>
        </w:tc>
        <w:tc>
          <w:tcPr>
            <w:tcW w:w="320" w:type="dxa"/>
            <w:vAlign w:val="bottom"/>
          </w:tcPr>
          <w:p>
            <w:pPr>
              <w:spacing w:after="0"/>
              <w:rPr>
                <w:sz w:val="15"/>
                <w:szCs w:val="15"/>
                <w:color w:val="auto"/>
              </w:rPr>
            </w:pP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700" w:type="dxa"/>
            <w:vAlign w:val="bottom"/>
            <w:gridSpan w:val="2"/>
          </w:tcPr>
          <w:p>
            <w:pPr>
              <w:ind w:left="300"/>
              <w:spacing w:after="0" w:line="175" w:lineRule="exact"/>
              <w:rPr>
                <w:sz w:val="20"/>
                <w:szCs w:val="20"/>
                <w:color w:val="auto"/>
              </w:rPr>
            </w:pPr>
            <w:r>
              <w:rPr>
                <w:rFonts w:ascii="Times New Roman" w:cs="Times New Roman" w:eastAsia="Times New Roman" w:hAnsi="Times New Roman"/>
                <w:sz w:val="16"/>
                <w:szCs w:val="16"/>
                <w:color w:val="auto"/>
              </w:rPr>
              <w:t>N/A</w:t>
            </w:r>
          </w:p>
        </w:tc>
        <w:tc>
          <w:tcPr>
            <w:tcW w:w="320" w:type="dxa"/>
            <w:vAlign w:val="bottom"/>
          </w:tcPr>
          <w:p>
            <w:pPr>
              <w:spacing w:after="0"/>
              <w:rPr>
                <w:sz w:val="15"/>
                <w:szCs w:val="15"/>
                <w:color w:val="auto"/>
              </w:rPr>
            </w:pPr>
          </w:p>
        </w:tc>
        <w:tc>
          <w:tcPr>
            <w:tcW w:w="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203"/>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benefits</w:t>
            </w: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guaranteed minimum benefits</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Direct index-linked annuities</w:t>
            </w:r>
          </w:p>
        </w:tc>
        <w:tc>
          <w:tcPr>
            <w:tcW w:w="2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43"/>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embedded derivatives</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3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9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7"/>
        </w:trPr>
        <w:tc>
          <w:tcPr>
            <w:tcW w:w="2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presented in net derivative gains (losses)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ind w:left="265"/>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 Gains</w:t>
            </w:r>
          </w:p>
        </w:tc>
      </w:tr>
      <w:tr>
        <w:trPr>
          <w:trHeight w:val="162"/>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 Deferred</w:t>
            </w:r>
          </w:p>
        </w:tc>
      </w:tr>
      <w:tr>
        <w:trPr>
          <w:trHeight w:val="190"/>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AOCI</w:t>
            </w:r>
          </w:p>
        </w:tc>
      </w:tr>
      <w:tr>
        <w:trPr>
          <w:trHeight w:val="23"/>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128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94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w:t>
            </w:r>
          </w:p>
        </w:tc>
      </w:tr>
      <w:tr>
        <w:trPr>
          <w:trHeight w:val="230"/>
        </w:trPr>
        <w:tc>
          <w:tcPr>
            <w:tcW w:w="5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2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 Instruments:</w:t>
            </w: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8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12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derivatives</w:t>
            </w:r>
          </w:p>
        </w:tc>
        <w:tc>
          <w:tcPr>
            <w:tcW w:w="1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12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4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129</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auto"/>
            </w:tcBorders>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47"/>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21"/>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6"/>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ind w:left="205"/>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w:t>
            </w:r>
          </w:p>
        </w:tc>
      </w:tr>
      <w:tr>
        <w:trPr>
          <w:trHeight w:val="162"/>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 Deferred in</w:t>
            </w:r>
          </w:p>
        </w:tc>
      </w:tr>
      <w:tr>
        <w:trPr>
          <w:trHeight w:val="190"/>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AOCI</w:t>
            </w:r>
          </w:p>
        </w:tc>
      </w:tr>
      <w:tr>
        <w:trPr>
          <w:trHeight w:val="23"/>
        </w:trPr>
        <w:tc>
          <w:tcPr>
            <w:tcW w:w="5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6"/>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967"/>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847"/>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 Instruments:</w:t>
            </w:r>
          </w:p>
        </w:tc>
        <w:tc>
          <w:tcPr>
            <w:tcW w:w="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12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derivatives</w:t>
            </w:r>
          </w:p>
        </w:tc>
        <w:tc>
          <w:tcPr>
            <w:tcW w:w="1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96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84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8"/>
        </w:trPr>
        <w:tc>
          <w:tcPr>
            <w:tcW w:w="5380" w:type="dxa"/>
            <w:vAlign w:val="bottom"/>
          </w:tcPr>
          <w:p>
            <w:pPr>
              <w:spacing w:after="0"/>
              <w:rPr>
                <w:sz w:val="13"/>
                <w:szCs w:val="13"/>
                <w:color w:val="auto"/>
              </w:rPr>
            </w:pPr>
          </w:p>
        </w:tc>
        <w:tc>
          <w:tcPr>
            <w:tcW w:w="1280" w:type="dxa"/>
            <w:vAlign w:val="bottom"/>
          </w:tcPr>
          <w:p>
            <w:pPr>
              <w:jc w:val="center"/>
              <w:ind w:left="245"/>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26"/>
              <w:spacing w:after="0" w:line="158" w:lineRule="exact"/>
              <w:rPr>
                <w:sz w:val="20"/>
                <w:szCs w:val="20"/>
                <w:color w:val="auto"/>
              </w:rPr>
            </w:pPr>
            <w:r>
              <w:rPr>
                <w:rFonts w:ascii="Times New Roman" w:cs="Times New Roman" w:eastAsia="Times New Roman" w:hAnsi="Times New Roman"/>
                <w:sz w:val="14"/>
                <w:szCs w:val="14"/>
                <w:b w:val="1"/>
                <w:bCs w:val="1"/>
                <w:color w:val="auto"/>
              </w:rPr>
              <w:t>Net Derivative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5380" w:type="dxa"/>
            <w:vAlign w:val="bottom"/>
          </w:tcPr>
          <w:p>
            <w:pPr>
              <w:spacing w:after="0"/>
              <w:rPr>
                <w:sz w:val="14"/>
                <w:szCs w:val="14"/>
                <w:color w:val="auto"/>
              </w:rPr>
            </w:pPr>
          </w:p>
        </w:tc>
        <w:tc>
          <w:tcPr>
            <w:tcW w:w="12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Amount of Gains</w:t>
            </w:r>
          </w:p>
        </w:tc>
      </w:tr>
      <w:tr>
        <w:trPr>
          <w:trHeight w:val="162"/>
        </w:trPr>
        <w:tc>
          <w:tcPr>
            <w:tcW w:w="5380" w:type="dxa"/>
            <w:vAlign w:val="bottom"/>
          </w:tcPr>
          <w:p>
            <w:pPr>
              <w:spacing w:after="0"/>
              <w:rPr>
                <w:sz w:val="14"/>
                <w:szCs w:val="14"/>
                <w:color w:val="auto"/>
              </w:rPr>
            </w:pPr>
          </w:p>
        </w:tc>
        <w:tc>
          <w:tcPr>
            <w:tcW w:w="12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for</w:t>
            </w:r>
          </w:p>
        </w:tc>
        <w:tc>
          <w:tcPr>
            <w:tcW w:w="10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 Deferred in</w:t>
            </w:r>
          </w:p>
        </w:tc>
      </w:tr>
      <w:tr>
        <w:trPr>
          <w:trHeight w:val="190"/>
        </w:trPr>
        <w:tc>
          <w:tcPr>
            <w:tcW w:w="5380" w:type="dxa"/>
            <w:vAlign w:val="bottom"/>
          </w:tcPr>
          <w:p>
            <w:pPr>
              <w:spacing w:after="0"/>
              <w:rPr>
                <w:sz w:val="16"/>
                <w:szCs w:val="16"/>
                <w:color w:val="auto"/>
              </w:rPr>
            </w:pPr>
          </w:p>
        </w:tc>
        <w:tc>
          <w:tcPr>
            <w:tcW w:w="128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AOCI</w:t>
            </w:r>
          </w:p>
        </w:tc>
      </w:tr>
      <w:tr>
        <w:trPr>
          <w:trHeight w:val="23"/>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1280" w:type="dxa"/>
            <w:vAlign w:val="bottom"/>
            <w:tcBorders>
              <w:bottom w:val="single" w:sz="8" w:color="auto"/>
            </w:tcBorders>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0"/>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28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0"/>
                <w:szCs w:val="20"/>
                <w:color w:val="auto"/>
              </w:rPr>
            </w:pPr>
          </w:p>
        </w:tc>
        <w:tc>
          <w:tcPr>
            <w:tcW w:w="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 Instruments:</w:t>
            </w:r>
          </w:p>
        </w:tc>
        <w:tc>
          <w:tcPr>
            <w:tcW w:w="1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 derivatives</w:t>
            </w: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derivatives</w:t>
            </w:r>
          </w:p>
        </w:tc>
        <w:tc>
          <w:tcPr>
            <w:tcW w:w="1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12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3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2020 and 2019, the balance in AOCI associated with cash flow hedges was $1 million and $6 million, respectively. </w:t>
      </w:r>
      <w:r>
        <w:rPr>
          <w:rFonts w:ascii="Times New Roman" w:cs="Times New Roman" w:eastAsia="Times New Roman" w:hAnsi="Times New Roman"/>
          <w:sz w:val="18"/>
          <w:szCs w:val="18"/>
          <w:b w:val="1"/>
          <w:bCs w:val="1"/>
          <w:i w:val="1"/>
          <w:iCs w:val="1"/>
          <w:color w:val="auto"/>
        </w:rPr>
        <w:t>Counterparty Credit Risk</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 for a description of the impact of credit risk on the valuation of derivatives.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0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Gross Amounts Not Offset on the Balance</w:t>
      </w:r>
    </w:p>
    <w:p>
      <w:pPr>
        <w:spacing w:after="0" w:line="1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22225</wp:posOffset>
            </wp:positionV>
            <wp:extent cx="18942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20" w:type="dxa"/>
            <w:vAlign w:val="bottom"/>
          </w:tcPr>
          <w:p>
            <w:pPr>
              <w:spacing w:after="0"/>
              <w:rPr>
                <w:sz w:val="14"/>
                <w:szCs w:val="14"/>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90"/>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440" w:type="dxa"/>
            <w:vAlign w:val="bottom"/>
          </w:tcPr>
          <w:p>
            <w:pPr>
              <w:spacing w:after="0"/>
              <w:rPr>
                <w:sz w:val="16"/>
                <w:szCs w:val="16"/>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(1)</w:t>
            </w: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320" w:type="dxa"/>
            <w:vAlign w:val="bottom"/>
          </w:tcPr>
          <w:p>
            <w:pPr>
              <w:spacing w:after="0"/>
              <w:rPr>
                <w:sz w:val="16"/>
                <w:szCs w:val="16"/>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Pr>
          <w:p>
            <w:pPr>
              <w:spacing w:after="0"/>
              <w:rPr>
                <w:sz w:val="16"/>
                <w:szCs w:val="16"/>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23"/>
        </w:trPr>
        <w:tc>
          <w:tcPr>
            <w:tcW w:w="2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200" w:type="dxa"/>
            <w:vAlign w:val="bottom"/>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97</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108</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w:t>
            </w:r>
          </w:p>
        </w:tc>
        <w:tc>
          <w:tcPr>
            <w:tcW w:w="12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3"/>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line="282"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balance sheets and may not be sold or re-pledged unless the counterparty is in default. Amounts do not include excess of collateral pledged or received.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 contingent provisions and the aggregate estimated fair value of assets posted as collateral for such instruments were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20" w:type="dxa"/>
            <w:vAlign w:val="bottom"/>
          </w:tcPr>
          <w:p>
            <w:pPr>
              <w:spacing w:after="0"/>
              <w:rPr>
                <w:sz w:val="16"/>
                <w:szCs w:val="16"/>
                <w:color w:val="auto"/>
              </w:rPr>
            </w:pPr>
          </w:p>
        </w:tc>
        <w:tc>
          <w:tcPr>
            <w:tcW w:w="12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7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7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w:t>
            </w:r>
          </w:p>
        </w:tc>
        <w:tc>
          <w:tcPr>
            <w:tcW w:w="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w:t>
            </w:r>
          </w:p>
        </w:tc>
        <w:tc>
          <w:tcPr>
            <w:tcW w:w="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developing estimated fair values, the Company considers three broad valuation techniques: (i) the market approach, (ii) the income approach, and (iii) 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200" w:lineRule="exact"/>
        <w:rPr>
          <w:sz w:val="20"/>
          <w:szCs w:val="20"/>
          <w:color w:val="auto"/>
        </w:rPr>
      </w:pPr>
    </w:p>
    <w:p>
      <w:pPr>
        <w:spacing w:after="0" w:line="304" w:lineRule="exact"/>
        <w:rPr>
          <w:sz w:val="20"/>
          <w:szCs w:val="20"/>
          <w:color w:val="auto"/>
        </w:rPr>
      </w:pPr>
    </w:p>
    <w:p>
      <w:pPr>
        <w:jc w:val="both"/>
        <w:ind w:left="820" w:right="20" w:hanging="795"/>
        <w:spacing w:after="0" w:line="237" w:lineRule="auto"/>
        <w:tabs>
          <w:tab w:leader="none" w:pos="80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200" w:lineRule="exact"/>
        <w:rPr>
          <w:sz w:val="20"/>
          <w:szCs w:val="20"/>
          <w:color w:val="auto"/>
        </w:rPr>
      </w:pPr>
    </w:p>
    <w:p>
      <w:pPr>
        <w:spacing w:after="0" w:line="309" w:lineRule="exact"/>
        <w:rPr>
          <w:sz w:val="20"/>
          <w:szCs w:val="20"/>
          <w:color w:val="auto"/>
        </w:rPr>
      </w:pPr>
    </w:p>
    <w:p>
      <w:pPr>
        <w:jc w:val="both"/>
        <w:ind w:left="820" w:right="20" w:hanging="795"/>
        <w:spacing w:after="0" w:line="220" w:lineRule="auto"/>
        <w:tabs>
          <w:tab w:leader="none" w:pos="80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200" w:lineRule="exact"/>
        <w:rPr>
          <w:sz w:val="20"/>
          <w:szCs w:val="20"/>
          <w:color w:val="auto"/>
        </w:rPr>
      </w:pPr>
    </w:p>
    <w:p>
      <w:pPr>
        <w:spacing w:after="0" w:line="324" w:lineRule="exact"/>
        <w:rPr>
          <w:sz w:val="20"/>
          <w:szCs w:val="20"/>
          <w:color w:val="auto"/>
        </w:rPr>
      </w:pPr>
    </w:p>
    <w:p>
      <w:pPr>
        <w:jc w:val="both"/>
        <w:ind w:left="820" w:right="20" w:hanging="795"/>
        <w:spacing w:after="0" w:line="226" w:lineRule="auto"/>
        <w:tabs>
          <w:tab w:leader="none" w:pos="80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gridSpan w:val="3"/>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10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derivatives within asset host contracts (2)</w:t>
            </w:r>
          </w:p>
        </w:tc>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within liability host contracts (2)</w:t>
            </w:r>
          </w:p>
        </w:tc>
        <w:tc>
          <w:tcPr>
            <w:tcW w:w="10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gridSpan w:val="3"/>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0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04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10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derivatives within asset host contracts (2)</w:t>
            </w:r>
          </w:p>
        </w:tc>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5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7,640</w:t>
            </w:r>
          </w:p>
        </w:tc>
        <w:tc>
          <w:tcPr>
            <w:tcW w:w="1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 within liability host contracts (2)</w:t>
            </w: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40" w:right="2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presented within other invested assets on the balance sheets and derivative liabilities are presented within other liabilities on the balance sheets. The amounts are presented gross in the tables above to reflect the presentation on the balance sheets.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within asset host contracts are presented within premiums, reinsurance and other receivables on the balance sheets. Embedded derivatives within liability host contracts are presented within policyholder account balances on the balance sheets.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21"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0"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Additional controls are performed, such as,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2020.</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0"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6"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Investments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 for actively traded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is determined using third-party commercial pricing services, with the primary input being 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OTC-bilateral derivatives classified as Level 2 assets or liabilities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68"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derivatives are inputs that are observable in the market or can be derived principally from, or corroborated by, observable market data. Certain OTC-bilateral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8"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Embedded derivatives principally include certain direct variable annuity guarantees and certain affiliated ceded reinsurance agreements related to such variable annuity guarantees, and equity crediting rates within index-linked annuity contracts. Embedded derivatives are recorded at estimated fair value with changes in estimated fair value reported in net income.</w:t>
      </w:r>
    </w:p>
    <w:p>
      <w:pPr>
        <w:spacing w:after="0" w:line="6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Company issues variable annuity products with guaranteed minimum benefits. GMABs,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balance sheets with changes in estimated fair value reported in net derivative gains (losses).</w:t>
      </w:r>
    </w:p>
    <w:p>
      <w:pPr>
        <w:spacing w:after="0" w:line="7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7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Embedded derivatives</w:t>
      </w:r>
    </w:p>
    <w:p>
      <w:pPr>
        <w:spacing w:after="0" w:line="42" w:lineRule="exact"/>
        <w:rPr>
          <w:sz w:val="20"/>
          <w:szCs w:val="20"/>
          <w:color w:val="auto"/>
        </w:rPr>
      </w:pPr>
    </w:p>
    <w:p>
      <w:pPr>
        <w:ind w:left="180" w:hanging="161"/>
        <w:spacing w:after="0" w:line="229" w:lineRule="auto"/>
        <w:rPr>
          <w:sz w:val="20"/>
          <w:szCs w:val="20"/>
          <w:color w:val="auto"/>
        </w:rPr>
      </w:pPr>
      <w:r>
        <w:rPr>
          <w:rFonts w:ascii="Times New Roman" w:cs="Times New Roman" w:eastAsia="Times New Roman" w:hAnsi="Times New Roman"/>
          <w:sz w:val="13"/>
          <w:szCs w:val="13"/>
          <w:color w:val="auto"/>
        </w:rPr>
        <w:t>Direct, assumed and ceded guaranteed minimum benefits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2020</w:t>
            </w:r>
          </w:p>
        </w:tc>
        <w:tc>
          <w:tcPr>
            <w:tcW w:w="17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of</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Increase in Input</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Estimated</w:t>
            </w: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1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6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30"/>
        </w:trPr>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Option pricing</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Mortality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0.03%</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12.13%</w:t>
            </w:r>
          </w:p>
        </w:tc>
        <w:tc>
          <w:tcPr>
            <w:tcW w:w="120" w:type="dxa"/>
            <w:vAlign w:val="bottom"/>
          </w:tcPr>
          <w:p>
            <w:pPr>
              <w:spacing w:after="0"/>
              <w:rPr>
                <w:sz w:val="24"/>
                <w:szCs w:val="24"/>
                <w:color w:val="auto"/>
              </w:rPr>
            </w:pPr>
          </w:p>
        </w:tc>
        <w:tc>
          <w:tcPr>
            <w:tcW w:w="6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0.02%</w:t>
            </w: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11.31%</w:t>
            </w: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Decrease (1)</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techniques</w:t>
            </w:r>
          </w:p>
        </w:tc>
        <w:tc>
          <w:tcPr>
            <w:tcW w:w="14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Lapse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15.00%</w:t>
            </w:r>
          </w:p>
        </w:tc>
        <w:tc>
          <w:tcPr>
            <w:tcW w:w="120" w:type="dxa"/>
            <w:vAlign w:val="bottom"/>
          </w:tcPr>
          <w:p>
            <w:pPr>
              <w:spacing w:after="0"/>
              <w:rPr>
                <w:sz w:val="14"/>
                <w:szCs w:val="14"/>
                <w:color w:val="auto"/>
              </w:rPr>
            </w:pPr>
          </w:p>
        </w:tc>
        <w:tc>
          <w:tcPr>
            <w:tcW w:w="6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0.25%</w:t>
            </w: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9"/>
              </w:rPr>
              <w:t>16.00%</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Decrease (2)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Utilization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25.00%</w:t>
            </w:r>
          </w:p>
        </w:tc>
        <w:tc>
          <w:tcPr>
            <w:tcW w:w="120" w:type="dxa"/>
            <w:vAlign w:val="bottom"/>
          </w:tcPr>
          <w:p>
            <w:pPr>
              <w:spacing w:after="0"/>
              <w:rPr>
                <w:sz w:val="17"/>
                <w:szCs w:val="17"/>
                <w:color w:val="auto"/>
              </w:rPr>
            </w:pPr>
          </w:p>
        </w:tc>
        <w:tc>
          <w:tcPr>
            <w:tcW w:w="6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0.00%</w:t>
            </w: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9"/>
              </w:rPr>
              <w:t>25.00%</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Increase (3)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Withdrawal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10.00%</w:t>
            </w:r>
          </w:p>
        </w:tc>
        <w:tc>
          <w:tcPr>
            <w:tcW w:w="120" w:type="dxa"/>
            <w:vAlign w:val="bottom"/>
          </w:tcPr>
          <w:p>
            <w:pPr>
              <w:spacing w:after="0"/>
              <w:rPr>
                <w:sz w:val="17"/>
                <w:szCs w:val="17"/>
                <w:color w:val="auto"/>
              </w:rPr>
            </w:pPr>
          </w:p>
        </w:tc>
        <w:tc>
          <w:tcPr>
            <w:tcW w:w="6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0.25%</w:t>
            </w: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9"/>
              </w:rPr>
              <w:t>10.00%</w:t>
            </w:r>
          </w:p>
        </w:tc>
        <w:tc>
          <w:tcPr>
            <w:tcW w:w="14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Long-term equity</w:t>
            </w:r>
          </w:p>
        </w:tc>
        <w:tc>
          <w:tcPr>
            <w:tcW w:w="64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color w:val="auto"/>
                <w:w w:val="99"/>
              </w:rPr>
              <w:t>16.66%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22.21%</w:t>
            </w:r>
          </w:p>
        </w:tc>
        <w:tc>
          <w:tcPr>
            <w:tcW w:w="120" w:type="dxa"/>
            <w:vAlign w:val="bottom"/>
          </w:tcPr>
          <w:p>
            <w:pPr>
              <w:spacing w:after="0"/>
              <w:rPr>
                <w:sz w:val="13"/>
                <w:szCs w:val="13"/>
                <w:color w:val="auto"/>
              </w:rPr>
            </w:pPr>
          </w:p>
        </w:tc>
        <w:tc>
          <w:tcPr>
            <w:tcW w:w="62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4"/>
              </w:rPr>
              <w:t>16.24%</w:t>
            </w:r>
          </w:p>
        </w:tc>
        <w:tc>
          <w:tcPr>
            <w:tcW w:w="4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color w:val="auto"/>
                <w:w w:val="99"/>
              </w:rPr>
              <w:t>21.65%</w:t>
            </w:r>
          </w:p>
        </w:tc>
        <w:tc>
          <w:tcPr>
            <w:tcW w:w="10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Increase (5)</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volatilities</w:t>
            </w:r>
          </w:p>
        </w:tc>
        <w:tc>
          <w:tcPr>
            <w:tcW w:w="6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3"/>
                <w:szCs w:val="13"/>
                <w:color w:val="auto"/>
              </w:rPr>
              <w:t>Nonperformance risk</w:t>
            </w:r>
          </w:p>
        </w:tc>
        <w:tc>
          <w:tcPr>
            <w:tcW w:w="64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color w:val="auto"/>
                <w:w w:val="95"/>
              </w:rPr>
              <w:t>0.47%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color w:val="auto"/>
                <w:w w:val="95"/>
              </w:rPr>
              <w:t>1.97%</w:t>
            </w:r>
          </w:p>
        </w:tc>
        <w:tc>
          <w:tcPr>
            <w:tcW w:w="120" w:type="dxa"/>
            <w:vAlign w:val="bottom"/>
          </w:tcPr>
          <w:p>
            <w:pPr>
              <w:spacing w:after="0"/>
              <w:rPr>
                <w:sz w:val="11"/>
                <w:szCs w:val="11"/>
                <w:color w:val="auto"/>
              </w:rPr>
            </w:pPr>
          </w:p>
        </w:tc>
        <w:tc>
          <w:tcPr>
            <w:tcW w:w="6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auto"/>
                <w:w w:val="95"/>
              </w:rPr>
              <w:t>0.54%</w:t>
            </w:r>
          </w:p>
        </w:tc>
        <w:tc>
          <w:tcPr>
            <w:tcW w:w="4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color w:val="auto"/>
                <w:w w:val="95"/>
              </w:rPr>
              <w:t>1.99%</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Decrease (6)</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spread</w:t>
            </w:r>
          </w:p>
        </w:tc>
        <w:tc>
          <w:tcPr>
            <w:tcW w:w="6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-1072515</wp:posOffset>
            </wp:positionV>
            <wp:extent cx="71323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-755015</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-497840</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-180975</wp:posOffset>
            </wp:positionV>
            <wp:extent cx="71323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480" w:space="440"/>
            <w:col w:w="832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jc w:val="both"/>
        <w:ind w:left="340" w:hanging="332"/>
        <w:spacing w:after="0" w:line="266"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hanging="332"/>
        <w:spacing w:after="0" w:line="258"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7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54"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(Level 3) were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gridSpan w:val="7"/>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w w:val="96"/>
              </w:rPr>
              <w:t>Fair Value Measurements Using Significant Unobservable Inputs (Level 3)</w:t>
            </w:r>
          </w:p>
        </w:tc>
        <w:tc>
          <w:tcPr>
            <w:tcW w:w="0" w:type="dxa"/>
            <w:vAlign w:val="bottom"/>
          </w:tcPr>
          <w:p>
            <w:pPr>
              <w:spacing w:after="0"/>
              <w:rPr>
                <w:sz w:val="1"/>
                <w:szCs w:val="1"/>
                <w:color w:val="auto"/>
              </w:rPr>
            </w:pPr>
          </w:p>
        </w:tc>
      </w:tr>
      <w:tr>
        <w:trPr>
          <w:trHeight w:val="29"/>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Net Embedded</w:t>
            </w: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Corporate (1)</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Structured Securities</w:t>
            </w:r>
          </w:p>
        </w:tc>
        <w:tc>
          <w:tcPr>
            <w:tcW w:w="220" w:type="dxa"/>
            <w:vAlign w:val="bottom"/>
          </w:tcPr>
          <w:p>
            <w:pPr>
              <w:spacing w:after="0"/>
              <w:rPr>
                <w:sz w:val="14"/>
                <w:szCs w:val="1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Derivatives (2)</w:t>
            </w:r>
          </w:p>
        </w:tc>
        <w:tc>
          <w:tcPr>
            <w:tcW w:w="0" w:type="dxa"/>
            <w:vAlign w:val="bottom"/>
          </w:tcPr>
          <w:p>
            <w:pPr>
              <w:spacing w:after="0"/>
              <w:rPr>
                <w:sz w:val="1"/>
                <w:szCs w:val="1"/>
                <w:color w:val="auto"/>
              </w:rPr>
            </w:pPr>
          </w:p>
        </w:tc>
      </w:tr>
      <w:tr>
        <w:trPr>
          <w:trHeight w:val="29"/>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2019</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realized/unrealized gains (losses) included in net income (loss) (3) (4)</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realized/unrealized gains (losses) included in AOCI</w:t>
            </w: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(5)</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(5)</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 (5)</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(5)</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into Level 3 (6)</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out of Level 3 (6)</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realized/unrealized gains (losses) included in net income (loss) (3) (4)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realized/unrealized gains (losses) included in AOCI</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(5)</w:t>
            </w: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(5)</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 (5)</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(5)</w:t>
            </w:r>
          </w:p>
        </w:tc>
        <w:tc>
          <w:tcPr>
            <w:tcW w:w="2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into Level 3 (6)</w:t>
            </w: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out of Level 3 (6)</w:t>
            </w: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2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Changes in unrealized gains (losses) included in net income (loss) for the instruments still held at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440" w:type="dxa"/>
            <w:vAlign w:val="bottom"/>
            <w:vMerge w:val="continue"/>
          </w:tcPr>
          <w:p>
            <w:pPr>
              <w:spacing w:after="0"/>
              <w:rPr>
                <w:sz w:val="7"/>
                <w:szCs w:val="7"/>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2"/>
        </w:trPr>
        <w:tc>
          <w:tcPr>
            <w:tcW w:w="6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December 31, 2018 (7)</w:t>
            </w:r>
          </w:p>
        </w:tc>
        <w:tc>
          <w:tcPr>
            <w:tcW w:w="24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44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Changes in unrealized gains (losses) included in net income (loss) for the instruments still held at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December 31, 2019 (7)</w:t>
            </w:r>
          </w:p>
        </w:tc>
        <w:tc>
          <w:tcPr>
            <w:tcW w:w="24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50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Changes in unrealized gains (losses) included in net income (loss) for the instruments still held at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440" w:type="dxa"/>
            <w:vAlign w:val="bottom"/>
            <w:vMerge w:val="continue"/>
          </w:tcPr>
          <w:p>
            <w:pPr>
              <w:spacing w:after="0"/>
              <w:rPr>
                <w:sz w:val="7"/>
                <w:szCs w:val="7"/>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62"/>
        </w:trPr>
        <w:tc>
          <w:tcPr>
            <w:tcW w:w="6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December 31, 2020 (7)</w:t>
            </w:r>
          </w:p>
        </w:tc>
        <w:tc>
          <w:tcPr>
            <w:tcW w:w="24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unrealized gains (losses) included in OCI for the instruments still held at December 31, 2020 (7)</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Gains (Losses) Data for the year ended December 31, 2018: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realized/unrealized gains (losses) included in net income (loss) (3) (4)</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realized/unrealized gains (losses) included in AOCI</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and liabilities are presented net for purposes of the rollforward.</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within net investment income. Changes in the allowance for credit losses and direct write offs are charged to net income (loss) on securities are included in net investment gains (losses). Lapses associated with net embedded derivatives are included in net derivative gains (losses). Substantially all realized/unrealized gains (losses) included in net income (loss) for net embedded derivatives are reported in net derivative gains (losses).</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accruals, as well as cash interest coupons received, are excluded from the rollforward.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embedded derivatives are reported in net derivative gains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2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derivative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40" w:type="dxa"/>
            <w:vAlign w:val="bottom"/>
          </w:tcPr>
          <w:p>
            <w:pPr>
              <w:spacing w:after="0"/>
              <w:rPr>
                <w:sz w:val="20"/>
                <w:szCs w:val="20"/>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860"/>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625</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40" w:type="dxa"/>
            <w:vAlign w:val="bottom"/>
          </w:tcPr>
          <w:p>
            <w:pPr>
              <w:spacing w:after="0"/>
              <w:rPr>
                <w:sz w:val="20"/>
                <w:szCs w:val="20"/>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963</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432</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Short-term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Liquidity Facilities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BHF has established an intercompany liquidity facility with certain of its insurance and non-insurance subsidiaries to provide short-term liquidity within and across the combined group of companies. Under the facility, which is comprised of a series of revolving loan agreements among BHF and its participating subsidiaries, each company may lend to or borrow from each other, subject to certain maximum limits for a term not more than 364 days. On March 30, 2020, BHNY issued a $100 million promissory note to Brighthouse Holdings, LLC, which bore interest at a fixed rate of 2.4996%, and was repaid upon maturity on June 30, 2020.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received cash capital contributions of $0, $75 million, and $0, respectively, from Brighthouse Life Insurance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Equity and Income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state of domicile of the Company imposes RBC requirements that were developed by the National Association of Insurance Commissioners (“NAIC”). Regulatory compliance is determined by a ratio of a company’s total adjusted capital (“TAC”), calculated in the manner prescribed by the NAIC to its authorized control level RBC (“ACL RBC”), calculated in the manner prescribed by the NAIC, based on the statutory-based filed financial statements. Companies below specific trigger levels or ratios are classified by their respective levels, each of which requires specified corrective action. The minimum level of TAC before corrective action commences is twice ACL RBC. The RBC ratio for the Company was in excess of 400% for all periods presented.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prepares statutory-basis financial statements in accordance with statutory accounting practices prescribed or permitted by the New York State Department of Financial Services (“NYDFS”). The NAIC has adopted the Codification of Statutory Accounting Principles (“Statutory Codification”). Statutory Codification is intended to standardize regulatory accounting and reporting to state insurance departments. However, statutory accounting principles continue to be established by individual state laws and permitted practices. Modifications by the state insurance department may impact the effect of Statutory Codification on the statutory capital and surplus of the Company.</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Statutory accounting principles differ from GAAP primarily by charging policy acquisition costs to expense as incurred, establishing future policy benefit liabilities using different actuarial assumptions, reporting of reinsurance agreements with different presentation and valuing investments and deferred tax assets on a different basis.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New York has adopted certain prescribed accounting practices, primarily consisting of the continuous Commissioners’ Annuity Reserve Valuation Method, which impacts deferred annuities, NYDFS Circular Letter No 11, which impacts deferred premiums, and NYDFS Seventh Amendment to Regulation 172, which impacts admitted unearned reinsurance premiums. The collective impact of these prescribed accounting practices decreased the statutory capital and surplus of the Company for the years ended December 31, 2020 and 2019 by an amount of $33 million and $40 million, respectively, in excess of the amount of the decrease had capital and surplus been measured under NAIC guidance.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present amounts from the Company, which are derived from the statutory-basis financial statements as filed with the NYDFS.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Statutory net income (loss)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of Domicile</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134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Pr>
          <w:p>
            <w:pPr>
              <w:spacing w:after="0"/>
              <w:rPr>
                <w:sz w:val="16"/>
                <w:szCs w:val="16"/>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New York</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3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(139)</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Statutory capital and surplus was as follows at: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gridSpan w:val="2"/>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gridSpan w:val="2"/>
            <w:vMerge w:val="continue"/>
          </w:tcPr>
          <w:p>
            <w:pPr>
              <w:spacing w:after="0"/>
              <w:rPr>
                <w:sz w:val="16"/>
                <w:szCs w:val="16"/>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373</w:t>
            </w:r>
          </w:p>
        </w:tc>
        <w:tc>
          <w:tcPr>
            <w:tcW w:w="5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not permitted to pay dividends in 2021 to its parent without insurance regulatory approval from the NYDFS. The Company did not pay any dividends in 2020, paid $28 million in 2019 and did not pay any dividends in 2018.</w:t>
      </w:r>
    </w:p>
    <w:p>
      <w:pPr>
        <w:spacing w:after="0" w:line="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New York Insurance Laws, the Company is permitted, without prior insurance regulatory clearance, to pay stockholder dividends to its parent in any calendar year based on one of two standards. Under one standard, the Company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the Company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the Company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the Company will be permitted to pay a dividend to its parent in excess of the amounts allowed under both standards only if it files notice of its intention to declare such a dividend and the amount thereof with the New York Superintendent of Financial Services (the “NY Superintendent”) and the NY Superintendent either approves the distribution of the dividend or does not disapprove the dividend within 30 days of its filing.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 Gains</w:t>
            </w:r>
          </w:p>
        </w:tc>
        <w:tc>
          <w:tcPr>
            <w:tcW w:w="18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 Net of</w:t>
            </w: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0"/>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Offsets (1)</w:t>
            </w:r>
          </w:p>
        </w:tc>
        <w:tc>
          <w:tcPr>
            <w:tcW w:w="18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7"/>
        </w:trPr>
        <w:tc>
          <w:tcPr>
            <w:tcW w:w="6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AOCI before reclassifications, net of income tax</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7"/>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37"/>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3"/>
        </w:trPr>
        <w:tc>
          <w:tcPr>
            <w:tcW w:w="6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AOCI before reclassifications, net of income tax</w:t>
            </w:r>
          </w:p>
        </w:tc>
        <w:tc>
          <w:tcPr>
            <w:tcW w:w="1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 net of income tax</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7"/>
        </w:trPr>
        <w:tc>
          <w:tcPr>
            <w:tcW w:w="6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AOCI before reclassifications, net of income tax</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5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6"/>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 net of income tax</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7"/>
        </w:trPr>
        <w:tc>
          <w:tcPr>
            <w:tcW w:w="6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40" w:right="3680" w:hanging="332"/>
        <w:spacing w:after="0" w:line="407" w:lineRule="auto"/>
        <w:tabs>
          <w:tab w:leader="none" w:pos="3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 for information on offsets to investments related to future policy benefits, DAC and DSI. Information regarding amounts reclassified out of each component of AOCI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240" w:type="dxa"/>
            <w:vAlign w:val="bottom"/>
          </w:tcPr>
          <w:p>
            <w:pPr>
              <w:spacing w:after="0"/>
              <w:rPr>
                <w:sz w:val="16"/>
                <w:szCs w:val="16"/>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Operations Locations</w:t>
            </w:r>
          </w:p>
        </w:tc>
      </w:tr>
      <w:tr>
        <w:trPr>
          <w:trHeight w:val="23"/>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36"/>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Net investment gains (losses)</w:t>
            </w:r>
          </w:p>
        </w:tc>
      </w:tr>
      <w:tr>
        <w:trPr>
          <w:trHeight w:val="243"/>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 before income tax</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36"/>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602"/>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r>
      <w:tr>
        <w:trPr>
          <w:trHeight w:val="243"/>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 net of income tax</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r>
      <w:tr>
        <w:trPr>
          <w:trHeight w:val="23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reclassifications, net of income tax</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Direct other revenues consisted primarily of 12b-1 fees of $13 million, $13 million and $14 million for the years ended December 31, 2020, 2019 and 2018, respectively, of which all were reported in the Annuities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Establishment costs</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tc>
        <w:tc>
          <w:tcPr>
            <w:tcW w:w="10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6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See Note 4 for additional information on the capitalization of DAC.</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See Note 14 for a discussion of related party expenses included in the table above.</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Income Tax</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provision for income tax was as follows: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income tax provision at the statutory tax rate to the provision for income tax as reported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provision at statutory rate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 of:</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received deduction</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year tax</w:t>
            </w:r>
          </w:p>
        </w:tc>
        <w:tc>
          <w:tcPr>
            <w:tcW w:w="1060" w:type="dxa"/>
            <w:vAlign w:val="bottom"/>
          </w:tcPr>
          <w:p>
            <w:pPr>
              <w:spacing w:after="0"/>
              <w:rPr>
                <w:sz w:val="18"/>
                <w:szCs w:val="18"/>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Effective tax rate</w:t>
            </w:r>
          </w:p>
        </w:tc>
        <w:tc>
          <w:tcPr>
            <w:tcW w:w="10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including derivatives</w:t>
            </w:r>
          </w:p>
        </w:tc>
        <w:tc>
          <w:tcPr>
            <w:tcW w:w="98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liabilities and receivables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98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DAC</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 asset (liability)</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3"/>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2020, the Company had net operating loss carryforwards of approximately $297 million, of which approximately $5 million expires in year 2032 and approximately $292 million is carried forward indefinitely.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foreign tax credits available for carryforward for tax purposes at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Foreign Tax Credits</w:t>
            </w:r>
          </w:p>
        </w:tc>
      </w:tr>
      <w:tr>
        <w:trPr>
          <w:trHeight w:val="190"/>
        </w:trPr>
        <w:tc>
          <w:tcPr>
            <w:tcW w:w="9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Carryforwards</w:t>
            </w:r>
          </w:p>
        </w:tc>
      </w:tr>
      <w:tr>
        <w:trPr>
          <w:trHeight w:val="23"/>
        </w:trPr>
        <w:tc>
          <w:tcPr>
            <w:tcW w:w="9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9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2025-2029</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2030-2034</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2035-2039</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9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financial statements, although the resolution of income tax matters could impact the Company’s effective tax rate in the future.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ending balance for unrecognized tax benefits that, if recognized, would impact the effective rate is $1 million for each of the years ended December 31, 2020, 2019 and 2018. The Company classifies interest accrued related to unrecognized tax benefits in interest expense, included within other expenses, while penalties are included in income tax expense. Interest related to unrecognized tax benefits was not significant. The Company had no penalties for each of the years ended December 31, 2020, 2019 and 2018.</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under continuous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2007. Management believes it has established adequate tax liabilities, and final resolution of the audit for the years 2007 and forward is not expected to have a material impact on the Company’s financial statements.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Tax Sharing Agreements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prior to the Separation, the Company was included in a consolidated federal life and non-life income tax return in accordance with the provisions of the Tax Code. Current taxes (and the benefits of tax attributes such as losses) are allocated to the Company under the consolidated tax return regulations and a tax sharing agreement with MetLife. This tax sharing agreement states that federal taxes will be computed on a modified separate return basis with benefits for losses.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periods after the Separation, Brighthouse Life Insurance Company and any directly owned life insurance and reinsurance subsidiaries (including the Company and BRCD) entered in a tax sharing agreement to join a life consolidated federal income tax return. The non-life subsidiaries of Brighthouse Life Insurance Company will file their own federal income tax returns. The tax sharing agreements state that federal taxes are computed on a modified separate return basis with benefit for losses.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Transactions with Former Parent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tax separation agreement with MetLife.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In November 2018, MetLife paid $2 million to the Company under the tax separation agreement. At both December 31, 2020 and 2019, the current income tax payable included a $3 million payable to MetLife related to this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Commitments and Guarantees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financial statements for all probable and reasonably estimable losses for sales practices matters.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Notes to the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Contingencies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certain non-litigation loss contingencies when assertions are made involving disputes or other matters with counterparties to contractual arrangements entered into by the Company, including with third-party vendors. The Company establishes liabilities for such non-litigation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79"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On a quarterly and annual basis, the Company reviews relevant information with respect to non-litigation contingencies and, when applicable, updates its accruals, disclosures and estimates of reasonably possible losses or ranges of loss based on such reviews.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$7 million and $11 million at December 31, 2020 and 2019,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Private Corporate Bond Investments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private corporate bond investments. The amounts of these unfunded commitments were $15 million and $10 million at December 31, 2020 and 2019,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 liability for indemnities, guarantees and commitments at either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various existing arrangements with its Brighthouse affiliates and had previous arrangements with MetLife for services necessary to conduct its activities. Certain of the MetLife services have continued, however, MetLife ceased to be a related party in June 2018 (see Note 1). See Note 11 for amounts related to continuing transition services.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related party reinsurance, investment, debt and equity transactions (see Notes 5, 6, 9 and 10). Other material arrangements between the Company and its related parties not disclosed elsewhere are as follows: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Shared Services and Overhead Allocations</w:t>
      </w:r>
    </w:p>
    <w:p>
      <w:pPr>
        <w:spacing w:after="0" w:line="121" w:lineRule="exact"/>
        <w:rPr>
          <w:sz w:val="20"/>
          <w:szCs w:val="20"/>
          <w:color w:val="auto"/>
        </w:rPr>
      </w:pPr>
    </w:p>
    <w:p>
      <w:pPr>
        <w:jc w:val="both"/>
        <w:ind w:left="180" w:firstLine="324"/>
        <w:spacing w:after="0" w:line="253" w:lineRule="auto"/>
        <w:rPr>
          <w:sz w:val="20"/>
          <w:szCs w:val="20"/>
          <w:color w:val="auto"/>
        </w:rPr>
      </w:pPr>
      <w:r>
        <w:rPr>
          <w:rFonts w:ascii="Times New Roman" w:cs="Times New Roman" w:eastAsia="Times New Roman" w:hAnsi="Times New Roman"/>
          <w:sz w:val="18"/>
          <w:szCs w:val="18"/>
          <w:color w:val="auto"/>
        </w:rPr>
        <w:t>Brighthouse Services currently provides, and previously MetLife provided, certain services to the Company, each using an allocation methodology under certain agreements for such services. These services include, but are not limited to, treasury, financial planning and analysis, legal, human resources, tax planning, internal audit, financial reporting and information technology.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Revenues received from an affiliate related to these agreements, recorded in universal life and investment-type product policy fees, were $11 million, $12 million and $12 million for the years ended December 31, 2020, 2019 and 2018, respectively. Costs incurred under these arrangements with Brighthouse Services, as well as with MetLife prior to the MetLife Divestiture, were $53 million, $61 million and $44 million for the years ended December 31, 2020, 2019 and 2018, respectively, and were recorded in other expenses.</w:t>
      </w:r>
    </w:p>
    <w:p>
      <w:pPr>
        <w:spacing w:after="0" w:line="8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Included in these costs are those incurred related to the establishment of services and infrastructure to replace those previously provided by MetLife. The Company incurred costs of $3 million, $1 million and $3 million for the years ended December 31, 2020, 2019 and 2018, respectively. The Company is charged a fee to reflect the value of the available infrastructure and services provided by these costs. While management believes the method used to allocate expenses under this arrangement is reasonable, the allocated expenses may not be indicative of those of a standalone entity.</w:t>
      </w:r>
    </w:p>
    <w:p>
      <w:pPr>
        <w:spacing w:after="0" w:line="72"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had net receivables from/(payables to) affiliates, related to the items discussed above, of ($6) million and ($18) million at December 31, 2020 and 2019,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Broker-Dealer Transactions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$12 million for all the years ended December 31, 2020, 2019 and 2018. Commission expenses incurred related to these transactions and recorded in other expenses was $71 million, $66 million and $58 million for the years ended December 31, 2020, 2019 and 2018, respectively. The Company also had related party fee income receivables of $1 million at both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Summary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Than Investments in Related Parties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Amount at</w:t>
            </w:r>
          </w:p>
        </w:tc>
      </w:t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80" w:type="dxa"/>
            <w:vAlign w:val="bottom"/>
          </w:tcPr>
          <w:p>
            <w:pPr>
              <w:spacing w:after="0"/>
              <w:rPr>
                <w:sz w:val="14"/>
                <w:szCs w:val="14"/>
                <w:color w:val="auto"/>
              </w:rPr>
            </w:pPr>
          </w:p>
        </w:tc>
        <w:tc>
          <w:tcPr>
            <w:tcW w:w="174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Which Shown on</w:t>
            </w:r>
          </w:p>
        </w:tc>
      </w:t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Investments</w:t>
            </w:r>
          </w:p>
        </w:tc>
        <w:tc>
          <w:tcPr>
            <w:tcW w:w="160" w:type="dxa"/>
            <w:vAlign w:val="bottom"/>
          </w:tcPr>
          <w:p>
            <w:pPr>
              <w:spacing w:after="0"/>
              <w:rPr>
                <w:sz w:val="16"/>
                <w:szCs w:val="16"/>
                <w:color w:val="auto"/>
              </w:rPr>
            </w:pPr>
          </w:p>
        </w:tc>
        <w:tc>
          <w:tcPr>
            <w:tcW w:w="19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Cost or Amortized Cost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74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Bonds:</w:t>
            </w: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utilities</w:t>
            </w:r>
          </w:p>
        </w:tc>
        <w:tc>
          <w:tcPr>
            <w:tcW w:w="16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corporate bonds</w:t>
            </w:r>
          </w:p>
        </w:tc>
        <w:tc>
          <w:tcPr>
            <w:tcW w:w="1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r>
      <w:tr>
        <w:trPr>
          <w:trHeight w:val="22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bonds</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and asset-backed securities</w:t>
            </w:r>
          </w:p>
        </w:tc>
        <w:tc>
          <w:tcPr>
            <w:tcW w:w="16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3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Redeemable preferred stock</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r>
      <w:tr>
        <w:trPr>
          <w:trHeight w:val="22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61"/>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jc w:val="both"/>
        <w:ind w:left="340" w:hanging="332"/>
        <w:spacing w:after="0" w:line="266"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or amortized cost for fixed maturity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Supplementary Insurance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 and 2019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Future Policy</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Benefits and Other Policy-</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4"/>
                <w:szCs w:val="14"/>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DAC</w:t>
            </w:r>
          </w:p>
        </w:tc>
        <w:tc>
          <w:tcPr>
            <w:tcW w:w="2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Related Balances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 (1), (2)</w:t>
            </w:r>
          </w:p>
        </w:tc>
        <w:tc>
          <w:tcPr>
            <w:tcW w:w="160" w:type="dxa"/>
            <w:vAlign w:val="bottom"/>
          </w:tcPr>
          <w:p>
            <w:pPr>
              <w:spacing w:after="0"/>
              <w:rPr>
                <w:sz w:val="16"/>
                <w:szCs w:val="16"/>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Revenue (1)</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2"/>
        </w:trPr>
        <w:tc>
          <w:tcPr>
            <w:tcW w:w="3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within the future policy benefits and other policy-related balances column.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premiums received in advance.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Supplementary Insurance Information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 2019 and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Claims and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 Credited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Investment-Type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 Policyholder</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00" w:type="dxa"/>
            <w:vAlign w:val="bottom"/>
          </w:tcPr>
          <w:p>
            <w:pPr>
              <w:spacing w:after="0"/>
              <w:rPr>
                <w:sz w:val="14"/>
                <w:szCs w:val="14"/>
                <w:color w:val="auto"/>
              </w:rPr>
            </w:pPr>
          </w:p>
        </w:tc>
        <w:tc>
          <w:tcPr>
            <w:tcW w:w="9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Product Policy Fees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(1)</w:t>
            </w:r>
          </w:p>
        </w:tc>
        <w:tc>
          <w:tcPr>
            <w:tcW w:w="16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 Balances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DAC</w:t>
            </w:r>
          </w:p>
        </w:tc>
        <w:tc>
          <w:tcPr>
            <w:tcW w:w="200" w:type="dxa"/>
            <w:vAlign w:val="bottom"/>
          </w:tcPr>
          <w:p>
            <w:pPr>
              <w:spacing w:after="0"/>
              <w:rPr>
                <w:sz w:val="16"/>
                <w:szCs w:val="16"/>
                <w:color w:val="auto"/>
              </w:rPr>
            </w:pPr>
          </w:p>
        </w:tc>
        <w:tc>
          <w:tcPr>
            <w:tcW w:w="9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62"/>
        </w:trPr>
        <w:tc>
          <w:tcPr>
            <w:tcW w:w="3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62"/>
        </w:trPr>
        <w:tc>
          <w:tcPr>
            <w:tcW w:w="3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of the Notes to the Financial Statements for the basis of allocation of net investment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 of 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 2019 and 2018</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Amount Assumed</w:t>
            </w:r>
          </w:p>
        </w:tc>
      </w:tr>
      <w:tr>
        <w:trPr>
          <w:trHeight w:val="190"/>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to Net</w:t>
            </w:r>
          </w:p>
        </w:tc>
      </w:tr>
      <w:tr>
        <w:trPr>
          <w:trHeight w:val="23"/>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00" w:type="dxa"/>
            <w:vAlign w:val="bottom"/>
          </w:tcPr>
          <w:p>
            <w:pPr>
              <w:spacing w:after="0"/>
              <w:rPr>
                <w:sz w:val="20"/>
                <w:szCs w:val="20"/>
                <w:color w:val="auto"/>
              </w:rPr>
            </w:pPr>
          </w:p>
        </w:tc>
        <w:tc>
          <w:tcPr>
            <w:tcW w:w="14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insurance premium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premium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14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tcPr>
          <w:p>
            <w:pPr>
              <w:spacing w:after="0"/>
              <w:rPr>
                <w:sz w:val="20"/>
                <w:szCs w:val="20"/>
                <w:color w:val="auto"/>
              </w:rPr>
            </w:pPr>
          </w:p>
        </w:tc>
        <w:tc>
          <w:tcPr>
            <w:tcW w:w="14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insurance premium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annuities with life contingencies.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reinsurance ceded included related party transactions for life insurance in-force of $27.0 billion, and life insurance premiums of $43 million. For the year ended December 31, 2019, reinsurance ceded included related party transactions for life insurance in-force of $28.7 billion, and life insurance premiums of $45 million. For the year ended December 31, 2018, reinsurance ceded included related party transactions for life insurance in-force of $29.8 billion, and life insurance premiums of $37 million.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2020.</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spacing w:after="0" w:line="68"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December 31, 2020 that have materially affected, or are reasonably likely to materially affect, these internal controls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of Brighthouse Life Insurance Company of NY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financial statements in conformity with GAAP.</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2020. In making the assessment, management used the criteria set forth in “Internal Control - Integrated Framework” promulgated by the Committee of Sponsoring Organizations of the Treadway Commission.</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upon the assessment performed under that framework, management has maintained and concluded that the Company’s internal control over financial reporting was effective as of December 31,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Person Transactions and Director Independence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Deloitte &amp; Touche LLP (“Deloitte”), the independent auditor of Brighthouse Financial, Inc. (“BHF”), has served as the independent auditor of the Company since 2000, and as auditor of current and former affiliates of the Company for more than 75 years. Its long-term knowledge of the Brighthouse group of companies, combined with its insurance industry expertise and global presence, has enabled it to carry out its audits of the Company’s financial statements with effectiveness and efficiency. Deloitte is a registered public accounting firm with the Public Company Accounting Oversight Board (United States) (“PCAOB”) as required by the Sarbanes-Oxley Act of 2002 (“Sarbanes-Oxley”) and the Rules of the PCAOB.</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BHF Audit Committee ensures that the engagement of the audit team partners is limited to no more than five consecutive years (in accordance with SEC rules).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Auditor’s Fees for 2020 and 2019</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fees for professional services rendered by Deloitte for the audit of the Company’s annual financial statements, audit-related services, tax services and all other services for the years ended December 31, 2020 and 2019. All fees shown were related to services that were approved by the Audit Committee of Brighthouse Financial, Inc. (the “BHF Audit Committee”).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8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 (1)</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 (2)</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 (3)</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 (4)</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13" w:lineRule="exact"/>
        <w:rPr>
          <w:sz w:val="20"/>
          <w:szCs w:val="20"/>
          <w:color w:val="auto"/>
        </w:rPr>
      </w:pPr>
    </w:p>
    <w:p>
      <w:pPr>
        <w:jc w:val="both"/>
        <w:ind w:left="340" w:hanging="332"/>
        <w:spacing w:after="0" w:line="261"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Fees billed for professional services for the audit of the financial statements of the Company, including the annual financial statement audit, the reviews of the interim financial statements included in quarterly reports on Form 10-Q for the Company, statutory audits, assistance with and review of documents filed with the SEC and other services that enable the independent auditor to form an opinion of the financial statements of the Company.</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Fees billed for assurance and related services that are reasonably related to the audit or review of the financial statements of the Company and for other services that are traditionally performed by the independent auditor. Such services consist of fees for accounting consultations not directly associated with the annual audit or quarterly reviews.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Fees billed for permitted tax services, including tax compliance, tax advice and tax planning.</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Fees billed for this category primarily represent accounting research subscription fees.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Services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BHF Audit Committee has established a policy requiring its pre-approval of all audit and non-audit services provided by Deloitte to BHF and its subsidiaries as required under Sarbanes-Oxley and SEC rules, and this policy is designed to ensure that Deloitte’s independence is not impaired. In considering whether to pre-approve the provision of non-audit</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by Deloitte, the BHF Audit Committee will consider whether the services are compatible with the maintenance of Deloitte’s independence. At the beginning of each fiscal year, the BHF Audit Committee appoints its independent auditor to perform certain audit, audit-related, and permissible non-audit services, as approved by the BHF Audit Committee.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BHF Audit Committee provides a general pre-approval, on an annual basis, of audit, audit-related, and permissible non-audit services up to amounts reasonably determined by the BHF Audit Committee to be appropriate. The BHF Audit Committee must specifically pre-approve (i) any proposed services that exceed such general pre-approval limits, (ii) tax services and (iii) any additional services that have not been generally pre-approved by the Audit Committee. Deloitte is required to periodically report to the BHF Audit Committee the extent of the services that it has provided to the Company and the fees for the services performed to date. The BHF Audit Committee annually reviews the policy to ensure its continued appropriateness and compliance with applicable laws and listing standards.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pre-approval policy delegates to the BHF Audit Committee Chair the authority to pre-approve audit, audit-related or non-audit services between meetings for individual projects up to certain specified amounts if management deems it reasonably necessary to begin the services before the next scheduled meeting of the Audit Committee. The BHF Audit Committee Chair must report any pre-approval decisions to the BHF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7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Notes and Schedules.”</w:t>
      </w:r>
    </w:p>
    <w:p>
      <w:pPr>
        <w:spacing w:after="0" w:line="17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See “Index to Financial Statements, Notes and Schedules.”</w:t>
      </w:r>
    </w:p>
    <w:p>
      <w:pPr>
        <w:spacing w:after="0" w:line="182" w:lineRule="exact"/>
        <w:rPr>
          <w:rFonts w:ascii="Times New Roman" w:cs="Times New Roman" w:eastAsia="Times New Roman" w:hAnsi="Times New Roman"/>
          <w:sz w:val="17"/>
          <w:szCs w:val="17"/>
          <w:color w:val="auto"/>
        </w:rPr>
      </w:pPr>
    </w:p>
    <w:p>
      <w:pPr>
        <w:ind w:left="520" w:hanging="188"/>
        <w:spacing w:after="0"/>
        <w:tabs>
          <w:tab w:leader="none" w:pos="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are listed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66" w:right="1440"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Note Regarding Reliance on Statements in Our Contracts:</w:t>
      </w:r>
      <w:r>
        <w:rPr>
          <w:rFonts w:ascii="Times New Roman" w:cs="Times New Roman" w:eastAsia="Times New Roman" w:hAnsi="Times New Roman"/>
          <w:sz w:val="17"/>
          <w:szCs w:val="17"/>
          <w:i w:val="1"/>
          <w:iCs w:val="1"/>
          <w:color w:val="auto"/>
        </w:rPr>
        <w:t xml:space="preserve"> In reviewing the agreements included as exhibits to this Annual Report on Form 10-K, please remember that they are included to provide you with information regarding their terms and are not intended to provide any other factual or disclosure information about Brighthouse Life Insurance Company of NY, its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of NY and its affiliates may be found elsewhere in this Annual Report on Form 10-K and Brighthouse Life Insurance Company of NY’s other public filings, which are available without charge through the U.S. Securities and Exchange Commission website at www.sec.gov.)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tcBorders>
            <w:gridSpan w:val="7"/>
          </w:tcPr>
          <w:p>
            <w:pPr>
              <w:spacing w:after="0" w:line="18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Charter of Brighthouse Life Insurance Company of NY (formerly First MetLife Investors Insurance Company) as amended (Incorporated</w:t>
              </w:r>
            </w:hyperlink>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by reference to Exhibit 3.1 to Amendment No. 1 to Form 10, filed by Brighthouse Life Insurance Company of NY on December 23,</w:t>
              </w:r>
            </w:hyperlink>
          </w:p>
        </w:tc>
        <w:tc>
          <w:tcPr>
            <w:tcW w:w="10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2016).</w:t>
              </w:r>
            </w:hyperlink>
          </w:p>
        </w:tc>
        <w:tc>
          <w:tcPr>
            <w:tcW w:w="662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Certificate of Amendment of Charter of Brighthouse Life Insurance Company of NY (formerly First MetLife Investors Insurance</w:t>
              </w:r>
            </w:hyperlink>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Company) (Incorporated by reference to Exhibit 3.1 to Form 8-K, filed by Brighthouse Life Insurance Company of NY on March</w:t>
              </w:r>
            </w:hyperlink>
          </w:p>
        </w:tc>
        <w:tc>
          <w:tcPr>
            <w:tcW w:w="520" w:type="dxa"/>
            <w:vAlign w:val="bottom"/>
            <w:gridSpan w:val="2"/>
          </w:tcPr>
          <w:p>
            <w:pPr>
              <w:jc w:val="right"/>
              <w:ind w:right="320"/>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6,</w:t>
              </w:r>
            </w:hyperlink>
          </w:p>
        </w:tc>
        <w:tc>
          <w:tcPr>
            <w:tcW w:w="160" w:type="dxa"/>
            <w:vAlign w:val="bottom"/>
            <w:gridSpan w:val="2"/>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44">
              <w:r>
                <w:rPr>
                  <w:rFonts w:ascii="Times New Roman" w:cs="Times New Roman" w:eastAsia="Times New Roman" w:hAnsi="Times New Roman"/>
                  <w:sz w:val="18"/>
                  <w:szCs w:val="18"/>
                  <w:color w:val="0000FF"/>
                  <w:w w:val="94"/>
                </w:rPr>
                <w:t>2017).</w:t>
              </w:r>
            </w:hyperlink>
          </w:p>
        </w:tc>
        <w:tc>
          <w:tcPr>
            <w:tcW w:w="662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gridSpan w:val="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Bylaws of Brighthouse Life Insurance Company of NY, as effective March 6, 2017 (Incorporated by reference to</w:t>
              </w:r>
            </w:hyperlink>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Exhibit 3.2 to Form 8-K, filed by Brighthouse Life Insurance Company of NY on March 6, 2017).</w:t>
              </w:r>
            </w:hyperlink>
          </w:p>
        </w:tc>
        <w:tc>
          <w:tcPr>
            <w:tcW w:w="2760" w:type="dxa"/>
            <w:vAlign w:val="bottom"/>
            <w:tcBorders>
              <w:top w:val="single" w:sz="8" w:color="0000FF"/>
            </w:tcBorders>
            <w:gridSpan w:val="3"/>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45"/>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1">
              <w:r>
                <w:rPr>
                  <w:rFonts w:ascii="Times New Roman" w:cs="Times New Roman" w:eastAsia="Times New Roman" w:hAnsi="Times New Roman"/>
                  <w:sz w:val="18"/>
                  <w:szCs w:val="18"/>
                  <w:u w:val="single" w:color="auto"/>
                  <w:color w:val="0000FF"/>
                </w:rPr>
                <w:t>Description of Securities.</w:t>
              </w:r>
            </w:hyperlink>
          </w:p>
        </w:tc>
      </w:tr>
      <w:tr>
        <w:trPr>
          <w:trHeight w:val="23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Consent of Deloitte &amp; Touche LLP.</w:t>
              </w:r>
            </w:hyperlink>
          </w:p>
        </w:tc>
      </w:tr>
      <w:tr>
        <w:trPr>
          <w:trHeight w:val="23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3">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hyperlink>
          </w:p>
        </w:tc>
      </w:tr>
      <w:tr>
        <w:trPr>
          <w:trHeight w:val="22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4">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hyperlink>
          </w:p>
        </w:tc>
      </w:tr>
      <w:tr>
        <w:trPr>
          <w:trHeight w:val="23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5">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tc>
      </w:tr>
      <w:tr>
        <w:trPr>
          <w:trHeight w:val="23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Certification of Chief Financial Officer pursuant to Section 906 of the Sarbanes-Oxley Act of 2002.</w:t>
              </w:r>
            </w:hyperlink>
          </w:p>
        </w:tc>
      </w:tr>
      <w:tr>
        <w:trPr>
          <w:trHeight w:val="180"/>
        </w:trPr>
        <w:tc>
          <w:tcPr>
            <w:tcW w:w="12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7"/>
              </w:rPr>
              <w:t>101.INS*</w:t>
            </w:r>
          </w:p>
        </w:tc>
        <w:tc>
          <w:tcPr>
            <w:tcW w:w="20" w:type="dxa"/>
            <w:vAlign w:val="bottom"/>
          </w:tcPr>
          <w:p>
            <w:pPr>
              <w:spacing w:after="0"/>
              <w:rPr>
                <w:sz w:val="15"/>
                <w:szCs w:val="15"/>
                <w:color w:val="auto"/>
              </w:rPr>
            </w:pPr>
          </w:p>
        </w:tc>
        <w:tc>
          <w:tcPr>
            <w:tcW w:w="100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5"/>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101.PRE*</w:t>
            </w: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0"/>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95"/>
        </w:trPr>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auto"/>
              </w:rPr>
              <w:t>The cover page of Brighthouse Life Insurance Company of NY’s Annual Report on Form 10-K for the year ended December 31, 2020,</w:t>
            </w:r>
          </w:p>
        </w:tc>
      </w:tr>
    </w:tbl>
    <w:p>
      <w:pPr>
        <w:ind w:left="1240"/>
        <w:spacing w:after="0"/>
        <w:rPr>
          <w:sz w:val="20"/>
          <w:szCs w:val="20"/>
          <w:color w:val="auto"/>
        </w:rPr>
      </w:pPr>
      <w:r>
        <w:rPr>
          <w:rFonts w:ascii="Times New Roman" w:cs="Times New Roman" w:eastAsia="Times New Roman" w:hAnsi="Times New Roman"/>
          <w:sz w:val="18"/>
          <w:szCs w:val="18"/>
          <w:color w:val="auto"/>
        </w:rPr>
        <w:t>formatted in Inline XBRL (included within the Exhibit 101 attachments).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BRIGHTHOUSE LIFE INSURANCE COMPANY OF NY</w:t>
      </w:r>
    </w:p>
    <w:p>
      <w:pPr>
        <w:spacing w:after="0" w:line="198" w:lineRule="exact"/>
        <w:rPr>
          <w:sz w:val="20"/>
          <w:szCs w:val="20"/>
          <w:color w:val="auto"/>
        </w:rPr>
      </w:pPr>
    </w:p>
    <w:tbl>
      <w:tblPr>
        <w:tblLayout w:type="fixed"/>
        <w:tblInd w:w="4660" w:type="dxa"/>
        <w:tblCellMar>
          <w:top w:w="0" w:type="dxa"/>
          <w:left w:w="0" w:type="dxa"/>
          <w:bottom w:w="0" w:type="dxa"/>
          <w:right w:w="0" w:type="dxa"/>
        </w:tblCellMar>
      </w:tblPr>
      <w:tr>
        <w:trPr>
          <w:trHeight w:val="234"/>
        </w:trPr>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 Lynn A. Dumais</w:t>
            </w:r>
          </w:p>
        </w:tc>
        <w:tc>
          <w:tcPr>
            <w:tcW w:w="0" w:type="dxa"/>
            <w:vAlign w:val="bottom"/>
          </w:tcPr>
          <w:p>
            <w:pPr>
              <w:spacing w:after="0"/>
              <w:rPr>
                <w:sz w:val="1"/>
                <w:szCs w:val="1"/>
                <w:color w:val="auto"/>
              </w:rPr>
            </w:pPr>
          </w:p>
        </w:tc>
      </w:tr>
      <w:tr>
        <w:trPr>
          <w:trHeight w:val="68"/>
        </w:trPr>
        <w:tc>
          <w:tcPr>
            <w:tcW w:w="1100" w:type="dxa"/>
            <w:vAlign w:val="bottom"/>
            <w:gridSpan w:val="2"/>
            <w:vMerge w:val="continue"/>
          </w:tcPr>
          <w:p>
            <w:pPr>
              <w:spacing w:after="0"/>
              <w:rPr>
                <w:sz w:val="5"/>
                <w:szCs w:val="5"/>
                <w:color w:val="auto"/>
              </w:rPr>
            </w:pPr>
          </w:p>
        </w:tc>
        <w:tc>
          <w:tcPr>
            <w:tcW w:w="5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Lynn A. Dumais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4,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85"/>
        </w:trPr>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Chairman of the Board, President and</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Conor E. Murphy</w:t>
            </w:r>
          </w:p>
        </w:tc>
        <w:tc>
          <w:tcPr>
            <w:tcW w:w="240" w:type="dxa"/>
            <w:vAlign w:val="bottom"/>
          </w:tcPr>
          <w:p>
            <w:pPr>
              <w:spacing w:after="0"/>
              <w:rPr>
                <w:sz w:val="15"/>
                <w:szCs w:val="15"/>
                <w:color w:val="auto"/>
              </w:rPr>
            </w:pPr>
          </w:p>
        </w:tc>
        <w:tc>
          <w:tcPr>
            <w:tcW w:w="4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4"/>
        </w:trPr>
        <w:tc>
          <w:tcPr>
            <w:tcW w:w="24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Conor E. Murphy</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Vice President and Chief Financial Officer</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Lynn A. Dumais</w:t>
            </w:r>
          </w:p>
        </w:tc>
        <w:tc>
          <w:tcPr>
            <w:tcW w:w="240" w:type="dxa"/>
            <w:vAlign w:val="bottom"/>
          </w:tcPr>
          <w:p>
            <w:pPr>
              <w:spacing w:after="0"/>
              <w:rPr>
                <w:sz w:val="15"/>
                <w:szCs w:val="15"/>
                <w:color w:val="auto"/>
              </w:rPr>
            </w:pPr>
          </w:p>
        </w:tc>
        <w:tc>
          <w:tcPr>
            <w:tcW w:w="4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(Principal Financial Officer and</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5"/>
        </w:trPr>
        <w:tc>
          <w:tcPr>
            <w:tcW w:w="24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Lynn A. Dumais</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Kimberly A. Berwanger</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Kimberly A. Berwanger</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W. Chamberlin</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W. Chamberlin</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Hemmings</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A. Hemmings</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Mayer Naiman</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Mayer Naiman</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C. Pearson</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C. Pearson</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A. Rayvid</w:t>
            </w:r>
          </w:p>
        </w:tc>
        <w:tc>
          <w:tcPr>
            <w:tcW w:w="240" w:type="dxa"/>
            <w:vAlign w:val="bottom"/>
          </w:tcPr>
          <w:p>
            <w:pPr>
              <w:spacing w:after="0"/>
              <w:rPr>
                <w:sz w:val="24"/>
                <w:szCs w:val="24"/>
                <w:color w:val="auto"/>
              </w:rPr>
            </w:pPr>
          </w:p>
        </w:tc>
        <w:tc>
          <w:tcPr>
            <w:tcW w:w="4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2021</w:t>
            </w:r>
          </w:p>
        </w:tc>
        <w:tc>
          <w:tcPr>
            <w:tcW w:w="0" w:type="dxa"/>
            <w:vAlign w:val="bottom"/>
          </w:tcPr>
          <w:p>
            <w:pPr>
              <w:spacing w:after="0"/>
              <w:rPr>
                <w:sz w:val="1"/>
                <w:szCs w:val="1"/>
                <w:color w:val="auto"/>
              </w:rPr>
            </w:pPr>
          </w:p>
        </w:tc>
      </w:tr>
      <w:tr>
        <w:trPr>
          <w:trHeight w:val="23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Rayvid</w:t>
            </w:r>
          </w:p>
        </w:tc>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Information to be Furnished with Reports Filed Pursuant to Section 15(d) of the Act by Registrants Which Have Not Registered Securities Pursuant to Section 12 of the Act: None.</w:t>
      </w:r>
    </w:p>
    <w:p>
      <w:pPr>
        <w:spacing w:after="0" w:line="10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annual report to security holders covering the registrant’s last fiscal year or proxy material with respect to any meeting of security holders has been sent, or will be sent, to security holders.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40"/>
          </w:cols>
          <w:pgMar w:left="320" w:top="266"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 Registered Pursuant to Section 12 of the Securities Exchange Act of 1934</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Brighthouse Life Insurance Company of NY (“BHNY” or “our”) has one outstanding class of securities registered under Section 12 of the Securities Exchange Act of 1934, as amended: our common stock, par value $10.00 per share (“common stock”). We are a wholly-owned subsidiary of Brighthouse Life Insurance Company, which holds all shares of our common stock.</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152" w:lineRule="exact"/>
        <w:rPr>
          <w:sz w:val="20"/>
          <w:szCs w:val="20"/>
          <w:color w:val="auto"/>
        </w:rPr>
      </w:pPr>
    </w:p>
    <w:p>
      <w:pPr>
        <w:jc w:val="both"/>
        <w:ind w:firstLine="234"/>
        <w:spacing w:after="0" w:line="246" w:lineRule="auto"/>
        <w:rPr>
          <w:sz w:val="20"/>
          <w:szCs w:val="20"/>
          <w:color w:val="auto"/>
        </w:rPr>
      </w:pPr>
      <w:r>
        <w:rPr>
          <w:rFonts w:ascii="Times New Roman" w:cs="Times New Roman" w:eastAsia="Times New Roman" w:hAnsi="Times New Roman"/>
          <w:sz w:val="20"/>
          <w:szCs w:val="20"/>
          <w:color w:val="auto"/>
        </w:rPr>
        <w:t>The following description of our common stock is a summary and does not purport to be complete. It is subject to, and qualified in its entirety by reference to, our Charter, as amended (“Charter”), our Amended and Restated By-laws (“By-laws”) and the relevant provisions New York law, which define the rights of our sole stockholder. You should read our Charter and By-laws and the relevant provisions of New York law for a full description of the terms of our common stock. Our Charter and By-Laws are filed as exhibits to the Annual Report on Form 10-K of which this exhibit forms a part and incorporated by reference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39"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20"/>
          <w:szCs w:val="20"/>
          <w:color w:val="auto"/>
        </w:rPr>
        <w:t>BHNY is a New York domiciled stock life insurance company. BHNY’s authorized capital stock consists of 200,000 shares of common stock, par value $10.00 per share, of which 200,000 shares were outstanding at March 5, 2020. All of such issued and outstanding shares were fully paid and non-assessable.</w:t>
      </w:r>
    </w:p>
    <w:p>
      <w:pPr>
        <w:spacing w:after="0" w:line="107"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20"/>
          <w:szCs w:val="20"/>
          <w:color w:val="auto"/>
        </w:rPr>
        <w:t>All of our issued and outstanding common stock is owned by Brighthouse Life Insurance Company, an indirect, wholly-owned subsidiary of Brighthouse Financial, Inc. There is no authorized preferred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3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20"/>
          <w:szCs w:val="20"/>
          <w:color w:val="auto"/>
        </w:rPr>
        <w:t>The holders of our common stock are entitled to receive dividends as and when declared by our board of directors. Dividends may be paid in cash, property, or bonds or shares of our common stock, except as limited by applicable law. There is no requirement or assurance that BHNY will declare and pay any dividends.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52" w:lineRule="exact"/>
        <w:rPr>
          <w:sz w:val="20"/>
          <w:szCs w:val="20"/>
          <w:color w:val="auto"/>
        </w:rPr>
      </w:pPr>
    </w:p>
    <w:p>
      <w:pPr>
        <w:jc w:val="both"/>
        <w:ind w:firstLine="220"/>
        <w:spacing w:after="0" w:line="269" w:lineRule="auto"/>
        <w:rPr>
          <w:sz w:val="20"/>
          <w:szCs w:val="20"/>
          <w:color w:val="auto"/>
        </w:rPr>
      </w:pPr>
      <w:r>
        <w:rPr>
          <w:rFonts w:ascii="Times New Roman" w:cs="Times New Roman" w:eastAsia="Times New Roman" w:hAnsi="Times New Roman"/>
          <w:sz w:val="20"/>
          <w:szCs w:val="20"/>
          <w:color w:val="auto"/>
        </w:rPr>
        <w:t>The holders of our common stock are entitled to one vote per share on all matters on which the holders of common stock are entitled to vote, including the election of directors, and there are no cumulative voting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 and Dissolution</w:t>
      </w:r>
    </w:p>
    <w:p>
      <w:pPr>
        <w:spacing w:after="0" w:line="152" w:lineRule="exact"/>
        <w:rPr>
          <w:sz w:val="20"/>
          <w:szCs w:val="20"/>
          <w:color w:val="auto"/>
        </w:rPr>
      </w:pPr>
    </w:p>
    <w:p>
      <w:pPr>
        <w:jc w:val="both"/>
        <w:ind w:firstLine="234"/>
        <w:spacing w:after="0" w:line="269" w:lineRule="auto"/>
        <w:rPr>
          <w:sz w:val="20"/>
          <w:szCs w:val="20"/>
          <w:color w:val="auto"/>
        </w:rPr>
      </w:pPr>
      <w:r>
        <w:rPr>
          <w:rFonts w:ascii="Times New Roman" w:cs="Times New Roman" w:eastAsia="Times New Roman" w:hAnsi="Times New Roman"/>
          <w:sz w:val="20"/>
          <w:szCs w:val="20"/>
          <w:color w:val="auto"/>
        </w:rPr>
        <w:t>In the event of BHNY’s liquidation, dissolution or winding-up, the holders of common stock are entitled to share equally and ratably in BHNY’s assets, if any, remaining after the payment of all of BHNY’s liabilities.</w:t>
      </w:r>
    </w:p>
    <w:p>
      <w:pPr>
        <w:sectPr>
          <w:pgSz w:w="11900" w:h="16838" w:orient="portrait"/>
          <w:cols w:equalWidth="0" w:num="1">
            <w:col w:w="11240"/>
          </w:cols>
          <w:pgMar w:left="320" w:top="11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4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the below listed registration statements of our report dated March 4, 2021, relating to the financial statements of Brighthouse Life Insurance Company of NY appearing in this Annual Report on Form 10-K for the year ended December 31, 2020.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Form S-3: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333-226036</w:t>
      </w:r>
    </w:p>
    <w:p>
      <w:pPr>
        <w:spacing w:after="0"/>
        <w:rPr>
          <w:sz w:val="20"/>
          <w:szCs w:val="20"/>
          <w:color w:val="auto"/>
        </w:rPr>
      </w:pPr>
      <w:r>
        <w:rPr>
          <w:rFonts w:ascii="Times New Roman" w:cs="Times New Roman" w:eastAsia="Times New Roman" w:hAnsi="Times New Roman"/>
          <w:sz w:val="20"/>
          <w:szCs w:val="20"/>
          <w:color w:val="auto"/>
        </w:rPr>
        <w:t>No. 333-229553</w:t>
      </w:r>
    </w:p>
    <w:p>
      <w:pPr>
        <w:spacing w:after="0"/>
        <w:rPr>
          <w:sz w:val="20"/>
          <w:szCs w:val="20"/>
          <w:color w:val="auto"/>
        </w:rPr>
      </w:pPr>
      <w:r>
        <w:rPr>
          <w:rFonts w:ascii="Times New Roman" w:cs="Times New Roman" w:eastAsia="Times New Roman" w:hAnsi="Times New Roman"/>
          <w:sz w:val="20"/>
          <w:szCs w:val="20"/>
          <w:color w:val="auto"/>
        </w:rPr>
        <w:t>No. 333-234535</w:t>
      </w:r>
    </w:p>
    <w:p>
      <w:pPr>
        <w:spacing w:after="0"/>
        <w:rPr>
          <w:sz w:val="20"/>
          <w:szCs w:val="20"/>
          <w:color w:val="auto"/>
        </w:rPr>
      </w:pPr>
      <w:r>
        <w:rPr>
          <w:rFonts w:ascii="Times New Roman" w:cs="Times New Roman" w:eastAsia="Times New Roman" w:hAnsi="Times New Roman"/>
          <w:sz w:val="20"/>
          <w:szCs w:val="20"/>
          <w:color w:val="auto"/>
        </w:rPr>
        <w:t>No. 333-238214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rPr>
          <w:sz w:val="20"/>
          <w:szCs w:val="20"/>
          <w:color w:val="auto"/>
        </w:rPr>
      </w:pPr>
      <w:r>
        <w:rPr>
          <w:rFonts w:ascii="Times New Roman" w:cs="Times New Roman" w:eastAsia="Times New Roman" w:hAnsi="Times New Roman"/>
          <w:sz w:val="20"/>
          <w:szCs w:val="20"/>
          <w:color w:val="auto"/>
        </w:rPr>
        <w:t>March 4, 2021</w:t>
      </w:r>
    </w:p>
    <w:p>
      <w:pPr>
        <w:sectPr>
          <w:pgSz w:w="11900" w:h="16838" w:orient="portrait"/>
          <w:cols w:equalWidth="0" w:num="1">
            <w:col w:w="11240"/>
          </w:cols>
          <w:pgMar w:left="320" w:top="360" w:right="339" w:bottom="1440" w:gutter="0" w:footer="0" w:header="0"/>
        </w:sectPr>
      </w:pPr>
    </w:p>
    <w:bookmarkStart w:id="122" w:name="page123"/>
    <w:bookmarkEnd w:id="122"/>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Conor E. Murphy, certify that:</w:t>
      </w:r>
    </w:p>
    <w:p>
      <w:pPr>
        <w:spacing w:after="0" w:line="104"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Life Insurance Company of NY;</w:t>
      </w:r>
    </w:p>
    <w:p>
      <w:pPr>
        <w:spacing w:after="0" w:line="90"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14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34290</wp:posOffset>
            </wp:positionV>
            <wp:extent cx="2931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Conor E. Murphy</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240"/>
          </w:cols>
          <w:pgMar w:left="320" w:top="374" w:right="339" w:bottom="1440" w:gutter="0" w:footer="0" w:header="0"/>
        </w:sectPr>
      </w:pPr>
    </w:p>
    <w:bookmarkStart w:id="123" w:name="page124"/>
    <w:bookmarkEnd w:id="12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A. Dumais, certify that:</w:t>
      </w:r>
    </w:p>
    <w:p>
      <w:pPr>
        <w:spacing w:after="0" w:line="90"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Life Insurance Company of NY;</w:t>
      </w:r>
    </w:p>
    <w:p>
      <w:pPr>
        <w:spacing w:after="0" w:line="103"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13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34290</wp:posOffset>
            </wp:positionV>
            <wp:extent cx="2185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Lynn A. Dumais</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36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52"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I, Conor E. Murphy, certify that, to my knowledge, (i) Brighthouse Life Insurance Company of NY’s Annual Report on Form 10-K for the year ended December 31, 2020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 of 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00" w:lineRule="exact"/>
        <w:rPr>
          <w:sz w:val="20"/>
          <w:szCs w:val="20"/>
          <w:color w:val="auto"/>
        </w:rPr>
      </w:pPr>
    </w:p>
    <w:p>
      <w:pPr>
        <w:spacing w:after="0" w:line="21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22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Conor E. Murphy</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3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5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 Lynn A. Dumais, certify that, to my knowledge, (i) Brighthouse Life Insurance Company of NY’s Annual Report on Form 10-K for the year ended December 31, 2020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 of 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00" w:lineRule="exact"/>
        <w:rPr>
          <w:sz w:val="20"/>
          <w:szCs w:val="20"/>
          <w:color w:val="auto"/>
        </w:rPr>
      </w:pPr>
    </w:p>
    <w:p>
      <w:pPr>
        <w:spacing w:after="0" w:line="214"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34290</wp:posOffset>
            </wp:positionV>
            <wp:extent cx="20485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5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Lynn A. Dumais</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amp;"/>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lvl w:ilvl="1">
      <w:lvlJc w:val="left"/>
      <w:lvlText w:val="◦"/>
      <w:numFmt w:val="bullet"/>
      <w:start w:val="1"/>
    </w:lvl>
  </w:abstractNum>
  <w:abstractNum w:abstractNumId="13">
    <w:nsid w:val="836C40E"/>
    <w:multiLevelType w:val="hybridMultilevel"/>
    <w:lvl w:ilvl="0">
      <w:lvlJc w:val="left"/>
      <w:lvlText w:val="•"/>
      <w:numFmt w:val="bullet"/>
      <w:start w:val="1"/>
    </w:lvl>
    <w:lvl w:ilvl="1">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3"/>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3"/>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6"/>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Letter"/>
      <w:start w:val="1"/>
    </w:lvl>
    <w:lvl w:ilvl="1">
      <w:lvlJc w:val="left"/>
      <w:lvlText w:val="%2."/>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43" Type="http://schemas.openxmlformats.org/officeDocument/2006/relationships/hyperlink" Target="http://www.sec.gov/Archives/edgar/data/1167609/000116760916000010/fmliform10-ax20151231xex31.htm" TargetMode="External"/><Relationship Id="rId144" Type="http://schemas.openxmlformats.org/officeDocument/2006/relationships/hyperlink" Target="http://www.sec.gov/Archives/edgar/data/1167609/000119312517071686/d353762dex31.htm" TargetMode="External"/><Relationship Id="rId145" Type="http://schemas.openxmlformats.org/officeDocument/2006/relationships/hyperlink" Target="http://www.sec.gov/Archives/edgar/data/1167609/000119312517071686/d35376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2021-03-04T15:17:31Z</dcterms:created>
  <dcterms:modified xsi:type="dcterms:W3CDTF">2021-03-04T15:17:31Z</dcterms:modified>
</cp:coreProperties>
</file>