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619125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576580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 SECURITIES AND EXCHANGE COMMISSION</w:t>
      </w:r>
    </w:p>
    <w:p>
      <w:pPr>
        <w:spacing w:after="0" w:line="5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53"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__________________________</w:t>
      </w:r>
    </w:p>
    <w:p>
      <w:pPr>
        <w:spacing w:after="0" w:line="6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200" w:lineRule="exact"/>
        <w:rPr>
          <w:sz w:val="24"/>
          <w:szCs w:val="24"/>
          <w:color w:val="auto"/>
        </w:rPr>
      </w:pPr>
    </w:p>
    <w:p>
      <w:pPr>
        <w:spacing w:after="0" w:line="228" w:lineRule="exact"/>
        <w:rPr>
          <w:sz w:val="24"/>
          <w:szCs w:val="24"/>
          <w:color w:val="auto"/>
        </w:rPr>
      </w:pPr>
    </w:p>
    <w:p>
      <w:pPr>
        <w:ind w:left="1720" w:hanging="243"/>
        <w:spacing w:after="0"/>
        <w:tabs>
          <w:tab w:leader="none" w:pos="172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6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329" w:lineRule="exact"/>
        <w:rPr>
          <w:sz w:val="24"/>
          <w:szCs w:val="24"/>
          <w:color w:val="auto"/>
        </w:rPr>
      </w:pPr>
    </w:p>
    <w:p>
      <w:pPr>
        <w:ind w:left="1720" w:hanging="243"/>
        <w:spacing w:after="0"/>
        <w:tabs>
          <w:tab w:leader="none" w:pos="172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17" w:lineRule="exact"/>
        <w:rPr>
          <w:sz w:val="24"/>
          <w:szCs w:val="24"/>
          <w:color w:val="auto"/>
        </w:rPr>
      </w:pPr>
    </w:p>
    <w:p>
      <w:pPr>
        <w:jc w:val="right"/>
        <w:ind w:right="4380"/>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64" w:lineRule="exact"/>
        <w:rPr>
          <w:sz w:val="24"/>
          <w:szCs w:val="24"/>
          <w:color w:val="auto"/>
        </w:rPr>
      </w:pPr>
    </w:p>
    <w:p>
      <w:pPr>
        <w:jc w:val="right"/>
        <w:ind w:right="4340"/>
        <w:spacing w:after="0"/>
        <w:rPr>
          <w:sz w:val="20"/>
          <w:szCs w:val="20"/>
          <w:color w:val="auto"/>
        </w:rPr>
      </w:pPr>
      <w:r>
        <w:rPr>
          <w:rFonts w:ascii="Times New Roman" w:cs="Times New Roman" w:eastAsia="Times New Roman" w:hAnsi="Times New Roman"/>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2645410</wp:posOffset>
            </wp:positionH>
            <wp:positionV relativeFrom="paragraph">
              <wp:posOffset>56515</wp:posOffset>
            </wp:positionV>
            <wp:extent cx="2061210" cy="4711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Brighthouse Financial, Inc.</w:t>
      </w:r>
    </w:p>
    <w:p>
      <w:pPr>
        <w:spacing w:after="0" w:line="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351" w:lineRule="exact"/>
        <w:rPr>
          <w:sz w:val="24"/>
          <w:szCs w:val="24"/>
          <w:color w:val="auto"/>
        </w:rPr>
      </w:pPr>
    </w:p>
    <w:tbl>
      <w:tblPr>
        <w:tblLayout w:type="fixed"/>
        <w:tblInd w:w="540" w:type="dxa"/>
        <w:tblCellMar>
          <w:top w:w="0" w:type="dxa"/>
          <w:left w:w="0" w:type="dxa"/>
          <w:bottom w:w="0" w:type="dxa"/>
          <w:right w:w="0" w:type="dxa"/>
        </w:tblCellMar>
      </w:tblPr>
      <w:tr>
        <w:trPr>
          <w:trHeight w:val="186"/>
        </w:trPr>
        <w:tc>
          <w:tcPr>
            <w:tcW w:w="1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80" w:type="dxa"/>
            <w:vAlign w:val="bottom"/>
          </w:tcPr>
          <w:p>
            <w:pPr>
              <w:jc w:val="center"/>
              <w:ind w:left="414"/>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00" w:type="dxa"/>
            <w:vAlign w:val="bottom"/>
            <w:gridSpan w:val="2"/>
          </w:tcPr>
          <w:p>
            <w:pPr>
              <w:jc w:val="right"/>
              <w:ind w:right="1578"/>
              <w:spacing w:after="0"/>
              <w:rPr>
                <w:sz w:val="20"/>
                <w:szCs w:val="20"/>
                <w:color w:val="auto"/>
              </w:rPr>
            </w:pPr>
            <w:r>
              <w:rPr>
                <w:rFonts w:ascii="Times New Roman" w:cs="Times New Roman" w:eastAsia="Times New Roman" w:hAnsi="Times New Roman"/>
                <w:sz w:val="14"/>
                <w:szCs w:val="14"/>
                <w:b w:val="1"/>
                <w:bCs w:val="1"/>
                <w:color w:val="auto"/>
              </w:rPr>
              <w:t>81-3846992</w:t>
            </w:r>
          </w:p>
        </w:tc>
        <w:tc>
          <w:tcPr>
            <w:tcW w:w="0" w:type="dxa"/>
            <w:vAlign w:val="bottom"/>
          </w:tcPr>
          <w:p>
            <w:pPr>
              <w:spacing w:after="0"/>
              <w:rPr>
                <w:sz w:val="1"/>
                <w:szCs w:val="1"/>
                <w:color w:val="auto"/>
              </w:rPr>
            </w:pPr>
          </w:p>
        </w:tc>
      </w:tr>
      <w:tr>
        <w:trPr>
          <w:trHeight w:val="437"/>
        </w:trPr>
        <w:tc>
          <w:tcPr>
            <w:tcW w:w="1740" w:type="dxa"/>
            <w:vAlign w:val="bottom"/>
          </w:tcPr>
          <w:p>
            <w:pPr>
              <w:spacing w:after="0"/>
              <w:rPr>
                <w:sz w:val="24"/>
                <w:szCs w:val="24"/>
                <w:color w:val="auto"/>
              </w:rPr>
            </w:pPr>
          </w:p>
        </w:tc>
        <w:tc>
          <w:tcPr>
            <w:tcW w:w="4880" w:type="dxa"/>
            <w:vAlign w:val="bottom"/>
            <w:gridSpan w:val="5"/>
          </w:tcPr>
          <w:p>
            <w:pPr>
              <w:jc w:val="center"/>
              <w:ind w:right="7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3100" w:type="dxa"/>
            <w:vAlign w:val="bottom"/>
            <w:gridSpan w:val="2"/>
          </w:tcPr>
          <w:p>
            <w:pPr>
              <w:jc w:val="center"/>
              <w:ind w:right="818"/>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c>
          <w:tcPr>
            <w:tcW w:w="0" w:type="dxa"/>
            <w:vAlign w:val="bottom"/>
          </w:tcPr>
          <w:p>
            <w:pPr>
              <w:spacing w:after="0"/>
              <w:rPr>
                <w:sz w:val="1"/>
                <w:szCs w:val="1"/>
                <w:color w:val="auto"/>
              </w:rPr>
            </w:pPr>
          </w:p>
        </w:tc>
      </w:tr>
      <w:tr>
        <w:trPr>
          <w:trHeight w:val="490"/>
        </w:trPr>
        <w:tc>
          <w:tcPr>
            <w:tcW w:w="6620" w:type="dxa"/>
            <w:vAlign w:val="bottom"/>
            <w:gridSpan w:val="6"/>
          </w:tcPr>
          <w:p>
            <w:pPr>
              <w:ind w:left="1460"/>
              <w:spacing w:after="0"/>
              <w:rPr>
                <w:sz w:val="20"/>
                <w:szCs w:val="20"/>
                <w:color w:val="auto"/>
              </w:rPr>
            </w:pPr>
            <w:r>
              <w:rPr>
                <w:rFonts w:ascii="Times New Roman" w:cs="Times New Roman" w:eastAsia="Times New Roman" w:hAnsi="Times New Roman"/>
                <w:sz w:val="14"/>
                <w:szCs w:val="14"/>
                <w:b w:val="1"/>
                <w:bCs w:val="1"/>
                <w:color w:val="auto"/>
              </w:rPr>
              <w:t>11225 North Community House Road, Charlotte, North Carolina</w:t>
            </w:r>
          </w:p>
        </w:tc>
        <w:tc>
          <w:tcPr>
            <w:tcW w:w="3100" w:type="dxa"/>
            <w:vAlign w:val="bottom"/>
            <w:gridSpan w:val="2"/>
          </w:tcPr>
          <w:p>
            <w:pPr>
              <w:jc w:val="right"/>
              <w:ind w:right="1738"/>
              <w:spacing w:after="0"/>
              <w:rPr>
                <w:sz w:val="20"/>
                <w:szCs w:val="20"/>
                <w:color w:val="auto"/>
              </w:rPr>
            </w:pPr>
            <w:r>
              <w:rPr>
                <w:rFonts w:ascii="Times New Roman" w:cs="Times New Roman" w:eastAsia="Times New Roman" w:hAnsi="Times New Roman"/>
                <w:sz w:val="14"/>
                <w:szCs w:val="14"/>
                <w:b w:val="1"/>
                <w:bCs w:val="1"/>
                <w:color w:val="auto"/>
              </w:rPr>
              <w:t>28277</w:t>
            </w:r>
          </w:p>
        </w:tc>
        <w:tc>
          <w:tcPr>
            <w:tcW w:w="0" w:type="dxa"/>
            <w:vAlign w:val="bottom"/>
          </w:tcPr>
          <w:p>
            <w:pPr>
              <w:spacing w:after="0"/>
              <w:rPr>
                <w:sz w:val="1"/>
                <w:szCs w:val="1"/>
                <w:color w:val="auto"/>
              </w:rPr>
            </w:pPr>
          </w:p>
        </w:tc>
      </w:tr>
      <w:tr>
        <w:trPr>
          <w:trHeight w:val="437"/>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gridSpan w:val="4"/>
          </w:tcPr>
          <w:p>
            <w:pPr>
              <w:jc w:val="center"/>
              <w:ind w:right="16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3100" w:type="dxa"/>
            <w:vAlign w:val="bottom"/>
            <w:gridSpan w:val="2"/>
          </w:tcPr>
          <w:p>
            <w:pPr>
              <w:jc w:val="center"/>
              <w:ind w:right="818"/>
              <w:spacing w:after="0"/>
              <w:rPr>
                <w:sz w:val="20"/>
                <w:szCs w:val="20"/>
                <w:color w:val="auto"/>
              </w:rPr>
            </w:pPr>
            <w:r>
              <w:rPr>
                <w:rFonts w:ascii="Times New Roman" w:cs="Times New Roman" w:eastAsia="Times New Roman" w:hAnsi="Times New Roman"/>
                <w:sz w:val="14"/>
                <w:szCs w:val="14"/>
                <w:i w:val="1"/>
                <w:iCs w:val="1"/>
                <w:color w:val="auto"/>
              </w:rPr>
              <w:t>(Zip Code)</w:t>
            </w:r>
          </w:p>
        </w:tc>
        <w:tc>
          <w:tcPr>
            <w:tcW w:w="0" w:type="dxa"/>
            <w:vAlign w:val="bottom"/>
          </w:tcPr>
          <w:p>
            <w:pPr>
              <w:spacing w:after="0"/>
              <w:rPr>
                <w:sz w:val="1"/>
                <w:szCs w:val="1"/>
                <w:color w:val="auto"/>
              </w:rPr>
            </w:pPr>
          </w:p>
        </w:tc>
      </w:tr>
      <w:tr>
        <w:trPr>
          <w:trHeight w:val="508"/>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80" w:type="dxa"/>
            <w:vAlign w:val="bottom"/>
            <w:gridSpan w:val="2"/>
          </w:tcPr>
          <w:p>
            <w:pPr>
              <w:jc w:val="center"/>
              <w:ind w:right="498"/>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980" w:type="dxa"/>
            <w:vAlign w:val="bottom"/>
            <w:gridSpan w:val="4"/>
          </w:tcPr>
          <w:p>
            <w:pPr>
              <w:jc w:val="center"/>
              <w:ind w:left="854"/>
              <w:spacing w:after="0"/>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tc>
        <w:tc>
          <w:tcPr>
            <w:tcW w:w="9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4"/>
        </w:trPr>
        <w:tc>
          <w:tcPr>
            <w:tcW w:w="1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980" w:type="dxa"/>
            <w:vAlign w:val="bottom"/>
            <w:gridSpan w:val="4"/>
          </w:tcPr>
          <w:p>
            <w:pPr>
              <w:jc w:val="center"/>
              <w:ind w:left="834"/>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9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740" w:type="dxa"/>
            <w:vAlign w:val="bottom"/>
          </w:tcPr>
          <w:p>
            <w:pPr>
              <w:spacing w:after="0"/>
              <w:rPr>
                <w:sz w:val="22"/>
                <w:szCs w:val="22"/>
                <w:color w:val="auto"/>
              </w:rPr>
            </w:pPr>
          </w:p>
        </w:tc>
        <w:tc>
          <w:tcPr>
            <w:tcW w:w="2780" w:type="dxa"/>
            <w:vAlign w:val="bottom"/>
            <w:gridSpan w:val="2"/>
          </w:tcPr>
          <w:p>
            <w:pPr>
              <w:jc w:val="center"/>
              <w:ind w:right="1814"/>
              <w:spacing w:after="0"/>
              <w:rPr>
                <w:sz w:val="20"/>
                <w:szCs w:val="20"/>
                <w:color w:val="auto"/>
              </w:rPr>
            </w:pPr>
            <w:r>
              <w:rPr>
                <w:rFonts w:ascii="Times New Roman" w:cs="Times New Roman" w:eastAsia="Times New Roman" w:hAnsi="Times New Roman"/>
                <w:sz w:val="12"/>
                <w:szCs w:val="12"/>
                <w:color w:val="auto"/>
              </w:rPr>
              <w:t>Title of each class</w:t>
            </w:r>
          </w:p>
        </w:tc>
        <w:tc>
          <w:tcPr>
            <w:tcW w:w="2100" w:type="dxa"/>
            <w:vAlign w:val="bottom"/>
            <w:gridSpan w:val="3"/>
          </w:tcPr>
          <w:p>
            <w:pPr>
              <w:jc w:val="center"/>
              <w:ind w:left="294"/>
              <w:spacing w:after="0"/>
              <w:rPr>
                <w:sz w:val="20"/>
                <w:szCs w:val="20"/>
                <w:color w:val="auto"/>
              </w:rPr>
            </w:pPr>
            <w:r>
              <w:rPr>
                <w:rFonts w:ascii="Times New Roman" w:cs="Times New Roman" w:eastAsia="Times New Roman" w:hAnsi="Times New Roman"/>
                <w:sz w:val="12"/>
                <w:szCs w:val="12"/>
                <w:color w:val="auto"/>
              </w:rPr>
              <w:t>Trading symbol(s)</w:t>
            </w:r>
          </w:p>
        </w:tc>
        <w:tc>
          <w:tcPr>
            <w:tcW w:w="3100" w:type="dxa"/>
            <w:vAlign w:val="bottom"/>
            <w:gridSpan w:val="2"/>
          </w:tcPr>
          <w:p>
            <w:pPr>
              <w:jc w:val="center"/>
              <w:ind w:left="851"/>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Common Stock, par value $0.01 per share</w:t>
            </w:r>
          </w:p>
        </w:tc>
        <w:tc>
          <w:tcPr>
            <w:tcW w:w="780" w:type="dxa"/>
            <w:vAlign w:val="bottom"/>
          </w:tcPr>
          <w:p>
            <w:pPr>
              <w:spacing w:after="0"/>
              <w:rPr>
                <w:sz w:val="15"/>
                <w:szCs w:val="15"/>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BHF</w:t>
            </w:r>
          </w:p>
        </w:tc>
        <w:tc>
          <w:tcPr>
            <w:tcW w:w="920" w:type="dxa"/>
            <w:vAlign w:val="bottom"/>
          </w:tcPr>
          <w:p>
            <w:pPr>
              <w:spacing w:after="0"/>
              <w:rPr>
                <w:sz w:val="15"/>
                <w:szCs w:val="15"/>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143"/>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 6.600%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BHFAP</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96"/>
        </w:trPr>
        <w:tc>
          <w:tcPr>
            <w:tcW w:w="4520" w:type="dxa"/>
            <w:vAlign w:val="bottom"/>
            <w:gridSpan w:val="3"/>
            <w:vMerge w:val="restart"/>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Cumulative Preferred Stock, Series A</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 6.750%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8"/>
              </w:rPr>
              <w:t>BHFAO</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96"/>
        </w:trPr>
        <w:tc>
          <w:tcPr>
            <w:tcW w:w="4520" w:type="dxa"/>
            <w:vAlign w:val="bottom"/>
            <w:gridSpan w:val="3"/>
            <w:vMerge w:val="restart"/>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Cumulative Preferred Stock, Series B</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 5.375%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BHFAN</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96"/>
        </w:trPr>
        <w:tc>
          <w:tcPr>
            <w:tcW w:w="4520" w:type="dxa"/>
            <w:vAlign w:val="bottom"/>
            <w:gridSpan w:val="3"/>
            <w:vMerge w:val="restart"/>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Cumulative Preferred Stock, Series C</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 4.625% Non-</w:t>
            </w:r>
          </w:p>
        </w:tc>
        <w:tc>
          <w:tcPr>
            <w:tcW w:w="780" w:type="dxa"/>
            <w:vAlign w:val="bottom"/>
          </w:tcPr>
          <w:p>
            <w:pPr>
              <w:spacing w:after="0"/>
              <w:rPr>
                <w:sz w:val="12"/>
                <w:szCs w:val="12"/>
                <w:color w:val="auto"/>
              </w:rPr>
            </w:pPr>
          </w:p>
        </w:tc>
        <w:tc>
          <w:tcPr>
            <w:tcW w:w="13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BHFAM</w:t>
            </w:r>
          </w:p>
        </w:tc>
        <w:tc>
          <w:tcPr>
            <w:tcW w:w="920" w:type="dxa"/>
            <w:vAlign w:val="bottom"/>
          </w:tcPr>
          <w:p>
            <w:pPr>
              <w:spacing w:after="0"/>
              <w:rPr>
                <w:sz w:val="12"/>
                <w:szCs w:val="12"/>
                <w:color w:val="auto"/>
              </w:rPr>
            </w:pPr>
          </w:p>
        </w:tc>
        <w:tc>
          <w:tcPr>
            <w:tcW w:w="21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96"/>
        </w:trPr>
        <w:tc>
          <w:tcPr>
            <w:tcW w:w="4520" w:type="dxa"/>
            <w:vAlign w:val="bottom"/>
            <w:gridSpan w:val="3"/>
            <w:vMerge w:val="restart"/>
          </w:tcPr>
          <w:p>
            <w:pPr>
              <w:jc w:val="center"/>
              <w:ind w:right="74"/>
              <w:spacing w:after="0"/>
              <w:rPr>
                <w:sz w:val="20"/>
                <w:szCs w:val="20"/>
                <w:color w:val="auto"/>
              </w:rPr>
            </w:pPr>
            <w:r>
              <w:rPr>
                <w:rFonts w:ascii="Times New Roman" w:cs="Times New Roman" w:eastAsia="Times New Roman" w:hAnsi="Times New Roman"/>
                <w:sz w:val="12"/>
                <w:szCs w:val="12"/>
                <w:b w:val="1"/>
                <w:bCs w:val="1"/>
                <w:color w:val="auto"/>
              </w:rPr>
              <w:t>Cumulative Preferred Stock, Series D</w:t>
            </w:r>
          </w:p>
        </w:tc>
        <w:tc>
          <w:tcPr>
            <w:tcW w:w="780" w:type="dxa"/>
            <w:vAlign w:val="bottom"/>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2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4520" w:type="dxa"/>
            <w:vAlign w:val="bottom"/>
            <w:gridSpan w:val="3"/>
            <w:vMerge w:val="continue"/>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20" w:type="dxa"/>
            <w:vAlign w:val="bottom"/>
          </w:tcPr>
          <w:p>
            <w:pPr>
              <w:spacing w:after="0"/>
              <w:rPr>
                <w:sz w:val="5"/>
                <w:szCs w:val="5"/>
                <w:color w:val="auto"/>
              </w:rPr>
            </w:pPr>
          </w:p>
        </w:tc>
        <w:tc>
          <w:tcPr>
            <w:tcW w:w="920" w:type="dxa"/>
            <w:vAlign w:val="bottom"/>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8"/>
        </w:trPr>
        <w:tc>
          <w:tcPr>
            <w:tcW w:w="4520" w:type="dxa"/>
            <w:vAlign w:val="bottom"/>
            <w:gridSpan w:val="3"/>
          </w:tcPr>
          <w:p>
            <w:pPr>
              <w:jc w:val="center"/>
              <w:ind w:right="54"/>
              <w:spacing w:after="0"/>
              <w:rPr>
                <w:sz w:val="20"/>
                <w:szCs w:val="20"/>
                <w:color w:val="auto"/>
              </w:rPr>
            </w:pPr>
            <w:r>
              <w:rPr>
                <w:rFonts w:ascii="Times New Roman" w:cs="Times New Roman" w:eastAsia="Times New Roman" w:hAnsi="Times New Roman"/>
                <w:sz w:val="12"/>
                <w:szCs w:val="12"/>
                <w:b w:val="1"/>
                <w:bCs w:val="1"/>
                <w:color w:val="auto"/>
              </w:rPr>
              <w:t>6.250% Junior Subordinated Debentures due 2058</w:t>
            </w:r>
          </w:p>
        </w:tc>
        <w:tc>
          <w:tcPr>
            <w:tcW w:w="780" w:type="dxa"/>
            <w:vAlign w:val="bottom"/>
          </w:tcPr>
          <w:p>
            <w:pPr>
              <w:spacing w:after="0"/>
              <w:rPr>
                <w:sz w:val="24"/>
                <w:szCs w:val="24"/>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BHFAL</w:t>
            </w:r>
          </w:p>
        </w:tc>
        <w:tc>
          <w:tcPr>
            <w:tcW w:w="920" w:type="dxa"/>
            <w:vAlign w:val="bottom"/>
          </w:tcPr>
          <w:p>
            <w:pPr>
              <w:spacing w:after="0"/>
              <w:rPr>
                <w:sz w:val="24"/>
                <w:szCs w:val="24"/>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2"/>
          <w:szCs w:val="12"/>
          <w:color w:val="auto"/>
        </w:rPr>
        <w:t>Securities registered pursuant to Section 12(g) of the Act: None</w:t>
      </w:r>
    </w:p>
    <w:p>
      <w:pPr>
        <w:spacing w:after="0" w:line="100" w:lineRule="exact"/>
        <w:rPr>
          <w:sz w:val="24"/>
          <w:szCs w:val="24"/>
          <w:color w:val="auto"/>
        </w:rPr>
      </w:pPr>
    </w:p>
    <w:p>
      <w:pPr>
        <w:ind w:right="4740"/>
        <w:spacing w:after="0" w:line="210"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9" w:lineRule="exact"/>
        <w:rPr>
          <w:sz w:val="24"/>
          <w:szCs w:val="24"/>
          <w:color w:val="auto"/>
        </w:rPr>
      </w:pPr>
    </w:p>
    <w:p>
      <w:pPr>
        <w:ind w:right="40"/>
        <w:spacing w:after="0" w:line="315"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7"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94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5220" w:type="dxa"/>
            <w:vAlign w:val="bottom"/>
          </w:tcPr>
          <w:p>
            <w:pPr>
              <w:ind w:left="3680"/>
              <w:spacing w:after="0"/>
              <w:rPr>
                <w:sz w:val="20"/>
                <w:szCs w:val="20"/>
                <w:color w:val="auto"/>
              </w:rPr>
            </w:pPr>
            <w:r>
              <w:rPr>
                <w:rFonts w:ascii="Times New Roman" w:cs="Times New Roman" w:eastAsia="Times New Roman" w:hAnsi="Times New Roman"/>
                <w:sz w:val="12"/>
                <w:szCs w:val="12"/>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411"/>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940" w:type="dxa"/>
            <w:vAlign w:val="bottom"/>
          </w:tcPr>
          <w:p>
            <w:pPr>
              <w:ind w:left="160"/>
              <w:spacing w:after="0" w:line="121" w:lineRule="exact"/>
              <w:rPr>
                <w:sz w:val="20"/>
                <w:szCs w:val="20"/>
                <w:color w:val="auto"/>
              </w:rPr>
            </w:pPr>
            <w:r>
              <w:rPr>
                <w:rFonts w:ascii="MS PGothic" w:cs="MS PGothic" w:eastAsia="MS PGothic" w:hAnsi="MS PGothic"/>
                <w:sz w:val="12"/>
                <w:szCs w:val="12"/>
                <w:color w:val="auto"/>
              </w:rPr>
              <w:t>☐</w:t>
            </w:r>
          </w:p>
        </w:tc>
        <w:tc>
          <w:tcPr>
            <w:tcW w:w="5220" w:type="dxa"/>
            <w:vAlign w:val="bottom"/>
          </w:tcPr>
          <w:p>
            <w:pPr>
              <w:ind w:left="36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411"/>
        </w:trPr>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5220" w:type="dxa"/>
            <w:vAlign w:val="bottom"/>
          </w:tcPr>
          <w:p>
            <w:pPr>
              <w:ind w:left="3680"/>
              <w:spacing w:after="0"/>
              <w:rPr>
                <w:sz w:val="20"/>
                <w:szCs w:val="20"/>
                <w:color w:val="auto"/>
              </w:rPr>
            </w:pPr>
            <w:r>
              <w:rPr>
                <w:rFonts w:ascii="Times New Roman" w:cs="Times New Roman" w:eastAsia="Times New Roman" w:hAnsi="Times New Roman"/>
                <w:sz w:val="12"/>
                <w:szCs w:val="12"/>
                <w:color w:val="auto"/>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58" w:lineRule="exact"/>
        <w:rPr>
          <w:sz w:val="24"/>
          <w:szCs w:val="24"/>
          <w:color w:val="auto"/>
        </w:rPr>
      </w:pPr>
    </w:p>
    <w:p>
      <w:pPr>
        <w:ind w:right="120"/>
        <w:spacing w:after="0" w:line="17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9" w:lineRule="exact"/>
        <w:rPr>
          <w:sz w:val="24"/>
          <w:szCs w:val="24"/>
          <w:color w:val="auto"/>
        </w:rPr>
      </w:pPr>
    </w:p>
    <w:p>
      <w:pPr>
        <w:ind w:right="140"/>
        <w:spacing w:after="0" w:line="172"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5" w:lineRule="exact"/>
        <w:rPr>
          <w:sz w:val="24"/>
          <w:szCs w:val="24"/>
          <w:color w:val="auto"/>
        </w:rPr>
      </w:pPr>
    </w:p>
    <w:p>
      <w:pPr>
        <w:ind w:right="340"/>
        <w:spacing w:after="0" w:line="170" w:lineRule="exact"/>
        <w:rPr>
          <w:sz w:val="20"/>
          <w:szCs w:val="20"/>
          <w:color w:val="auto"/>
        </w:rPr>
      </w:pPr>
      <w:r>
        <w:rPr>
          <w:rFonts w:ascii="Times New Roman" w:cs="Times New Roman" w:eastAsia="Times New Roman" w:hAnsi="Times New Roman"/>
          <w:sz w:val="12"/>
          <w:szCs w:val="12"/>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2"/>
          <w:szCs w:val="12"/>
          <w:color w:val="auto"/>
        </w:rPr>
        <w:t>☐</w:t>
      </w:r>
    </w:p>
    <w:p>
      <w:pPr>
        <w:spacing w:after="0" w:line="33" w:lineRule="exact"/>
        <w:rPr>
          <w:sz w:val="24"/>
          <w:szCs w:val="24"/>
          <w:color w:val="auto"/>
        </w:rPr>
      </w:pPr>
    </w:p>
    <w:p>
      <w:pPr>
        <w:ind w:right="460"/>
        <w:spacing w:after="0" w:line="170"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3"/>
          <w:szCs w:val="13"/>
          <w:color w:val="auto"/>
        </w:rPr>
        <w:t>☑</w:t>
      </w:r>
    </w:p>
    <w:p>
      <w:pPr>
        <w:spacing w:after="0" w:line="81" w:lineRule="exact"/>
        <w:rPr>
          <w:sz w:val="24"/>
          <w:szCs w:val="24"/>
          <w:color w:val="auto"/>
        </w:rPr>
      </w:pPr>
    </w:p>
    <w:p>
      <w:pPr>
        <w:ind w:right="60"/>
        <w:spacing w:after="0" w:line="292" w:lineRule="auto"/>
        <w:rPr>
          <w:sz w:val="20"/>
          <w:szCs w:val="20"/>
          <w:color w:val="auto"/>
        </w:rPr>
      </w:pPr>
      <w:r>
        <w:rPr>
          <w:rFonts w:ascii="Times New Roman" w:cs="Times New Roman" w:eastAsia="Times New Roman" w:hAnsi="Times New Roman"/>
          <w:sz w:val="12"/>
          <w:szCs w:val="12"/>
          <w:color w:val="auto"/>
        </w:rPr>
        <w:t>As of June 30, 2025, the last business day of the registrant’s most recently completed second fiscal quarter, the aggregate market value of the registrant’s common stock held by non-affiliates of the registrant was approximately $3.0 billion.</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As of February 20, 2026, 57,184,099 shares of the registrant’s common stock were outstanding.</w:t>
      </w:r>
    </w:p>
    <w:p>
      <w:pPr>
        <w:spacing w:after="0" w:line="8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2"/>
          <w:szCs w:val="12"/>
          <w:b w:val="1"/>
          <w:bCs w:val="1"/>
          <w:color w:val="auto"/>
        </w:rPr>
        <w:t>DOCUMENTS INCORPORATED BY REFERENCE</w:t>
      </w:r>
    </w:p>
    <w:p>
      <w:pPr>
        <w:spacing w:after="0" w:line="63" w:lineRule="exact"/>
        <w:rPr>
          <w:sz w:val="24"/>
          <w:szCs w:val="24"/>
          <w:color w:val="auto"/>
        </w:rPr>
      </w:pPr>
    </w:p>
    <w:p>
      <w:pPr>
        <w:ind w:right="80"/>
        <w:spacing w:after="0" w:line="292" w:lineRule="auto"/>
        <w:rPr>
          <w:sz w:val="20"/>
          <w:szCs w:val="20"/>
          <w:color w:val="auto"/>
        </w:rPr>
      </w:pPr>
      <w:r>
        <w:rPr>
          <w:rFonts w:ascii="Times New Roman" w:cs="Times New Roman" w:eastAsia="Times New Roman" w:hAnsi="Times New Roman"/>
          <w:sz w:val="12"/>
          <w:szCs w:val="12"/>
          <w:color w:val="auto"/>
        </w:rPr>
        <w:t>Portions of the registrant’s proxy statement to be filed with the U.S. Securities and Exchange Commission in connection with the registrant’s 2026 annual meeting of stockholders (the “2026 Proxy Statement”) are incorporated by reference into Part III of this Annual Report on Form 10-K. Such 2026 Proxy Statement will be filed within 120 days of the registrant’s fiscal year ended December 31, 2025.</w:t>
      </w:r>
    </w:p>
    <w:p>
      <w:pPr>
        <w:sectPr>
          <w:pgSz w:w="11900" w:h="16838" w:orient="portrait"/>
          <w:cols w:equalWidth="0" w:num="1">
            <w:col w:w="11240"/>
          </w:cols>
          <w:pgMar w:left="320" w:top="1060" w:right="339" w:bottom="0" w:gutter="0" w:footer="0" w:header="0"/>
        </w:sectPr>
      </w:pPr>
    </w:p>
    <w:bookmarkStart w:id="1" w:name="page2"/>
    <w:bookmarkEnd w:id="1"/>
    <w:p>
      <w:pPr>
        <w:spacing w:after="0" w:line="29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563880</wp:posOffset>
            </wp:positionV>
            <wp:extent cx="716026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130810</wp:posOffset>
            </wp:positionV>
            <wp:extent cx="71348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106045</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3"/>
        </w:trPr>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gridSpan w:val="9"/>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Borders>
              <w:bottom w:val="single" w:sz="8" w:color="auto"/>
            </w:tcBorders>
            <w:gridSpan w:val="7"/>
          </w:tcPr>
          <w:p>
            <w:pPr>
              <w:ind w:left="6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359"/>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6"/>
              </w:rPr>
              <w:t>Part I</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3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Item 1.</w:t>
            </w:r>
          </w:p>
        </w:tc>
        <w:tc>
          <w:tcPr>
            <w:tcW w:w="8020" w:type="dxa"/>
            <w:vAlign w:val="bottom"/>
            <w:gridSpan w:val="23"/>
          </w:tcPr>
          <w:p>
            <w:pPr>
              <w:spacing w:after="0" w:line="191" w:lineRule="exact"/>
              <w:rPr>
                <w:sz w:val="20"/>
                <w:szCs w:val="20"/>
                <w:color w:val="auto"/>
              </w:rPr>
            </w:pPr>
            <w:r>
              <w:rPr>
                <w:rFonts w:ascii="Times New Roman" w:cs="Times New Roman" w:eastAsia="Times New Roman" w:hAnsi="Times New Roman"/>
                <w:sz w:val="18"/>
                <w:szCs w:val="18"/>
                <w:color w:val="0000FF"/>
              </w:rPr>
              <w:t>Business</w:t>
            </w:r>
          </w:p>
        </w:tc>
        <w:tc>
          <w:tcPr>
            <w:tcW w:w="900" w:type="dxa"/>
            <w:vAlign w:val="bottom"/>
            <w:gridSpan w:val="4"/>
          </w:tcPr>
          <w:p>
            <w:pPr>
              <w:jc w:val="center"/>
              <w:ind w:left="732"/>
              <w:spacing w:after="0" w:line="191"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80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Risk Factors</w:t>
            </w:r>
          </w:p>
        </w:tc>
        <w:tc>
          <w:tcPr>
            <w:tcW w:w="980" w:type="dxa"/>
            <w:vAlign w:val="bottom"/>
            <w:gridSpan w:val="5"/>
          </w:tcPr>
          <w:p>
            <w:pPr>
              <w:jc w:val="center"/>
              <w:ind w:left="652"/>
              <w:spacing w:after="0" w:line="205" w:lineRule="exact"/>
              <w:rPr>
                <w:sz w:val="20"/>
                <w:szCs w:val="20"/>
                <w:color w:val="auto"/>
              </w:rPr>
            </w:pPr>
            <w:r>
              <w:rPr>
                <w:rFonts w:ascii="Times New Roman" w:cs="Times New Roman" w:eastAsia="Times New Roman" w:hAnsi="Times New Roman"/>
                <w:sz w:val="18"/>
                <w:szCs w:val="18"/>
                <w:color w:val="0000FF"/>
                <w:w w:val="88"/>
              </w:rPr>
              <w:t>36</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80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Unresolved Staff Comments</w:t>
            </w:r>
          </w:p>
        </w:tc>
        <w:tc>
          <w:tcPr>
            <w:tcW w:w="980" w:type="dxa"/>
            <w:vAlign w:val="bottom"/>
            <w:gridSpan w:val="5"/>
          </w:tcPr>
          <w:p>
            <w:pPr>
              <w:jc w:val="center"/>
              <w:ind w:left="652"/>
              <w:spacing w:after="0" w:line="205"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1C.</w:t>
            </w:r>
          </w:p>
        </w:tc>
        <w:tc>
          <w:tcPr>
            <w:tcW w:w="200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Cybersecurity</w:t>
            </w:r>
          </w:p>
        </w:tc>
        <w:tc>
          <w:tcPr>
            <w:tcW w:w="6020" w:type="dxa"/>
            <w:vAlign w:val="bottom"/>
            <w:gridSpan w:val="12"/>
          </w:tcPr>
          <w:p>
            <w:pPr>
              <w:spacing w:after="0"/>
              <w:rPr>
                <w:sz w:val="17"/>
                <w:szCs w:val="17"/>
                <w:color w:val="auto"/>
              </w:rPr>
            </w:pPr>
          </w:p>
        </w:tc>
        <w:tc>
          <w:tcPr>
            <w:tcW w:w="980" w:type="dxa"/>
            <w:vAlign w:val="bottom"/>
            <w:gridSpan w:val="5"/>
          </w:tcPr>
          <w:p>
            <w:pPr>
              <w:jc w:val="center"/>
              <w:ind w:left="652"/>
              <w:spacing w:after="0" w:line="205" w:lineRule="exact"/>
              <w:rPr>
                <w:sz w:val="20"/>
                <w:szCs w:val="20"/>
                <w:color w:val="auto"/>
              </w:rPr>
            </w:pPr>
            <w:r>
              <w:rPr>
                <w:rFonts w:ascii="Times New Roman" w:cs="Times New Roman" w:eastAsia="Times New Roman" w:hAnsi="Times New Roman"/>
                <w:sz w:val="18"/>
                <w:szCs w:val="18"/>
                <w:color w:val="0000FF"/>
                <w:w w:val="88"/>
              </w:rPr>
              <w:t>61</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5"/>
              </w:rPr>
              <w:t>Properties</w:t>
            </w:r>
          </w:p>
        </w:tc>
        <w:tc>
          <w:tcPr>
            <w:tcW w:w="260" w:type="dxa"/>
            <w:vAlign w:val="bottom"/>
            <w:gridSpan w:val="3"/>
          </w:tcPr>
          <w:p>
            <w:pPr>
              <w:spacing w:after="0"/>
              <w:rPr>
                <w:sz w:val="17"/>
                <w:szCs w:val="17"/>
                <w:color w:val="auto"/>
              </w:rPr>
            </w:pPr>
          </w:p>
        </w:tc>
        <w:tc>
          <w:tcPr>
            <w:tcW w:w="7040" w:type="dxa"/>
            <w:vAlign w:val="bottom"/>
            <w:gridSpan w:val="17"/>
          </w:tcPr>
          <w:p>
            <w:pPr>
              <w:spacing w:after="0"/>
              <w:rPr>
                <w:sz w:val="17"/>
                <w:szCs w:val="17"/>
                <w:color w:val="auto"/>
              </w:rPr>
            </w:pPr>
          </w:p>
        </w:tc>
        <w:tc>
          <w:tcPr>
            <w:tcW w:w="980" w:type="dxa"/>
            <w:vAlign w:val="bottom"/>
            <w:gridSpan w:val="5"/>
          </w:tcPr>
          <w:p>
            <w:pPr>
              <w:jc w:val="center"/>
              <w:ind w:left="652"/>
              <w:spacing w:after="0" w:line="205" w:lineRule="exact"/>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80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Legal Proceedings</w:t>
            </w:r>
          </w:p>
        </w:tc>
        <w:tc>
          <w:tcPr>
            <w:tcW w:w="980" w:type="dxa"/>
            <w:vAlign w:val="bottom"/>
            <w:gridSpan w:val="5"/>
          </w:tcPr>
          <w:p>
            <w:pPr>
              <w:jc w:val="center"/>
              <w:ind w:left="652"/>
              <w:spacing w:after="0" w:line="205" w:lineRule="exact"/>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80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980" w:type="dxa"/>
            <w:vAlign w:val="bottom"/>
            <w:gridSpan w:val="5"/>
          </w:tcPr>
          <w:p>
            <w:pPr>
              <w:jc w:val="center"/>
              <w:ind w:left="652"/>
              <w:spacing w:after="0" w:line="205" w:lineRule="exact"/>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w w:val="98"/>
              </w:rPr>
              <w:t>Part II</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3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Item 5.</w:t>
            </w:r>
          </w:p>
        </w:tc>
        <w:tc>
          <w:tcPr>
            <w:tcW w:w="8020" w:type="dxa"/>
            <w:vAlign w:val="bottom"/>
            <w:gridSpan w:val="23"/>
          </w:tcPr>
          <w:p>
            <w:pPr>
              <w:spacing w:after="0" w:line="191"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980" w:type="dxa"/>
            <w:vAlign w:val="bottom"/>
            <w:gridSpan w:val="5"/>
            <w:vMerge w:val="restart"/>
          </w:tcPr>
          <w:p>
            <w:pPr>
              <w:jc w:val="center"/>
              <w:ind w:left="652"/>
              <w:spacing w:after="0"/>
              <w:rPr>
                <w:sz w:val="20"/>
                <w:szCs w:val="20"/>
                <w:color w:val="auto"/>
              </w:rPr>
            </w:pPr>
            <w:r>
              <w:rPr>
                <w:rFonts w:ascii="Times New Roman" w:cs="Times New Roman" w:eastAsia="Times New Roman" w:hAnsi="Times New Roman"/>
                <w:sz w:val="18"/>
                <w:szCs w:val="18"/>
                <w:color w:val="0000FF"/>
                <w:w w:val="88"/>
              </w:rPr>
              <w:t>63</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Borders>
              <w:top w:val="single" w:sz="8" w:color="0000FF"/>
            </w:tcBorders>
            <w:gridSpan w:val="4"/>
          </w:tcPr>
          <w:p>
            <w:pPr>
              <w:spacing w:after="0" w:line="139" w:lineRule="exact"/>
              <w:rPr>
                <w:sz w:val="20"/>
                <w:szCs w:val="20"/>
                <w:color w:val="auto"/>
              </w:rPr>
            </w:pPr>
            <w:r>
              <w:rPr>
                <w:rFonts w:ascii="Times New Roman" w:cs="Times New Roman" w:eastAsia="Times New Roman" w:hAnsi="Times New Roman"/>
                <w:sz w:val="15"/>
                <w:szCs w:val="15"/>
                <w:color w:val="0000FF"/>
              </w:rPr>
              <w:t>Securities</w:t>
            </w:r>
          </w:p>
        </w:tc>
        <w:tc>
          <w:tcPr>
            <w:tcW w:w="7080" w:type="dxa"/>
            <w:vAlign w:val="bottom"/>
            <w:tcBorders>
              <w:top w:val="single" w:sz="8" w:color="0000FF"/>
            </w:tcBorders>
            <w:gridSpan w:val="18"/>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gridSpan w:val="4"/>
            <w:shd w:val="clear" w:color="auto" w:fill="0000FF"/>
          </w:tcPr>
          <w:p>
            <w:pPr>
              <w:spacing w:after="0"/>
              <w:rPr>
                <w:sz w:val="2"/>
                <w:szCs w:val="2"/>
                <w:color w:val="auto"/>
              </w:rPr>
            </w:pPr>
          </w:p>
        </w:tc>
        <w:tc>
          <w:tcPr>
            <w:tcW w:w="52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tcBorders>
              <w:left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80" w:type="dxa"/>
            <w:vAlign w:val="bottom"/>
          </w:tcPr>
          <w:p>
            <w:pPr>
              <w:spacing w:after="0"/>
              <w:rPr>
                <w:sz w:val="18"/>
                <w:szCs w:val="18"/>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6.</w:t>
            </w:r>
          </w:p>
        </w:tc>
        <w:tc>
          <w:tcPr>
            <w:tcW w:w="80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[Reserved]</w:t>
            </w:r>
          </w:p>
        </w:tc>
        <w:tc>
          <w:tcPr>
            <w:tcW w:w="980" w:type="dxa"/>
            <w:vAlign w:val="bottom"/>
            <w:gridSpan w:val="5"/>
          </w:tcPr>
          <w:p>
            <w:pPr>
              <w:jc w:val="center"/>
              <w:ind w:left="652"/>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634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1680" w:type="dxa"/>
            <w:vAlign w:val="bottom"/>
            <w:gridSpan w:val="4"/>
          </w:tcPr>
          <w:p>
            <w:pPr>
              <w:spacing w:after="0"/>
              <w:rPr>
                <w:sz w:val="17"/>
                <w:szCs w:val="17"/>
                <w:color w:val="auto"/>
              </w:rPr>
            </w:pPr>
          </w:p>
        </w:tc>
        <w:tc>
          <w:tcPr>
            <w:tcW w:w="980" w:type="dxa"/>
            <w:vAlign w:val="bottom"/>
            <w:gridSpan w:val="5"/>
          </w:tcPr>
          <w:p>
            <w:pPr>
              <w:jc w:val="center"/>
              <w:ind w:left="652"/>
              <w:spacing w:after="0" w:line="205" w:lineRule="exact"/>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7A.</w:t>
            </w:r>
          </w:p>
        </w:tc>
        <w:tc>
          <w:tcPr>
            <w:tcW w:w="4280" w:type="dxa"/>
            <w:vAlign w:val="bottom"/>
            <w:tcBorders>
              <w:bottom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2060" w:type="dxa"/>
            <w:vAlign w:val="bottom"/>
            <w:gridSpan w:val="3"/>
          </w:tcPr>
          <w:p>
            <w:pPr>
              <w:spacing w:after="0"/>
              <w:rPr>
                <w:sz w:val="17"/>
                <w:szCs w:val="17"/>
                <w:color w:val="auto"/>
              </w:rPr>
            </w:pPr>
          </w:p>
        </w:tc>
        <w:tc>
          <w:tcPr>
            <w:tcW w:w="1680" w:type="dxa"/>
            <w:vAlign w:val="bottom"/>
            <w:gridSpan w:val="4"/>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5"/>
          </w:tcPr>
          <w:p>
            <w:pPr>
              <w:jc w:val="center"/>
              <w:spacing w:after="0" w:line="205" w:lineRule="exact"/>
              <w:rPr>
                <w:sz w:val="20"/>
                <w:szCs w:val="20"/>
                <w:color w:val="auto"/>
              </w:rPr>
            </w:pPr>
            <w:r>
              <w:rPr>
                <w:rFonts w:ascii="Times New Roman" w:cs="Times New Roman" w:eastAsia="Times New Roman" w:hAnsi="Times New Roman"/>
                <w:sz w:val="18"/>
                <w:szCs w:val="18"/>
                <w:color w:val="0000FF"/>
              </w:rPr>
              <w:t>106</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80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00" w:type="dxa"/>
            <w:vAlign w:val="bottom"/>
            <w:gridSpan w:val="6"/>
          </w:tcPr>
          <w:p>
            <w:pPr>
              <w:jc w:val="center"/>
              <w:ind w:left="652"/>
              <w:spacing w:after="0" w:line="205" w:lineRule="exact"/>
              <w:rPr>
                <w:sz w:val="20"/>
                <w:szCs w:val="20"/>
                <w:color w:val="auto"/>
              </w:rPr>
            </w:pPr>
            <w:r>
              <w:rPr>
                <w:rFonts w:ascii="Times New Roman" w:cs="Times New Roman" w:eastAsia="Times New Roman" w:hAnsi="Times New Roman"/>
                <w:sz w:val="18"/>
                <w:szCs w:val="18"/>
                <w:color w:val="0000FF"/>
                <w:w w:val="96"/>
              </w:rPr>
              <w:t>110</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9.</w:t>
            </w:r>
          </w:p>
        </w:tc>
        <w:tc>
          <w:tcPr>
            <w:tcW w:w="6360" w:type="dxa"/>
            <w:vAlign w:val="bottom"/>
            <w:tcBorders>
              <w:bottom w:val="single" w:sz="8" w:color="0000FF"/>
            </w:tcBorders>
            <w:gridSpan w:val="20"/>
          </w:tcPr>
          <w:p>
            <w:pPr>
              <w:spacing w:after="0" w:line="205" w:lineRule="exact"/>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1660" w:type="dxa"/>
            <w:vAlign w:val="bottom"/>
            <w:gridSpan w:val="3"/>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5"/>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207</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6280" w:type="dxa"/>
            <w:vAlign w:val="bottom"/>
            <w:gridSpan w:val="14"/>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5"/>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207</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9B.</w:t>
            </w:r>
          </w:p>
        </w:tc>
        <w:tc>
          <w:tcPr>
            <w:tcW w:w="80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1720" w:type="dxa"/>
            <w:vAlign w:val="bottom"/>
            <w:gridSpan w:val="7"/>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7"/>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9C.</w:t>
            </w:r>
          </w:p>
        </w:tc>
        <w:tc>
          <w:tcPr>
            <w:tcW w:w="80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720" w:type="dxa"/>
            <w:vAlign w:val="bottom"/>
            <w:gridSpan w:val="7"/>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209</w:t>
            </w:r>
          </w:p>
        </w:tc>
        <w:tc>
          <w:tcPr>
            <w:tcW w:w="0" w:type="dxa"/>
            <w:vAlign w:val="bottom"/>
          </w:tcPr>
          <w:p>
            <w:pPr>
              <w:spacing w:after="0"/>
              <w:rPr>
                <w:sz w:val="1"/>
                <w:szCs w:val="1"/>
                <w:color w:val="auto"/>
              </w:rPr>
            </w:pPr>
          </w:p>
        </w:tc>
      </w:tr>
      <w:tr>
        <w:trPr>
          <w:trHeight w:val="29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540" w:type="dxa"/>
            <w:vAlign w:val="bottom"/>
            <w:tcBorders>
              <w:top w:val="single" w:sz="8" w:color="0000FF"/>
            </w:tcBorders>
            <w:gridSpan w:val="3"/>
          </w:tcPr>
          <w:p>
            <w:pPr>
              <w:jc w:val="center"/>
              <w:ind w:left="112"/>
              <w:spacing w:after="0"/>
              <w:rPr>
                <w:sz w:val="20"/>
                <w:szCs w:val="20"/>
                <w:color w:val="auto"/>
              </w:rPr>
            </w:pPr>
            <w:r>
              <w:rPr>
                <w:rFonts w:ascii="Times New Roman" w:cs="Times New Roman" w:eastAsia="Times New Roman" w:hAnsi="Times New Roman"/>
                <w:sz w:val="18"/>
                <w:szCs w:val="18"/>
                <w:b w:val="1"/>
                <w:bCs w:val="1"/>
                <w:color w:val="auto"/>
                <w:w w:val="97"/>
              </w:rPr>
              <w:t>Part III</w:t>
            </w:r>
          </w:p>
        </w:tc>
        <w:tc>
          <w:tcPr>
            <w:tcW w:w="3220" w:type="dxa"/>
            <w:vAlign w:val="bottom"/>
            <w:gridSpan w:val="6"/>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3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Item 10.</w:t>
            </w:r>
          </w:p>
        </w:tc>
        <w:tc>
          <w:tcPr>
            <w:tcW w:w="5560" w:type="dxa"/>
            <w:vAlign w:val="bottom"/>
            <w:tcBorders>
              <w:bottom w:val="single" w:sz="8" w:color="0000FF"/>
            </w:tcBorders>
            <w:gridSpan w:val="18"/>
          </w:tcPr>
          <w:p>
            <w:pPr>
              <w:spacing w:after="0" w:line="191"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460" w:type="dxa"/>
            <w:vAlign w:val="bottom"/>
            <w:gridSpan w:val="5"/>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Borders>
              <w:bottom w:val="single" w:sz="8" w:color="0000FF"/>
            </w:tcBorders>
            <w:gridSpan w:val="5"/>
          </w:tcPr>
          <w:p>
            <w:pPr>
              <w:jc w:val="center"/>
              <w:spacing w:after="0" w:line="191" w:lineRule="exact"/>
              <w:rPr>
                <w:sz w:val="20"/>
                <w:szCs w:val="20"/>
                <w:color w:val="auto"/>
              </w:rPr>
            </w:pPr>
            <w:r>
              <w:rPr>
                <w:rFonts w:ascii="Times New Roman" w:cs="Times New Roman" w:eastAsia="Times New Roman" w:hAnsi="Times New Roman"/>
                <w:sz w:val="18"/>
                <w:szCs w:val="18"/>
                <w:color w:val="0000FF"/>
              </w:rPr>
              <w:t>209</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280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5220" w:type="dxa"/>
            <w:vAlign w:val="bottom"/>
            <w:gridSpan w:val="11"/>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5"/>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12.</w:t>
            </w:r>
          </w:p>
        </w:tc>
        <w:tc>
          <w:tcPr>
            <w:tcW w:w="8020" w:type="dxa"/>
            <w:vAlign w:val="bottom"/>
            <w:gridSpan w:val="23"/>
          </w:tcPr>
          <w:p>
            <w:pPr>
              <w:spacing w:after="0" w:line="205"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720" w:type="dxa"/>
            <w:vAlign w:val="bottom"/>
            <w:gridSpan w:val="7"/>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209</w:t>
            </w: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13.</w:t>
            </w:r>
          </w:p>
        </w:tc>
        <w:tc>
          <w:tcPr>
            <w:tcW w:w="7140" w:type="dxa"/>
            <w:vAlign w:val="bottom"/>
            <w:tcBorders>
              <w:top w:val="single" w:sz="8" w:color="0000FF"/>
            </w:tcBorders>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Certain Relationships, Related Person Transactions and Director Independence</w:t>
            </w:r>
          </w:p>
        </w:tc>
        <w:tc>
          <w:tcPr>
            <w:tcW w:w="880" w:type="dxa"/>
            <w:vAlign w:val="bottom"/>
            <w:gridSpan w:val="2"/>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top w:val="single" w:sz="8" w:color="0000FF"/>
            </w:tcBorders>
            <w:gridSpan w:val="5"/>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14.</w:t>
            </w:r>
          </w:p>
        </w:tc>
        <w:tc>
          <w:tcPr>
            <w:tcW w:w="5560" w:type="dxa"/>
            <w:vAlign w:val="bottom"/>
            <w:tcBorders>
              <w:top w:val="single" w:sz="8" w:color="0000FF"/>
            </w:tcBorders>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2460" w:type="dxa"/>
            <w:vAlign w:val="bottom"/>
            <w:gridSpan w:val="5"/>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top w:val="single" w:sz="8" w:color="0000FF"/>
            </w:tcBorders>
            <w:gridSpan w:val="5"/>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3"/>
        </w:trPr>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gridSpan w:val="9"/>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9"/>
              </w:rPr>
              <w:t>Part IV</w:t>
            </w:r>
          </w:p>
        </w:tc>
        <w:tc>
          <w:tcPr>
            <w:tcW w:w="7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320" w:type="dxa"/>
            <w:vAlign w:val="bottom"/>
            <w:gridSpan w:val="4"/>
          </w:tcPr>
          <w:p>
            <w:pPr>
              <w:spacing w:after="0" w:line="191" w:lineRule="exact"/>
              <w:rPr>
                <w:sz w:val="20"/>
                <w:szCs w:val="20"/>
                <w:color w:val="auto"/>
              </w:rPr>
            </w:pPr>
            <w:r>
              <w:rPr>
                <w:rFonts w:ascii="Times New Roman" w:cs="Times New Roman" w:eastAsia="Times New Roman" w:hAnsi="Times New Roman"/>
                <w:sz w:val="18"/>
                <w:szCs w:val="18"/>
                <w:color w:val="auto"/>
              </w:rPr>
              <w:t>Item 15.</w:t>
            </w:r>
          </w:p>
        </w:tc>
        <w:tc>
          <w:tcPr>
            <w:tcW w:w="3100" w:type="dxa"/>
            <w:vAlign w:val="bottom"/>
            <w:tcBorders>
              <w:bottom w:val="single" w:sz="8" w:color="0000FF"/>
            </w:tcBorders>
            <w:gridSpan w:val="13"/>
          </w:tcPr>
          <w:p>
            <w:pPr>
              <w:spacing w:after="0" w:line="191" w:lineRule="exact"/>
              <w:rPr>
                <w:sz w:val="20"/>
                <w:szCs w:val="20"/>
                <w:color w:val="auto"/>
              </w:rPr>
            </w:pPr>
            <w:r>
              <w:rPr>
                <w:rFonts w:ascii="Times New Roman" w:cs="Times New Roman" w:eastAsia="Times New Roman" w:hAnsi="Times New Roman"/>
                <w:sz w:val="18"/>
                <w:szCs w:val="18"/>
                <w:color w:val="0000FF"/>
                <w:w w:val="97"/>
              </w:rPr>
              <w:t>Exhibits and Financial Statement Schedules</w:t>
            </w:r>
          </w:p>
        </w:tc>
        <w:tc>
          <w:tcPr>
            <w:tcW w:w="4920" w:type="dxa"/>
            <w:vAlign w:val="bottom"/>
            <w:gridSpan w:val="10"/>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Borders>
              <w:bottom w:val="single" w:sz="8" w:color="0000FF"/>
            </w:tcBorders>
            <w:gridSpan w:val="5"/>
          </w:tcPr>
          <w:p>
            <w:pPr>
              <w:jc w:val="center"/>
              <w:spacing w:after="0" w:line="191" w:lineRule="exact"/>
              <w:rPr>
                <w:sz w:val="20"/>
                <w:szCs w:val="20"/>
                <w:color w:val="auto"/>
              </w:rPr>
            </w:pPr>
            <w:r>
              <w:rPr>
                <w:rFonts w:ascii="Times New Roman" w:cs="Times New Roman" w:eastAsia="Times New Roman" w:hAnsi="Times New Roman"/>
                <w:sz w:val="18"/>
                <w:szCs w:val="18"/>
                <w:color w:val="0000FF"/>
              </w:rPr>
              <w:t>209</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80" w:type="dxa"/>
            <w:vAlign w:val="bottom"/>
          </w:tcPr>
          <w:p>
            <w:pPr>
              <w:spacing w:after="0"/>
              <w:rPr>
                <w:sz w:val="17"/>
                <w:szCs w:val="17"/>
                <w:color w:val="auto"/>
              </w:rPr>
            </w:pPr>
          </w:p>
        </w:tc>
        <w:tc>
          <w:tcPr>
            <w:tcW w:w="13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auto"/>
              </w:rPr>
              <w:t>Item 16.</w:t>
            </w:r>
          </w:p>
        </w:tc>
        <w:tc>
          <w:tcPr>
            <w:tcW w:w="152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6"/>
              </w:rPr>
              <w:t>Form 10-K Summary</w:t>
            </w:r>
          </w:p>
        </w:tc>
        <w:tc>
          <w:tcPr>
            <w:tcW w:w="6500" w:type="dxa"/>
            <w:vAlign w:val="bottom"/>
            <w:gridSpan w:val="15"/>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Borders>
              <w:bottom w:val="single" w:sz="8" w:color="0000FF"/>
            </w:tcBorders>
            <w:gridSpan w:val="5"/>
          </w:tcPr>
          <w:p>
            <w:pPr>
              <w:jc w:val="center"/>
              <w:spacing w:after="0" w:line="205" w:lineRule="exact"/>
              <w:rPr>
                <w:sz w:val="20"/>
                <w:szCs w:val="20"/>
                <w:color w:val="auto"/>
              </w:rPr>
            </w:pPr>
            <w:r>
              <w:rPr>
                <w:rFonts w:ascii="Times New Roman" w:cs="Times New Roman" w:eastAsia="Times New Roman" w:hAnsi="Times New Roman"/>
                <w:sz w:val="18"/>
                <w:szCs w:val="18"/>
                <w:color w:val="0000FF"/>
              </w:rPr>
              <w:t>209</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Glossary</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rPr>
              <w:t>210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180" w:type="dxa"/>
            <w:vAlign w:val="bottom"/>
          </w:tcPr>
          <w:p>
            <w:pPr>
              <w:spacing w:after="0"/>
              <w:rPr>
                <w:sz w:val="22"/>
                <w:szCs w:val="22"/>
                <w:color w:val="auto"/>
              </w:rPr>
            </w:pPr>
          </w:p>
        </w:tc>
        <w:tc>
          <w:tcPr>
            <w:tcW w:w="10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6"/>
              </w:rPr>
              <w:t>Exhibit Index</w:t>
            </w: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Borders>
              <w:bottom w:val="single" w:sz="8" w:color="0000FF"/>
            </w:tcBorders>
            <w:gridSpan w:val="5"/>
          </w:tcPr>
          <w:p>
            <w:pPr>
              <w:jc w:val="center"/>
              <w:spacing w:after="0"/>
              <w:rPr>
                <w:sz w:val="20"/>
                <w:szCs w:val="20"/>
                <w:color w:val="auto"/>
              </w:rPr>
            </w:pPr>
            <w:r>
              <w:rPr>
                <w:rFonts w:ascii="Times New Roman" w:cs="Times New Roman" w:eastAsia="Times New Roman" w:hAnsi="Times New Roman"/>
                <w:sz w:val="18"/>
                <w:szCs w:val="18"/>
                <w:color w:val="0000FF"/>
              </w:rPr>
              <w:t>214</w:t>
            </w: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80" w:type="dxa"/>
            <w:vAlign w:val="bottom"/>
          </w:tcPr>
          <w:p>
            <w:pPr>
              <w:spacing w:after="0"/>
              <w:rPr>
                <w:sz w:val="22"/>
                <w:szCs w:val="22"/>
                <w:color w:val="auto"/>
              </w:rPr>
            </w:pPr>
          </w:p>
        </w:tc>
        <w:tc>
          <w:tcPr>
            <w:tcW w:w="1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2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0000FF"/>
              </w:rPr>
              <w:t>218</w:t>
            </w:r>
          </w:p>
        </w:tc>
        <w:tc>
          <w:tcPr>
            <w:tcW w:w="0" w:type="dxa"/>
            <w:vAlign w:val="bottom"/>
          </w:tcPr>
          <w:p>
            <w:pPr>
              <w:spacing w:after="0"/>
              <w:rPr>
                <w:sz w:val="1"/>
                <w:szCs w:val="1"/>
                <w:color w:val="auto"/>
              </w:rPr>
            </w:pPr>
          </w:p>
        </w:tc>
      </w:tr>
      <w:tr>
        <w:trPr>
          <w:trHeight w:val="1219"/>
        </w:trPr>
        <w:tc>
          <w:tcPr>
            <w:tcW w:w="18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3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Throughout this Annual Report on Form 10-K, “Brighthouse Financial,” the “Company,” “we,” “our” and “us” refer to Brighthouse Financial, Inc. and its subsidiaries, and “BHF” refers solely to Brighthouse Financial, Inc., the ultimate holding company for all of our subsidiaries, and not to any of its subsidiaries. The term “Separation” refers to the separation of a substantial portion of MetLife, Inc.’s (together with its subsidiaries and affiliates, “MetLife”) former Retail segment, as well as certain portions of its former Corporate Benefit Funding segment, into a separate, publicly-traded company, Brighthouse Financial, which was completed on August 4, 2017. Actions or activity prior to the completion of the Separation described herein, including with respect to our products, relate to predecessor entities and are provided for historical context. For definitions of selected financial and product terms used herein, refer to “Glossary.”</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with BHF surviving as a wholly-owned subsidiary of Aquarian Parent (the “Merger”).</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Pursuant to the Merger Agreement, at the effective time of the Merger (the “Effective Time”), each share of our common stock issued and outstanding immediately prior to the Effective Time will be converted into the right to receive $70.00 per share, net in cash, without interest and less any amounts that are required to be deducted or withheld under applicable law.</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 and Summary of Risk Factors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future actions, prospective services or products, financial projections, future performance or results of current and anticipated services or products, sales efforts, expenses, the outcome of contingencies such as legal proceedings, as well as trends in operating and financial results. The list below is also a summary of the material risks and uncertainties that could adversely affect our business, financial condition and results of operations. You should read this summary together with the more detailed description of the risks and uncertainties in “Risk Factors.”</w:t>
      </w:r>
    </w:p>
    <w:p>
      <w:pPr>
        <w:spacing w:after="0" w:line="13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62" w:lineRule="exact"/>
        <w:rPr>
          <w:sz w:val="20"/>
          <w:szCs w:val="20"/>
          <w:color w:val="auto"/>
        </w:rPr>
      </w:pPr>
    </w:p>
    <w:p>
      <w:pPr>
        <w:jc w:val="both"/>
        <w:ind w:left="6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pendency of the Merger on our ongoing business and operations, including disruption to our business relationships, the diversion of management’s attention from ongoing business operations and opportunities, or the outcome of any legal proceedings that may be instituted against Aquarian Parent or BHF following announcement of the Merger;</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conduct of our business prior to the closing of the Merger and on our ability to pursue alternatives to the Merger;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be more expensive to complete than anticipated, including as a result of unexpected factors or events;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risk management costs and exposure to increased market risk due to guarantees within certain of our products;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strategy and the impacts of such strategy on volatility in our profitability measures and the negative effects on our statutory capital;</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differences between actual outcomes and the sensitivities calculated under certain scenarios that we may utilize in connection with our risk management strategies;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rates on our future universal life with secondary guarantees (“ULSG”) policyholder obligations and net income volatility;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or credit ratings;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product mix, scale, price, actual or perceived financial strength, claims-paying ratings, credit ratings, e-business capabilities and name recognition;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 and maintain relationships with key distribution partners;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subsidiaries to pay dividends to us, and our ability to pay dividends to our shareholders and repurchase our common stock;</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public health crises, extreme mortality events or similar occurrences on our business and the economy in general;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risks that our investment portfolio is subject to, including credit risk, interest rate risk, inflation risk, market valuation risk, liquidity risk, real estate risk, derivatives risk, and other factors outside our control;</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or interpretations thereof on our insurance business or other operations;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 or increase our tax liability;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procedures and processes in managing risk;</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the Separation are not as expected, leading to material additional taxes or material adverse consequences to tax attributes that impact us;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report and from time to time in documents that we file with the U.S. Securities and Exchange Commission (“SEC”).</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this Annual Report on Form 10-K,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Annual Report on Form 10-K is not incorporated by reference in this Annual Report on Form 10-K or in any other report or document we file with the SEC, and any website references are intended to be inactive textual references only unless expressly noted.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Reliance on Statements in Our Contracts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“Exhibit Index — Note Regarding Reliance on Statements in Our Contracts” for information regarding agreements included as exhibits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880" w:type="dxa"/>
            <w:vAlign w:val="bottom"/>
            <w:gridSpan w:val="6"/>
          </w:tcPr>
          <w:p>
            <w:pPr>
              <w:jc w:val="center"/>
              <w:ind w:right="434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0" w:type="dxa"/>
            <w:vAlign w:val="bottom"/>
          </w:tcPr>
          <w:p>
            <w:pPr>
              <w:spacing w:after="0"/>
              <w:rPr>
                <w:sz w:val="1"/>
                <w:szCs w:val="1"/>
                <w:color w:val="auto"/>
              </w:rPr>
            </w:pPr>
          </w:p>
        </w:tc>
      </w:tr>
      <w:tr>
        <w:trPr>
          <w:trHeight w:val="318"/>
        </w:trPr>
        <w:tc>
          <w:tcPr>
            <w:tcW w:w="43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1. Business</w:t>
            </w:r>
          </w:p>
        </w:tc>
        <w:tc>
          <w:tcPr>
            <w:tcW w:w="5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880" w:type="dxa"/>
            <w:vAlign w:val="bottom"/>
            <w:gridSpan w:val="6"/>
          </w:tcPr>
          <w:p>
            <w:pPr>
              <w:jc w:val="center"/>
              <w:ind w:right="4360"/>
              <w:spacing w:after="0"/>
              <w:rPr>
                <w:sz w:val="20"/>
                <w:szCs w:val="20"/>
                <w:color w:val="auto"/>
              </w:rPr>
            </w:pPr>
            <w:r>
              <w:rPr>
                <w:rFonts w:ascii="Times New Roman" w:cs="Times New Roman" w:eastAsia="Times New Roman" w:hAnsi="Times New Roman"/>
                <w:sz w:val="18"/>
                <w:szCs w:val="18"/>
                <w:b w:val="1"/>
                <w:bCs w:val="1"/>
                <w:color w:val="auto"/>
                <w:w w:val="98"/>
              </w:rPr>
              <w:t>Index to Business</w:t>
            </w: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12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Our Company</w:t>
            </w:r>
          </w:p>
        </w:tc>
        <w:tc>
          <w:tcPr>
            <w:tcW w:w="3060" w:type="dxa"/>
            <w:vAlign w:val="bottom"/>
            <w:gridSpan w:val="6"/>
            <w:vMerge w:val="restart"/>
          </w:tcPr>
          <w:p>
            <w:pPr>
              <w:spacing w:after="0"/>
              <w:rPr>
                <w:sz w:val="24"/>
                <w:szCs w:val="24"/>
                <w:color w:val="auto"/>
              </w:rPr>
            </w:pPr>
          </w:p>
        </w:tc>
        <w:tc>
          <w:tcPr>
            <w:tcW w:w="5420" w:type="dxa"/>
            <w:vAlign w:val="bottom"/>
          </w:tcPr>
          <w:p>
            <w:pPr>
              <w:spacing w:after="0"/>
              <w:rPr>
                <w:sz w:val="24"/>
                <w:szCs w:val="24"/>
                <w:color w:val="auto"/>
              </w:rPr>
            </w:pPr>
          </w:p>
        </w:tc>
        <w:tc>
          <w:tcPr>
            <w:tcW w:w="146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280" w:type="dxa"/>
            <w:vAlign w:val="bottom"/>
            <w:tcBorders>
              <w:bottom w:val="single" w:sz="8" w:color="0000FF"/>
            </w:tcBorders>
            <w:gridSpan w:val="4"/>
            <w:vMerge w:val="continue"/>
          </w:tcPr>
          <w:p>
            <w:pPr>
              <w:spacing w:after="0"/>
              <w:rPr>
                <w:sz w:val="14"/>
                <w:szCs w:val="14"/>
                <w:color w:val="auto"/>
              </w:rPr>
            </w:pPr>
          </w:p>
        </w:tc>
        <w:tc>
          <w:tcPr>
            <w:tcW w:w="3060" w:type="dxa"/>
            <w:vAlign w:val="bottom"/>
            <w:gridSpan w:val="6"/>
            <w:vMerge w:val="continue"/>
          </w:tcPr>
          <w:p>
            <w:pPr>
              <w:spacing w:after="0"/>
              <w:rPr>
                <w:sz w:val="14"/>
                <w:szCs w:val="14"/>
                <w:color w:val="auto"/>
              </w:rPr>
            </w:pPr>
          </w:p>
        </w:tc>
        <w:tc>
          <w:tcPr>
            <w:tcW w:w="542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100" w:type="dxa"/>
            <w:vAlign w:val="bottom"/>
            <w:tcBorders>
              <w:bottom w:val="single" w:sz="8" w:color="0000FF"/>
            </w:tcBorders>
          </w:tcPr>
          <w:p>
            <w:pPr>
              <w:jc w:val="center"/>
              <w:spacing w:after="0" w:line="152" w:lineRule="exact"/>
              <w:rPr>
                <w:sz w:val="20"/>
                <w:szCs w:val="20"/>
                <w:color w:val="auto"/>
              </w:rPr>
            </w:pPr>
            <w:r>
              <w:rPr>
                <w:rFonts w:ascii="Times New Roman" w:cs="Times New Roman" w:eastAsia="Times New Roman" w:hAnsi="Times New Roman"/>
                <w:sz w:val="17"/>
                <w:szCs w:val="17"/>
                <w:color w:val="0000FF"/>
              </w:rPr>
              <w:t>6</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Segment Information</w:t>
            </w:r>
          </w:p>
        </w:tc>
        <w:tc>
          <w:tcPr>
            <w:tcW w:w="2820" w:type="dxa"/>
            <w:vAlign w:val="bottom"/>
            <w:gridSpan w:val="3"/>
          </w:tcPr>
          <w:p>
            <w:pPr>
              <w:spacing w:after="0"/>
              <w:rPr>
                <w:sz w:val="18"/>
                <w:szCs w:val="18"/>
                <w:color w:val="auto"/>
              </w:rPr>
            </w:pPr>
          </w:p>
        </w:tc>
        <w:tc>
          <w:tcPr>
            <w:tcW w:w="6100" w:type="dxa"/>
            <w:vAlign w:val="bottom"/>
            <w:gridSpan w:val="3"/>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Reinsurance Activity</w:t>
            </w:r>
          </w:p>
        </w:tc>
        <w:tc>
          <w:tcPr>
            <w:tcW w:w="2840" w:type="dxa"/>
            <w:vAlign w:val="bottom"/>
            <w:gridSpan w:val="4"/>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16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2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Sales Distribution</w:t>
            </w:r>
          </w:p>
        </w:tc>
        <w:tc>
          <w:tcPr>
            <w:tcW w:w="3060" w:type="dxa"/>
            <w:vAlign w:val="bottom"/>
            <w:gridSpan w:val="6"/>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19</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6"/>
              </w:rPr>
              <w:t>Regulation</w:t>
            </w:r>
          </w:p>
        </w:tc>
        <w:tc>
          <w:tcPr>
            <w:tcW w:w="3560" w:type="dxa"/>
            <w:vAlign w:val="bottom"/>
            <w:gridSpan w:val="9"/>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20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Competition</w:t>
            </w:r>
          </w:p>
        </w:tc>
        <w:tc>
          <w:tcPr>
            <w:tcW w:w="6240" w:type="dxa"/>
            <w:vAlign w:val="bottom"/>
            <w:gridSpan w:val="5"/>
          </w:tcPr>
          <w:p>
            <w:pPr>
              <w:jc w:val="center"/>
              <w:ind w:left="5972"/>
              <w:spacing w:after="0" w:line="205" w:lineRule="exact"/>
              <w:rPr>
                <w:sz w:val="20"/>
                <w:szCs w:val="20"/>
                <w:color w:val="auto"/>
              </w:rPr>
            </w:pPr>
            <w:r>
              <w:rPr>
                <w:rFonts w:ascii="Times New Roman" w:cs="Times New Roman" w:eastAsia="Times New Roman" w:hAnsi="Times New Roman"/>
                <w:sz w:val="18"/>
                <w:szCs w:val="18"/>
                <w:color w:val="0000FF"/>
                <w:w w:val="99"/>
              </w:rPr>
              <w:t>32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Human Capital Resources</w:t>
            </w:r>
          </w:p>
        </w:tc>
        <w:tc>
          <w:tcPr>
            <w:tcW w:w="6240" w:type="dxa"/>
            <w:vAlign w:val="bottom"/>
            <w:gridSpan w:val="5"/>
          </w:tcPr>
          <w:p>
            <w:pPr>
              <w:jc w:val="center"/>
              <w:ind w:left="5972"/>
              <w:spacing w:after="0" w:line="205" w:lineRule="exact"/>
              <w:rPr>
                <w:sz w:val="20"/>
                <w:szCs w:val="20"/>
                <w:color w:val="auto"/>
              </w:rPr>
            </w:pPr>
            <w:r>
              <w:rPr>
                <w:rFonts w:ascii="Times New Roman" w:cs="Times New Roman" w:eastAsia="Times New Roman" w:hAnsi="Times New Roman"/>
                <w:sz w:val="18"/>
                <w:szCs w:val="18"/>
                <w:color w:val="0000FF"/>
                <w:w w:val="99"/>
              </w:rPr>
              <w:t>32</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gridSpan w:val="5"/>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60" w:type="dxa"/>
            <w:vAlign w:val="bottom"/>
            <w:gridSpan w:val="2"/>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Information About Our Executive Officers</w:t>
            </w:r>
          </w:p>
        </w:tc>
        <w:tc>
          <w:tcPr>
            <w:tcW w:w="6240" w:type="dxa"/>
            <w:vAlign w:val="bottom"/>
            <w:gridSpan w:val="5"/>
          </w:tcPr>
          <w:p>
            <w:pPr>
              <w:jc w:val="center"/>
              <w:ind w:left="5972"/>
              <w:spacing w:after="0" w:line="205" w:lineRule="exact"/>
              <w:rPr>
                <w:sz w:val="20"/>
                <w:szCs w:val="20"/>
                <w:color w:val="auto"/>
              </w:rPr>
            </w:pPr>
            <w:r>
              <w:rPr>
                <w:rFonts w:ascii="Times New Roman" w:cs="Times New Roman" w:eastAsia="Times New Roman" w:hAnsi="Times New Roman"/>
                <w:sz w:val="18"/>
                <w:szCs w:val="18"/>
                <w:color w:val="0000FF"/>
                <w:w w:val="99"/>
              </w:rPr>
              <w:t>34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Intellectual Property</w:t>
            </w:r>
          </w:p>
        </w:tc>
        <w:tc>
          <w:tcPr>
            <w:tcW w:w="1560" w:type="dxa"/>
            <w:vAlign w:val="bottom"/>
            <w:tcBorders>
              <w:top w:val="single" w:sz="8" w:color="0000FF"/>
            </w:tcBorders>
            <w:gridSpan w:val="4"/>
          </w:tcPr>
          <w:p>
            <w:pPr>
              <w:spacing w:after="0"/>
              <w:rPr>
                <w:sz w:val="17"/>
                <w:szCs w:val="17"/>
                <w:color w:val="auto"/>
              </w:rPr>
            </w:pPr>
          </w:p>
        </w:tc>
        <w:tc>
          <w:tcPr>
            <w:tcW w:w="1320" w:type="dxa"/>
            <w:vAlign w:val="bottom"/>
          </w:tcPr>
          <w:p>
            <w:pPr>
              <w:spacing w:after="0"/>
              <w:rPr>
                <w:sz w:val="17"/>
                <w:szCs w:val="17"/>
                <w:color w:val="auto"/>
              </w:rPr>
            </w:pPr>
          </w:p>
        </w:tc>
        <w:tc>
          <w:tcPr>
            <w:tcW w:w="606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34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Available Information and the Brighthouse Financial Website</w:t>
            </w:r>
          </w:p>
        </w:tc>
        <w:tc>
          <w:tcPr>
            <w:tcW w:w="6060" w:type="dxa"/>
            <w:vAlign w:val="bottom"/>
            <w:gridSpan w:val="2"/>
          </w:tcPr>
          <w:p>
            <w:pPr>
              <w:spacing w:after="0"/>
              <w:rPr>
                <w:sz w:val="17"/>
                <w:szCs w:val="17"/>
                <w:color w:val="auto"/>
              </w:rPr>
            </w:pPr>
          </w:p>
        </w:tc>
        <w:tc>
          <w:tcPr>
            <w:tcW w:w="18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one of the largest providers of annuity and life insurance products in the U.S. with over 2.0 million annuity contracts and insurance policies in force at December 31, 2025. We deliver our products through multiple independent distribution channels and marketing arrangements with a diverse network of distribution partners. We primarily transact business through our insurance subsidiaries, Brighthouse Life Insurance Company, Brighthouse Life Insurance Company of NY (“BHNY”) and New England Life Insurance Company (“NELICO”); however, NELICO does not currently write new business.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we are a financially disciplined company with an emphasis on independent distribution and that our strategy of offering a targeted set of products to serve our customers and distribution partners will enhance our ability to invest in our business and distribute cash to our shareholders over time. We also believe that general demographic trends in the U.S. population, the increase in under-insured individuals, the potential risk to governmental social safety net programs and the shifting of responsibility for retirement planning and financial security from employers and other institutions to individuals will create opportunities to generate significant demand for our products.</w:t>
      </w:r>
    </w:p>
    <w:p>
      <w:pPr>
        <w:spacing w:after="0" w:line="132"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Risk management of both our in-force book and our new business to enhance sustained, long-term shareholder value is fundamental to our strategy. In writing new business, we assess the value of new products by taking into account the amount and timing of cash flows, the use and cost of capital required to support our financial strength ratings, diversification to our in-force business and the cost of risk mitigation. We remain focused on maintaining our strong capital base and excess liquidity at the holding company, and we have established a risk management approach that seeks to mitigate the effects of severe market disruptions and other economic events on our business. See “Management’s Discussion and Analysis of Financial Condition and Results of Operations</w:t>
      </w:r>
    </w:p>
    <w:p>
      <w:pPr>
        <w:spacing w:after="0" w:line="251" w:lineRule="auto"/>
        <w:rPr>
          <w:sz w:val="20"/>
          <w:szCs w:val="20"/>
          <w:color w:val="auto"/>
        </w:rPr>
      </w:pPr>
      <w:r>
        <w:rPr>
          <w:rFonts w:ascii="Times New Roman" w:cs="Times New Roman" w:eastAsia="Times New Roman" w:hAnsi="Times New Roman"/>
          <w:sz w:val="18"/>
          <w:szCs w:val="18"/>
          <w:color w:val="auto"/>
        </w:rPr>
        <w:t>— Risk Management Strategies,” “Risk Factors — Risks Related to Our Business — Our hedging strategy may not be effective, which may result in significant volatility in our profitability measures or may negatively affect our statutory capital” and “— Segment Information — Annuities.”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organized into the following reportable segments: Annuities; Life; Run-off; and Corporate &amp; Other. In addition to the discussion that follows, refer to “Management’s Discussion and Analysis of Financial Condition and Results of Operations — Results of Operations — Segment Results for the Years Ended December 31, 2025 and 2024 - Adjusted Earnings (Loss)” and Note 2 of the Notes to the Consolidated Financial Statements for additional information regarding each of our segments. Substantially all of our premiums, universal life and investment-type product policy fees and other revenues originated in the U.S.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under management (“AUM”) for each of our segments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
        </w:trPr>
        <w:tc>
          <w:tcPr>
            <w:tcW w:w="3520" w:type="dxa"/>
            <w:vAlign w:val="bottom"/>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379"/>
        </w:trPr>
        <w:tc>
          <w:tcPr>
            <w:tcW w:w="3520" w:type="dxa"/>
            <w:vAlign w:val="bottom"/>
          </w:tcPr>
          <w:p>
            <w:pPr>
              <w:spacing w:after="0"/>
              <w:rPr>
                <w:sz w:val="24"/>
                <w:szCs w:val="24"/>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General Account</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Separate Account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General Account</w:t>
            </w:r>
          </w:p>
        </w:tc>
        <w:tc>
          <w:tcPr>
            <w:tcW w:w="160" w:type="dxa"/>
            <w:vAlign w:val="bottom"/>
          </w:tcPr>
          <w:p>
            <w:pPr>
              <w:spacing w:after="0"/>
              <w:rPr>
                <w:sz w:val="24"/>
                <w:szCs w:val="24"/>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Separate Account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6"/>
        </w:trPr>
        <w:tc>
          <w:tcPr>
            <w:tcW w:w="3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60" w:type="dxa"/>
            <w:vAlign w:val="bottom"/>
          </w:tcPr>
          <w:p>
            <w:pPr>
              <w:spacing w:after="0"/>
              <w:rPr>
                <w:sz w:val="16"/>
                <w:szCs w:val="16"/>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0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35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4"/>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393"/>
        </w:trPr>
        <w:tc>
          <w:tcPr>
            <w:tcW w:w="3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40" w:type="dxa"/>
            <w:vAlign w:val="bottom"/>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
        </w:trPr>
        <w:tc>
          <w:tcPr>
            <w:tcW w:w="3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451"/>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76,560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76,185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71,734</w:t>
            </w:r>
          </w:p>
        </w:tc>
        <w:tc>
          <w:tcPr>
            <w:tcW w:w="4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77,386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149,120</w:t>
            </w:r>
          </w:p>
        </w:tc>
      </w:tr>
      <w:tr>
        <w:trPr>
          <w:trHeight w:val="44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9,332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15,751</w:t>
            </w:r>
          </w:p>
        </w:tc>
      </w:tr>
      <w:tr>
        <w:trPr>
          <w:trHeight w:val="46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24,539</w:t>
            </w: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26,370</w:t>
            </w:r>
          </w:p>
        </w:tc>
      </w:tr>
      <w:tr>
        <w:trPr>
          <w:trHeight w:val="444"/>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10,691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11,782</w:t>
            </w: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11,782</w:t>
            </w:r>
          </w:p>
        </w:tc>
      </w:tr>
      <w:tr>
        <w:trPr>
          <w:trHeight w:val="470"/>
        </w:trPr>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120,629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85,528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206,157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117,387</w:t>
            </w:r>
          </w:p>
        </w:tc>
        <w:tc>
          <w:tcPr>
            <w:tcW w:w="4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203,023</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15"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8"/>
          <w:szCs w:val="18"/>
          <w:color w:val="auto"/>
        </w:rPr>
        <w:t>Our Annuities segment consists of a variety of variable, fixed, index-linked and income annuities designed to address contract holders’ needs for protected wealth accumulation on a tax-deferred basis, wealth transfer and income security. In 2013, we began a shift in our business mix towards fixed products with lower guaranteed minimum crediting rates and variable annuity products with less risky living benefits while simultaneously increasing our emphasis on index-linked annuity products. Since 2014, our new sales have primarily consisted of Shield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Level Annuities (“Shield,” “Shield Annuity” and “Shield Annuities”), fixed annuities and variable annuities with simplified living benefits. We have launched new products and refined existing products as we continue to strive to innovate in response to customer and distributor needs and market conditions.</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Insurance liabilities of our annuity products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346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General Account</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General Account</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28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spacing w:after="0"/>
              <w:rPr>
                <w:sz w:val="16"/>
                <w:szCs w:val="16"/>
                <w:color w:val="auto"/>
              </w:rPr>
            </w:pPr>
          </w:p>
        </w:tc>
        <w:tc>
          <w:tcPr>
            <w:tcW w:w="7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6"/>
                <w:szCs w:val="16"/>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Separate Account</w:t>
            </w:r>
          </w:p>
        </w:tc>
        <w:tc>
          <w:tcPr>
            <w:tcW w:w="280" w:type="dxa"/>
            <w:vAlign w:val="bottom"/>
          </w:tcPr>
          <w:p>
            <w:pPr>
              <w:spacing w:after="0"/>
              <w:rPr>
                <w:sz w:val="16"/>
                <w:szCs w:val="16"/>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3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3"/>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w:t>
            </w: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75,918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79,321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77,151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80,984</w:t>
            </w:r>
          </w:p>
        </w:tc>
        <w:tc>
          <w:tcPr>
            <w:tcW w:w="0" w:type="dxa"/>
            <w:vAlign w:val="bottom"/>
          </w:tcPr>
          <w:p>
            <w:pPr>
              <w:spacing w:after="0"/>
              <w:rPr>
                <w:sz w:val="1"/>
                <w:szCs w:val="1"/>
                <w:color w:val="auto"/>
              </w:rPr>
            </w:pPr>
          </w:p>
        </w:tc>
      </w:tr>
      <w:tr>
        <w:trPr>
          <w:trHeight w:val="44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Shield Annuities</w:t>
            </w: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35,621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32,152</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32,152</w:t>
            </w:r>
          </w:p>
        </w:tc>
        <w:tc>
          <w:tcPr>
            <w:tcW w:w="0" w:type="dxa"/>
            <w:vAlign w:val="bottom"/>
          </w:tcPr>
          <w:p>
            <w:pPr>
              <w:spacing w:after="0"/>
              <w:rPr>
                <w:sz w:val="1"/>
                <w:szCs w:val="1"/>
                <w:color w:val="auto"/>
              </w:rPr>
            </w:pPr>
          </w:p>
        </w:tc>
      </w:tr>
      <w:tr>
        <w:trPr>
          <w:trHeight w:val="46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deferred</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19,007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19,007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20,556</w:t>
            </w:r>
          </w:p>
        </w:tc>
        <w:tc>
          <w:tcPr>
            <w:tcW w:w="0" w:type="dxa"/>
            <w:vAlign w:val="bottom"/>
          </w:tcPr>
          <w:p>
            <w:pPr>
              <w:spacing w:after="0"/>
              <w:rPr>
                <w:sz w:val="1"/>
                <w:szCs w:val="1"/>
                <w:color w:val="auto"/>
              </w:rPr>
            </w:pPr>
          </w:p>
        </w:tc>
      </w:tr>
      <w:tr>
        <w:trPr>
          <w:trHeight w:val="444"/>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4,521</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4,788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0" w:type="dxa"/>
            <w:vAlign w:val="bottom"/>
          </w:tcPr>
          <w:p>
            <w:pPr>
              <w:spacing w:after="0"/>
              <w:rPr>
                <w:sz w:val="1"/>
                <w:szCs w:val="1"/>
                <w:color w:val="auto"/>
              </w:rPr>
            </w:pPr>
          </w:p>
        </w:tc>
      </w:tr>
      <w:tr>
        <w:trPr>
          <w:trHeight w:val="476"/>
        </w:trPr>
        <w:tc>
          <w:tcPr>
            <w:tcW w:w="3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62,552</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76,185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138,737</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60,824</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77,386</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138,210</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Excludes market risk benefit (“MRB”) liabilities for guaranteed minimum benefits (“GMxB”) and Shield embedded derivatives.</w:t>
      </w:r>
    </w:p>
    <w:p>
      <w:pPr>
        <w:spacing w:after="0" w:line="11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seek to meet our risk-adjusted return objectives in our Annuities segment through a disciplined risk selection approach and innovative product design, balancing overall profitability with sales growth. We believe we have the underwriting approach, product design capabilities and distribution relationships that allows us to offer new products that meet our risk-adjusted return objectives and that such capabilities will enhance our ability to maintain market presence and relevance over the long-term. We intend to meet our risk management objectives by continuing to hedge significant market risks associated with our existing annuity products, as well as new business. See “Management’s Discussion and Analysis of Financial Condition and Results of Operations — Risk Management Strategies.”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Shield Annuities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Our flagship suite of Shield Annuities provides for accumulation of retirement savings or other long-term investments and combines certain features found in both variable and fixed annuities. Shield Annuities are registered index-linked annuity contracts that provide the contract holder with the ability to participate in the appreciation of certain financial markets up to a stated level, while offering protection from a portion of declines. Rather than allocating purchase payments directly into the equity market, the contract holder has an opportunity to participate in the returns of a specified market index. Shield Annuities also offer account value and return of premium death benefits. In addition, newer versions of Shield Annuities may also provide an opportunity for lifetime income through a guaranteed lifetime withdrawal benefit feature.</w:t>
      </w:r>
    </w:p>
    <w:p>
      <w:pPr>
        <w:spacing w:after="0" w:line="79"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To protect us from premature withdrawals, we impose surrender charges, which are typically applicable during the early years of the annuity contract and decline over time. Surrender charges allow us to recoup amounts we expended to initially market and sell such annuities. Newer versions of our Shield Annuities also have a provision that adjusts the amount available upon surrender or withdrawal that is intended to protect us against rising interest rates.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Deferred Annuities</w:t>
      </w:r>
    </w:p>
    <w:p>
      <w:pPr>
        <w:spacing w:after="0" w:line="113" w:lineRule="exact"/>
        <w:rPr>
          <w:sz w:val="20"/>
          <w:szCs w:val="20"/>
          <w:color w:val="auto"/>
        </w:rPr>
      </w:pPr>
    </w:p>
    <w:p>
      <w:pPr>
        <w:jc w:val="both"/>
        <w:ind w:left="320" w:firstLine="318"/>
        <w:spacing w:after="0" w:line="271" w:lineRule="auto"/>
        <w:rPr>
          <w:sz w:val="20"/>
          <w:szCs w:val="20"/>
          <w:color w:val="auto"/>
        </w:rPr>
      </w:pPr>
      <w:r>
        <w:rPr>
          <w:rFonts w:ascii="Times New Roman" w:cs="Times New Roman" w:eastAsia="Times New Roman" w:hAnsi="Times New Roman"/>
          <w:sz w:val="17"/>
          <w:szCs w:val="17"/>
          <w:color w:val="auto"/>
        </w:rPr>
        <w:t>Fixed deferred annuities are single premium deferred annuity contracts that are designed for growth and to address asset accumulation needs. Purchase payments under fixed deferred annuity contracts are allocated to our general account and interest is credited based on rates we determine for fixed rate annuities or the performance of an index or indices for fixed index annuities (“FIA”), subject to specified guaranteed minimums. Credited interest rates are guaranteed for at least one year. Our FIA offerings are individual single premium deferred annuity contracts that provide for the potential accumulation of retirement savings as well as an opportunity for lifetime income through an optional guaranteed lifetime withdrawal benefit rider.</w:t>
      </w:r>
    </w:p>
    <w:p>
      <w:pPr>
        <w:spacing w:after="0" w:line="62"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To protect us from premature withdrawals, we impose surrender charges, which are typically applicable during the early years of the annuity contract and decline over time.</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Income Annuities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Income annuities are annuity contracts under which the contract holder contributes a portion of their retirement assets in exchange for a steady stream of retirement income, lasting either for a specified period of time or the life of the annuitant. We offer two types of income annuities: immediate income annuities, referred to as “single premium immediate annuities” (“SPIA”), and deferred income annuities (“DIA”). Both products provide guaranteed lifetime income that can be used to supplement other retirement income sources. SPIAs are single premium annuity products that</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provide a guaranteed level of income, beginning within 12 months from the contract issuance date, to the contract holder for a specified number of years or the duration of the life of the annuitant(s). DIAs differ from SPIAs in that DIAs require the contract holder to wait at least 15 months before income payments commence. SPIAs and DIAs are priced utilizing the annuitant’s age, gender and, in the case of DIAs, the deferral period. DIAs provide a pension-like stream of income payments after a specified deferral period.</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Variable Annuities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We issue variable annuity contracts that offer contract holders a tax-deferred basis for wealth accumulation and rights to receive a future stream of payments. The contract holder can choose to invest purchase payments in the separate account or, if available, the general account investment options under the contract. For the separate account options, the contract holder can elect among several subaccounts that invest in internally and externally managed investment portfolios. Unless the contract holder has elected to pay for guaranteed minimum living or death benefits, as discussed below, the contract holder bears the entire risk and receives all of the net returns resulting from the investment option(s) chosen. For the general account options, we credit the contract’s account value with the net purchase payment and credit interest to the contract holder at rates declared periodically, subject to a guaranteed minimum crediting rate. The account value of most types of general account options is guaranteed and is not exposed to market risk, because the issuing insurance company (rather than the contract holder) directly bears the risk that the value of the underlying general account investments of the insurance companies may decline.</w:t>
      </w:r>
    </w:p>
    <w:p>
      <w:pPr>
        <w:spacing w:after="0" w:line="81" w:lineRule="exact"/>
        <w:rPr>
          <w:sz w:val="20"/>
          <w:szCs w:val="20"/>
          <w:color w:val="auto"/>
        </w:rPr>
      </w:pPr>
    </w:p>
    <w:p>
      <w:pPr>
        <w:jc w:val="both"/>
        <w:ind w:left="320" w:firstLine="318"/>
        <w:spacing w:after="0" w:line="269" w:lineRule="auto"/>
        <w:rPr>
          <w:sz w:val="20"/>
          <w:szCs w:val="20"/>
          <w:color w:val="auto"/>
        </w:rPr>
      </w:pPr>
      <w:r>
        <w:rPr>
          <w:rFonts w:ascii="Times New Roman" w:cs="Times New Roman" w:eastAsia="Times New Roman" w:hAnsi="Times New Roman"/>
          <w:sz w:val="17"/>
          <w:szCs w:val="17"/>
          <w:color w:val="auto"/>
        </w:rPr>
        <w:t>The majority of the variable annuities we issue have GMxBs, which we believe make these products attractive to our customers in periods of economic uncertainty. GMxBs provide the contract holder with protection against the possibility that a downturn in the markets will reduce the certain specified benefits that can be claimed under the contract. Variable annuities may have more than one type of GMxB. The primary types of GMxBs are those that guarantee death benefits payable upon the death of a contract holder (guaranteed minimum death benefits, “GMDB”) and those that guarantee benefits payable while the contract holder or annuitant is alive (guaranteed minimum living benefits, “GMLB,” which include guaranteed minimum income benefits (“GMIB”), guaranteed minimum withdrawal benefits (“GMWB”) and guaranteed minimum accumulation benefits (“GMAB”)).</w:t>
      </w:r>
    </w:p>
    <w:p>
      <w:pPr>
        <w:spacing w:after="0" w:line="6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guaranteed benefit received by a contract holder pursuant to the GMxBs is calculated based on a notional amount known as the benefit base (“Benefit Base”). The calculation of the Benefit Base varies by benefit type and may differ in value from the contract holder’s account value.</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Variable Annuity Fees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We earn various types of fee revenue based on account value, fund assets and the guarantees for contracts that invest through a separate account. We earned fees and charges on our variable annuity contracts that invest through a separate account of $2.5 billion and $2.6 billion, net of pass-through amounts, for the years ended December 31, 2025 and 2024, respectively. In addition to fee revenue, we also earn a spread on the portion of the account value allocated to the general account.</w:t>
      </w:r>
    </w:p>
    <w:p>
      <w:pPr>
        <w:spacing w:after="0" w:line="72"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Mortality &amp; Expense Fees and Administrative Fees. </w:t>
      </w:r>
      <w:r>
        <w:rPr>
          <w:rFonts w:ascii="Times New Roman" w:cs="Times New Roman" w:eastAsia="Times New Roman" w:hAnsi="Times New Roman"/>
          <w:sz w:val="18"/>
          <w:szCs w:val="18"/>
          <w:color w:val="auto"/>
        </w:rPr>
        <w:t>We earn mortality and expense fees (“M&amp;E Fees”), as well as administrative fees on our variable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annuity contracts. M&amp;E Fees are calculated based on the portion of the contract holder’s account value allocated to the separate accounts and are expressed as an annual percentage deducted daily. These fees are used to offset the insurance and operational expenses relating to our variable annuity contracts. Additionally, the administrative fees are charged either based on the daily average of the net asset values in the subaccounts or when contracts fall below minimum values based on a flat annual fee per contract.</w:t>
      </w:r>
    </w:p>
    <w:p>
      <w:pPr>
        <w:spacing w:after="0" w:line="75" w:lineRule="exact"/>
        <w:rPr>
          <w:sz w:val="20"/>
          <w:szCs w:val="20"/>
          <w:color w:val="auto"/>
        </w:rPr>
      </w:pPr>
    </w:p>
    <w:p>
      <w:pPr>
        <w:jc w:val="both"/>
        <w:ind w:left="160" w:firstLine="318"/>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Surrender Charges. </w:t>
      </w:r>
      <w:r>
        <w:rPr>
          <w:rFonts w:ascii="Times New Roman" w:cs="Times New Roman" w:eastAsia="Times New Roman" w:hAnsi="Times New Roman"/>
          <w:sz w:val="17"/>
          <w:szCs w:val="17"/>
          <w:color w:val="auto"/>
        </w:rPr>
        <w:t>Most, but not all, variable annuity contracts (depending on their share class) may also impose surrender charges on withdrawals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period of time after the purchase and in certain products for a period of time after each subsequent deposit, also known as the surrender charge period. A surrender charge is a deduction of a percentage of the contract holder’s account value prior to distribution to him or her. Surrender charges generally decline gradually over the surrender charge period, which can range from zero to ten years. Our variable annuity contracts typically permit contract holders to withdraw up to 10% of their account value each year without any surrender charge, however, their guarantees may be significantly impacted by such withdrawals. Contracts may also specify circumstances when no surrender charges apply, for example, upon payment of a death benefit.</w:t>
      </w:r>
    </w:p>
    <w:p>
      <w:pPr>
        <w:spacing w:after="0" w:line="63" w:lineRule="exact"/>
        <w:rPr>
          <w:sz w:val="20"/>
          <w:szCs w:val="20"/>
          <w:color w:val="auto"/>
        </w:rPr>
      </w:pPr>
    </w:p>
    <w:p>
      <w:pPr>
        <w:jc w:val="both"/>
        <w:ind w:left="16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Management Fees. </w:t>
      </w:r>
      <w:r>
        <w:rPr>
          <w:rFonts w:ascii="Times New Roman" w:cs="Times New Roman" w:eastAsia="Times New Roman" w:hAnsi="Times New Roman"/>
          <w:sz w:val="18"/>
          <w:szCs w:val="18"/>
          <w:color w:val="auto"/>
        </w:rPr>
        <w:t>We charge investment management fees for managing the proprietary funds managed by our subsidiary, Brighthouse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Advisers, LLC (“Brighthouse Advisers”), that are offered as investments under our variable annuities. Investment management fees are also paid on the non-proprietary funds managed by investment advisors unaffiliated with us, to the unaffiliated investment advisors. Investment management fees differ by fund. A portion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of the investment management fees charged on proprietary funds managed by subadvisors unaffiliated with us are paid by us to such subadvisors.</w:t>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Investment management fees reduce the net returns on the variable annuity investments.</w:t>
      </w:r>
    </w:p>
    <w:p>
      <w:pPr>
        <w:spacing w:after="0" w:line="90"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12b-1 Fees and Other Revenue. </w:t>
      </w:r>
      <w:r>
        <w:rPr>
          <w:rFonts w:ascii="Times New Roman" w:cs="Times New Roman" w:eastAsia="Times New Roman" w:hAnsi="Times New Roman"/>
          <w:sz w:val="18"/>
          <w:szCs w:val="18"/>
          <w:color w:val="auto"/>
        </w:rPr>
        <w:t>We earn monthly or quarterly fees for providing certain services to customers and distributors (“12b-1 fees”). 12b-1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are paid by the mutual funds selected by our contract holders and are calculated based on the net assets of the funds allocated to our subaccounts. These fees reduce the returns contract holders earn from such funds. Additionally, mutual fund companies with funds which are available to contract holders through the variable annuity subaccounts pay us fees consistent with the terms of administrative service agreements. These fees are funded from the fund companies’ net revenues. See Note 13 of the Notes to the Consolidated Financial Statements for additional information on 12b-1 fees.</w:t>
      </w:r>
    </w:p>
    <w:p>
      <w:pPr>
        <w:spacing w:after="0" w:line="75" w:lineRule="exact"/>
        <w:rPr>
          <w:sz w:val="20"/>
          <w:szCs w:val="20"/>
          <w:color w:val="auto"/>
        </w:rPr>
      </w:pPr>
    </w:p>
    <w:p>
      <w:pPr>
        <w:jc w:val="both"/>
        <w:ind w:left="16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Death Benefit Rider Fees. </w:t>
      </w:r>
      <w:r>
        <w:rPr>
          <w:rFonts w:ascii="Times New Roman" w:cs="Times New Roman" w:eastAsia="Times New Roman" w:hAnsi="Times New Roman"/>
          <w:sz w:val="18"/>
          <w:szCs w:val="18"/>
          <w:color w:val="auto"/>
        </w:rPr>
        <w:t>We may earn fees in addition to the base M&amp;E fees for promising to pay GMDBs. The fees earned vary by generation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rider type. For some death benefits, the fees are calculated based on account value, but for enhanced death benefits (“EDB”), the fees are normally calculated based on the Benefit Base. In general, these fees were set at a level intended to be sufficient to cover anticipated expenses related to claim payments and hedge costs associated with these benefits. These fees are deducted from the account value.</w:t>
      </w:r>
    </w:p>
    <w:p>
      <w:pPr>
        <w:spacing w:after="0" w:line="71" w:lineRule="exact"/>
        <w:rPr>
          <w:sz w:val="20"/>
          <w:szCs w:val="20"/>
          <w:color w:val="auto"/>
        </w:rPr>
      </w:pPr>
    </w:p>
    <w:p>
      <w:pPr>
        <w:jc w:val="both"/>
        <w:ind w:left="16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Living Benefit Rider Fees. </w:t>
      </w:r>
      <w:r>
        <w:rPr>
          <w:rFonts w:ascii="Times New Roman" w:cs="Times New Roman" w:eastAsia="Times New Roman" w:hAnsi="Times New Roman"/>
          <w:sz w:val="18"/>
          <w:szCs w:val="18"/>
          <w:color w:val="auto"/>
        </w:rPr>
        <w:t>We earn these fees for promising to pay guaranteed benefits while the contract holder is alive, such as for any type of GMLB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GMIBs, GMWBs and GMABs). The fees earned vary by generation and rider type and are typically calculated based on the Benefit Base. In general, GMLB fees calculated based on the Benefit Base are more stable in market downturns compared to fees based on the account value. These fees are set at a level intended to be sufficient to cover anticipated expenses related to claim payments and hedge costs associated with these benefits. These fees are deducted from the account value.</w:t>
      </w:r>
    </w:p>
    <w:p>
      <w:pPr>
        <w:spacing w:after="0" w:line="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Pricing and Risk Selection</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Product pricing reflects our pricing standards and guidelines. Annuity pricing is based on the expected payout of account value or guarantees, which is calculated using our assumptions for mortality, sales mix, expenses, policyholder behavior and investment returns, as well as certain macroeconomic factors (e.g., inflation, volatility and interest rates). Our product pricing models consider additional factors, such as hedging costs, reinsurance premiums and capital requirements.</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Rates for annuity products generally include pricing terms that are guaranteed for a certain period of time. Such products generally include surrender charges for early withdrawals and fees for guaranteed benefits. We periodically reevaluate the costs associated with such guarantees and may adjust pricing levels accordingly. We may also reevaluate the type and level of guarantee features being offered from time to time.</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We regularly review our pricing guidelines, models and assumptions in light of applicable regulations and experience in an effort to ensure that our policies remain competitive and aligned with our marketing strategies and profitability goals.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Evolution of our Annuity Business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Our in-force annuity block reflects a wide variety of product offerings, reflecting the changing nature of these products over the past three decades. The changes in product features and terms over time are driven partially by customer demand and also reflect our continually refined evaluation of product guarantees, their expected long-term claims costs and the most effective market risk management strategies.</w:t>
      </w:r>
    </w:p>
    <w:p>
      <w:pPr>
        <w:spacing w:after="0" w:line="72" w:lineRule="exact"/>
        <w:rPr>
          <w:sz w:val="20"/>
          <w:szCs w:val="20"/>
          <w:color w:val="auto"/>
        </w:rPr>
      </w:pPr>
    </w:p>
    <w:p>
      <w:pPr>
        <w:jc w:val="both"/>
        <w:ind w:left="160" w:firstLine="318"/>
        <w:spacing w:after="0" w:line="245" w:lineRule="auto"/>
        <w:rPr>
          <w:sz w:val="20"/>
          <w:szCs w:val="20"/>
          <w:color w:val="auto"/>
        </w:rPr>
      </w:pPr>
      <w:r>
        <w:rPr>
          <w:rFonts w:ascii="Times New Roman" w:cs="Times New Roman" w:eastAsia="Times New Roman" w:hAnsi="Times New Roman"/>
          <w:sz w:val="18"/>
          <w:szCs w:val="18"/>
          <w:color w:val="auto"/>
        </w:rPr>
        <w:t>We introduced our first variable annuity product over 50 years ago and began offering GMIBs, which were our first living benefit riders, in 2001. Beginning in 2009, we began taking actions to reduce our risk exposure to GMIBs, and, in 2016, we ceased offering GMABs and GMIBs for purchase. In 2015, we shifted our marketing focus from GMIBs to GMWBs with the release of FlexChoice</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a GMWB with lifetime payments. In 2018, we launched an updated version of FlexChoice</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“Flex Choice Access,” to provide financial advisors and their clients more investment flexibility.</w:t>
      </w:r>
    </w:p>
    <w:p>
      <w:pPr>
        <w:spacing w:after="0" w:line="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We introduced our first generation Shield Annuities in 2013 and sales have continued to increase due to growing consumer demand. Shield Annuities have historically provided us with a risk offset to the GMxBs offered in our traditional variable annuity products. In 2024, we launched updated versions of our suite of Shield Annuities, which we manage separately from our variable annuities and first generation Shield Annuities. We have historically managed the risks related to our variable annuity and first generation Shield Annuity contracts on a combined basis. In the third quarter of 2025, we completed an initiative that established a standalone hedging program for each product allowing us to separately manage the risks related to these two products. See “Management’s Discussion and Analysis of Financial Condition and Results of Operations — Risk Management Strategies.”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Going forward, we intend to focus on selling our new suite of Shield Annuity products, along with variable annuities with GMWBs and GMDBs only.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Deposits for our Shield Annuities and variable annuities were as follows: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gridSpan w:val="6"/>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920" w:type="dxa"/>
            <w:vAlign w:val="bottom"/>
          </w:tcPr>
          <w:p>
            <w:pPr>
              <w:spacing w:after="0"/>
              <w:rPr>
                <w:sz w:val="16"/>
                <w:szCs w:val="16"/>
                <w:color w:val="auto"/>
              </w:rPr>
            </w:pPr>
          </w:p>
        </w:tc>
      </w:tr>
      <w:tr>
        <w:trPr>
          <w:trHeight w:val="38"/>
        </w:trPr>
        <w:tc>
          <w:tcPr>
            <w:tcW w:w="7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7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7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
        </w:trPr>
        <w:tc>
          <w:tcPr>
            <w:tcW w:w="7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45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Shield Annuities</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8,008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6,857</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760" w:type="dxa"/>
            <w:vAlign w:val="bottom"/>
          </w:tcPr>
          <w:p>
            <w:pPr>
              <w:spacing w:after="0"/>
              <w:rPr>
                <w:sz w:val="24"/>
                <w:szCs w:val="24"/>
                <w:color w:val="auto"/>
              </w:rPr>
            </w:pPr>
          </w:p>
        </w:tc>
        <w:tc>
          <w:tcPr>
            <w:tcW w:w="4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4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GMDB only</w:t>
            </w:r>
          </w:p>
        </w:tc>
        <w:tc>
          <w:tcPr>
            <w:tcW w:w="76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444"/>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475"/>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8,715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7,503</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Guaranteed Minimum Death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Since 2001, we have offered a variety of GMDBs to our contract holders, which include the following:</w:t>
      </w:r>
    </w:p>
    <w:p>
      <w:pPr>
        <w:spacing w:after="0" w:line="109" w:lineRule="exact"/>
        <w:rPr>
          <w:sz w:val="20"/>
          <w:szCs w:val="20"/>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Account Value Death Benefit</w:t>
      </w:r>
      <w:r>
        <w:rPr>
          <w:rFonts w:ascii="Times New Roman" w:cs="Times New Roman" w:eastAsia="Times New Roman" w:hAnsi="Times New Roman"/>
          <w:sz w:val="18"/>
          <w:szCs w:val="18"/>
          <w:color w:val="auto"/>
        </w:rPr>
        <w:t>. The Account Value Death Benefit returns the account value at the time of the claim with no imposition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surrender charges.</w:t>
      </w:r>
    </w:p>
    <w:p>
      <w:pPr>
        <w:spacing w:after="0" w:line="53" w:lineRule="exact"/>
        <w:rPr>
          <w:rFonts w:ascii="Times New Roman" w:cs="Times New Roman" w:eastAsia="Times New Roman" w:hAnsi="Times New Roman"/>
          <w:sz w:val="18"/>
          <w:szCs w:val="18"/>
          <w:color w:val="auto"/>
        </w:rPr>
      </w:pPr>
    </w:p>
    <w:p>
      <w:pPr>
        <w:ind w:left="960" w:hanging="318"/>
        <w:spacing w:after="0" w:line="27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Return of Premium Death Benefit</w:t>
      </w:r>
      <w:r>
        <w:rPr>
          <w:rFonts w:ascii="Times New Roman" w:cs="Times New Roman" w:eastAsia="Times New Roman" w:hAnsi="Times New Roman"/>
          <w:sz w:val="18"/>
          <w:szCs w:val="18"/>
          <w:color w:val="auto"/>
        </w:rPr>
        <w:t>. The Return of Premium Death Benefit, also referred to as Principal Protection, pays the greater of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value at the time of the claim or (ii) the total purchase payments, adjusted proportionately for any withdrawals.</w:t>
      </w:r>
    </w:p>
    <w:p>
      <w:pPr>
        <w:spacing w:after="0" w:line="53" w:lineRule="exact"/>
        <w:rPr>
          <w:rFonts w:ascii="Times New Roman" w:cs="Times New Roman" w:eastAsia="Times New Roman" w:hAnsi="Times New Roman"/>
          <w:sz w:val="18"/>
          <w:szCs w:val="18"/>
          <w:color w:val="auto"/>
        </w:rPr>
      </w:pPr>
    </w:p>
    <w:p>
      <w:pPr>
        <w:jc w:val="both"/>
        <w:ind w:left="960" w:hanging="318"/>
        <w:spacing w:after="0" w:line="256"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Step-Up Death Benefit</w:t>
      </w:r>
      <w:r>
        <w:rPr>
          <w:rFonts w:ascii="Times New Roman" w:cs="Times New Roman" w:eastAsia="Times New Roman" w:hAnsi="Times New Roman"/>
          <w:sz w:val="18"/>
          <w:szCs w:val="18"/>
          <w:color w:val="auto"/>
        </w:rPr>
        <w:t>. The Annual Step-Up Death Benefit, an election made for an additional fee, allows the contract holder the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“step-up” or lock-in the high-water mark on their guaranteed death benefit on any contract anniversary. This benefit pays the greater of (i) the account value at the time of the claim, (ii) the total purchase payments or (iii) the highest anniversary “step-up” value, adjusted proportionately for any withdrawals.</w:t>
      </w:r>
    </w:p>
    <w:p>
      <w:pPr>
        <w:spacing w:after="0" w:line="70" w:lineRule="exact"/>
        <w:rPr>
          <w:rFonts w:ascii="Times New Roman" w:cs="Times New Roman" w:eastAsia="Times New Roman" w:hAnsi="Times New Roman"/>
          <w:sz w:val="18"/>
          <w:szCs w:val="18"/>
          <w:color w:val="auto"/>
        </w:rPr>
      </w:pPr>
    </w:p>
    <w:p>
      <w:pPr>
        <w:jc w:val="both"/>
        <w:ind w:left="960" w:hanging="318"/>
        <w:spacing w:after="0" w:line="253"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Combination Death Benefit</w:t>
      </w:r>
      <w:r>
        <w:rPr>
          <w:rFonts w:ascii="Times New Roman" w:cs="Times New Roman" w:eastAsia="Times New Roman" w:hAnsi="Times New Roman"/>
          <w:sz w:val="18"/>
          <w:szCs w:val="18"/>
          <w:color w:val="auto"/>
        </w:rPr>
        <w:t>. The Combination Death Benefit, which we no longer offer, consists of the Compounded-Plus Death Benefit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Death Benefit. The Compounded-Plus Death Benefit pays the greater of (i) the account value at the time of the claim, (ii) the highest anniversary “step-up” value or (iii) a roll-up Benefit Base, adjusted proportionately for any withdrawals. The Enhanced Death Benefit pays the greater of (i) the highest anniversary “step-up” value or (ii) a roll-up benefit which allows for dollar-for-dollar withdrawals up to the permitted amount for that contract year and proportional adjustments for withdrawals in excess of the permitted amount.</w:t>
      </w:r>
    </w:p>
    <w:p>
      <w:pPr>
        <w:spacing w:after="0" w:line="75" w:lineRule="exact"/>
        <w:rPr>
          <w:rFonts w:ascii="Times New Roman" w:cs="Times New Roman" w:eastAsia="Times New Roman" w:hAnsi="Times New Roman"/>
          <w:sz w:val="18"/>
          <w:szCs w:val="18"/>
          <w:color w:val="auto"/>
        </w:rPr>
      </w:pPr>
    </w:p>
    <w:p>
      <w:pPr>
        <w:jc w:val="both"/>
        <w:ind w:left="960" w:hanging="318"/>
        <w:spacing w:after="0" w:line="261" w:lineRule="auto"/>
        <w:tabs>
          <w:tab w:leader="none" w:pos="9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Interval Reset Death Benefit</w:t>
      </w:r>
      <w:r>
        <w:rPr>
          <w:rFonts w:ascii="Times New Roman" w:cs="Times New Roman" w:eastAsia="Times New Roman" w:hAnsi="Times New Roman"/>
          <w:sz w:val="18"/>
          <w:szCs w:val="18"/>
          <w:color w:val="auto"/>
        </w:rPr>
        <w:t>. The Interval Reset Death Benefit, which we no longer offer, pays the greater of (i) the account value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claim, (ii) the total purchase payments or (iii) the interval reset value, a guaranteed death benefit on the interval anniversary date with this level of death benefit being reset (either up or down) on the next interval anniversary date, adjusted proportionately for any withdrawals.</w:t>
      </w:r>
    </w:p>
    <w:p>
      <w:pPr>
        <w:spacing w:after="0" w:line="66" w:lineRule="exact"/>
        <w:rPr>
          <w:sz w:val="20"/>
          <w:szCs w:val="20"/>
          <w:color w:val="auto"/>
        </w:rPr>
      </w:pPr>
    </w:p>
    <w:p>
      <w:pPr>
        <w:jc w:val="both"/>
        <w:ind w:left="320" w:firstLine="318"/>
        <w:spacing w:after="0" w:line="236" w:lineRule="auto"/>
        <w:rPr>
          <w:sz w:val="20"/>
          <w:szCs w:val="20"/>
          <w:color w:val="auto"/>
        </w:rPr>
      </w:pPr>
      <w:r>
        <w:rPr>
          <w:rFonts w:ascii="Times New Roman" w:cs="Times New Roman" w:eastAsia="Times New Roman" w:hAnsi="Times New Roman"/>
          <w:sz w:val="18"/>
          <w:szCs w:val="18"/>
          <w:color w:val="auto"/>
        </w:rPr>
        <w:t>In addition, we currently also offer an optional death benefit for an additional fee with our FlexChoice</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riders, available at issue through age 65, which has a similar level of death benefit protection as the Benefit Base for the living benefit rider. However, the Benefit Base for this death benefit is adjusted for all withdrawals.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variable annuity account values and Benefit Base by type of GMDB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2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31, 2025 (1)</w:t>
            </w:r>
          </w:p>
        </w:tc>
        <w:tc>
          <w:tcPr>
            <w:tcW w:w="160" w:type="dxa"/>
            <w:vAlign w:val="bottom"/>
          </w:tcPr>
          <w:p>
            <w:pPr>
              <w:spacing w:after="0"/>
              <w:rPr>
                <w:sz w:val="16"/>
                <w:szCs w:val="16"/>
                <w:color w:val="auto"/>
              </w:rPr>
            </w:pPr>
          </w:p>
        </w:tc>
        <w:tc>
          <w:tcPr>
            <w:tcW w:w="2520" w:type="dxa"/>
            <w:vAlign w:val="bottom"/>
            <w:gridSpan w:val="4"/>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December 31, 2024 (1)</w:t>
            </w:r>
          </w:p>
        </w:tc>
        <w:tc>
          <w:tcPr>
            <w:tcW w:w="0" w:type="dxa"/>
            <w:vAlign w:val="bottom"/>
          </w:tcPr>
          <w:p>
            <w:pPr>
              <w:spacing w:after="0"/>
              <w:rPr>
                <w:sz w:val="1"/>
                <w:szCs w:val="1"/>
                <w:color w:val="auto"/>
              </w:rPr>
            </w:pPr>
          </w:p>
        </w:tc>
      </w:tr>
      <w:tr>
        <w:trPr>
          <w:trHeight w:val="24"/>
        </w:trPr>
        <w:tc>
          <w:tcPr>
            <w:tcW w:w="5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Account Value</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Benefit Base</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Account Value</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Benefit Base</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7"/>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 value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c>
          <w:tcPr>
            <w:tcW w:w="0" w:type="dxa"/>
            <w:vAlign w:val="bottom"/>
          </w:tcPr>
          <w:p>
            <w:pPr>
              <w:spacing w:after="0"/>
              <w:rPr>
                <w:sz w:val="1"/>
                <w:szCs w:val="1"/>
                <w:color w:val="auto"/>
              </w:rPr>
            </w:pPr>
          </w:p>
        </w:tc>
      </w:tr>
      <w:tr>
        <w:trPr>
          <w:trHeight w:val="441"/>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Return of premium</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35,579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35,996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36,273</w:t>
            </w:r>
          </w:p>
        </w:tc>
        <w:tc>
          <w:tcPr>
            <w:tcW w:w="0" w:type="dxa"/>
            <w:vAlign w:val="bottom"/>
          </w:tcPr>
          <w:p>
            <w:pPr>
              <w:spacing w:after="0"/>
              <w:rPr>
                <w:sz w:val="1"/>
                <w:szCs w:val="1"/>
                <w:color w:val="auto"/>
              </w:rPr>
            </w:pPr>
          </w:p>
        </w:tc>
      </w:tr>
      <w:tr>
        <w:trPr>
          <w:trHeight w:val="46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Annual step-up</w:t>
            </w: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16,659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17,287</w:t>
            </w:r>
          </w:p>
        </w:tc>
        <w:tc>
          <w:tcPr>
            <w:tcW w:w="0" w:type="dxa"/>
            <w:vAlign w:val="bottom"/>
          </w:tcPr>
          <w:p>
            <w:pPr>
              <w:spacing w:after="0"/>
              <w:rPr>
                <w:sz w:val="1"/>
                <w:szCs w:val="1"/>
                <w:color w:val="auto"/>
              </w:rPr>
            </w:pPr>
          </w:p>
        </w:tc>
      </w:tr>
      <w:tr>
        <w:trPr>
          <w:trHeight w:val="441"/>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Combination (2)</w:t>
            </w: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30,355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19,788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31,298</w:t>
            </w:r>
          </w:p>
        </w:tc>
        <w:tc>
          <w:tcPr>
            <w:tcW w:w="0" w:type="dxa"/>
            <w:vAlign w:val="bottom"/>
          </w:tcPr>
          <w:p>
            <w:pPr>
              <w:spacing w:after="0"/>
              <w:rPr>
                <w:sz w:val="1"/>
                <w:szCs w:val="1"/>
                <w:color w:val="auto"/>
              </w:rPr>
            </w:pPr>
          </w:p>
        </w:tc>
      </w:tr>
      <w:tr>
        <w:trPr>
          <w:trHeight w:val="45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Interval reset</w:t>
            </w:r>
          </w:p>
        </w:tc>
        <w:tc>
          <w:tcPr>
            <w:tcW w:w="1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5,451</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5,698</w:t>
            </w:r>
          </w:p>
        </w:tc>
        <w:tc>
          <w:tcPr>
            <w:tcW w:w="0" w:type="dxa"/>
            <w:vAlign w:val="bottom"/>
          </w:tcPr>
          <w:p>
            <w:pPr>
              <w:spacing w:after="0"/>
              <w:rPr>
                <w:sz w:val="1"/>
                <w:szCs w:val="1"/>
                <w:color w:val="auto"/>
              </w:rPr>
            </w:pPr>
          </w:p>
        </w:tc>
      </w:tr>
      <w:tr>
        <w:trPr>
          <w:trHeight w:val="451"/>
        </w:trPr>
        <w:tc>
          <w:tcPr>
            <w:tcW w:w="5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79,321</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90,414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80,984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93,030</w:t>
            </w: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7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annuity contracts offer more than one type of guarantee and therefore certain death benefit guarantee amounts included in this table may also be included in the GMLBs table below.</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Compounded-Plus Death Benefit, Enhanced Death Benefit and FlexChoice</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death benefit.</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Guaranteed Minimum Living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in-force block of variable annuities consists of three varieties of GMLBs, including variable annuities with GMIBs, GMWBs and GMABs.</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Based on total account value, approximately 75% of our variable annuity block included living benefit guarantees at both December 31, 2025 and 2024.</w:t>
      </w:r>
    </w:p>
    <w:p>
      <w:pPr>
        <w:spacing w:after="0" w:line="101"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GMIBs. </w:t>
      </w:r>
      <w:r>
        <w:rPr>
          <w:rFonts w:ascii="Times New Roman" w:cs="Times New Roman" w:eastAsia="Times New Roman" w:hAnsi="Times New Roman"/>
          <w:sz w:val="18"/>
          <w:szCs w:val="18"/>
          <w:color w:val="auto"/>
        </w:rPr>
        <w:t>GMIBs are our largest block of living benefit guarantees based on in-force account value. Contract holders must wait for a defined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usually ten years, before they can elect to receive income through guaranteed annuity payments.</w:t>
      </w:r>
    </w:p>
    <w:p>
      <w:pPr>
        <w:spacing w:after="0" w:line="56"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Contract holder behavior around choosing a particular option cannot be predicted with certainty at the time of contract issuance or thereafter. The incidence and timing of benefit elections and the resulting benefit payments may differ materially from those we anticipated at the time we issued a variable annuity contract with a GMIB. As we observe actual contract holder behavior, we periodically update our assumptions with respect to contract holder behavior and take appropriate action with respect to the amount of the reserves we establish for the future payment of such benefits. See “Risk Factors — Risks Related to Our Business — Guarantees within certain of our annuity products may decrease our earnings, decrease our capitalization, increase the volatility of our results, result in higher risk management costs and expose us to increased market risk” and “Management’s Discussion and Analysis of Financial Condition and Results of Operations — Summary of Critical Accounting Estimates.”</w:t>
      </w:r>
    </w:p>
    <w:p>
      <w:pPr>
        <w:spacing w:after="0" w:line="81"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Before we ceased offering GMIBs for purchase in 2016, we employed several risk exposure reduction strategies at the product level. These include reducing the interest rates used to determine annuity payout rates on GMIBs from 2.5% to 0.5% over time. In addition, we increased the setback period used to determine the annuity payout rates for contract holders from seven years to ten years. We also reduced the guaranteed roll-up rates from 6% to 4%.</w:t>
      </w:r>
    </w:p>
    <w:p>
      <w:pPr>
        <w:spacing w:after="0" w:line="74"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Additionally, we introduced limitations on fund selections inside certain variable annuity contracts and introduced managed volatility funds to our fund offerings in conjunction with the introduction of our last generation GMIB product “Max.” Approximately 28% of GMIB total account value at both December 31, 2025 and 2024 was invested in managed volatility funds. The managers of these funds seek to reduce the risk of large, sudden declines in account value during market downturns by managing the volatility or draw-down risk of the underlying fund holdings by rebalancing the fund holdings within certain guidelines or overlaying hedging strategies at the fund level. We believe that these risk mitigation actions at the fund level reduce the amount of hedging or reinsurance we require to manage our risks arising from guarantees we provide on the underlying variable annuity separate accounts.</w:t>
      </w:r>
    </w:p>
    <w:p>
      <w:pPr>
        <w:spacing w:after="0" w:line="79"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i w:val="1"/>
          <w:iCs w:val="1"/>
          <w:color w:val="auto"/>
        </w:rPr>
        <w:t>GMWBs</w:t>
      </w:r>
      <w:r>
        <w:rPr>
          <w:rFonts w:ascii="Times New Roman" w:cs="Times New Roman" w:eastAsia="Times New Roman" w:hAnsi="Times New Roman"/>
          <w:sz w:val="18"/>
          <w:szCs w:val="18"/>
          <w:color w:val="auto"/>
        </w:rPr>
        <w:t>. GMWBs have a Benefit Base that contract holders may roll up for up to ten years. If contract holders take withdrawals early, the roll-up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be less than ten years. This is in contrast to GMIBs, in which roll-ups may continue beyond ten years. Therefore, the roll-up period for the Benefit Base on GMWBs is typically less uncertain and is shorter than those on GMIBs. Additionally, the contract holder may receive income only through withdrawal of their Benefit Base. These withdrawal percentages are defined in the contract and differ by the age when contract holders start to take withdrawals. Withdrawal rates may differ if they are offered on a single contract holder or a couple (joint life). GMWBs primarily come in two versions depending on if they are period certain or if they are lifetime payments.</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GMABs</w:t>
      </w:r>
      <w:r>
        <w:rPr>
          <w:rFonts w:ascii="Times New Roman" w:cs="Times New Roman" w:eastAsia="Times New Roman" w:hAnsi="Times New Roman"/>
          <w:sz w:val="18"/>
          <w:szCs w:val="18"/>
          <w:color w:val="auto"/>
        </w:rPr>
        <w:t>. GMABs guarantee a minimum amount of account value to the contract holder after a set period of time, which can also include locking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markets gains. This can protect the value of the annuity from market fluctuations.</w:t>
      </w:r>
    </w:p>
    <w:p>
      <w:pPr>
        <w:spacing w:after="0" w:line="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variable annuity account value and Benefit Base by type of GMLB were as follows at: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2025 (1)</w:t>
            </w:r>
          </w:p>
        </w:tc>
        <w:tc>
          <w:tcPr>
            <w:tcW w:w="180" w:type="dxa"/>
            <w:vAlign w:val="bottom"/>
          </w:tcPr>
          <w:p>
            <w:pPr>
              <w:spacing w:after="0"/>
              <w:rPr>
                <w:sz w:val="16"/>
                <w:szCs w:val="16"/>
                <w:color w:val="auto"/>
              </w:rPr>
            </w:pPr>
          </w:p>
        </w:tc>
        <w:tc>
          <w:tcPr>
            <w:tcW w:w="274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December 31, 2024 (1)</w:t>
            </w:r>
          </w:p>
        </w:tc>
        <w:tc>
          <w:tcPr>
            <w:tcW w:w="0" w:type="dxa"/>
            <w:vAlign w:val="bottom"/>
          </w:tcPr>
          <w:p>
            <w:pPr>
              <w:spacing w:after="0"/>
              <w:rPr>
                <w:sz w:val="1"/>
                <w:szCs w:val="1"/>
                <w:color w:val="auto"/>
              </w:rPr>
            </w:pPr>
          </w:p>
        </w:tc>
      </w:tr>
      <w:tr>
        <w:trPr>
          <w:trHeight w:val="24"/>
        </w:trPr>
        <w:tc>
          <w:tcPr>
            <w:tcW w:w="5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Account Value (2)</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Benefit Base</w:t>
            </w:r>
          </w:p>
        </w:tc>
        <w:tc>
          <w:tcPr>
            <w:tcW w:w="10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Account Value (2)</w:t>
            </w:r>
          </w:p>
        </w:tc>
        <w:tc>
          <w:tcPr>
            <w:tcW w:w="1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Benefit Base</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7"/>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39,787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41,202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64,007</w:t>
            </w:r>
          </w:p>
        </w:tc>
        <w:tc>
          <w:tcPr>
            <w:tcW w:w="0" w:type="dxa"/>
            <w:vAlign w:val="bottom"/>
          </w:tcPr>
          <w:p>
            <w:pPr>
              <w:spacing w:after="0"/>
              <w:rPr>
                <w:sz w:val="1"/>
                <w:szCs w:val="1"/>
                <w:color w:val="auto"/>
              </w:rPr>
            </w:pPr>
          </w:p>
        </w:tc>
      </w:tr>
      <w:tr>
        <w:trPr>
          <w:trHeight w:val="441"/>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19,263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19,414</w:t>
            </w:r>
          </w:p>
        </w:tc>
        <w:tc>
          <w:tcPr>
            <w:tcW w:w="0" w:type="dxa"/>
            <w:vAlign w:val="bottom"/>
          </w:tcPr>
          <w:p>
            <w:pPr>
              <w:spacing w:after="0"/>
              <w:rPr>
                <w:sz w:val="1"/>
                <w:szCs w:val="1"/>
                <w:color w:val="auto"/>
              </w:rPr>
            </w:pPr>
          </w:p>
        </w:tc>
      </w:tr>
      <w:tr>
        <w:trPr>
          <w:trHeight w:val="45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GMAB</w:t>
            </w:r>
          </w:p>
        </w:tc>
        <w:tc>
          <w:tcPr>
            <w:tcW w:w="160" w:type="dxa"/>
            <w:vAlign w:val="bottom"/>
            <w:tcBorders>
              <w:bottom w:val="single" w:sz="8" w:color="auto"/>
            </w:tcBorders>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451"/>
        </w:trPr>
        <w:tc>
          <w:tcPr>
            <w:tcW w:w="5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59,043</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78,766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60,824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83,687</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3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annuity contracts offer more than one type of guarantee and therefore certain living benefit guarantee amounts included in this table may also be included in the GMDBs table above.</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account value includes investments in the general account totaling $3.4 billion and $3.8 billion at December 31, 2025 and 2024, respectively.</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Net Amount at Risk</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net amount at risk (“NAR”) for the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NAR for the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NAR for the GMAB is the amount of guaranteed benefits in excess of the account values (if any) as of the balance sheet date and assumes utilization of benefits by all contract holders as of the balance sheet. The NAR for the GMAB is not available until the GMAB maturity date.</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NAR for the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variable annuity account value and NAR by type of GMxB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80" w:type="dxa"/>
            <w:vAlign w:val="bottom"/>
          </w:tcPr>
          <w:p>
            <w:pPr>
              <w:spacing w:after="0"/>
              <w:rPr>
                <w:sz w:val="24"/>
                <w:szCs w:val="24"/>
                <w:color w:val="auto"/>
              </w:rPr>
            </w:pP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60" w:type="dxa"/>
            <w:vAlign w:val="bottom"/>
          </w:tcPr>
          <w:p>
            <w:pPr>
              <w:spacing w:after="0"/>
              <w:rPr>
                <w:sz w:val="24"/>
                <w:szCs w:val="24"/>
                <w:color w:val="auto"/>
              </w:rPr>
            </w:pP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Living</w:t>
            </w: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 of Account</w:t>
            </w:r>
          </w:p>
        </w:tc>
        <w:tc>
          <w:tcPr>
            <w:tcW w:w="8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Death Benefit</w:t>
            </w:r>
          </w:p>
        </w:tc>
        <w:tc>
          <w:tcPr>
            <w:tcW w:w="180" w:type="dxa"/>
            <w:vAlign w:val="bottom"/>
          </w:tcPr>
          <w:p>
            <w:pPr>
              <w:spacing w:after="0"/>
              <w:rPr>
                <w:sz w:val="24"/>
                <w:szCs w:val="24"/>
                <w:color w:val="auto"/>
              </w:rPr>
            </w:pPr>
          </w:p>
        </w:tc>
        <w:tc>
          <w:tcPr>
            <w:tcW w:w="68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Living</w:t>
            </w:r>
          </w:p>
        </w:tc>
        <w:tc>
          <w:tcPr>
            <w:tcW w:w="1340" w:type="dxa"/>
            <w:vAlign w:val="bottom"/>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w w:val="99"/>
              </w:rPr>
              <w:t>% of Account</w:t>
            </w:r>
          </w:p>
        </w:tc>
        <w:tc>
          <w:tcPr>
            <w:tcW w:w="0" w:type="dxa"/>
            <w:vAlign w:val="bottom"/>
          </w:tcPr>
          <w:p>
            <w:pPr>
              <w:spacing w:after="0"/>
              <w:rPr>
                <w:sz w:val="1"/>
                <w:szCs w:val="1"/>
                <w:color w:val="auto"/>
              </w:rPr>
            </w:pPr>
          </w:p>
        </w:tc>
      </w:tr>
      <w:tr>
        <w:trPr>
          <w:trHeight w:val="159"/>
        </w:trPr>
        <w:tc>
          <w:tcPr>
            <w:tcW w:w="2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80" w:type="dxa"/>
            <w:vAlign w:val="bottom"/>
            <w:gridSpan w:val="3"/>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86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158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Value In-the-</w:t>
            </w:r>
          </w:p>
        </w:tc>
        <w:tc>
          <w:tcPr>
            <w:tcW w:w="84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86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1340" w:type="dxa"/>
            <w:vAlign w:val="bottom"/>
          </w:tcPr>
          <w:p>
            <w:pPr>
              <w:jc w:val="center"/>
              <w:ind w:left="43"/>
              <w:spacing w:after="0" w:line="159" w:lineRule="exact"/>
              <w:rPr>
                <w:sz w:val="20"/>
                <w:szCs w:val="20"/>
                <w:color w:val="auto"/>
              </w:rPr>
            </w:pPr>
            <w:r>
              <w:rPr>
                <w:rFonts w:ascii="Times New Roman" w:cs="Times New Roman" w:eastAsia="Times New Roman" w:hAnsi="Times New Roman"/>
                <w:sz w:val="14"/>
                <w:szCs w:val="14"/>
                <w:b w:val="1"/>
                <w:bCs w:val="1"/>
                <w:color w:val="auto"/>
                <w:w w:val="97"/>
              </w:rPr>
              <w:t>Value In-the-</w:t>
            </w:r>
          </w:p>
        </w:tc>
        <w:tc>
          <w:tcPr>
            <w:tcW w:w="0" w:type="dxa"/>
            <w:vAlign w:val="bottom"/>
          </w:tcPr>
          <w:p>
            <w:pPr>
              <w:spacing w:after="0"/>
              <w:rPr>
                <w:sz w:val="1"/>
                <w:szCs w:val="1"/>
                <w:color w:val="auto"/>
              </w:rPr>
            </w:pPr>
          </w:p>
        </w:tc>
      </w:tr>
      <w:tr>
        <w:trPr>
          <w:trHeight w:val="199"/>
        </w:trPr>
        <w:tc>
          <w:tcPr>
            <w:tcW w:w="2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Pr>
          <w:p>
            <w:pPr>
              <w:spacing w:after="0"/>
              <w:rPr>
                <w:sz w:val="17"/>
                <w:szCs w:val="17"/>
                <w:color w:val="auto"/>
              </w:rPr>
            </w:pPr>
          </w:p>
        </w:tc>
        <w:tc>
          <w:tcPr>
            <w:tcW w:w="6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(1)</w:t>
            </w: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Money (2)</w:t>
            </w: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NAR (1)</w:t>
            </w:r>
          </w:p>
        </w:tc>
        <w:tc>
          <w:tcPr>
            <w:tcW w:w="180" w:type="dxa"/>
            <w:vAlign w:val="bottom"/>
          </w:tcPr>
          <w:p>
            <w:pPr>
              <w:spacing w:after="0"/>
              <w:rPr>
                <w:sz w:val="17"/>
                <w:szCs w:val="17"/>
                <w:color w:val="auto"/>
              </w:rPr>
            </w:pPr>
          </w:p>
        </w:tc>
        <w:tc>
          <w:tcPr>
            <w:tcW w:w="6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(1)</w:t>
            </w:r>
          </w:p>
        </w:tc>
        <w:tc>
          <w:tcPr>
            <w:tcW w:w="1340" w:type="dxa"/>
            <w:vAlign w:val="bottom"/>
          </w:tcPr>
          <w:p>
            <w:pPr>
              <w:jc w:val="center"/>
              <w:ind w:left="43"/>
              <w:spacing w:after="0"/>
              <w:rPr>
                <w:sz w:val="20"/>
                <w:szCs w:val="20"/>
                <w:color w:val="auto"/>
              </w:rPr>
            </w:pPr>
            <w:r>
              <w:rPr>
                <w:rFonts w:ascii="Times New Roman" w:cs="Times New Roman" w:eastAsia="Times New Roman" w:hAnsi="Times New Roman"/>
                <w:sz w:val="14"/>
                <w:szCs w:val="14"/>
                <w:b w:val="1"/>
                <w:bCs w:val="1"/>
                <w:color w:val="auto"/>
              </w:rPr>
              <w:t>Money (2)</w:t>
            </w: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2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2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2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32.1 %  $</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30,280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4,085</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0" w:type="dxa"/>
            <w:vAlign w:val="bottom"/>
          </w:tcPr>
          <w:p>
            <w:pPr>
              <w:spacing w:after="0"/>
              <w:rPr>
                <w:sz w:val="1"/>
                <w:szCs w:val="1"/>
                <w:color w:val="auto"/>
              </w:rPr>
            </w:pPr>
          </w:p>
        </w:tc>
      </w:tr>
      <w:tr>
        <w:trPr>
          <w:trHeight w:val="441"/>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GMIB Max with EDB</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6,981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48.8 %</w:t>
            </w:r>
          </w:p>
        </w:tc>
        <w:tc>
          <w:tcPr>
            <w:tcW w:w="0" w:type="dxa"/>
            <w:vAlign w:val="bottom"/>
          </w:tcPr>
          <w:p>
            <w:pPr>
              <w:spacing w:after="0"/>
              <w:rPr>
                <w:sz w:val="1"/>
                <w:szCs w:val="1"/>
                <w:color w:val="auto"/>
              </w:rPr>
            </w:pPr>
          </w:p>
        </w:tc>
      </w:tr>
      <w:tr>
        <w:trPr>
          <w:trHeight w:val="46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 Max without EDB</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3,941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33.6 %</w:t>
            </w:r>
          </w:p>
        </w:tc>
        <w:tc>
          <w:tcPr>
            <w:tcW w:w="0" w:type="dxa"/>
            <w:vAlign w:val="bottom"/>
          </w:tcPr>
          <w:p>
            <w:pPr>
              <w:spacing w:after="0"/>
              <w:rPr>
                <w:sz w:val="1"/>
                <w:szCs w:val="1"/>
                <w:color w:val="auto"/>
              </w:rPr>
            </w:pPr>
          </w:p>
        </w:tc>
      </w:tr>
      <w:tr>
        <w:trPr>
          <w:trHeight w:val="448"/>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19,263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45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GMAB</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448"/>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GMDB only (other than EDB)</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17,076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451"/>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EDB only</w:t>
            </w:r>
          </w:p>
        </w:tc>
        <w:tc>
          <w:tcPr>
            <w:tcW w:w="1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3,084</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446"/>
        </w:trPr>
        <w:tc>
          <w:tcPr>
            <w:tcW w:w="28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79,321</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11,915</w:t>
            </w:r>
          </w:p>
        </w:tc>
        <w:tc>
          <w:tcPr>
            <w:tcW w:w="120" w:type="dxa"/>
            <w:vAlign w:val="bottom"/>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80,984</w:t>
            </w:r>
          </w:p>
        </w:tc>
        <w:tc>
          <w:tcPr>
            <w:tcW w:w="10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12,817</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8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Benefit NAR” and “Living Benefit NAR” are not additive at the contract level.</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In-the-money is defined as any contract with a living benefit NAR in excess of zero.</w:t>
      </w:r>
    </w:p>
    <w:p>
      <w:pPr>
        <w:spacing w:after="0" w:line="1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Reserves</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Under accounting principles generally accepted in the United States of America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measured at estimated fair value, and are reported in policyholder account balances on the consolidated balance sheets, with changes reported in net derivative gains (losses) on the consolidated statements of operations. The Shield embedded derivative liabilities were valued at $11.0 billion at December 31, 2025.</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variable annuity MRBs by type of GMxB were as follows at:</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360" w:type="dxa"/>
            <w:vAlign w:val="bottom"/>
            <w:gridSpan w:val="3"/>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0" w:type="dxa"/>
            <w:vAlign w:val="bottom"/>
          </w:tcPr>
          <w:p>
            <w:pPr>
              <w:spacing w:after="0"/>
              <w:rPr>
                <w:sz w:val="16"/>
                <w:szCs w:val="16"/>
                <w:color w:val="auto"/>
              </w:rPr>
            </w:pPr>
          </w:p>
        </w:tc>
      </w:tr>
      <w:tr>
        <w:trPr>
          <w:trHeight w:val="37"/>
        </w:trPr>
        <w:tc>
          <w:tcPr>
            <w:tcW w:w="7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393"/>
        </w:trPr>
        <w:tc>
          <w:tcPr>
            <w:tcW w:w="7100" w:type="dxa"/>
            <w:vAlign w:val="bottom"/>
          </w:tcPr>
          <w:p>
            <w:pPr>
              <w:spacing w:after="0"/>
              <w:rPr>
                <w:sz w:val="24"/>
                <w:szCs w:val="24"/>
                <w:color w:val="auto"/>
              </w:rPr>
            </w:pPr>
          </w:p>
        </w:tc>
        <w:tc>
          <w:tcPr>
            <w:tcW w:w="138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jc w:val="right"/>
              <w:ind w:right="7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7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393"/>
        </w:trPr>
        <w:tc>
          <w:tcPr>
            <w:tcW w:w="7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gridSpan w:val="3"/>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24"/>
                <w:szCs w:val="24"/>
                <w:color w:val="auto"/>
              </w:rPr>
            </w:pPr>
          </w:p>
        </w:tc>
      </w:tr>
      <w:tr>
        <w:trPr>
          <w:trHeight w:val="37"/>
        </w:trPr>
        <w:tc>
          <w:tcPr>
            <w:tcW w:w="7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45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380" w:type="dxa"/>
            <w:vAlign w:val="bottom"/>
            <w:shd w:val="clear" w:color="auto" w:fill="CCEEFF"/>
          </w:tcPr>
          <w:p>
            <w:pPr>
              <w:jc w:val="right"/>
              <w:ind w:right="118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7,298</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7,560</w:t>
            </w:r>
          </w:p>
        </w:tc>
      </w:tr>
      <w:tr>
        <w:trPr>
          <w:trHeight w:val="441"/>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45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GMDB</w:t>
            </w:r>
          </w:p>
        </w:tc>
        <w:tc>
          <w:tcPr>
            <w:tcW w:w="138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r>
      <w:tr>
        <w:trPr>
          <w:trHeight w:val="451"/>
        </w:trPr>
        <w:tc>
          <w:tcPr>
            <w:tcW w:w="7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380" w:type="dxa"/>
            <w:vAlign w:val="bottom"/>
            <w:tcBorders>
              <w:bottom w:val="single" w:sz="8" w:color="auto"/>
            </w:tcBorders>
          </w:tcPr>
          <w:p>
            <w:pPr>
              <w:jc w:val="right"/>
              <w:ind w:right="118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8,048</w:t>
            </w:r>
          </w:p>
        </w:tc>
        <w:tc>
          <w:tcPr>
            <w:tcW w:w="100" w:type="dxa"/>
            <w:vAlign w:val="bottom"/>
          </w:tcPr>
          <w:p>
            <w:pPr>
              <w:spacing w:after="0"/>
              <w:rPr>
                <w:sz w:val="24"/>
                <w:szCs w:val="24"/>
                <w:color w:val="auto"/>
              </w:rPr>
            </w:pPr>
          </w:p>
        </w:tc>
        <w:tc>
          <w:tcPr>
            <w:tcW w:w="62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8,307</w:t>
            </w:r>
          </w:p>
        </w:tc>
      </w:tr>
      <w:tr>
        <w:trPr>
          <w:trHeight w:val="20"/>
        </w:trPr>
        <w:tc>
          <w:tcPr>
            <w:tcW w:w="7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estimated fair value of these guarantees can change significantly due to changes in interest rates, equity indices, market volatility and variations in actuarial assumptions, including policyholder behavior, mortality and risk margins related to non-capital markets inputs, as well as changes in nonperformance risk. See “Risk Factors — Risks Related to Our Business — Differences between actual experience and actuarial assumptions may adversely affect our financial results, capitalization and financial condition” and “Risk Factors — Risks Related to Our Business — Guarantees within certain of our annuity products may decrease our earnings, decrease our capitalization, increase the volatility of our results, result in higher risk management costs and expose us to increased market risk.”</w:t>
      </w:r>
    </w:p>
    <w:p>
      <w:pPr>
        <w:sectPr>
          <w:pgSz w:w="11900" w:h="16838" w:orient="portrait"/>
          <w:cols w:equalWidth="0" w:num="1">
            <w:col w:w="11240"/>
          </w:cols>
          <w:pgMar w:left="320" w:top="278" w:right="339" w:bottom="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45"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1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Life segment consists of insurance products, including term, universal, whole and variable life products designed to address policyholders’ needs for financial security and protected wealth transfer, which may be on a tax-advantaged basis. While our in-force book reflects a broad range of life products, we are currently focused on universal life products with index-linked benefits, concentrating on design and profitability over volume. By managing our in-force book of business, we expect to generate future revenue and profits from premiums, investment margins, expense margins, mortality margins, morbidity margins and surrender fees. We aim to maximize our profits by focusing on efficiency in order to continue to reduce the cost basis and underwriting expenses.</w:t>
      </w:r>
    </w:p>
    <w:p>
      <w:pPr>
        <w:spacing w:after="0" w:line="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Insurance liabilities of our life insurance products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34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7"/>
        </w:trPr>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6"/>
        </w:trPr>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8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80" w:type="dxa"/>
            <w:vAlign w:val="bottom"/>
          </w:tcPr>
          <w:p>
            <w:pPr>
              <w:spacing w:after="0"/>
              <w:rPr>
                <w:sz w:val="16"/>
                <w:szCs w:val="16"/>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4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393"/>
        </w:trPr>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
        </w:trPr>
        <w:tc>
          <w:tcPr>
            <w:tcW w:w="3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45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r>
      <w:tr>
        <w:trPr>
          <w:trHeight w:val="44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3,493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w:t>
            </w:r>
          </w:p>
        </w:tc>
      </w:tr>
      <w:tr>
        <w:trPr>
          <w:trHeight w:val="46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r>
      <w:tr>
        <w:trPr>
          <w:trHeight w:val="444"/>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Variable</w:t>
            </w: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8,000</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7,572</w:t>
            </w:r>
          </w:p>
        </w:tc>
      </w:tr>
      <w:tr>
        <w:trPr>
          <w:trHeight w:val="476"/>
        </w:trPr>
        <w:tc>
          <w:tcPr>
            <w:tcW w:w="3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16,043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9,036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15,455</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in-force face amount and direct premiums received for our life insurance products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In-Force Face Amount</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3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38"/>
        </w:trPr>
        <w:tc>
          <w:tcPr>
            <w:tcW w:w="4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4"/>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6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20" w:type="dxa"/>
            <w:vAlign w:val="bottom"/>
          </w:tcPr>
          <w:p>
            <w:pPr>
              <w:spacing w:after="0"/>
              <w:rPr>
                <w:sz w:val="24"/>
                <w:szCs w:val="24"/>
                <w:color w:val="auto"/>
              </w:rPr>
            </w:pPr>
          </w:p>
        </w:tc>
      </w:tr>
      <w:tr>
        <w:trPr>
          <w:trHeight w:val="38"/>
        </w:trPr>
        <w:tc>
          <w:tcPr>
            <w:tcW w:w="4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24"/>
                <w:szCs w:val="24"/>
                <w:color w:val="auto"/>
              </w:rPr>
            </w:pPr>
          </w:p>
        </w:tc>
        <w:tc>
          <w:tcPr>
            <w:tcW w:w="8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24"/>
                <w:szCs w:val="24"/>
                <w:color w:val="auto"/>
              </w:rPr>
            </w:pPr>
          </w:p>
        </w:tc>
        <w:tc>
          <w:tcPr>
            <w:tcW w:w="106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24"/>
                <w:szCs w:val="24"/>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47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4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
        </w:trPr>
        <w:tc>
          <w:tcPr>
            <w:tcW w:w="4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45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312,477</w:t>
            </w:r>
          </w:p>
        </w:tc>
        <w:tc>
          <w:tcPr>
            <w:tcW w:w="5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337,199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457</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498</w:t>
            </w:r>
          </w:p>
        </w:tc>
        <w:tc>
          <w:tcPr>
            <w:tcW w:w="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441"/>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Whole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16,098</w:t>
            </w:r>
          </w:p>
        </w:tc>
        <w:tc>
          <w:tcPr>
            <w:tcW w:w="5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16,904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316</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360</w:t>
            </w: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46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9,339</w:t>
            </w:r>
          </w:p>
        </w:tc>
        <w:tc>
          <w:tcPr>
            <w:tcW w:w="5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96</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99</w:t>
            </w:r>
          </w:p>
        </w:tc>
        <w:tc>
          <w:tcPr>
            <w:tcW w:w="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432"/>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31,714</w:t>
            </w:r>
          </w:p>
        </w:tc>
        <w:tc>
          <w:tcPr>
            <w:tcW w:w="5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134</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150</w:t>
            </w: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r>
    </w:tbl>
    <w:p>
      <w:pPr>
        <w:spacing w:after="0" w:line="1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Term Life</w:t>
      </w:r>
    </w:p>
    <w:p>
      <w:pPr>
        <w:spacing w:after="0" w:line="11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Term life products are designed to provide a fixed death benefit in exchange for a guaranteed level premium to be paid over a specified period of time. These term life product offerings include 10-, 20- or 30-year level premium term options, which we ceased offering during the first half of 2025. We currently offer a one-year term option. Our term life products do not include any cash value, accumulation or investment components. As a result, they are our most basic life insurance product offering and generally have lower premiums than other forms of life insurance. Term life products may allow the policyholder to continue coverage beyond the guaranteed level premium period, generally at an elevated cost. Some of our term life policies allow the policyholder to convert the policy during the conversion period to a permanent policy. Such conversion does not require additional medical or financial underwriting.</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Whole Life</w:t>
      </w:r>
    </w:p>
    <w:p>
      <w:pPr>
        <w:spacing w:after="0" w:line="113" w:lineRule="exact"/>
        <w:rPr>
          <w:sz w:val="20"/>
          <w:szCs w:val="20"/>
          <w:color w:val="auto"/>
        </w:rPr>
      </w:pPr>
    </w:p>
    <w:p>
      <w:pPr>
        <w:jc w:val="both"/>
        <w:ind w:left="320" w:firstLine="318"/>
        <w:spacing w:after="0" w:line="266" w:lineRule="auto"/>
        <w:rPr>
          <w:sz w:val="20"/>
          <w:szCs w:val="20"/>
          <w:color w:val="auto"/>
        </w:rPr>
      </w:pPr>
      <w:r>
        <w:rPr>
          <w:rFonts w:ascii="Times New Roman" w:cs="Times New Roman" w:eastAsia="Times New Roman" w:hAnsi="Times New Roman"/>
          <w:sz w:val="17"/>
          <w:szCs w:val="17"/>
          <w:color w:val="auto"/>
        </w:rPr>
        <w:t>We currently offer a non-participating conversion whole life product that is available for term and group conversions and to satisfy other contractual obligations. We have a significant in-force book of both participating and non-participating whole life policies. Whole life products provide a guaranteed death benefit in exchange for a guaranteed level premium for a specified period of time in order to maintain coverage for the life of the insured. Whole life products also have guaranteed minimum cash surrender values. Our in-force whole life products provide for participation in the returns generated by the business, delivered to the policyholder in the form of non-guaranteed dividend payments. The policyholder can elect to receive the dividends in cash or use them to increase the paid-up policy death benefit or pay the required premium. They can also be used for other purposes, including payment of loans and loan interest. The versatility of whole life allows it to be used for a variety of purposes beyond just the primary purpose of death benefit protection. With our in-force policies, the policyholder can withdraw or borrow against the policy (sometimes on a tax favored basis).</w:t>
      </w:r>
    </w:p>
    <w:p>
      <w:pPr>
        <w:sectPr>
          <w:pgSz w:w="11900" w:h="16838" w:orient="portrait"/>
          <w:cols w:equalWidth="0" w:num="1">
            <w:col w:w="11240"/>
          </w:cols>
          <w:pgMar w:left="320" w:top="27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Universal Life</w:t>
      </w:r>
    </w:p>
    <w:p>
      <w:pPr>
        <w:spacing w:after="0" w:line="113" w:lineRule="exact"/>
        <w:rPr>
          <w:sz w:val="20"/>
          <w:szCs w:val="20"/>
          <w:color w:val="auto"/>
        </w:rPr>
      </w:pPr>
    </w:p>
    <w:p>
      <w:pPr>
        <w:jc w:val="both"/>
        <w:ind w:left="320" w:firstLine="318"/>
        <w:spacing w:after="0" w:line="238" w:lineRule="auto"/>
        <w:rPr>
          <w:sz w:val="20"/>
          <w:szCs w:val="20"/>
          <w:color w:val="auto"/>
        </w:rPr>
      </w:pPr>
      <w:r>
        <w:rPr>
          <w:rFonts w:ascii="Times New Roman" w:cs="Times New Roman" w:eastAsia="Times New Roman" w:hAnsi="Times New Roman"/>
          <w:sz w:val="18"/>
          <w:szCs w:val="18"/>
          <w:color w:val="auto"/>
        </w:rPr>
        <w:t>We have a significant in-force book of universal life policies and currently offer two universal life products with index-linked benefits. Universal life products typically provide a death benefit in return for payment of specified annual policy charges that are generally related to specific costs, which may change over time. To the extent that the policyholder chooses to pay more than the charges required in any given year to keep the policy in-force, the excess premium will be added to the cash value of the policy and credited with a stated interest rate. This structure gives policyholders flexibility in the amount and timing of premium payments, subject to tax guidelines. Consequently, universal life policies can be used in a variety of different ways. Brighthouse SmartCare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index-linked universal life product launched in 2019, which we market as a hybrid life insurance and long-term care policy, allows policyholders to pay for qualified long-term care expenses by accelerating a significant portion of the face amount of the policy over a period of time. After that period of time, the policyholder may continue to receive benefits up to their maximum monthly amount for up to four additional years. Brighthouse SmartGuard Plus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our index-linked universal life product launched in 2023, offers a guaranteed distribution rider that ensures a minimum amount of distribution payments will always be payable, regardless of policy performance, through policy loans. With positive policy performance, the amount of guaranteed distribution payments available may increase over time.</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Variable Life</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We have a significant in-force book of variable life policies, but do not currently offer variable life policies. Variable life products operate similarly to universal life products, with the additional feature that the excess amount paid over policy charges can be directed by the policyholder into a variety of separate account investment options. In certain separate account investment options, the policyholder bears the entire risk of the investment results. We collect specified fees for the management of the investment options in addition to the base policy charges. In some instances, these investment options are managed by third-party asset management firms. The policyholder’s cash value reflects the investment return of the selected investment options, net of management fees and insurance-related charges. With some products, by maintaining a certain premium level, policyholders may also have the advantage of various guarantees designed to protect the death benefit from adverse investment experience.</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Pricing and Underwriting</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Pricing</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Life insurance pricing at issuance is based on the expected payout of benefits calculated using our assumptions for mortality, morbidity, premium payment patterns, sales mix, expenses, persistency and investment returns, as well as certain macroeconomic factors, such as inflation. Our product pricing models consider additional factors, such as hedging costs, reinsurance programs and capital requirements. Our product pricing reflects our pricing standards and guidelines. We regularly review our pricing guidelines in light of applicable regulations and to ensure that our policies remain competitive and aligned with our marketing strategies and profitability goals.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have established important controls around management of underwriting and pricing processes, including regular experience studies to monitor assumptions against expectations, formal new product approval processes, periodic updates to product profitability studies and the use of reinsurance to manage our exposures, as appropriate.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Underwriting</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Underwriting generally involves an evaluation of applications by a professional staff of underwriters and actuaries who determine the type and the amount of insurance risk that we are willing to accept. We employ detailed underwriting policies, guidelines and procedures designed to assist the underwriters to properly assess and quantify such risks before issuing policies to qualified applicants or groups.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Insurance underwriting may consider not only an insured’s medical history, but also other factors such as the insured’s foreign travel, vocation, alcohol, drug and tobacco use, and the policyholder’s financial profile. We generally perform our own underwriting; however, certain policies are reviewed by intermediaries under guidelines established by us. Requests for coverage are reviewed on their merits and a policy is not issued unless the particular risk has been examined and approved in accordance with our underwriting guidelines.</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underwriting conducted by our corporate underwriting office and intermediaries is subject to periodic quality assurance reviews to maintain high standards of underwriting and consistency. The office is also subject to periodic external audits by reinsurers with whom we do business.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believe we have established oversight of the underwriting process that facilitates quality sales and serves the needs of our customers, while supporting our financial strength and business objectives. Our goal is to achieve the underwriting, mortality and morbidity levels reflected in the assumptions in our product pricing. We seek to accomplish this by determining and establishing underwriting policies, guidelines, philosophies and strategies that are competitive and suitable for the customer, the agent and us.</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We regularly review our underwriting guidelines (i) in light of applicable regulations and (ii) to ensure that our practices remain competitive and aligned with our marketing strategies, emerging industry trends and profitability goals.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Run-off</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Run-off segment consists primarily of products that are no longer actively sold and are separately managed, including ULSG, structured settlements, pension risk transfer contracts, certain company-owned life insurance policies and certain funding agreements.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Insurance liabilities of our annuity contracts and life insurance policies reported in our Run-off segment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34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67"/>
        </w:trPr>
        <w:tc>
          <w:tcPr>
            <w:tcW w:w="3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2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22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Separate</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6"/>
        </w:trPr>
        <w:tc>
          <w:tcPr>
            <w:tcW w:w="3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80" w:type="dxa"/>
            <w:vAlign w:val="bottom"/>
          </w:tcPr>
          <w:p>
            <w:pPr>
              <w:spacing w:after="0"/>
              <w:rPr>
                <w:sz w:val="16"/>
                <w:szCs w:val="16"/>
                <w:color w:val="auto"/>
              </w:rPr>
            </w:pP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20" w:type="dxa"/>
            <w:vAlign w:val="bottom"/>
          </w:tcPr>
          <w:p>
            <w:pPr>
              <w:spacing w:after="0"/>
              <w:rPr>
                <w:sz w:val="16"/>
                <w:szCs w:val="16"/>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280" w:type="dxa"/>
            <w:vAlign w:val="bottom"/>
          </w:tcPr>
          <w:p>
            <w:pPr>
              <w:spacing w:after="0"/>
              <w:rPr>
                <w:sz w:val="16"/>
                <w:szCs w:val="16"/>
                <w:color w:val="auto"/>
              </w:rPr>
            </w:pPr>
          </w:p>
        </w:tc>
        <w:tc>
          <w:tcPr>
            <w:tcW w:w="9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4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393"/>
        </w:trPr>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8"/>
        </w:trPr>
        <w:tc>
          <w:tcPr>
            <w:tcW w:w="3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45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ULSG</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17,137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17,110</w:t>
            </w:r>
          </w:p>
        </w:tc>
      </w:tr>
      <w:tr>
        <w:trPr>
          <w:trHeight w:val="44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Structured settlements</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r>
      <w:tr>
        <w:trPr>
          <w:trHeight w:val="46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risk transfer</w:t>
            </w: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w:t>
            </w:r>
          </w:p>
        </w:tc>
      </w:tr>
      <w:tr>
        <w:trPr>
          <w:trHeight w:val="44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w:t>
            </w:r>
          </w:p>
        </w:tc>
      </w:tr>
      <w:tr>
        <w:trPr>
          <w:trHeight w:val="45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450"/>
        </w:trPr>
        <w:tc>
          <w:tcPr>
            <w:tcW w:w="3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24,402</w:t>
            </w:r>
          </w:p>
        </w:tc>
        <w:tc>
          <w:tcPr>
            <w:tcW w:w="12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2,483</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26,885</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25,049</w:t>
            </w:r>
          </w:p>
        </w:tc>
        <w:tc>
          <w:tcPr>
            <w:tcW w:w="120" w:type="dxa"/>
            <w:vAlign w:val="bottom"/>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1,831</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26,880</w:t>
            </w:r>
          </w:p>
        </w:tc>
      </w:tr>
      <w:tr>
        <w:trPr>
          <w:trHeight w:val="20"/>
        </w:trPr>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Corporate &amp; Other segment consists of activities related to funding agreements associated with our institutional spread margin business, excess capital not allocated to the other segments, interest expense related to our outstanding debt, and preferred stock dividends, as well as expenses associated with certain legal proceedings and income tax audit issues. Corporate &amp; Other also includes long-term care business reinsured through 100% quota share reinsurance agreements. See Note 3 of the Notes to the Consolidated Financial Statements for additional information on funding agreements.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Reinsurance Activity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Unaffiliated Third-Party Reinsurance</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connection with our risk management efforts and in order to provide opportunities for growth and capital management, we enter into reinsurance arrangements pursuant to which we cede certain insurance risks to unaffiliated third-party reinsurers. We cede risks to third parties in order to limit losses, minimize exposure to significant risks and provide capacity for future growth. We enter into various agreements with reinsurers that cover groups of risks, as well as individual risks. Our ceded reinsurance to third parties is primarily structured on a treaty basis as coinsurance, yearly renewable term, excess or catastrophe excess of retention insurance. These reinsurance arrangements are an important part of our risk management strategy because they permit us to spread risk and minimize the effect of losses. The extent of each risk retained by us depends on our evaluation of the specific risk, subject, in certain circumstances, to maximum retention limits based on the characteristics and relative cost of reinsurance. We also cede first dollar mortality risk under certain contracts. In addition to reinsuring mortality risk, we cede other risks, as well as specific coverages.</w:t>
      </w:r>
    </w:p>
    <w:p>
      <w:pPr>
        <w:spacing w:after="0" w:line="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Under the terms of the reinsurance agreements, the reinsurer agrees to reimburse us for the ceded amount in the event that we pay a claim. Cessions under reinsurance agreements do not discharge our obligations as the primary insurer. In the event the reinsurers do not meet their obligations under the terms of the reinsurance agreements, reinsurance recoverable balances could become uncollectible. 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have historically reinsured the mortality risk on our life insurance policies primarily on an excess of retention basis or on a quota share basis. When we cede risks to a reinsurer on an excess of retention basis, we retain the liability up to a contractually specified amount and the reinsurer is responsible for indemnifying us for amounts in excess of the liability we retain, which may be subject to a cap. When we cede risks on a quota share basis, we share a portion of the risk within a contractually specified layer of reinsurance coverage. We reinsure on a facultative basis for risks with specified characteristics. On a case-by-case basis, we may retain up to $20 million per life and reinsure 100% of the risk in excess of the amount we retain. We also reinsure portions of the risk associated with certain whole life policies to a former affiliate, and we assume certain term life policies and universal life policies with secondary death benefit guarantees issued by a former affiliate. We routinely evaluate our reinsurance program and may increase or decrease our retention at any time.</w:t>
      </w:r>
    </w:p>
    <w:p>
      <w:pPr>
        <w:spacing w:after="0" w:line="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reinsurance is diversified with a group of primarily highly rated reinsurers. We analyze recent trends in arbitration and litigation outcomes in disputes, if any, with our reinsurers and monitor ratings and the financial strength of our reinsurers. In addition, the reinsurance recoverable balance due from each reinsurer and the recoverability of such balance is evaluated as part of this overall monitoring process. We generally secure large reinsurance recoverable balances with various forms of collateral, including secured trusts, funds withheld accounts and irrevocable letters of credit.</w:t>
      </w:r>
    </w:p>
    <w:p>
      <w:pPr>
        <w:spacing w:after="0" w:line="7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reinsure, through 100% quota share reinsurance agreements, certain run-off long-term care and workers’ compensation business that we originally wrote. For products in our Run-off segment other than ULSG, we have periodically engaged in reinsurance activities on an opportunistic basis.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ordinary course net reinsurance recoverables from unaffiliated third-party reinsurers at December 31, 2025 were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 Best</w:t>
            </w:r>
          </w:p>
        </w:tc>
        <w:tc>
          <w:tcPr>
            <w:tcW w:w="0" w:type="dxa"/>
            <w:vAlign w:val="bottom"/>
          </w:tcPr>
          <w:p>
            <w:pPr>
              <w:spacing w:after="0"/>
              <w:rPr>
                <w:sz w:val="1"/>
                <w:szCs w:val="1"/>
                <w:color w:val="auto"/>
              </w:rPr>
            </w:pPr>
          </w:p>
        </w:tc>
      </w:tr>
      <w:tr>
        <w:trPr>
          <w:trHeight w:val="172"/>
        </w:trPr>
        <w:tc>
          <w:tcPr>
            <w:tcW w:w="7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vMerge w:val="restart"/>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Reinsurance Recoverables</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0" w:type="dxa"/>
            <w:vAlign w:val="bottom"/>
          </w:tcPr>
          <w:p>
            <w:pPr>
              <w:spacing w:after="0"/>
              <w:rPr>
                <w:sz w:val="1"/>
                <w:szCs w:val="1"/>
                <w:color w:val="auto"/>
              </w:rPr>
            </w:pPr>
          </w:p>
        </w:tc>
      </w:tr>
      <w:tr>
        <w:trPr>
          <w:trHeight w:val="186"/>
        </w:trPr>
        <w:tc>
          <w:tcPr>
            <w:tcW w:w="7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Strength Rating (1)</w:t>
            </w:r>
          </w:p>
        </w:tc>
        <w:tc>
          <w:tcPr>
            <w:tcW w:w="0" w:type="dxa"/>
            <w:vAlign w:val="bottom"/>
          </w:tcPr>
          <w:p>
            <w:pPr>
              <w:spacing w:after="0"/>
              <w:rPr>
                <w:sz w:val="1"/>
                <w:szCs w:val="1"/>
                <w:color w:val="auto"/>
              </w:rPr>
            </w:pPr>
          </w:p>
        </w:tc>
      </w:tr>
      <w:tr>
        <w:trPr>
          <w:trHeight w:val="24"/>
        </w:trPr>
        <w:tc>
          <w:tcPr>
            <w:tcW w:w="7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7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MetLife,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3,399</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A+</w:t>
            </w:r>
          </w:p>
        </w:tc>
        <w:tc>
          <w:tcPr>
            <w:tcW w:w="0" w:type="dxa"/>
            <w:vAlign w:val="bottom"/>
          </w:tcPr>
          <w:p>
            <w:pPr>
              <w:spacing w:after="0"/>
              <w:rPr>
                <w:sz w:val="1"/>
                <w:szCs w:val="1"/>
                <w:color w:val="auto"/>
              </w:rPr>
            </w:pPr>
          </w:p>
        </w:tc>
      </w:tr>
      <w:tr>
        <w:trPr>
          <w:trHeight w:val="441"/>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Munich American Reassurance Company</w:t>
            </w:r>
          </w:p>
        </w:tc>
        <w:tc>
          <w:tcPr>
            <w:tcW w:w="1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A+</w:t>
            </w:r>
          </w:p>
        </w:tc>
        <w:tc>
          <w:tcPr>
            <w:tcW w:w="0" w:type="dxa"/>
            <w:vAlign w:val="bottom"/>
          </w:tcPr>
          <w:p>
            <w:pPr>
              <w:spacing w:after="0"/>
              <w:rPr>
                <w:sz w:val="1"/>
                <w:szCs w:val="1"/>
                <w:color w:val="auto"/>
              </w:rPr>
            </w:pPr>
          </w:p>
        </w:tc>
      </w:tr>
      <w:tr>
        <w:trPr>
          <w:trHeight w:val="46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Group of America, Inc.</w:t>
            </w:r>
          </w:p>
        </w:tc>
        <w:tc>
          <w:tcPr>
            <w:tcW w:w="16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A+</w:t>
            </w:r>
          </w:p>
        </w:tc>
        <w:tc>
          <w:tcPr>
            <w:tcW w:w="0" w:type="dxa"/>
            <w:vAlign w:val="bottom"/>
          </w:tcPr>
          <w:p>
            <w:pPr>
              <w:spacing w:after="0"/>
              <w:rPr>
                <w:sz w:val="1"/>
                <w:szCs w:val="1"/>
                <w:color w:val="auto"/>
              </w:rPr>
            </w:pPr>
          </w:p>
        </w:tc>
      </w:tr>
      <w:tr>
        <w:trPr>
          <w:trHeight w:val="441"/>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Swiss Re AG</w:t>
            </w:r>
          </w:p>
        </w:tc>
        <w:tc>
          <w:tcPr>
            <w:tcW w:w="1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46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The Travelers Indemnity Company (2)</w:t>
            </w:r>
          </w:p>
        </w:tc>
        <w:tc>
          <w:tcPr>
            <w:tcW w:w="16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A+</w:t>
            </w:r>
          </w:p>
        </w:tc>
        <w:tc>
          <w:tcPr>
            <w:tcW w:w="0" w:type="dxa"/>
            <w:vAlign w:val="bottom"/>
          </w:tcPr>
          <w:p>
            <w:pPr>
              <w:spacing w:after="0"/>
              <w:rPr>
                <w:sz w:val="1"/>
                <w:szCs w:val="1"/>
                <w:color w:val="auto"/>
              </w:rPr>
            </w:pPr>
          </w:p>
        </w:tc>
      </w:tr>
      <w:tr>
        <w:trPr>
          <w:trHeight w:val="441"/>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SCOR SE</w:t>
            </w:r>
          </w:p>
        </w:tc>
        <w:tc>
          <w:tcPr>
            <w:tcW w:w="1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A+</w:t>
            </w:r>
          </w:p>
        </w:tc>
        <w:tc>
          <w:tcPr>
            <w:tcW w:w="0" w:type="dxa"/>
            <w:vAlign w:val="bottom"/>
          </w:tcPr>
          <w:p>
            <w:pPr>
              <w:spacing w:after="0"/>
              <w:rPr>
                <w:sz w:val="1"/>
                <w:szCs w:val="1"/>
                <w:color w:val="auto"/>
              </w:rPr>
            </w:pPr>
          </w:p>
        </w:tc>
      </w:tr>
      <w:tr>
        <w:trPr>
          <w:trHeight w:val="46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Aegon Ltd</w:t>
            </w:r>
          </w:p>
        </w:tc>
        <w:tc>
          <w:tcPr>
            <w:tcW w:w="16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441"/>
        </w:trPr>
        <w:tc>
          <w:tcPr>
            <w:tcW w:w="7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Re Life Corporation</w:t>
            </w:r>
          </w:p>
        </w:tc>
        <w:tc>
          <w:tcPr>
            <w:tcW w:w="1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c>
          <w:tcPr>
            <w:tcW w:w="0" w:type="dxa"/>
            <w:vAlign w:val="bottom"/>
          </w:tcPr>
          <w:p>
            <w:pPr>
              <w:spacing w:after="0"/>
              <w:rPr>
                <w:sz w:val="1"/>
                <w:szCs w:val="1"/>
                <w:color w:val="auto"/>
              </w:rPr>
            </w:pPr>
          </w:p>
        </w:tc>
      </w:tr>
      <w:tr>
        <w:trPr>
          <w:trHeight w:val="46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60" w:type="dxa"/>
            <w:vAlign w:val="bottom"/>
            <w:shd w:val="clear" w:color="auto" w:fill="CCEEFF"/>
          </w:tcPr>
          <w:p>
            <w:pPr>
              <w:spacing w:after="0"/>
              <w:rPr>
                <w:sz w:val="24"/>
                <w:szCs w:val="24"/>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20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71"/>
        </w:trPr>
        <w:tc>
          <w:tcPr>
            <w:tcW w:w="7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100" w:type="dxa"/>
            <w:vAlign w:val="bottom"/>
            <w:tcBorders>
              <w:bottom w:val="single" w:sz="8" w:color="CCEEFF"/>
            </w:tcBorders>
            <w:shd w:val="clear" w:color="auto" w:fill="CCEEFF"/>
          </w:tcPr>
          <w:p>
            <w:pPr>
              <w:spacing w:after="0"/>
              <w:rPr>
                <w:sz w:val="24"/>
                <w:szCs w:val="24"/>
                <w:color w:val="auto"/>
              </w:rPr>
            </w:pPr>
          </w:p>
        </w:tc>
        <w:tc>
          <w:tcPr>
            <w:tcW w:w="20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financial strength ratings were the most currently available for our reinsurance counterparties as of December 31, 2025, and reflect the ratings of the ultimate parent companies of such counterparties, as there may be numerous subsidiary counterparties to each listed parent.</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a block of workers’ compensation insurance policies reinsured in connection with a former affiliate’s acquisition of The Travelers Indemnity Company (“Travelers”) from Citigroup, Inc. (“Citigroup”).</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a block of long-term care insurance business with reserves of $5.5 billion at December 31, 2025 is reinsured to Genworth Life Insurance Company and Genworth Life Insurance Company of New York (collectively, the “Genworth reinsurers”) who further retroceded this business to Union Fidelity Life Insurance Company (“UFLIC”), an indirect subsidiary of General Electric Company (“GE”). We acquired this block of long-term care insurance business in 2005 when our former parent acquired Travelers from Citigroup. Prior to the acquisition, Travelers agreed to reinsure a 90% quota share of its long-term care business to certain affiliates of GE, which following a spin-off became part of Genworth, and subsequently agreed to reinsure the remaining 10% quota share of such long-term care insurance business. The Genworth reinsurers established trust accounts for our benefit to secure their obligations under such arrangements requiring that they maintain qualifying collateral with an aggregate fair market value equal to at least 102% of the statutory reserves attributable to the long-term care business. Additionally, Citigroup agreed to indemnify us for losses and certain other payment obligations we might incur with respect to this block of reinsured long-term care insurance business. The financial strength rating as of December 31, 2025 for each of the Genworth reinsurers was C++ from A.M. Best, and Citigroup’s credit ratings were A3 from Moody’s and BBB+ from S&amp;P.</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See “Risk Factors — Risks Related to Our Business — 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 Further, as disclosed in Genworth’s filings with the SEC, UFLIC has established trust accounts for the Genworth reinsurers’ benefit to secure UFLIC’s obligations under its arrangements with them concerning this block of long-term care insurance business, and GE has also agreed, under a capital maintenance agreement, to keep sufficient capital in UFLIC to maintain UFLIC’s risk-based capital (“RBC”) above a specified minimum level.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Affiliated Reinsurance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Affiliated reinsurance companies are affiliated insurance companies licensed under specific provisions of insurance law of their respective jurisdictions, such as the Special Purpose Financial Captive law adopted by several states, including Delaware.</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Brighthouse Reinsurance Company of Delaware (“BRCD”), our reinsurance subsidiary, was formed to manage our capital and risk exposures and to support our term life insurance and ULSG businesses through the use of affiliated reinsurance arrangements and related reinsurance financing. BRCD is capitalized with cash and invested assets, including funds withheld, at a level we believe to be sufficient to satisfy its future cash obligations under a variety of scenarios, including a permanent level yield curve and interest rates at lower levels, consistent with National Association of Insurance Commissioners (“NAIC”) cash flow testing scenarios. BRCD utilizes reinsurance financing to cover the difference between the sum of the fully required statutory assets (i.e., NAIC Valuation of Life Insurance Policies Model Regulation (“Regulation XXX”) and NAIC Actuarial Guideline 38 (“Guideline AXXX”) reserves) and the target margins less cash, invested assets and funds withheld, on BRCD’s statutory statements. See Notes 11 and 12 of the Notes to the Consolidated Financial Statements for additional information regarding BRCD’s reinsurance financing.</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BRCD provides certain benefits to Brighthouse Financial, including (i) enhancing our ability to hedge the interest rate risk of our reinsurance liabilities,</w:t>
      </w:r>
    </w:p>
    <w:p>
      <w:pPr>
        <w:spacing w:after="0" w:line="36" w:lineRule="exact"/>
        <w:rPr>
          <w:sz w:val="20"/>
          <w:szCs w:val="20"/>
          <w:color w:val="auto"/>
        </w:rPr>
      </w:pPr>
    </w:p>
    <w:p>
      <w:pPr>
        <w:jc w:val="both"/>
        <w:ind w:firstLine="6"/>
        <w:spacing w:after="0" w:line="247"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increased allocation flexibility in managing our investment portfolio and (iii) improving operating flexibility and administrative cost efficiency, however there can be no assurance that such benefits will continue to materialize. See “Risk Factors — Risks Related to Our Business — We may not be able to take credit for reinsurance, our statutory life insurance reinsurance financings may be subject to cost increases and new financings may be subject to limited market capacity” and “— Regulation — Insurance Regulation.”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Coverage</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exposure to catastrophes which could contribute to significant fluctuations in our results of operations. We use excess of retention and quota share reinsurance agreements to provide greater diversification of risk and minimize exposure to larger risks. See “Risk Factors — Risks Related to Our Business — Public health crises, extreme mortality events or similar occurrences may adversely impact our business, financial condition, or results of operations, as well as the economy in general.”</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Distribution</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distribute our annuity and life insurance products through multiple independent distribution channels and marketing arrangements with a geographically diverse network of over 400 distribution partners. We have successfully built independent distribution relationships since 2001.</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annuity products are distributed through national and regional broker-dealers, banks, independent financial planners, independent marketing organizations and other financial institutions and financial planners. Our life insurance products are distributed through national and regional broker-dealers, general agencies, financial advisors, brokerage general agencies, banks, financial intermediaries and online marketplaces. We believe this strategy permits us to maximize penetration of our target markets and distribution partners without incurring the fixed costs of maintaining a proprietary distribution channel and will facilitate our ability to quickly comply with evolving regulatory requirements applicable to the sale of our products.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furtherance of our strategy, we provide certain key distributors with focused product, sales and technology support through our strategic relationship managers (“SRM”) and internal and external wholesalers.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Strategic Relationship Managers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Our SRMs serve as the principal contact for our largest annuity and life insurance distributors and coordinate the relationship between Brighthouse Financial and the distributor. SRMs provide an enhanced level of service to partners that require more resources to support their larger distribution networks. SRMs are responsible for tracking and providing certain key distributors with sales and activity data. They participate in business planning sessions with our distributors and are critical to providing us with insights into the product design, education and other support requirements of our principal distributors. They are also responsible for proactively addressing relationship issues with our distributors.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Wholesalers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Our wholesalers are licensed sales representatives responsible for providing our distributors with product support and facilitating business between our distributors and the clients they serve. Our wholesalers are organized into internal wholesalers and external wholesalers. Our internal wholesalers support our distributors by providing telephonic and online sales support functions. Our field sales representatives, whom we refer to as external wholesalers, are responsible for providing on-site face-to-face product and sales support to our distributors. The external wholesalers generally have responsibility for a specific geographic region.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Principal Distribution Channels and Related Data</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relative percentage of our annuity sales by our principal distribution channels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2025</w:t>
            </w:r>
          </w:p>
        </w:tc>
        <w:tc>
          <w:tcPr>
            <w:tcW w:w="1280" w:type="dxa"/>
            <w:vAlign w:val="bottom"/>
          </w:tcPr>
          <w:p>
            <w:pPr>
              <w:spacing w:after="0"/>
              <w:rPr>
                <w:sz w:val="16"/>
                <w:szCs w:val="16"/>
                <w:color w:val="auto"/>
              </w:rPr>
            </w:pPr>
          </w:p>
        </w:tc>
      </w:tr>
      <w:tr>
        <w:trPr>
          <w:trHeight w:val="37"/>
        </w:trPr>
        <w:tc>
          <w:tcPr>
            <w:tcW w:w="4400" w:type="dxa"/>
            <w:vAlign w:val="bottom"/>
            <w:gridSpan w:val="2"/>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39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Channel</w:t>
            </w: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3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Fixed</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Shield Annuities</w:t>
            </w: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Fixed Index Annuity</w:t>
            </w:r>
          </w:p>
        </w:tc>
        <w:tc>
          <w:tcPr>
            <w:tcW w:w="128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42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444"/>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Independent financial planners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441"/>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Banks/financial institutions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46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Regional broker-dealers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432"/>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National broker-dealers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24"/>
                <w:szCs w:val="24"/>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r>
    </w:tbl>
    <w:p>
      <w:pPr>
        <w:spacing w:after="0" w:line="25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top five distributors of annuity products produced 15%, 13%, 12%, 11% and 7% of our deposits of annuity products for the year ended December 31, 2025.</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relative percentage of our life insurance sales by our principal distribution channels were as follows:</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99"/>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Distribution Channel</w:t>
            </w:r>
          </w:p>
        </w:tc>
        <w:tc>
          <w:tcPr>
            <w:tcW w:w="1900" w:type="dxa"/>
            <w:vAlign w:val="bottom"/>
          </w:tcPr>
          <w:p>
            <w:pPr>
              <w:jc w:val="right"/>
              <w:ind w:right="72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9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r>
      <w:tr>
        <w:trPr>
          <w:trHeight w:val="444"/>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 intermediaries</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r>
      <w:tr>
        <w:trPr>
          <w:trHeight w:val="432"/>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Brokerage general agencies</w:t>
            </w: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r>
    </w:tbl>
    <w:p>
      <w:pPr>
        <w:spacing w:after="0" w:line="18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top five distributors of life insurance policies produced 28%, 25%, 20%, 10% and 4% of our life insurance sales for the year ended December 31, 2025.</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6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Regulation</w:t>
            </w:r>
          </w:p>
        </w:tc>
        <w:tc>
          <w:tcPr>
            <w:tcW w:w="5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Index to Regulation</w:t>
            </w:r>
          </w:p>
        </w:tc>
      </w:tr>
      <w:tr>
        <w:trPr>
          <w:trHeight w:val="343"/>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9"/>
        </w:trPr>
        <w:tc>
          <w:tcPr>
            <w:tcW w:w="20" w:type="dxa"/>
            <w:vAlign w:val="bottom"/>
          </w:tcPr>
          <w:p>
            <w:pPr>
              <w:spacing w:after="0"/>
              <w:rPr>
                <w:sz w:val="15"/>
                <w:szCs w:val="15"/>
                <w:color w:val="auto"/>
              </w:rPr>
            </w:pPr>
          </w:p>
        </w:tc>
        <w:tc>
          <w:tcPr>
            <w:tcW w:w="700" w:type="dxa"/>
            <w:vAlign w:val="bottom"/>
            <w:tcBorders>
              <w:bottom w:val="single" w:sz="8" w:color="0000FF"/>
            </w:tcBorders>
          </w:tcPr>
          <w:p>
            <w:pPr>
              <w:spacing w:after="0" w:line="179" w:lineRule="exact"/>
              <w:rPr>
                <w:sz w:val="20"/>
                <w:szCs w:val="20"/>
                <w:color w:val="auto"/>
              </w:rPr>
            </w:pPr>
            <w:r>
              <w:rPr>
                <w:rFonts w:ascii="Times New Roman" w:cs="Times New Roman" w:eastAsia="Times New Roman" w:hAnsi="Times New Roman"/>
                <w:sz w:val="18"/>
                <w:szCs w:val="18"/>
                <w:color w:val="0000FF"/>
                <w:w w:val="95"/>
              </w:rPr>
              <w:t>Overview</w:t>
            </w:r>
          </w:p>
        </w:tc>
        <w:tc>
          <w:tcPr>
            <w:tcW w:w="3920" w:type="dxa"/>
            <w:vAlign w:val="bottom"/>
            <w:gridSpan w:val="10"/>
          </w:tcPr>
          <w:p>
            <w:pPr>
              <w:spacing w:after="0"/>
              <w:rPr>
                <w:sz w:val="15"/>
                <w:szCs w:val="15"/>
                <w:color w:val="auto"/>
              </w:rPr>
            </w:pPr>
          </w:p>
        </w:tc>
        <w:tc>
          <w:tcPr>
            <w:tcW w:w="5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79" w:lineRule="exact"/>
              <w:rPr>
                <w:sz w:val="20"/>
                <w:szCs w:val="20"/>
                <w:color w:val="auto"/>
              </w:rPr>
            </w:pPr>
            <w:r>
              <w:rPr>
                <w:rFonts w:ascii="Times New Roman" w:cs="Times New Roman" w:eastAsia="Times New Roman" w:hAnsi="Times New Roman"/>
                <w:sz w:val="18"/>
                <w:szCs w:val="18"/>
                <w:color w:val="0000FF"/>
                <w:w w:val="99"/>
              </w:rPr>
              <w:t>21</w:t>
            </w:r>
          </w:p>
        </w:tc>
        <w:tc>
          <w:tcPr>
            <w:tcW w:w="6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Insurance Regulation</w:t>
            </w:r>
          </w:p>
        </w:tc>
        <w:tc>
          <w:tcPr>
            <w:tcW w:w="5960" w:type="dxa"/>
            <w:vAlign w:val="bottom"/>
            <w:gridSpan w:val="3"/>
          </w:tcPr>
          <w:p>
            <w:pPr>
              <w:jc w:val="center"/>
              <w:ind w:left="5692"/>
              <w:spacing w:after="0" w:line="205" w:lineRule="exact"/>
              <w:rPr>
                <w:sz w:val="20"/>
                <w:szCs w:val="20"/>
                <w:color w:val="auto"/>
              </w:rPr>
            </w:pPr>
            <w:r>
              <w:rPr>
                <w:rFonts w:ascii="Times New Roman" w:cs="Times New Roman" w:eastAsia="Times New Roman" w:hAnsi="Times New Roman"/>
                <w:sz w:val="18"/>
                <w:szCs w:val="18"/>
                <w:color w:val="0000FF"/>
                <w:w w:val="99"/>
              </w:rPr>
              <w:t>21</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7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Privacy and Cybersecurity Regulation</w:t>
            </w:r>
          </w:p>
        </w:tc>
        <w:tc>
          <w:tcPr>
            <w:tcW w:w="1920" w:type="dxa"/>
            <w:vAlign w:val="bottom"/>
            <w:gridSpan w:val="5"/>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26</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Regulation of the Use of Artificial Intelligence</w:t>
            </w:r>
          </w:p>
        </w:tc>
        <w:tc>
          <w:tcPr>
            <w:tcW w:w="5960" w:type="dxa"/>
            <w:vAlign w:val="bottom"/>
            <w:gridSpan w:val="3"/>
          </w:tcPr>
          <w:p>
            <w:pPr>
              <w:jc w:val="center"/>
              <w:ind w:left="5692"/>
              <w:spacing w:after="0" w:line="205" w:lineRule="exact"/>
              <w:rPr>
                <w:sz w:val="20"/>
                <w:szCs w:val="20"/>
                <w:color w:val="auto"/>
              </w:rPr>
            </w:pPr>
            <w:r>
              <w:rPr>
                <w:rFonts w:ascii="Times New Roman" w:cs="Times New Roman" w:eastAsia="Times New Roman" w:hAnsi="Times New Roman"/>
                <w:sz w:val="18"/>
                <w:szCs w:val="18"/>
                <w:color w:val="0000FF"/>
                <w:w w:val="99"/>
              </w:rPr>
              <w:t>27</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Securities, Broker-Dealer and Investment Advisor Regulation</w:t>
            </w:r>
          </w:p>
        </w:tc>
        <w:tc>
          <w:tcPr>
            <w:tcW w:w="5960" w:type="dxa"/>
            <w:vAlign w:val="bottom"/>
            <w:gridSpan w:val="3"/>
          </w:tcPr>
          <w:p>
            <w:pPr>
              <w:jc w:val="center"/>
              <w:ind w:left="5692"/>
              <w:spacing w:after="0" w:line="205" w:lineRule="exact"/>
              <w:rPr>
                <w:sz w:val="20"/>
                <w:szCs w:val="20"/>
                <w:color w:val="auto"/>
              </w:rPr>
            </w:pPr>
            <w:r>
              <w:rPr>
                <w:rFonts w:ascii="Times New Roman" w:cs="Times New Roman" w:eastAsia="Times New Roman" w:hAnsi="Times New Roman"/>
                <w:sz w:val="18"/>
                <w:szCs w:val="18"/>
                <w:color w:val="0000FF"/>
                <w:w w:val="99"/>
              </w:rPr>
              <w:t>27</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Department of Labor and ERISA Considerations</w:t>
            </w:r>
          </w:p>
        </w:tc>
        <w:tc>
          <w:tcPr>
            <w:tcW w:w="900" w:type="dxa"/>
            <w:vAlign w:val="bottom"/>
            <w:tcBorders>
              <w:top w:val="single" w:sz="8" w:color="0000FF"/>
            </w:tcBorders>
          </w:tcPr>
          <w:p>
            <w:pPr>
              <w:spacing w:after="0"/>
              <w:rPr>
                <w:sz w:val="17"/>
                <w:szCs w:val="17"/>
                <w:color w:val="auto"/>
              </w:rPr>
            </w:pPr>
          </w:p>
        </w:tc>
        <w:tc>
          <w:tcPr>
            <w:tcW w:w="260" w:type="dxa"/>
            <w:vAlign w:val="bottom"/>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28</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Standard of Conduct Regulation</w:t>
            </w:r>
          </w:p>
        </w:tc>
        <w:tc>
          <w:tcPr>
            <w:tcW w:w="5960" w:type="dxa"/>
            <w:vAlign w:val="bottom"/>
            <w:gridSpan w:val="3"/>
          </w:tcPr>
          <w:p>
            <w:pPr>
              <w:jc w:val="center"/>
              <w:ind w:left="5692"/>
              <w:spacing w:after="0" w:line="205" w:lineRule="exact"/>
              <w:rPr>
                <w:sz w:val="20"/>
                <w:szCs w:val="20"/>
                <w:color w:val="auto"/>
              </w:rPr>
            </w:pPr>
            <w:r>
              <w:rPr>
                <w:rFonts w:ascii="Times New Roman" w:cs="Times New Roman" w:eastAsia="Times New Roman" w:hAnsi="Times New Roman"/>
                <w:sz w:val="18"/>
                <w:szCs w:val="18"/>
                <w:color w:val="0000FF"/>
                <w:w w:val="99"/>
              </w:rPr>
              <w:t>28</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280" w:type="dxa"/>
            <w:vAlign w:val="bottom"/>
            <w:tcBorders>
              <w:top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Federal Tax Reform</w:t>
            </w:r>
          </w:p>
        </w:tc>
        <w:tc>
          <w:tcPr>
            <w:tcW w:w="2340" w:type="dxa"/>
            <w:vAlign w:val="bottom"/>
            <w:gridSpan w:val="6"/>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30</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11"/>
          </w:tcPr>
          <w:p>
            <w:pPr>
              <w:spacing w:after="0" w:line="205" w:lineRule="exact"/>
              <w:rPr>
                <w:sz w:val="20"/>
                <w:szCs w:val="20"/>
                <w:color w:val="auto"/>
              </w:rPr>
            </w:pPr>
            <w:r>
              <w:rPr>
                <w:rFonts w:ascii="Times New Roman" w:cs="Times New Roman" w:eastAsia="Times New Roman" w:hAnsi="Times New Roman"/>
                <w:sz w:val="18"/>
                <w:szCs w:val="18"/>
                <w:color w:val="0000FF"/>
              </w:rPr>
              <w:t>Regulation of Over-the-Counter Derivatives</w:t>
            </w:r>
          </w:p>
        </w:tc>
        <w:tc>
          <w:tcPr>
            <w:tcW w:w="5960" w:type="dxa"/>
            <w:vAlign w:val="bottom"/>
            <w:gridSpan w:val="3"/>
          </w:tcPr>
          <w:p>
            <w:pPr>
              <w:jc w:val="center"/>
              <w:ind w:left="5692"/>
              <w:spacing w:after="0" w:line="205" w:lineRule="exact"/>
              <w:rPr>
                <w:sz w:val="20"/>
                <w:szCs w:val="20"/>
                <w:color w:val="auto"/>
              </w:rPr>
            </w:pPr>
            <w:r>
              <w:rPr>
                <w:rFonts w:ascii="Times New Roman" w:cs="Times New Roman" w:eastAsia="Times New Roman" w:hAnsi="Times New Roman"/>
                <w:sz w:val="18"/>
                <w:szCs w:val="18"/>
                <w:color w:val="0000FF"/>
                <w:w w:val="99"/>
              </w:rPr>
              <w:t>31</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2160" w:type="dxa"/>
            <w:vAlign w:val="bottom"/>
            <w:tcBorders>
              <w:top w:val="single" w:sz="8" w:color="0000FF"/>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Environmental Considerations</w:t>
            </w:r>
          </w:p>
        </w:tc>
        <w:tc>
          <w:tcPr>
            <w:tcW w:w="960" w:type="dxa"/>
            <w:vAlign w:val="bottom"/>
            <w:tcBorders>
              <w:top w:val="single" w:sz="8" w:color="0000FF"/>
            </w:tcBorders>
            <w:gridSpan w:val="3"/>
          </w:tcPr>
          <w:p>
            <w:pPr>
              <w:spacing w:after="0"/>
              <w:rPr>
                <w:sz w:val="17"/>
                <w:szCs w:val="17"/>
                <w:color w:val="auto"/>
              </w:rPr>
            </w:pPr>
          </w:p>
        </w:tc>
        <w:tc>
          <w:tcPr>
            <w:tcW w:w="1500" w:type="dxa"/>
            <w:vAlign w:val="bottom"/>
            <w:gridSpan w:val="4"/>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31</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50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rPr>
              <w:t>Unclaimed Property</w:t>
            </w:r>
          </w:p>
        </w:tc>
        <w:tc>
          <w:tcPr>
            <w:tcW w:w="3120" w:type="dxa"/>
            <w:vAlign w:val="bottom"/>
            <w:gridSpan w:val="8"/>
          </w:tcPr>
          <w:p>
            <w:pPr>
              <w:spacing w:after="0"/>
              <w:rPr>
                <w:sz w:val="17"/>
                <w:szCs w:val="17"/>
                <w:color w:val="auto"/>
              </w:rPr>
            </w:pPr>
          </w:p>
        </w:tc>
        <w:tc>
          <w:tcPr>
            <w:tcW w:w="5780" w:type="dxa"/>
            <w:vAlign w:val="bottom"/>
            <w:gridSpan w:val="2"/>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32</w:t>
            </w: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insurance subsidiaries and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as amended (“ERISA”), consumer protection laws, securities, broker-dealer and investment advisor regulations, and environmental and unclaimed property laws and regulations. See “Risk Factors — Regulatory and Legal Risks.”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Regulation</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State insurance regulation generally aims at supervising and regulating insurers, with the goal of protecting policyholders and ensuring that insurance companies remain solvent. Insurance regulators have increasingly sought information about the potential impact of activities in holding company systems as a whole and have adopted laws and regulations enhancing “group-wide” supervision. See “— Holding Company Regulation” for information regarding an enterprise risk report.</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Each of our insurance subsidiaries is licensed and regulated in each U.S. jurisdiction where it conducts insurance business. Brighthouse Life Insurance Company is licensed to issue insurance products in all U.S. states (except New York), the District of Columbia, the Bahamas, Guam, Puerto Rico, the British Virgin Islands and the U.S. Virgin Islands. BHNY is only licensed to issue insurance products in New York, and NELICO is licensed to issue insurance products in all U.S. states and the District of Columbia. The primary regulator of an insurance company, however, is the insurance regulator in its state of domicile. Our insurance subsidiaries, Brighthouse Life Insurance Company, BHNY and NELICO, are domiciled in Delaware, New York and Massachusetts, respectively, and regulated by the Delaware Department of Insurance (the “Delaware DOI”), the New York State Department of Financial Services (“NYDFS”) and the Massachusetts Division of Insurance, respectively. In addition, BRCD, which provides reinsurance to our insurance subsidiaries, is domiciled in Delaware and regulated by the Delaware DOI.</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extent of such regulation varies, but most jurisdictions have laws and regulations governing certain financial aspects of insurers and the administration and design of their respective products, as well as the business conduct of insurers and distributors. State laws in the U.S. grant insurance regulatory authorities broad administrative powers with respect to, among other things:</w:t>
      </w:r>
    </w:p>
    <w:p>
      <w:pPr>
        <w:spacing w:after="0" w:line="72"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companies and agents to transact business;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the value of assets to determine compliance with statutory requirements;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mandating certain insurance benefits;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certain premium rates;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certain policy forms and rates;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unfair trade and claims practices, including through the imposition of restrictions on marketing and sales practices, distribution arrangements and payment of inducements, and identifying and paying to the states benefits and other property that are not claimed by the owners;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underwriting, advertising and marketing of insurance products, including the use of external data and information, as well as the use of certain emerging technologies;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privacy and establishing cybersecurity requirements;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statutory accounting and reserve requirements and solvency standards (including RBC);</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specifying the conditions under which a ceding company can take credit for reinsurance in its statutory financial statements (i.e., reduce its reserves by the amount of reserves ceded to a reinsurer);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fixing maximum interest rates on insurance policy loans and minimum rates for guaranteed crediting rates on life insurance policies and annuity contracts;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adopting and enforcing replacement, best interest, or suitability standards with respect to the sale of life insurance policies and annuity contracts;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changes in control of insurance companies;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the payment of dividends to affiliates, as well as certain other transactions between affiliates; and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regulating the types, amounts and valuation of investments.</w:t>
      </w:r>
    </w:p>
    <w:p>
      <w:pPr>
        <w:spacing w:after="0" w:line="11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Each of our insurance subsidiaries and BRCD are required to file reports, generally including detailed annual financial statements, with insurance regulatory authorities in each of the jurisdictions in which it does business, and its operations and accounts are subject to periodic examination by such authorities. Our insurance subsidiaries must also file, and in many jurisdictions and for some lines of insurance obtain regulatory approval for, rules, rates and forms relating to the insurance written in the jurisdictions in which they operate.</w:t>
      </w:r>
    </w:p>
    <w:p>
      <w:pPr>
        <w:spacing w:after="0" w:line="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State and federal insurance and securities regulatory authorities and other state law enforcement agencies and attorneys general from time to time may make inquiries regarding our compliance with insurance, securities and other laws and regulations regarding the conduct of our insurance and securities businesses. We cooperate with such inquiries and take corrective action when warranted. See Note 17 of the Notes to the Consolidated Financial Statements.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Statutory Accounting, Reserves and Risk-Based Capital</w:t>
      </w:r>
    </w:p>
    <w:p>
      <w:pPr>
        <w:spacing w:after="0" w:line="115" w:lineRule="exact"/>
        <w:rPr>
          <w:sz w:val="20"/>
          <w:szCs w:val="20"/>
          <w:color w:val="auto"/>
        </w:rPr>
      </w:pPr>
    </w:p>
    <w:p>
      <w:pPr>
        <w:jc w:val="both"/>
        <w:ind w:left="160" w:firstLine="318"/>
        <w:spacing w:after="0" w:line="267" w:lineRule="auto"/>
        <w:rPr>
          <w:sz w:val="20"/>
          <w:szCs w:val="20"/>
          <w:color w:val="auto"/>
        </w:rPr>
      </w:pPr>
      <w:r>
        <w:rPr>
          <w:rFonts w:ascii="Times New Roman" w:cs="Times New Roman" w:eastAsia="Times New Roman" w:hAnsi="Times New Roman"/>
          <w:sz w:val="17"/>
          <w:szCs w:val="17"/>
          <w:color w:val="auto"/>
        </w:rPr>
        <w:t>The NAIC is an organization whose mission is to assist state insurance regulatory authorities in serving the public interest and achieving the insurance regulatory goals of its members, the state insurance regulatory officials. Through the NAIC, state insurance regulators establish standards and best practices, conduct peer reviews, and coordinate their regulatory oversight. The NAIC provides standardized insurance industry accounting and reporting guidance through its Accounting Practices and Procedures Manual. The NAIC also provides guidance for the computation of reserves through its Valuation Manual, which states have largely adopted by regulation. However, statutory accounting principles and reserve requirements continue to be established by individual state laws, regulations and permitted practices, which may differ from the guidance provided by the NAIC. Changes to accounting, reporting or reserve guidance, or modifications to any laws, regulations or permitted practices by the various states, may impact our statutory capital and surplus.</w:t>
      </w:r>
    </w:p>
    <w:p>
      <w:pPr>
        <w:spacing w:after="0" w:line="68" w:lineRule="exact"/>
        <w:rPr>
          <w:sz w:val="20"/>
          <w:szCs w:val="20"/>
          <w:color w:val="auto"/>
        </w:rPr>
      </w:pPr>
    </w:p>
    <w:p>
      <w:pPr>
        <w:jc w:val="both"/>
        <w:ind w:left="160" w:firstLine="318"/>
        <w:spacing w:after="0" w:line="248" w:lineRule="auto"/>
        <w:rPr>
          <w:sz w:val="20"/>
          <w:szCs w:val="20"/>
          <w:color w:val="auto"/>
        </w:rPr>
      </w:pPr>
      <w:r>
        <w:rPr>
          <w:rFonts w:ascii="Times New Roman" w:cs="Times New Roman" w:eastAsia="Times New Roman" w:hAnsi="Times New Roman"/>
          <w:sz w:val="18"/>
          <w:szCs w:val="18"/>
          <w:color w:val="auto"/>
        </w:rPr>
        <w:t>The NAIC has established RBC requirements that are used by regulators to assess the minimum amount of statutory capital and surplus needed for an insurance company to support its operations, based on its size and risk profile (referred to as “company action level RBC”). Insurers are required to maintain their capital and surplus at or above minimum levels. Companies below 100% of the company action level RBC are subject to corrective action. Regulators have discretionary authority, in connection with the continued licensing of an insurer, to limit or prohibit the insurer’s sales to policyholders if, in their judgment, the regulators determine that such insurer has not maintained the minimum surplus or capital or that the further transaction of business will be hazardous to policyholders. Each of our insurance subsidiaries is subject to RBC requirements and other minimum statutory capital and surplus requirements imposed under the laws of its respective jurisdiction of domicile. RBC is based on a formula calculated by applying factors to various asset, premium, claim, expense and statutory reserve items. The formula takes into account the risk characteristics of the insurer and is calculated for NAIC reporting purposes on an annual basis. The major categories of risk involved are asset risk, insurance risk, interest rate risk, market risk and business risk. The RBC ratio is a method of measuring an insurance company’s capital and is based on statutory financial statements. The RBC ratio, which is the basis for determining regulatory compliance, is equal to total adjusted capital (“TAC”) divided by the applicable company action level RBC.</w:t>
      </w:r>
    </w:p>
    <w:p>
      <w:pPr>
        <w:spacing w:after="0" w:line="8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RBC framework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TAC does not meet or exceed certain RBC levels. See “Risk Factors — Regulatory and Legal Risks — A decrease in the RBC ratio of our insurance subsidiaries (as a result of a reduction in statutory capital and surplus or an increase in the required RBC capital charges), or a change in the rating agency proprietary capital models for our insurance subsidiaries, could result in increased scrutiny by insurance regulators and rating agencies or BHF contributing capital to its subsidiaries and could have a material adverse effect on our financial condition and results of operations,” “Management’s Discussion and Analysis of Financial Condition and Results of Operations — Liquidity and Capital Resources” and Note 12 of the Notes to the Consolidated Financial Statements.</w:t>
      </w:r>
    </w:p>
    <w:p>
      <w:pPr>
        <w:spacing w:after="0" w:line="8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NAIC regularly reviews statutory accounting, reserve and RBC guidance and periodically makes changes to such requirements.</w:t>
      </w:r>
    </w:p>
    <w:p>
      <w:pPr>
        <w:spacing w:after="0" w:line="111"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 August 2025, the NAIC adopted Actuarial Guideline LV (“AG 55”) to establish asset adequacy testing requirements that apply to U.S. life insurers ceding “asset-intensive” business to offshore reinsurers. AG 55 applies to life and annuity reinsurance treaties established on or after January 1, 2016, that meet certain risk and size criteria and requires the use of cash flow testing methodology in evaluating the adequacy of assets supporting ceded reserves. The new requirements are initially effective for year-end 2025 reporting on a disclosure only basis, with the NAIC expected to evaluate results and consider additional changes in the future. While we currently do not expect AG 55 to have a material impact on our business, there can be no assurance that there will not be any material impacts in the future.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August 2025, the NAIC adopted amendments to the Valuation Manual establishing a new principle-based reserving framework for non-variable annuities. The new principle-based reserving framework for non-variable annuities is similar to the framework applicable to life insurance and variable annuities. The new Valuation Manual requirements became effective on January 1, 2026, with a three-year implementation period.</w:t>
      </w:r>
    </w:p>
    <w:p>
      <w:pPr>
        <w:spacing w:after="0" w:line="72"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 August 2025, the NAIC adopted amendments to the Valuation Manual requiring companies to use a new Generator of Economic Scenarios (“GOES”) for obtaining the economic scenarios required for principles-based reserve and RBC market risk calculations. The Valuation Manual changes became effective on January 1, 2026, with adoption required by December 31, 2026 and the ability to phase-in the impacts over three years. The NAIC is considering additional changes to the RBC market risk requirements to better align the overall market risk framework with the new GOES requirements. The adoption of the Valuation Manual changes, along with any future changes to the RBC market risk requirements, could negatively impact our statutory surplus and required capital.</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March 2024, the NAIC adopted a new principles-based bond definition and related financial reporting changes, that became effective as of January 1, 2025. The new guidance modified the classification requirements for certain fixed income instruments resulting in changes in their measurement basis and RBC requirements.</w:t>
      </w:r>
    </w:p>
    <w:p>
      <w:pPr>
        <w:spacing w:after="0" w:line="72"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In 2023, the NAIC began updating the methodology for determining RBC on collateralized loan obligations. The NAIC is currently evaluating two alternative approaches, one which would assign risk weights based on its own modeling rather than credit ratings, and the other a principles-based framework that could be applied more broadly to all asset-backed security classes. In December 2025, the NAIC adopted a proposal to delay the effective date of any such changes to December 31, 2026.</w:t>
      </w:r>
    </w:p>
    <w:p>
      <w:pPr>
        <w:spacing w:after="0" w:line="74"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See “Risk Factors — Regulatory and Legal Risks — Our insurance business is highly regulated, and changes in regulation and in supervisory and enforcement policies or interpretations thereof may materially impact our capitalization or cash flows, reduce our profitability and limit our growth.”</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Holding Company Regulation</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Insurance holding company laws and regulations vary from jurisdiction to jurisdiction, but generally require a controlled insurance company (i.e., insurers that are subsidiaries of insurance holding companies) to register with state regulatory authorities and to file with those authorities certain reports, including information concerning its capital structure, ownership, financial condition, certain intercompany transactions and general business operations. Most states have adopted substantially similar versions of the NAIC Insurance Holding Company System Model Act and the Insurance Holding Company System Model Regulation. Other states, including New York and Massachusetts, have adopted modified versions, although their supporting regulation is substantially similar to the model regulation.</w:t>
      </w:r>
    </w:p>
    <w:p>
      <w:pPr>
        <w:spacing w:after="0" w:line="79"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Insurance holding company regulations generally provide that no person, corporation or other entity may acquire control of an insurance company, or a controlling interest in any parent company of an insurance company, without the prior approval of such insurance company’s domiciliary state insurance regulator. Under the laws of each of the domiciliary states of our insurance subsidiaries, any person acquiring, directly or indirectly, 10% or more of the voting securities of an insurance company (or any holding company of the insurance company) is presumed to have acquired “control” of the company. This statutory presumption of control may be rebutted by a showing that control does not exist, in fact. The state insurance regulators, however, may find that “control” exists in circumstances in which a person owns or controls less than 10% of an insurance company’s voting securities. The laws and regulations regarding acquisition of control transactions may discourage potential acquisition proposals and may delay, deter or prevent a change of control involving us, including through unsolicited transactions that some of our shareholders might consider desirable.</w:t>
      </w:r>
    </w:p>
    <w:p>
      <w:pPr>
        <w:spacing w:after="0" w:line="84"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insurance holding company laws and regulations include a requirement that the ultimate controlling person of a U.S. insurer file an annual enterprise risk report with the lead state of the insurance holding company system identifying risks likely to have a material adverse effect upon the financial condition or liquidity of the insurer or its insurance holding company system as a whole. All of the states where Brighthouse Financial has domestic insurers have enacted this enterprise risk reporting requirement.</w:t>
      </w:r>
    </w:p>
    <w:p>
      <w:pPr>
        <w:spacing w:after="0" w:line="74"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State insurance statutes also typically place restrictions and limitations on the amount of dividends or other distributions payable by insurance subsidiaries to their parent companies, as well as on transactions between an insurer and its affiliates. Dividends in excess of prescribed limits and transactions above a specified size between an insurer and its affiliates require the prior approval of the insurance regulator in the insurer’s state of domicile.</w:t>
      </w:r>
    </w:p>
    <w:p>
      <w:pPr>
        <w:spacing w:after="0" w:line="53"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Delaware Insurance Commissioner (the “Delaware Commissioner”), the Massachusetts Commissioner of Insurance and the New York Superintendent of Financial Services have broad discretion in determining whether the financial condition of a stock life insurance company would support the payment of such dividends to its stockholders.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See Note 12 of the Notes to the Consolidated Financial Statements for a discussion of dividend restrictions under the insurance laws of Delaware, New York and Massachusetts, as well as the dividend restrictions under BRCD’s plan of operations.</w:t>
      </w:r>
    </w:p>
    <w:p>
      <w:pPr>
        <w:spacing w:after="0" w:line="57" w:lineRule="exact"/>
        <w:rPr>
          <w:sz w:val="20"/>
          <w:szCs w:val="20"/>
          <w:color w:val="auto"/>
        </w:rPr>
      </w:pPr>
    </w:p>
    <w:p>
      <w:pPr>
        <w:ind w:left="160" w:right="600" w:firstLine="318"/>
        <w:spacing w:after="0" w:line="368" w:lineRule="auto"/>
        <w:rPr>
          <w:sz w:val="20"/>
          <w:szCs w:val="20"/>
          <w:color w:val="auto"/>
        </w:rPr>
      </w:pPr>
      <w:r>
        <w:rPr>
          <w:rFonts w:ascii="Times New Roman" w:cs="Times New Roman" w:eastAsia="Times New Roman" w:hAnsi="Times New Roman"/>
          <w:sz w:val="18"/>
          <w:szCs w:val="18"/>
          <w:color w:val="auto"/>
        </w:rPr>
        <w:t xml:space="preserve">See “Risk Factors — Risks Related to Our Business — As a holding company, BHF depends on the ability of its subsidiaries to pay dividends.” </w:t>
      </w:r>
      <w:r>
        <w:rPr>
          <w:rFonts w:ascii="Times New Roman" w:cs="Times New Roman" w:eastAsia="Times New Roman" w:hAnsi="Times New Roman"/>
          <w:sz w:val="18"/>
          <w:szCs w:val="18"/>
          <w:b w:val="1"/>
          <w:bCs w:val="1"/>
          <w:i w:val="1"/>
          <w:iCs w:val="1"/>
          <w:u w:val="single" w:color="auto"/>
          <w:color w:val="auto"/>
        </w:rPr>
        <w:t>Group Capital Contribution</w:t>
      </w:r>
    </w:p>
    <w:p>
      <w:pPr>
        <w:spacing w:after="0" w:line="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NAIC adopted a group capital calculation tool, implemented by Brighthouse Financial in 2022, that uses an RBC aggregation methodology for all entities within an insurance holding company system. The NAIC has stated that the calculation is a tool to assist regulators in assessing group risks and capital adequacy and does not constitute a minimum capital requirement or standard; however, there is no guarantee that will be the case in the future. It is unclear how the group capital calculation will interact with existing capital requirements for insurance companies in the U.S.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Own Risk and Solvency Assessment Model Act</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In 2012, the NAIC adopted the Risk Management and Own Risk and Solvency Assessment Model Act (“ORSA”), which has been enacted by our insurance subsidiaries’ domiciliary states. ORSA requires that insurers maintain a risk management framework and conduct an internal own risk and solvency assessment of the insurer’s material risks in normal and stressed environments. The assessment must be documented in a confidential annual summary report, a copy of which must be made available to regulators as required or upon request.</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Captive Reinsurer Regulation</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During 2014, the NAIC approved a framework applicable to the use of captive insurers in connection with Regulation XXX and Guideline AXXX transactions. Among other things, the framework called for more disclosure of an insurer’s use of captives in its statutory financial statements and narrows the types of assets permitted to back statutory reserves that are required to support the insurer’s future obligations. In 2014, the NAIC implemented the framework through an actuarial guideline (“AG 48”), which requires the ceding insurer’s actuary to opine on the insurer’s reserves and to issue a qualified opinion if the framework is not followed. The requirements of AG 48 are effective in all U.S. states, and such requirements apply to policies issued and new reinsurance transactions entered into on or after January 1, 2015. In 2016, the NAIC adopted a model regulation containing similar substantive requirements to AG 48.</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Federal Initiatives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Although the insurance business in the U.S. is primarily regulated by the states, federal initiatives often have an impact on our business in a variety of ways. Federal regulation of financial services, securities, derivatives and pensions, as well as legislation affecting cybersecurity, privacy, tort reform and taxation, may significantly and adversely affect the insurance business. In addition, various forms of direct and indirect federal regulation of insurance have been proposed from time to time, including proposals for the establishment of an optional federal charter for insurance companies.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Guaranty Associations and Similar Arrangements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All of the jurisdictions in which we are admitted to transact business require life insurers doing business within the jurisdiction to participate in guaranty associations, which are organized to pay contractual benefits owed pursuant to insurance policies issued by impaired, insolvent or failed insurers, or those that may become impaired, insolvent or fail, for example, following the occurrence of one or more catastrophic events. These associations levy assessments, up to prescribed limits, on all member insurers in a particular state on the basis of the proportionate share of the premiums written by member insurers in the lines of business in which the impaired, insolvent or failed insurer is engaged. Some states permit member insurers to recover assessments paid through full or partial premium tax offsets.</w:t>
      </w:r>
    </w:p>
    <w:p>
      <w:pPr>
        <w:spacing w:after="0" w:line="79"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Over the past several years, the aggregate assessments levied against us have not been material. We have established liabilities for guaranty fund assessments that we consider adequate.</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Regulatory Examinations and Other Activities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As part of their regulatory oversight process, state insurance departments conduct periodic detailed examinations of the books, records, accounts, and business practices of insurers domiciled in their states, including periodic financial examinations and market conduct examinations, some of which are currently in process. State insurance departments also have the authority to conduct examinations of non-domiciliary insurers that are licensed in their states, and such states routinely conduct examinations of us. Over the past several years, there have been no material adverse findings in connection with any examinations of us conducted by state insurance departments, although there can be no assurance that there will not be any material adverse findings in the future.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67" w:lineRule="auto"/>
        <w:rPr>
          <w:sz w:val="20"/>
          <w:szCs w:val="20"/>
          <w:color w:val="auto"/>
        </w:rPr>
      </w:pPr>
      <w:r>
        <w:rPr>
          <w:rFonts w:ascii="Times New Roman" w:cs="Times New Roman" w:eastAsia="Times New Roman" w:hAnsi="Times New Roman"/>
          <w:sz w:val="17"/>
          <w:szCs w:val="17"/>
          <w:color w:val="auto"/>
        </w:rPr>
        <w:t>State regulatory authorities, the Financial Industry Regulatory Authority, Inc. (“FINRA”), and the SEC have conducted investigations or inquiries relating to sales or administration of individual life insurance policies, annuities or other products by our insurance subsidiaries. These investigations have focused on the conduct of particular financial services representatives, the sale of unregistered or unsuitable products, the misuse of client assets, and sales and replacements of annuities and certain riders on such annuities. Over the past several years, these and a number of investigations of our insurance subsidiaries by other regulatory authorities were resolved for monetary payments and certain other relief, including restitution payments. We may continue to receive, and may resolve, further investigations and actions on these matters through monetary payments or other relief, including restitution payments. In addition, insurance companies’ claims payment, abandoned property and escheatment practices have received increased scrutiny from regulators.</w:t>
      </w:r>
    </w:p>
    <w:p>
      <w:pPr>
        <w:spacing w:after="0" w:line="68"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In addition, FINRA periodically conducts routine or special examinations of Brighthouse Securities, LLC (“Brighthouse Securities”). These examinations focus on the regulation of Brighthouse Securities under FINRA rules and the federal securities laws. Similarly, the SEC periodically conducts routine or special examinations of Brighthouse Funds Trusts I &amp; II (the “Trusts”), the registered funds available in certain variable products, Brighthouse Advisers, the registered adviser to the Trusts, and the registered separate accounts through which Brighthouse Financial issues variable contracts. These examinations focus on the regulation of these entities under the federal securities laws. Over the past several years, there have been no material adverse findings in connection with any examinations of us conducted by FINRA or the SEC, although there can be no assurance that there will not be any material adverse findings in the future.</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Policy and Contract Reserve Adequacy Analysis</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Annually, our insurance subsidiaries and BRCD are required to conduct an analysis of the adequacy of all statutory reserves. In each case, a qualified actuary must submit an opinion which states that the statutory reserves make adequate provision, according to accepted actuarial standards of practice, for the anticipated cash flows required by the contractual obligations and related expenses of the insurance company. The adequacy of the statutory reserves is considered in light of the assets held by the insurer with respect to such reserves and related actuarial items, including, but not limited to, the investment earnings on such assets, and the consideration anticipated to be received and retained under the related policies and contracts. An insurance company may increase reserves in order to submit an opinion without qualification. Our insurance subsidiaries and BRCD, which are required by their respective states of domicile to provide these opinions, have provided such opinions without qualifications.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 of Investments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Each of our insurance subsidiaries is subject to state laws and regulations that require diversification of investment portfolios and limit the amount of investments that an insurer may have in certain asset categories, such as below investment grade fixed income securities, real estate equity, other equity investments, and derivatives, and we have internal procedures designed to ensure that the investments made by each of our insurance subsidiaries comply with such laws and regulations. Failure to comply with these laws and regulations would cause investments exceeding regulatory limitations to be treated as non-admitted assets for purposes of measuring surplus and, in some instances, would require divestiture of such non-qualifying investments.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47</w:t>
      </w:r>
    </w:p>
    <w:p>
      <w:pPr>
        <w:spacing w:after="0" w:line="115"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In August 2022, the NYDFS amended Insurance Regulation 47 (as amended, “Regulation 47”), which implemented new requirements for certain annuity products. Certain sections of Regulation 47 became effective as of January 1, 2023, and the remainder became effective on January 1, 2024. The regulation has opened the New York market to new competitors, and we continue to assess the impacts of these new factors on our sales in New York. See “Risk Factors — Risks Related to Our Business — Factors affecting our competitiveness may adversely affect our market share and profitability” and “Risk Factors — Risks Related to Our Business — We may experience difficulty in marketing and distributing products through our distribution channels.”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210</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 March 2018, NYDFS Insurance Regulation 210: Life Insurance and Annuity Non-Guaranteed Elements took effect. The regulation establishes standards for the determination and readjustment of non-guaranteed elements (“NGE”) that may vary at the insurer’s discretion for life insurance policies and annuity contracts delivered or issued for delivery in New York. In addition, the regulation establishes guidelines for related disclosure to the NYDFS and policy owners prior to any adverse change in NGEs. The regulation applies to all individual life insurance policies, individual annuity contracts and certain group life insurance and group annuity certificates that contain NGEs. NGEs include premiums, expense charges, cost of insurance (“COI”) rates and interest credits.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Cybersecurity Regulation</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course of our business, we and our distributors collect and maintain customer data, including personally identifiable nonpublic financial and health information. We also collect and handle the personal information of our associates and certain third parties who distribute our products. As a result, we and the third parties who distribute our products are subject to U.S. federal and state privacy laws and regulations, including the Health Insurance Portability and Accountability Act as well as additional regulations and those described below. These laws and regulations require that we implement and maintain certain policies and procedures to safeguard this information from improper use or disclosure and that we provide notice of our practices related to the collection and disclosure of such information. Other laws and regulations require us to notify affected individuals and regulators of security breaches.</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Congress and many states have enacted privacy and information security laws and regulations that impose compliance obligations applicable to our business, including obligations to protect sensitive personal and creditworthiness information, as well as limitations on the use and sharing of such information. For example, the NYDFS’s Part 500 – Cybersecurity Regulation (the “NYDFS Cybersecurity Regulation”), which became effective in March 2017, requires companies to establish a cybersecurity risk management program. In November 2023, the NYDFS announced amendments to the NYDFS Cybersecurity Regulation. The amended NYDFS Cybersecurity Regulation went into effect in phases beginning November 1, 2023 and continuing through November 1, 2025, and it includes additional and new requirements regarding certification, governance, audit requirements, technology and business continuity, security control and training requirements, and notification obligations.</w:t>
      </w:r>
    </w:p>
    <w:p>
      <w:pPr>
        <w:spacing w:after="0" w:line="8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the California Consumer Privacy Act of 2018 (the “CCPA”), which became effective in January 2020, affords California residents expanded privacy protections and control over the collection, use and sharing of their personal information. The CCPA requires companies to make certain disclosures to California consumers regarding personal information, among other privacy protective measures. Failure to comply with the CCPA risks regulatory fines, and the CCPA grants a private right of action and statutory damages for any unauthorized access and exfiltration, theft, or disclosure of certain types of personal information resulting from the Company’s violation of a duty to maintain reasonable security procedures and practices. The CCPA, as amended by the California Privacy Rights Act (the “CPRA”), effective as of January 1, 2023, and its implementing regulations required additional investment in compliance programs and potential modifications to business processes. Further, the CCPA, as amended, created the California Privacy Protection Agency (the “CPPA”) to enforce the statute as well as its regulations, and imposed new requirements relating to additional consumer rights, data minimization, and other obligations. The California legislature did not extend certain exemptions under the amended CCPA, specifically information collected in employment or business-to-business contexts, and such information therefore is now covered by the CCPA. Enforcement of the CCPA, as amended by the CPRA, began on July 1, 2023. In July 2025, the CPPA adopted regulations effective January 1, 2026, requiring certain companies to conduct data protection risk assessments for high-risk processing activities and complete annual cybersecurity audits. The regulations also implemented consumers’ rights to access and opt-out of companies’ use of automated decision-making technology.</w:t>
      </w:r>
    </w:p>
    <w:p>
      <w:pPr>
        <w:spacing w:after="0" w:line="8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2017, the NAIC adopted the Insurance Data Security Model Law, which established standards for data security and for the investigation and notification of insurance commissioners of cybersecurity events involving unauthorized access to, or the misuse of, certain nonpublic information. More than 20 U.S. states have enacted the Insurance Data Security Model Law or similar laws, and we expect more states to follow.</w:t>
      </w:r>
    </w:p>
    <w:p>
      <w:pPr>
        <w:spacing w:after="0" w:line="72"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In June 2024, the NAIC released draft amendments to the Privacy of Consumer Financial and Health Information Regulation #672. The NAIC is working with stakeholders to receive comments on each section of the draft amendment to Model Law #672. The current draft of the amended Model Law #672 focuses on four key privacy principles: (i) third-party arrangements; (ii) the right to access, correct, and delete data; (iii) the sale of personal information; and</w:t>
      </w:r>
    </w:p>
    <w:p>
      <w:pPr>
        <w:spacing w:after="0" w:line="1" w:lineRule="exact"/>
        <w:rPr>
          <w:sz w:val="20"/>
          <w:szCs w:val="20"/>
          <w:color w:val="auto"/>
        </w:rPr>
      </w:pPr>
    </w:p>
    <w:p>
      <w:pPr>
        <w:ind w:firstLine="6"/>
        <w:spacing w:after="0" w:line="251" w:lineRule="auto"/>
        <w:tabs>
          <w:tab w:leader="none" w:pos="31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processing and handling of personal information. Model Law #672 is still being exposed for comment to stakeholders and could undergo additional changes.</w:t>
      </w:r>
    </w:p>
    <w:p>
      <w:pPr>
        <w:spacing w:after="0" w:line="7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July 2023, the SEC adopted the Risk Management, Strategy, Governance, and Incident Disclosure Final Rule (the “Cybersecurity Final Rule”) that enhances the disclosure requirements for registered companies covering cybersecurity risk and management. The Cybersecurity Final Rule requires registrants to disclose material cybersecurity incidents on Form 8-K. The Cybersecurity Final Rule also requires periodic disclosures of the Company’s cybersecurity risk management processes, governance, and management’s role in overseeing such a compliance program. See “Cybersecurity” for a discussion of our cybersecurity risk management and governance framework.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All U.S. states, the District of Columbia, and U.S. territories also require entities to provide notification to affected residents and, in certain instances, state regulators, such as state attorneys general or state insurance commissioners, in the event of certain security breaches affecting personal information. Also, 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the Use of Artificial Intelligence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State legislatures and insurance regulators have shown increasing concern about the use of artificial intelligence (“AI”) and the potential for discrimination and bias in insurance practices.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to certain state legislatures adopting their own regulations and guidance, in December 2023, the NAIC adopted the Model Bulletin on the Use of Artificial Intelligence Systems by Insurers (the “Model Bulletin”) which has been adopted in more than 20 states. The Model Bulletin puts forth comprehensive guidance for the governance of AI systems that make or support decisions related to regulated insurance practices.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While we currently do not expect any of the existing regulations to have a material impact on our business, there can be no assurance that there will not be any material impacts in the future.</w:t>
      </w:r>
    </w:p>
    <w:p>
      <w:pPr>
        <w:spacing w:after="0" w:line="57"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Other state legislatures and insurance regulators, as well as U.S. state and federal agencies, may also adopt regulations and guidance that govern the use of AI. For example, on December 11, 2025, President Trump issued an executive order establishing, among other things, a national framework for AI regulation, an AI Litigation Task Force to challenge state AI laws inconsistent with the national framework, and conditional federal funding for state AI laws.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Broker-Dealer and Investment Adviser Regulation</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Some of our activities in offering and selling variable insurance products, as well as certain fixed interest rate or index-linked contracts (“Securities Products”), are subject to extensive regulation under the federal securities laws administered by the SEC or state securities laws. Federal and state securities laws and regulations treat variable insurance products and certain fixed interest rate or index-linked contracts as securities that must be registered with the SEC under the Securities Act of 1933, as amended (the “Securities Act”), and distributed through broker-dealers registered under the Securities Exchange Act of 1934, as amended (the “Exchange Act”). These registered broker-dealers are also FINRA members; therefore, sales of these registered products are also subject to the requirements of FINRA rules.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subsidiary, Brighthouse Securities, is registered with the SEC as a broker-dealer and is approved as a member of, and subject to regulation by, FINRA. Brighthouse Securities is also registered as a broker-dealer in all applicable U.S. states. Its business is to serve as the principal underwriter and exclusive distributor of the registered products issued by its affiliates, and as the principal underwriter for the registered funds advised by its affiliated investment adviser, Brighthouse Advisers, and used to fund variable insurance products.</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issue variable insurance products through separate accounts that are registered with the SEC as investment companies under the Investment Company Act of 1940, as amended (the “Investment Company Act”). Each registered separate account is generally divided into subaccounts, each of which invests in an underlying fund which is itself a registered investment company under the Investment Company Act. Our subsidiary, Brighthouse Advisers, is registered as an investment adviser with the SEC under the Investment Advisers Act of 1940, as amended (the “Advisers Act”), and its primary business is to serve as investment adviser to certain of the registered funds that underlie our variable annuity contracts and variable life insurance policies. Certain variable contract separate accounts sponsored by our insurance subsidiaries are exempt from registration under the Securities Act and the Investment Company Act but may be subject to other provisions of the federal securities laws.</w:t>
      </w:r>
    </w:p>
    <w:p>
      <w:pPr>
        <w:spacing w:after="0" w:line="8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Federal, state and other securities regulatory authorities, including the SEC and FINRA, may from time to time make inquiries and conduct examinations regarding our compliance with securities and other laws and regulations. We will cooperate with such inquiries and examinations and take corrective action when warranted. See “— Insurance Regulation — Insurance Regulatory Examinations and Other Activities.”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Federal and state securities laws and regulations are primarily intended to ensure the integrity of the financial markets, to protect investors in the securities markets, and to protect investment advisory or brokerage clients, and generally grant regulatory agencies broad rulemaking and enforcement powers, including the power to limit or restrict the conduct of business for failure to comply with such laws and regulations. Our offering and selling of Securities Products, including with respect to Brighthouse Securities and Brighthouse Advisers, may be impacted by SEC regulatory initiatives impacting the industry.</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Department of Labor and ERISA Considerations</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manufacture individual retirement annuities that are subject to the Internal Revenue Code of 1986, as amended (the “Tax Code”), for third parties to sell to individuals. Also, a portion of our in-force life insurance products and annuity products are held by tax-qualified pension and retirement plans that are subject to ERISA or the Tax Code. While we currently believe manufacturers do not have as much exposure to ERISA and the Tax Code as distributors, certain activities are subject to the restrictions imposed by ERISA and the Tax Code, including restrictions on the provision of investment advice to ERISA qualified plans, plan participants and individual retirement annuity and individual retirement account (collectively, “IRAs”) owners if the investment recommendation results in fees paid to an individual advisor, the firm that employs the advisor or their affiliates. In recent years, the Department of Labor (“DOL”) issued a final regulation updating the definition of “investment advice,” which was subsequently stayed by judicial action. See “— Standard of Conduct Regulation — Department of Labor Fiduciary Advice Rule” for additional details regarding the status of the DOL Fiduciary Advice Rule (as defined below).</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DOL has issued a number of regulations regarding disclosure that must be provided to plan sponsors and participants. The participant disclosure regulations and the regulations which require service providers to disclose fee and other information to plan sponsors took effect in 2012. Our insurance subsidiaries have taken and continue to take steps designed to ensure compliance with regulations requiring service providers to disclose fee and other information to plan sponsors.</w:t>
      </w:r>
    </w:p>
    <w:p>
      <w:pPr>
        <w:spacing w:after="0" w:line="72"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 xml:space="preserve">In </w:t>
      </w:r>
      <w:r>
        <w:rPr>
          <w:rFonts w:ascii="Times New Roman" w:cs="Times New Roman" w:eastAsia="Times New Roman" w:hAnsi="Times New Roman"/>
          <w:sz w:val="17"/>
          <w:szCs w:val="17"/>
          <w:i w:val="1"/>
          <w:iCs w:val="1"/>
          <w:color w:val="auto"/>
        </w:rPr>
        <w:t>John Hancock Mutual Life Insurance Company v. Harris Trust and Savings Bank</w:t>
      </w:r>
      <w:r>
        <w:rPr>
          <w:rFonts w:ascii="Times New Roman" w:cs="Times New Roman" w:eastAsia="Times New Roman" w:hAnsi="Times New Roman"/>
          <w:sz w:val="17"/>
          <w:szCs w:val="17"/>
          <w:color w:val="auto"/>
        </w:rPr>
        <w:t xml:space="preserve"> (1993), the U.S. Supreme Court held that certain assets in excess of amounts necessary to satisfy guaranteed obligations under a participating group annuity general account contract are “plan assets.” Therefore, these assets are subject to certain fiduciary obligations under ERISA, which requires fiduciaries to perform their duties solely in the interest of participants and beneficiaries of a plan subject to Title I of ERISA (an “ERISA Plan”). DOL regulations issued thereafter provide that, if an insurer satisfies certain requirements, assets supporting a policy backed by the insurer’s general account and issued before 1999 will not constitute “plan assets.” We have taken and continue to take steps designed to ensure compliance with these regulations. An insurer issuing a new policy that is backed by its general account and is issued to or for an employee benefit plan after December 31, 1998 is generally subject to fiduciary obligations under ERISA, unless the policy is an insurance policy or contract that provides for benefits the amount of which is guaranteed by the insurer (a “guaranteed benefit policy”), in which case, the assets would not be considered “plan assets.” We have taken and continue to take steps designed to ensure that policies issued to ERISA Plans after 1998 qualify as guaranteed benefit policies.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Standard of Conduct Regulation</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result of overlapping efforts by the DOL, the NAIC, individual states and the SEC to impose fiduciary-like requirements in connection with the sale of annuities, life insurance policies and securities, which are each discussed in more detail below, there have been a number of proposed or adopted changes to the laws and regulations that govern the conduct of our business and the firms that distribute our products. As a manufacturer of annuity and life insurance products, we do not directly distribute our products to consumers. However, regulations establishing standards of conduct in connection with the distribution and sale of these products could affect our business by imposing greater compliance, oversight, disclosure and notification requirements on our distributors or us, which may in either case increase our costs or limit distribution of our products. We cannot predict what other proposals may be made, what legislation or regulations may be introduced or enacted, or what impact any future legislation or regulations may have on our business, financial condition and results of operations.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Department of Labor Fiduciary Advice Rule</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A technical amendment issued by the DOL, which became effective on July 7, 2020, reinstated the text of the DOL’s 1975 investment advice regulation (the “Fiduciary Advice Rule”) defining what constitutes fiduciary “investment advice.” In connection with the Fiduciary Advice Rule, the DOL also issued a new exemption, Prohibited Transaction Exemption 2020-02 (“PTE 2020-02”), which became effective February 16, 2021. PTE 2020-02 broadened the circumstances under which financial institutions, including insurance companies, could be considered fiduciaries under ERISA or the Tax Code. In particular, the DOL stated that a recommendation to “roll over” assets from a qualified retirement plan to an IRA or from an IRA to another IRA, could be considered fiduciary investment advice if provided by someone with an existing relationship with the ERISA Plan or an IRA owner (or in anticipation of establishing such a relationship). This guidance reversed an earlier DOL interpretation suggesting that roll over advice does not constitute investment advice giving rise to a fiduciary relationship.</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PTE 2020-02 expands the definition of fiduciary “investment advice” to include, in many circumstances, providing one-time advice (including rollover advice) to ERISA Plans and IRAs, among other conduct. Individuals or entities providing investment advice would be considered fiduciaries under ERISA or the Tax Code, as applicable, and would therefore be required to act solely in the interest of ERISA Plan participants or IRA beneficiaries, or risk exposure to fiduciary liability with respect to their advice. They would further be prohibited from receiving compensation for this advice, unless an exemption applied.</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PTE 2020-02 allows fiduciaries to receive compensation in connection with providing investment advice, including advice with respect to roll overs, that would otherwise be prohibited as a result of their fiduciary relationship to the ERISA Plan or IRA. In order to be eligible for the exemption, among other conditions, the investment advice fiduciary is required to acknowledge its fiduciary status, refrain from putting its own interests ahead of the plan beneficiaries’ interests or making material misleading statements, act in accordance with ERISA’s “prudent person” standard of care and receive no more than reasonable compensation for the advice.</w:t>
      </w:r>
    </w:p>
    <w:p>
      <w:pPr>
        <w:spacing w:after="0" w:line="79"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On April 23, 2024, the DOL updated the Fiduciary Advice Rule that amended the definition of an “investment advice fiduciary” under ERISA and amended related administrative PTEs, including PTE 2020-02 and PTE 84-24 (together, the “PTE Amendments”). PTE 84-24 allows investment advice fiduciaries, under certain circumstances, to receive compensation for selling insurance and annuity products to ERISA plans and IRAs that would otherwise be prohibited as a result of their fiduciary relationship to an ERISA plan or IRA. As amended, PTE 84-24 would be available exclusively to independent producer fiduciaries receiving reasonable compensation for products that are not considered securities in connection with providing investment advice, including advice with respect to roll overs, that would otherwise be prohibited as a result of a fiduciary relationship to an ERISA plan or IRA. The Fiduciary Advice Rule broadened the circumstances under which financial institutions, including insurance companies, could be considered fiduciaries to ERISA plans and IRA investors.</w:t>
      </w:r>
    </w:p>
    <w:p>
      <w:pPr>
        <w:spacing w:after="0" w:line="84"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On July 25, 2024, the U.S. District Court for the Eastern District of Texas and, on July 26, 2024, the U.S. District Court for the Northern District of Texas issued decisions, which, together, stayed the effective date for implementation of the Fiduciary Advice Rule and the PTE Amendments. In September 2024, the DOL appealed these rulings but subsequently withdrew its appeal of the stays, and the U.S. Court of Appeals for the Fifth Circuit issued an order dismissing the appeal.</w:t>
      </w:r>
    </w:p>
    <w:p>
      <w:pPr>
        <w:spacing w:after="0" w:line="74"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DOL has indicated that it intends to engage in further rulemaking concerning what constitutes fiduciary “investment advice” to ERISA Plans and IRAs. While we cannot predict the outcome of that rulemaking, future regulations could have adverse effects on sales of our products and may also lead to further changes to our product offerings and compensation practices, as well as increase our litigation risk, any of which could adversely affect our financial condition and results of operations. We may also need to take certain additional actions to comply with, or assist our distributors in their compliance with, forthcoming regulations.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 Law Standard of Conduct Rules and Regulations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NAIC adopted a Suitability in Annuity Transactions Regulation (the “NAIC SAT”) that includes a best interest standard on February 13, 2020 in an effort to promote harmonization across various regulators, including the SEC Regulation Best Interest. The NAIC SAT model standard requires producers to act in the best interest of the consumer when recommending annuities. All jurisdictions other than the District of Columbia have adopted the NAIC SAT model, which became effective in 2021. The NAIC adopted the Best Interest Safe Harbor Guidance for NAIC SAT in December 2025.</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Additionally, certain regulators have issued proposals to impose a fiduciary duty on some investment professionals, and other states may be considering similar regulations. We continue to assess the impact of these issued and proposed standards on our business, and we expect that we and our third-party distributors will need to implement additional compliance measures that could ultimately impact sales of our products.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NYDFS Insurance Regulation 187</w:t>
      </w:r>
    </w:p>
    <w:p>
      <w:pPr>
        <w:spacing w:after="0" w:line="115"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In July 2018, the NYDFS amended Insurance Regulation 187 (as amended, “Regulation 187”), adopting a “best interest” standard for the sale of annuities and life insurance products in New York. Regulation 187 generally requires that an insurance producer or insurer consider only a consumer’s best interest, and not the financial interests of the producer or insurer, in making a recommendation as to which life insurance or annuity product a consumer should purchase. In addition, Regulation 187 imposes a best interest standard on consumer in-force transactions. We have assessed the impact to our annuity and life insurance businesses and have adopted certain changes to promote compliance with the provisions by their respective effective dates.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SEC Rules Addressing Standards of Conduct for Broker-Dealers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On June 5, 2019, the SEC adopted a comprehensive set of rules and interpretations for broker-dealers and investment advisers, including Regulation Best Interest, which went into effect in June 2020. Among other things, this regulatory package:</w:t>
      </w:r>
    </w:p>
    <w:p>
      <w:pPr>
        <w:spacing w:after="0" w:line="57" w:lineRule="exact"/>
        <w:rPr>
          <w:sz w:val="20"/>
          <w:szCs w:val="20"/>
          <w:color w:val="auto"/>
        </w:rPr>
      </w:pPr>
    </w:p>
    <w:p>
      <w:pPr>
        <w:jc w:val="both"/>
        <w:ind w:left="800" w:hanging="317"/>
        <w:spacing w:after="0" w:line="259" w:lineRule="auto"/>
        <w:tabs>
          <w:tab w:leader="none" w:pos="7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broker-dealers and their financial professionals to act in the best interest of retail customers when making recommendations to such customers without placing their own interests ahead of the customers’ interests, including by satisfying obligations relating to disclosure, care, mitigation of conflicts of interest, and compliance policies and procedures;</w:t>
      </w:r>
    </w:p>
    <w:p>
      <w:pPr>
        <w:spacing w:after="0" w:line="7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clarifies the nature of the fiduciary obligations owed by registered investment advisers to their clients;</w:t>
      </w:r>
    </w:p>
    <w:p>
      <w:pPr>
        <w:spacing w:after="0" w:line="111"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requirements on broker-dealers and investment advisers to deliver Form CRS relationship summaries designed to assist customers in understanding key facts regarding their relationships with their investment professionals and differences between the broker-dealer and investment adviser business models; and</w:t>
      </w:r>
    </w:p>
    <w:p>
      <w:pPr>
        <w:spacing w:after="0" w:line="7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restricts broker-dealers and their financial professionals from using certain compensation practices and the terms “adviser” or “advisor.”</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intent of Regulation Best Interest is to impose an enhanced standard of care on broker-dealers and their financial professionals which is more similar to that of an investment adviser. Among other things, this requires broker-dealers to mitigate conflicts of interest arising from transaction-based financial arrangements for their employees.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Regulation Best Interest may change the way broker-dealers sell securities such as variable annuities to their retail customers as well as their associated costs. Moreover, it may impact broker-dealer sales of other annuity products that are not securities because it could be difficult for broker-dealers to differentiate their sales practices by product. In addition, individual states and their securities regulators may adopt their own enhanced conduct standards for broker-dealers that may further impact their practices, and it is uncertain to what extent they would be preempted by Regulation Best Interest.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Federal Tax Reform</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August 16, 2022, the Inflation Reduction Act was signed into law by President Biden. The Inflation Reduction Act establishes a 15% corporate alternative minimum tax (the “CAMT”) for corporations whose average annual adjusted financial statement income for any consecutive three–tax year period ending after December 31, 2021 and preceding the tax year exceeds $1.0 billion.</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12, 2024, the Internal Revenue Service (“IRS”) and the U.S. Department of Treasury (the “U.S. Treasury”) issued proposed regulations with respect to the CAMT. On September 30, 2025, the IRS issued Notice 2025-46 and Notice 2025-49, and on February 18, 2026, the IRS issued Notice 2026-7, (collectively, the “Notices”) that provide interim guidance on certain matters and signal the Treasury’s intent to partially withdraw and amend the prior proposed regulations. There remain significant uncertainties regarding the application of the CAMT, and there can be no assurance that final regulations, if adopted, will be adopted in a form consistent with the existing guidance. The Company is currently assessing the impact of the proposed regulations and the Notices, including the impact on the applicability of the CAMT.</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Based on the Company’s interpretation of guidance issued by the U.S. Treasury and the IRS to date, the Company was not subject to the CAMT for the years ended December 31, 2025, 2024 and 2023. However, the Company will continue to assess the applicability of the CAMT on an annual basis and may be subject to the CAMT in future years.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July 4, 2025, the One Big Beautiful Bill Act (the “OBBBA”), which includes certain changes to U.S. corporate tax provisions and extends many of the provisions of the Tax Cuts and Jobs Act that were set to expire at the end of 2025, was enacted. The Company does not expect the OBBBA to have a material impact on the Company.</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of Over-the-Counter Derivatives</w:t>
      </w:r>
    </w:p>
    <w:p>
      <w:pPr>
        <w:spacing w:after="0" w:line="11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The Dodd-Frank Wall Street Reform and Consumer Protection Act (“Dodd-Frank”) includes a framework of regulation of the over-the-counter (“OTC”) derivatives markets which requires clearing of certain types of derivatives and imposes additional costs, including new reporting and margin requirements. We use derivatives to mitigate a wide range of risks in connection with our businesses, including the impact of increased benefit exposures from certain of our annuity products that offer guaranteed benefits. Our costs of risk mitigation have increased under Dodd-Frank. For example, Dodd-Frank imposes requirements for (i) the mandatory clearing of certain OTC derivative transactions that must be cleared and settled through central clearing counterparties (“OTC-cleared”), and (ii) the mandatory exchange of margin for OTC in-scope derivative transactions that are bilateral contracts between two counterparties (“OTC-bilateral” or “uncleared”). The initial margin requirements for OTC-bilateral derivative transactions, which requires the collecting and posting of collateral to reduce future exposure to a given counterparty, became applicable to us in September 2021. The increased margin requirements, combined with increased capital charges for our counterparties and central clearinghouses with respect to non-cash collateral, may result in increased holdings of cash and highly liquid securities with lower yields causing a reduction in income and less favorable pricing for cleared and OTC-bilateral derivative transactions. Centralized clearing of certain derivatives also exposes us to the risk of a default by a clearing member or clearinghouse with respect to our cleared derivative transactions. We could be subject to higher costs of entering into derivative transactions (including customized derivatives) and the reduced availability of customized derivatives that might result from the implementation of Dodd-Frank and comparable international derivatives regulations.</w:t>
      </w:r>
    </w:p>
    <w:p>
      <w:pPr>
        <w:spacing w:after="0" w:line="7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Federal banking regulators adopted rules that apply to certain qualified financial contracts, including many derivatives contracts, securities lending agreements and repurchase agreements, with certain banking institutions and certain of their affiliates. These rules, which became effective on January 1, 2019, generally require the banking institutions and their applicable affiliates to include contractual provisions in their qualified financial contracts that limit or delay certain rights of their counterparties arising in connection with the banking institution or an applicable affiliate becoming subject to a bankruptcy, insolvency, resolution or similar proceeding. Certain of our derivatives, securities lending agreements and repurchase agreements are subject to these rules, and as a result, we are subject to greater risk and more limited recovery in the event of a default by such banking institutions or their applicable affiliates.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Considerations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hold equity interests in companies that may be subject to extensive federal, state and local environmental laws and regulations and, accordingly, could potentially be subject to environmental liabilities. Our properties routinely have environmental assessments performed with respect to real estate being acquired for investment and real property to be acquired through foreclosure. We cannot provide assurance that unexpected environmental liabilities will not arise. However, based on information currently available to us, we believe that any costs associated with compliance with environmental laws and regulations or any remediation of properties in our investment portfolio will not have a material adverse effect on our results of operations or financial condition. See Note 8 of the Notes to the Consolidated Financial Statements for a discussion on certain limitations and interests regarding our arrangements in or with variable interest entities.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California Climate Disclosure</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In October 2023, California enacted the Climate Corporate Data Accountability Act (“CCDAA”), or SB 253, and the Climate-Related Financial Risk Act (“CRFRA”), or SB 261. The CCDAA requires companies with annual revenues exceeding $1.0 billion that conduct business in California to report their Scope 1 and 2 greenhouse gas (“GHG”) emissions annually starting in 2026; and Scope 3 GHG emissions starting in 2027. The CRFRA applies to companies with annual revenues over $500 million that conduct business in California and requires biennial disclosure of climate-related financial risks and mitigation measures taken to address such risks. The CCDAA and CRFRA remain subject to litigation. In November 2025, the U.S. Court of Appeals for the Ninth Circuit issued an order in </w:t>
      </w:r>
      <w:r>
        <w:rPr>
          <w:rFonts w:ascii="Times New Roman" w:cs="Times New Roman" w:eastAsia="Times New Roman" w:hAnsi="Times New Roman"/>
          <w:sz w:val="18"/>
          <w:szCs w:val="18"/>
          <w:i w:val="1"/>
          <w:iCs w:val="1"/>
          <w:color w:val="auto"/>
        </w:rPr>
        <w:t>U.S. Chamber of Commerce v. Randolph</w:t>
      </w:r>
      <w:r>
        <w:rPr>
          <w:rFonts w:ascii="Times New Roman" w:cs="Times New Roman" w:eastAsia="Times New Roman" w:hAnsi="Times New Roman"/>
          <w:sz w:val="18"/>
          <w:szCs w:val="18"/>
          <w:color w:val="auto"/>
        </w:rPr>
        <w:t xml:space="preserve"> granting an injunction against enforcement of the CRFRA pending resolution of the appeal of the district court’s preliminary injunction denial. The injunction in </w:t>
      </w:r>
      <w:r>
        <w:rPr>
          <w:rFonts w:ascii="Times New Roman" w:cs="Times New Roman" w:eastAsia="Times New Roman" w:hAnsi="Times New Roman"/>
          <w:sz w:val="18"/>
          <w:szCs w:val="18"/>
          <w:i w:val="1"/>
          <w:iCs w:val="1"/>
          <w:color w:val="auto"/>
        </w:rPr>
        <w:t>U.S. Chamber of Commerce v. Randolph</w:t>
      </w:r>
      <w:r>
        <w:rPr>
          <w:rFonts w:ascii="Times New Roman" w:cs="Times New Roman" w:eastAsia="Times New Roman" w:hAnsi="Times New Roman"/>
          <w:sz w:val="18"/>
          <w:szCs w:val="18"/>
          <w:color w:val="auto"/>
        </w:rPr>
        <w:t>, however, did not extend to the CCDAA. The California Air Resources Board announced an August 10, 2026 deadline for reporting Scope 1 and 2 GHG emissions under the CCDAA, which will remain in effect pending further ruling on the enforceability of the CCDAA. The Company continues to monitor the litigation.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Unclaimed Property</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subject to the laws and regulations of states and other jurisdictions concerning identification, reporting and escheatment of unclaimed or abandoned funds, and are subject to audit and examination for compliance with these requirements, which may result in fines or penalties. Litigation may be brought by, or on behalf of, one or more entities, seeking to recover unclaimed or abandoned funds and interest. The claimant or claimants also may allege entitlement to other damages or penalties, including for alleged false claims.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Both the annuities and the life insurance markets are very competitive, with many participants and no one company dominating the market for all products. According to the American Council of Life Insurers (Life Insurers Fact Book 2025), the U.S. life insurance industry is made up of 711 companies with sales and operations across the country and U.S. territories. We compete with major, well-established stock and mutual life insurance companies and non-insurance financial services companies (e.g., banks, private equity firms, broker-dealers and asset managers) in all of our product offerings, including certain of our distributors that currently manufacture competing products or may manufacture competing products in the future. Our Annuities segment also faces competition from other financial service providers that focus on retirement products and advice. Our competitive positioning overall is focused on access to distribution channels, product features and financial strength.</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Principal competitive factors in the annuities business include product features, distribution channel relationships, ease of doing business, annual fees, investment performance, speed to market, brand recognition, technology and the financial strength ratings of the insurance company. In particular for the variable annuity business, our living benefit rider product features and the quality of our relationship management and wholesaling support are key drivers in our competitive position. In the fixed annuity business, the crediting rates and guaranteed payout product features are the primary competitive factors, while for index-linked annuities the competitiveness of the crediting methodology is the primary driver. For income annuities, the competitiveness of the lifetime income payment amount is generally the principal factor.</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Principal competitive factors in the life insurance business include product and underwriting features, customer service and distribution channel relationships, price, the financial strength ratings of the insurance company, technology and financial stability. For our hybrid indexed universal life with long-term care product, product features, long-term care benefits and our underwriting process are the primary competitive factors. The principal factors for our income product are its guaranteed distributions, crediting strategies and underwriting process.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At Brighthouse Financial, our employees are one of our most valuable assets. Our ability to successfully execute our business strategy and deliver on our mission to help people achieve financial security starts with our culture and values, which are brought to life every day by our employees. At December 31, 2025, we had approximately 1,400 employees.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Board of Directors and its Compensation and Human Capital Committee oversee our human capital matters, including pay equity; talent and leadership development; the Company’s efforts to attract, engage and retain talent; culture; and the development and execution of the Company’s inclusion and belonging strategy.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Culture, Values and Ethics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culture is rooted in three core values — collaboration, adaptability and passion. We believe these values help us build an organization where talented people from all backgrounds can make meaningful contributions to our success while growing their careers. We are committed to continually enhancing our culture through a variety of programs, policies and initiatives. We place a high value on employee feedback, which we believe is critical to our efforts to continue to strengthen our culture. We collect employee feedback on an ongoing basis in multiple ways, including through periodic surveys, coaching and feedback discussions, exit surveys and interviews, and employee network groups (discussed below).</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culture is also built on our deep commitment to ethics and integrity, and we recognize that the continued success of the Company is dependent upon the trust of our employees, distribution partners, customers and stockholders. We strive to adhere to the highest standards of business conduct at all times and put honesty, fairness and trustworthiness at the center of all that we do. To help maintain a safe and productive workplace, we establish and oversee programs to build awareness of and train employees on important standards, policies and procedures, as required by applicable regulations, Company policy or best practices. As part of our commitment to ethics and integrity, we require all employees to review and certify compliance with our employee code of conduct on an annual basis, as well as complete more extensive training on the employee code of conduct on a biennial basis. In addition, through regular communications, we help to ensure that employees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140"/>
        <w:spacing w:after="0" w:line="368" w:lineRule="auto"/>
        <w:rPr>
          <w:sz w:val="20"/>
          <w:szCs w:val="20"/>
          <w:color w:val="auto"/>
        </w:rPr>
      </w:pPr>
      <w:r>
        <w:rPr>
          <w:rFonts w:ascii="Times New Roman" w:cs="Times New Roman" w:eastAsia="Times New Roman" w:hAnsi="Times New Roman"/>
          <w:sz w:val="18"/>
          <w:szCs w:val="18"/>
          <w:color w:val="auto"/>
        </w:rPr>
        <w:t xml:space="preserve">are well-informed of the Company’s reporting and escalation process, including options for anonymous whistleblower reporting. </w:t>
      </w:r>
      <w:r>
        <w:rPr>
          <w:rFonts w:ascii="Times New Roman" w:cs="Times New Roman" w:eastAsia="Times New Roman" w:hAnsi="Times New Roman"/>
          <w:sz w:val="18"/>
          <w:szCs w:val="18"/>
          <w:b w:val="1"/>
          <w:bCs w:val="1"/>
          <w:i w:val="1"/>
          <w:iCs w:val="1"/>
          <w:color w:val="auto"/>
        </w:rPr>
        <w:t>Attracting, Engaging, Developing and Retaining Talent</w:t>
      </w:r>
    </w:p>
    <w:p>
      <w:pPr>
        <w:spacing w:after="0" w:line="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believe that our success depends, in large part, on our ability to attract and retain highly skilled employees. There is strong competition for talent in our industry, and current U.S. labor market dynamics may further increase the challenge of attracting and retaining employees. We continue to monitor the current U.S. labor environment and adapt, as needed, our activities, policies and practices to attract, engage, develop and retain employees and to ensure that Brighthouse Financial remains a great place to work. These efforts include, among other things, seeking to support our employees with competitive and equitable pay and benefits and to provide our employees with training and other learning and development opportunities. In addition, we continue to operate under a flexible, hybrid work model, which we believe makes us an attractive employer and aids our recruitment and retention strategy.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offer employees benefits programs that are designed to help meet their financial, physical and mental health needs. All employees are eligible to participate in our 401(k) savings plan, to which we make matching and annual nondiscretionary contributions, and in our Employee Stock Purchase Plan, through which employees can purchase BHF stock at a discounted price. We offer competitive health care benefits options for medical, dental and vision coverage, as well as flexible spending accounts for health care and dependent care. We offer all employees paid time off, as well as time off for Company holidays and volunteer and study activities and other well-being benefits, including paid parental and family leave for new parents, to help promote a healthier work-life balance. In addition, we conduct annual pay equity reviews to help ensure that individual compensation is determined exclusively based on performance, experience, job level and other legitimate non-discriminatory factors.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Developing Talent</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talent management and development strategies are built on continuous coaching and feedback, learning, training, collaboration and inclusivity. We provide employees with many opportunities and resources to learn and develop, including a curated set of courses designed to help employees achieve their personal and professional goals. In addition, throughout the year, we offer all employees access to education sessions designed to further their understanding of our corporate strategy and culture, as well as provide the opportunity to build and enhance skills. We also offer a mentorship program designed to provide our employees with professional development opportunities through engagement with leaders across the Company. In order to facilitate our efforts to understand and optimize our employees’ experiences at the Company and assist us in attracting, engaging, developing and retaining talent, we collect employee feedback on an ongoing basis. To further help our employees remain engaged and connected to the Company and each other, we hold a variety of employee events and distribute a wide range of communications throughout the year, including town hall meetings, podcasts from our Chief Executive Officer, company-wide discussions with members of our leadership team, intranet articles and a weekly newsletter highlighting events and news from around the Company. We also strive to retain talent in many ways, including through our compensation and benefits programs, robust talent-development programs and other initiatives to provide employees with opportunities to have fulfilling careers.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Fostering an Inclusive Workplace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an equal opportunity employer committed to providing an inclusive workplace where employees can trust that their unique backgrounds and perspectives will be recognized, respected and celebrated. We believe that by building such a workplace, we are better able to attract and retain talent and provide valuable products that meet the needs of our distribution partners and the financial professionals who sell our products, as well as their clients. We seek to provide equal opportunity and inclusivity in the attraction and retention of talent and the opportunities provided to all employees to grow and develop at the Company.</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approach to providing an inclusive workplace includes the efforts of a cross-functional committee of employees who help management create and sponsor programs and development opportunities with the aim of further enhancing our employees’ sense of belonging and our Company’s culture. These include the Company’s employee network groups, which are open to all employees and provide a forum for employees to discuss relevant professional and personal topics, learn from one another, find support and allyship, and expand their networks.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Supporting our Communities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 seeks to support the communities in which we live and work through its own charitable organizations and through strategic partnerships with community organizations, educational institutions and industry peers. The Brighthouse Financial Foundation, a non-profit organization, was established in 2017 with the mission to improve the financial security, culture and opportunities afforded to the communities in which the Company’s employees live and work by providing resources and support to other tax-exempt organizations which further that mission. In addition, through Brighthouse Scholar Connections, Inc., a non-profit organization established in 2022, scholarships are provided to expand educational opportunities for students who are members of historically underrepresented or disadvantaged populations. Brighthouse Financial employees have the opportunity to serve as mentors for students who have been awarded scholarships by this organization.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certain information regarding our executive officers as of February 24, 2026.</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r>
      <w:tr>
        <w:trPr>
          <w:trHeight w:val="47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Eric T. Steigerwalt</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64</w:t>
            </w:r>
          </w:p>
        </w:tc>
      </w:tr>
      <w:tr>
        <w:trPr>
          <w:trHeight w:val="5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Edward A. Spehar</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r>
      <w:tr>
        <w:trPr>
          <w:trHeight w:val="53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Vonda R. Huss</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59</w:t>
            </w:r>
          </w:p>
        </w:tc>
      </w:tr>
      <w:tr>
        <w:trPr>
          <w:trHeight w:val="60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Myles J. Lambert</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r>
      <w:tr>
        <w:trPr>
          <w:trHeight w:val="68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Allie Lin</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48</w:t>
            </w:r>
          </w:p>
        </w:tc>
      </w:tr>
      <w:tr>
        <w:trPr>
          <w:trHeight w:val="61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John L. Rosenthal</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right="1780" w:firstLine="1762"/>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Position with Brighthouse Financial and Certain Other Business Experience </w:t>
      </w:r>
      <w:r>
        <w:rPr>
          <w:rFonts w:ascii="Times New Roman" w:cs="Times New Roman" w:eastAsia="Times New Roman" w:hAnsi="Times New Roman"/>
          <w:sz w:val="16"/>
          <w:szCs w:val="16"/>
          <w:color w:val="auto"/>
        </w:rPr>
        <w:t>Brighthouse Financial: President and Chief Executive Officer (August 2017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-119380</wp:posOffset>
            </wp:positionV>
            <wp:extent cx="7134860" cy="3448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344805"/>
                    </a:xfrm>
                    <a:prstGeom prst="rect">
                      <a:avLst/>
                    </a:prstGeom>
                    <a:noFill/>
                  </pic:spPr>
                </pic:pic>
              </a:graphicData>
            </a:graphic>
          </wp:anchor>
        </w:drawing>
      </w:r>
    </w:p>
    <w:p>
      <w:pPr>
        <w:ind w:right="200"/>
        <w:spacing w:after="0" w:line="227" w:lineRule="auto"/>
        <w:rPr>
          <w:sz w:val="20"/>
          <w:szCs w:val="20"/>
          <w:color w:val="auto"/>
        </w:rPr>
      </w:pPr>
      <w:r>
        <w:rPr>
          <w:rFonts w:ascii="Times New Roman" w:cs="Times New Roman" w:eastAsia="Times New Roman" w:hAnsi="Times New Roman"/>
          <w:sz w:val="16"/>
          <w:szCs w:val="16"/>
          <w:color w:val="auto"/>
        </w:rPr>
        <w:t>MetLife: President and Chief Executive Officer, Brighthouse Financial, Inc. (August 2016 – August 2017); Executive Vice President, U.S. Retail (September 2012 – August 2017)</w:t>
      </w:r>
    </w:p>
    <w:p>
      <w:pPr>
        <w:spacing w:after="0" w:line="237" w:lineRule="auto"/>
        <w:rPr>
          <w:sz w:val="20"/>
          <w:szCs w:val="20"/>
          <w:color w:val="auto"/>
        </w:rPr>
      </w:pPr>
      <w:r>
        <w:rPr>
          <w:rFonts w:ascii="Times New Roman" w:cs="Times New Roman" w:eastAsia="Times New Roman" w:hAnsi="Times New Roman"/>
          <w:sz w:val="16"/>
          <w:szCs w:val="16"/>
          <w:color w:val="auto"/>
        </w:rPr>
        <w:t>Brighthouse Financial: Executive Vice President and Chief Financial Officer (August 2019 – present)</w:t>
      </w:r>
    </w:p>
    <w:p>
      <w:pPr>
        <w:ind w:right="40"/>
        <w:spacing w:after="0" w:line="227" w:lineRule="auto"/>
        <w:rPr>
          <w:sz w:val="20"/>
          <w:szCs w:val="20"/>
          <w:color w:val="auto"/>
        </w:rPr>
      </w:pPr>
      <w:r>
        <w:rPr>
          <w:rFonts w:ascii="Times New Roman" w:cs="Times New Roman" w:eastAsia="Times New Roman" w:hAnsi="Times New Roman"/>
          <w:sz w:val="16"/>
          <w:szCs w:val="16"/>
          <w:color w:val="auto"/>
        </w:rPr>
        <w:t>MetLife: Executive Vice President and Treasurer (August 2018 – July 2019); Chief Financial Officer of Europe, Middle East and Africa Region (July 2016 – February 2019)</w:t>
      </w:r>
    </w:p>
    <w:p>
      <w:pPr>
        <w:spacing w:after="0" w:line="237" w:lineRule="auto"/>
        <w:rPr>
          <w:sz w:val="20"/>
          <w:szCs w:val="20"/>
          <w:color w:val="auto"/>
        </w:rPr>
      </w:pPr>
      <w:r>
        <w:rPr>
          <w:rFonts w:ascii="Times New Roman" w:cs="Times New Roman" w:eastAsia="Times New Roman" w:hAnsi="Times New Roman"/>
          <w:sz w:val="16"/>
          <w:szCs w:val="16"/>
          <w:color w:val="auto"/>
        </w:rPr>
        <w:t>Brighthouse Financial: Executive Vice President and Chief Human Resources Officer (November 2017 – present)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-111125</wp:posOffset>
            </wp:positionV>
            <wp:extent cx="7134860" cy="3365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336550"/>
                    </a:xfrm>
                    <a:prstGeom prst="rect">
                      <a:avLst/>
                    </a:prstGeom>
                    <a:noFill/>
                  </pic:spPr>
                </pic:pic>
              </a:graphicData>
            </a:graphic>
          </wp:anchor>
        </w:drawing>
      </w:r>
    </w:p>
    <w:p>
      <w:pPr>
        <w:ind w:right="340"/>
        <w:spacing w:after="0" w:line="227" w:lineRule="auto"/>
        <w:rPr>
          <w:sz w:val="20"/>
          <w:szCs w:val="20"/>
          <w:color w:val="auto"/>
        </w:rPr>
      </w:pPr>
      <w:r>
        <w:rPr>
          <w:rFonts w:ascii="Times New Roman" w:cs="Times New Roman" w:eastAsia="Times New Roman" w:hAnsi="Times New Roman"/>
          <w:sz w:val="16"/>
          <w:szCs w:val="16"/>
          <w:color w:val="auto"/>
        </w:rPr>
        <w:t>Wells Fargo, a financial services company: Executive Vice President, Co-Head of Human Resources (September 2015 – November 2017)</w:t>
      </w:r>
    </w:p>
    <w:p>
      <w:pPr>
        <w:spacing w:after="0" w:line="5" w:lineRule="exact"/>
        <w:rPr>
          <w:sz w:val="20"/>
          <w:szCs w:val="20"/>
          <w:color w:val="auto"/>
        </w:rPr>
      </w:pPr>
    </w:p>
    <w:p>
      <w:pPr>
        <w:ind w:right="2140"/>
        <w:spacing w:after="0" w:line="233" w:lineRule="auto"/>
        <w:rPr>
          <w:sz w:val="20"/>
          <w:szCs w:val="20"/>
          <w:color w:val="auto"/>
        </w:rPr>
      </w:pPr>
      <w:r>
        <w:rPr>
          <w:rFonts w:ascii="Times New Roman" w:cs="Times New Roman" w:eastAsia="Times New Roman" w:hAnsi="Times New Roman"/>
          <w:sz w:val="15"/>
          <w:szCs w:val="15"/>
          <w:color w:val="auto"/>
        </w:rPr>
        <w:t>Brighthouse Financial: Executive Vice President and Chief Operating Officer (August 2025 – Present); Executive Vice President and Chief Marketing and Distribution Officer (August 2017 – August 2025)</w:t>
      </w:r>
    </w:p>
    <w:p>
      <w:pPr>
        <w:spacing w:after="0" w:line="1"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6"/>
          <w:szCs w:val="16"/>
          <w:color w:val="auto"/>
        </w:rPr>
        <w:t>MetLife: Executive Vice President and Chief Marketing and Distribution Officer, Brighthouse Financial, Inc. (August 2016 – August 2017); Senior Vice President, U.S. Retail Distribution and Marketing (April 2016 – August 2017)</w:t>
      </w:r>
    </w:p>
    <w:p>
      <w:pPr>
        <w:spacing w:after="0" w:line="5"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6"/>
          <w:szCs w:val="16"/>
          <w:color w:val="auto"/>
        </w:rPr>
        <w:t>Brighthouse Financial: Executive Vice President and General Counsel (December 2022 – present); Head of Litigation and Employment Law (February 2021 – December 2022); Lead Litigation and Employment Attorney (September 2019 – February 2021); Corporate Counsel, Litigation Attorney (March 2018 – September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-1608455</wp:posOffset>
            </wp:positionH>
            <wp:positionV relativeFrom="paragraph">
              <wp:posOffset>-313055</wp:posOffset>
            </wp:positionV>
            <wp:extent cx="7134860" cy="4375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4375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6"/>
          <w:szCs w:val="16"/>
          <w:color w:val="auto"/>
        </w:rPr>
        <w:t>AXA Equitable Life Insurance Company: Senior Director and Counsel (October 2013 – March 2018)</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Brighthouse Financial: Executive Vice President and Chief Investment Officer (August 2017 – present)</w:t>
      </w:r>
    </w:p>
    <w:p>
      <w:pPr>
        <w:ind w:right="340"/>
        <w:spacing w:after="0" w:line="227" w:lineRule="auto"/>
        <w:rPr>
          <w:sz w:val="20"/>
          <w:szCs w:val="20"/>
          <w:color w:val="auto"/>
        </w:rPr>
      </w:pPr>
      <w:r>
        <w:rPr>
          <w:rFonts w:ascii="Times New Roman" w:cs="Times New Roman" w:eastAsia="Times New Roman" w:hAnsi="Times New Roman"/>
          <w:sz w:val="16"/>
          <w:szCs w:val="16"/>
          <w:color w:val="auto"/>
        </w:rPr>
        <w:t>MetLife: Executive Vice President and Chief Investment Officer, Brighthouse Financial, Inc. (August 2016 – August 2017); Senior Managing Director, Head of Global Portfolio Management (2011 – August 2017)</w:t>
      </w:r>
    </w:p>
    <w:p>
      <w:pPr>
        <w:spacing w:after="0" w:line="184" w:lineRule="exact"/>
        <w:rPr>
          <w:sz w:val="20"/>
          <w:szCs w:val="20"/>
          <w:color w:val="auto"/>
        </w:rPr>
      </w:pPr>
    </w:p>
    <w:p>
      <w:pPr>
        <w:sectPr>
          <w:pgSz w:w="11900" w:h="16838" w:orient="portrait"/>
          <w:cols w:equalWidth="0" w:num="2">
            <w:col w:w="2420" w:space="120"/>
            <w:col w:w="8700"/>
          </w:cols>
          <w:pgMar w:left="320" w:top="27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rely on a combination of contractual rights with third parties and copyright, trademark, patent and trade secret laws to establish and protect our intellectual property. We have established a portfolio of trademarks in the U.S. that we consider important in the marketing of our products and services, including for our name, “Brighthouse Financial,” our logo design and taglines.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 and the Brighthouse Financial Website</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website is located at www.brighthousefinancial.com. We use our website as a routine channel for distribution of information that may be deemed material for investors, including news releases, presentations, financial information, statutory filings and corporate governance information. We post filings on our website as soon as practicable after they are electronically filed with, or furnished to, the SEC, including our annual and quarterly reports on Forms 10-K and 10-Q and current reports on Form 8-K; our proxy statements; and any amendments to those reports or statements. All such postings and filings are available on the “Investor Relations” portion of our website free of charge. In addition, our Investor Relations website allows interested persons to sign up to automatically receive e-mail alerts when we make filings with the SEC. The SEC’s website, www.sec.gov, contains reports, proxy and information statements, and other information regarding issuers that file electronically with the SEC.</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use our website as a means of disclosing material information and for complying with our disclosure obligations under Regulation Fair Disclosure promulgated by the SEC. These disclosures are included on our website in the “Investor Relations” or “Newsroom” sections. Accordingly, investors should monitor these portions of our website, in addition to following Brighthouse Financial’s news releases, SEC filings and webcasts.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Information contained on or connected to any website referenced in this Annual Report on Form 10-K is not incorporated by reference in this Annual Report on Form 10-K or in any other report or document we file with the SEC, and any website references are intended to be inactive textual references only, unless expressly noted.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7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56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Index to Risk Factors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9"/>
        </w:trPr>
        <w:tc>
          <w:tcPr>
            <w:tcW w:w="20" w:type="dxa"/>
            <w:vAlign w:val="bottom"/>
          </w:tcPr>
          <w:p>
            <w:pPr>
              <w:spacing w:after="0"/>
              <w:rPr>
                <w:sz w:val="15"/>
                <w:szCs w:val="15"/>
                <w:color w:val="auto"/>
              </w:rPr>
            </w:pPr>
          </w:p>
        </w:tc>
        <w:tc>
          <w:tcPr>
            <w:tcW w:w="700" w:type="dxa"/>
            <w:vAlign w:val="bottom"/>
            <w:tcBorders>
              <w:bottom w:val="single" w:sz="8" w:color="0000FF"/>
            </w:tcBorders>
          </w:tcPr>
          <w:p>
            <w:pPr>
              <w:spacing w:after="0" w:line="179" w:lineRule="exact"/>
              <w:rPr>
                <w:sz w:val="20"/>
                <w:szCs w:val="20"/>
                <w:color w:val="auto"/>
              </w:rPr>
            </w:pPr>
            <w:r>
              <w:rPr>
                <w:rFonts w:ascii="Times New Roman" w:cs="Times New Roman" w:eastAsia="Times New Roman" w:hAnsi="Times New Roman"/>
                <w:sz w:val="18"/>
                <w:szCs w:val="18"/>
                <w:color w:val="0000FF"/>
                <w:w w:val="95"/>
              </w:rPr>
              <w:t>Overview</w:t>
            </w:r>
          </w:p>
        </w:tc>
        <w:tc>
          <w:tcPr>
            <w:tcW w:w="9060" w:type="dxa"/>
            <w:vAlign w:val="bottom"/>
            <w:gridSpan w:val="7"/>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Borders>
              <w:bottom w:val="single" w:sz="8" w:color="0000FF"/>
            </w:tcBorders>
          </w:tcPr>
          <w:p>
            <w:pPr>
              <w:jc w:val="center"/>
              <w:spacing w:after="0" w:line="179" w:lineRule="exact"/>
              <w:rPr>
                <w:sz w:val="20"/>
                <w:szCs w:val="20"/>
                <w:color w:val="auto"/>
              </w:rPr>
            </w:pPr>
            <w:r>
              <w:rPr>
                <w:rFonts w:ascii="Times New Roman" w:cs="Times New Roman" w:eastAsia="Times New Roman" w:hAnsi="Times New Roman"/>
                <w:sz w:val="18"/>
                <w:szCs w:val="18"/>
                <w:color w:val="0000FF"/>
                <w:w w:val="99"/>
              </w:rPr>
              <w:t>37</w:t>
            </w:r>
          </w:p>
        </w:tc>
        <w:tc>
          <w:tcPr>
            <w:tcW w:w="640" w:type="dxa"/>
            <w:vAlign w:val="bottom"/>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976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Risks Related to the Merger</w:t>
            </w:r>
          </w:p>
        </w:tc>
        <w:tc>
          <w:tcPr>
            <w:tcW w:w="820" w:type="dxa"/>
            <w:vAlign w:val="bottom"/>
            <w:gridSpan w:val="2"/>
          </w:tcPr>
          <w:p>
            <w:pPr>
              <w:jc w:val="center"/>
              <w:ind w:left="552"/>
              <w:spacing w:after="0" w:line="205" w:lineRule="exact"/>
              <w:rPr>
                <w:sz w:val="20"/>
                <w:szCs w:val="20"/>
                <w:color w:val="auto"/>
              </w:rPr>
            </w:pPr>
            <w:r>
              <w:rPr>
                <w:rFonts w:ascii="Times New Roman" w:cs="Times New Roman" w:eastAsia="Times New Roman" w:hAnsi="Times New Roman"/>
                <w:sz w:val="18"/>
                <w:szCs w:val="18"/>
                <w:color w:val="0000FF"/>
                <w:w w:val="99"/>
              </w:rPr>
              <w:t>37</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2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9"/>
              </w:rPr>
              <w:t>Risks Related to Our Business</w:t>
            </w:r>
          </w:p>
        </w:tc>
        <w:tc>
          <w:tcPr>
            <w:tcW w:w="7540" w:type="dxa"/>
            <w:vAlign w:val="bottom"/>
            <w:gridSpan w:val="4"/>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38</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2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Economic Environment and Capital Markets-Related Risks</w:t>
            </w:r>
          </w:p>
        </w:tc>
        <w:tc>
          <w:tcPr>
            <w:tcW w:w="556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48</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976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Risks Related to Our Investment Portfolio</w:t>
            </w:r>
          </w:p>
        </w:tc>
        <w:tc>
          <w:tcPr>
            <w:tcW w:w="820" w:type="dxa"/>
            <w:vAlign w:val="bottom"/>
            <w:gridSpan w:val="2"/>
          </w:tcPr>
          <w:p>
            <w:pPr>
              <w:jc w:val="center"/>
              <w:ind w:left="552"/>
              <w:spacing w:after="0" w:line="205" w:lineRule="exact"/>
              <w:rPr>
                <w:sz w:val="20"/>
                <w:szCs w:val="20"/>
                <w:color w:val="auto"/>
              </w:rPr>
            </w:pPr>
            <w:r>
              <w:rPr>
                <w:rFonts w:ascii="Times New Roman" w:cs="Times New Roman" w:eastAsia="Times New Roman" w:hAnsi="Times New Roman"/>
                <w:sz w:val="18"/>
                <w:szCs w:val="18"/>
                <w:color w:val="0000FF"/>
                <w:w w:val="99"/>
              </w:rPr>
              <w:t>51</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98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Regulatory and Legal Risks</w:t>
            </w:r>
          </w:p>
        </w:tc>
        <w:tc>
          <w:tcPr>
            <w:tcW w:w="1000" w:type="dxa"/>
            <w:vAlign w:val="bottom"/>
            <w:tcBorders>
              <w:top w:val="single" w:sz="8" w:color="0000FF"/>
            </w:tcBorders>
            <w:gridSpan w:val="2"/>
          </w:tcPr>
          <w:p>
            <w:pPr>
              <w:spacing w:after="0"/>
              <w:rPr>
                <w:sz w:val="17"/>
                <w:szCs w:val="17"/>
                <w:color w:val="auto"/>
              </w:rPr>
            </w:pPr>
          </w:p>
        </w:tc>
        <w:tc>
          <w:tcPr>
            <w:tcW w:w="67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FF"/>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55</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2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Operational Risks</w:t>
            </w:r>
          </w:p>
        </w:tc>
        <w:tc>
          <w:tcPr>
            <w:tcW w:w="848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57</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8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Risks Related to Our Separation from, and Continuing Relationship with, MetLife</w:t>
            </w:r>
          </w:p>
        </w:tc>
        <w:tc>
          <w:tcPr>
            <w:tcW w:w="3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60</w:t>
            </w:r>
          </w:p>
        </w:tc>
        <w:tc>
          <w:tcPr>
            <w:tcW w:w="6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976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Risks Related to Our Securities</w:t>
            </w:r>
          </w:p>
        </w:tc>
        <w:tc>
          <w:tcPr>
            <w:tcW w:w="820" w:type="dxa"/>
            <w:vAlign w:val="bottom"/>
            <w:gridSpan w:val="2"/>
          </w:tcPr>
          <w:p>
            <w:pPr>
              <w:jc w:val="center"/>
              <w:ind w:left="552"/>
              <w:spacing w:after="0" w:line="205" w:lineRule="exact"/>
              <w:rPr>
                <w:sz w:val="20"/>
                <w:szCs w:val="20"/>
                <w:color w:val="auto"/>
              </w:rPr>
            </w:pPr>
            <w:r>
              <w:rPr>
                <w:rFonts w:ascii="Times New Roman" w:cs="Times New Roman" w:eastAsia="Times New Roman" w:hAnsi="Times New Roman"/>
                <w:sz w:val="18"/>
                <w:szCs w:val="18"/>
                <w:color w:val="0000FF"/>
                <w:w w:val="99"/>
              </w:rPr>
              <w:t>61</w:t>
            </w:r>
          </w:p>
        </w:tc>
        <w:tc>
          <w:tcPr>
            <w:tcW w:w="6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You should carefully consider the factors described below, in addition to the other information set forth in this Annual Report on Form 10-K. These risk factors are important to understanding the contents of this Annual Report on Form 10-K and our other filings with the SEC. If any of the following events occur, our business, financial condition and results of operations could be materially adversely affected. In that event, the trading price of our securities could decline, and you could lose all or part of your investment. A summary of the factors described below can be found in “Note Regarding Forward-Looking Statements and Summary of Risk Factors.”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materialization of any risks and uncertainties set forth below or identified in “Note Regarding Forward-Looking Statements and Summary of Risk Factors” contained in this Annual Report on Form 10-K and “Note Regarding Forward-Looking Statements” in our other filings with the SEC or those that are presently unforeseen or that we currently believe to be immaterial could result in significant adverse effects on our business, financial condition, results of operations and cash flows. See “Note Regarding Forward-Looking Statements and Summary of Risk Factors.”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Merger</w:t>
      </w:r>
    </w:p>
    <w:p>
      <w:pPr>
        <w:spacing w:after="0" w:line="109"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completion of the Merger is subject to a number of conditions, many of which are largely outside the parties’ control, and, if these conditions are not satisfied or waived, the Merger may not be completed within the expected timeframe or at all</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6, 2025, BHF entered into the Merger Agreement, pursuant to which, at the closing of the transactions contemplated by the Merger Agreement, Merger Sub will merge with and into BHF, and the separate corporate existence of Merger Sub will cease, with BHF continuing as the surviving corporation and as a wholly-owned subsidiary of Aquarian Parent. The Merger Agreement was adopted by stockholders at the special meeting held on February 12, 2026, and the applicable waiting period under the Hart-Scott Rodino Antitrust Improvement Act of 1976, as amended, has expired. The completion of the Merger remains subject to the satisfaction or waiver of certain other customary conditions, including, among others, (i) receipt of required regulatory approvals from insurance regulators in Delaware, New York and Massachusetts, (ii) receipt of approval from Financial Industry Regulatory Authority, Inc. of a change in control of Brighthouse Securities, LLC under FINRA Rule 1017, (iii) the absence of any judgment, order, injunction or other legal restraint prohibiting the Merger and (iv) the absence of a “Company Material Adverse Effect” or “Burdensome Condition,” as each is defined in the Merger Agreement. In addition, the obligation of each party to complete the Merger is conditioned upon, among other things, the accuracy of the representations and warranties of each party (subject to certain materiality exceptions) and material compliance by each party with its obligations, covenants and agreements under the Merger Agreement.</w:t>
      </w:r>
    </w:p>
    <w:p>
      <w:pPr>
        <w:spacing w:after="0" w:line="8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Merger is expected to close in 2026. However, there can be no assurance that the conditions to completion of the Merger will be satisfied or waived on a timely basis or at all. If such conditions are not satisfied or waived, BHF may be unable to complete the Merger in the timeframe or manner currently anticipated or at all.</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adversely affect our business, results of operations or financial condition, including in the event the Company is required to pay the termination fee</w:t>
      </w:r>
    </w:p>
    <w:p>
      <w:pPr>
        <w:spacing w:after="0" w:line="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If the Merger is not completed within the expected timeframe or at all, the ongoing business of Brighthouse Financial could be adversely affected and will be subject to certain risks, including, among others, the following: (i) the market price of our common stock (which may reflect a market assumption that the Merger will be completed) may decline, (ii) we will have incurred, and may continue to incur, significant expenses for professional services and other transaction costs in connection with the Merger for which we will have received little or no benefit if the Merger is not completed and (iii) failure to complete the Merger may result in negative publicity or result in a negative impression of Brighthouse Financial in the investment community and with policyholders and other stakeholders.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 pursuant to the Merger Agreement, we are subject to certain restrictions on the conduct of our business prior to the closing of the Merger, which may adversely affect our ability to execute certain of our business strategies. If the Merger is not completed, these risks could materially affect the business and financial results of Brighthouse Financial and BHF’s common stock price, including to the extent that the current market price of BHF’s common stock is positively affected by a market assumption that the Merger will be completed.</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if the Merger is terminated, in certain circumstances, we could be required to pay a termination fee of approximately $144 million. In such circumstances, we may be required to use available cash that would have otherwise been available for general corporate purposes or other uses, which may materially and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While the Merger is pending, we will be subject to business uncertainties and certain contractual restrictions that could adversely affect our business, results of operations or financial condition</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expended, and continue to expend, significant management time and resources in an effort to complete the Merger, which may have a negative impact on our ongoing business and operations. Uncertainty regarding the outcome of the Merger and our future could disrupt our business relationships with our existing and potential customers, suppliers, distributors, vendors, landlords and other business partners, who may attempt to negotiate changes to existing business relationships or consider entering into business relationships with parties other than us. Uncertainty regarding the outcome of the Merger could also adversely affect our ability to recruit and retain key personnel and other employees. Furthermore, following the announcement that BHF entered into the Merger Agreement, rating agencies took certain actions relating to our financial strength ratings and credit ratings. See “Management’s Discussion and Analysis of Financial Condition and Results of Operations — Liquidity and Capital Resources — Rating Agencies.”</w:t>
      </w:r>
    </w:p>
    <w:p>
      <w:pPr>
        <w:spacing w:after="0" w:line="8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due to certain restrictions in the Merger Agreement on the conduct of business prior to completing the Merger, we may be unable (without Aquarian Parent’s prior written consent), during the pendency of the Merger, to pursue strategic transactions, undertake certain significant financing transactions and otherwise pursue other actions, even if such actions would prove beneficial, and may cause Brighthouse Financial to forego certain opportunities it might otherwise pursue.</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Further, two complaints were filed and we received several demand letters related to our proxy statement filed with the SEC in connection with the Merger. The pendency of the Merger may lead to other litigation against us and our directors and officers. Such litigation could result in significant costs and divert management’s attention and resources from the closing of the Merger and our ongoing business activities.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occurrence of any of these events, individually or in combination, could have a material and adverse effect on our business, results of operations and financial condition.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actual experience and actuarial assumptions may adversely affect our financial results, capitalization and financial condition</w:t>
      </w:r>
    </w:p>
    <w:p>
      <w:pPr>
        <w:spacing w:after="0" w:line="115"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Our earnings significantly depend upon the extent to which our actual claims experience and benefit payments on our products are consistent with the assumptions we use in setting prices for our products and establishing liabilities for future policy benefits and claims. Such liabilities are established based on actuarial estimates of how much we will need to pay for future benefits and claims. To the extent that actual claims and benefits experience differs from the underlying assumptions we used in establishing such liabilities, we could be required to increase our liabilities. We make assumptions regarding policyholder behavior at the time of pricing, including the selection and utilization of the guaranteed options inherent within certain of our products and persistency (i.e., the probability that a policy or contract will remain in-force from one period to the next). Persistency could be adversely affected by a number of factors, including adverse economic conditions, as well as by developments affecting policyholder perception of us, including perceptions arising from any potential adverse publicity or adverse rating agency actions. The pricing of our annuity products that contain living benefit guarantees, including our variable annuity products, is also based on assumptions about utilization rates (i.e., the percentage of contracts that will utilize the benefit during the contract duration), including the timing of the first withdrawal. Differences between actual and expected benefit utilization may cause our earnings to vary. A material increase in the valuation of the liability could result to the extent that emerging and actual experience deviates from these policyholder option utilization assumptions; in certain circumstances this deviation may impair our solvency. We conduct an annual actuarial review (the “AAR”) of the key inputs into our actuarial models that rely on management judgment and update any models where we have credible evidence from actual experience, industry data or other relevant sources to seek to ensure our price-setting criteria and reserve valuation practices continue to be appropriate. If actual experience or revised future expectations, including as part of an AAR, result in future projected losses, we may be required to increase our product liabilities through a charge in the then current period, which could negatively affect our business, financial condition and results of operations.</w:t>
      </w:r>
    </w:p>
    <w:p>
      <w:pPr>
        <w:spacing w:after="0" w:line="7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nature of the underlying risks and the uncertainty associated with the determination of liabilities for future policy benefits and claims, we cannot precisely determine the amounts which we will ultimately pay to settle these liabilities. Such amounts may vary materially from the estimated amounts, particularly when those payments may not occur until well into the future. We evaluate our liabilities periodically based on accounting requirements (which change from time to time), the assumptions and models used to establish the liabilities, as well as our actual experience. If the liabilities originally established for future benefit payments and claims prove inadequate, we will be required to increase them.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increase in our reserves for any of the above reasons, individually or in the aggregate, could have a material adverse effect on our financial condition and results of operations and our profitability measures, as well as materially impact our capitalization, our statutory free cash flow, our ability to receive dividends from our insurance subsidiaries and BRCD, as well as our liquidity. This could in turn impact our RBC ratios and our financial strength ratings, which are necessary to support our product sales, and, in certain circumstances, ultimately impact our solvency.</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Policyholder Liabilities.”</w:t>
      </w:r>
    </w:p>
    <w:p>
      <w:pPr>
        <w:spacing w:after="0" w:line="10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Guarantees within certain of our annuity products may decrease our earnings, decrease our capitalization, increase the volatility of our results, result in higher risk management costs and expose us to increased market risk</w:t>
      </w:r>
    </w:p>
    <w:p>
      <w:pPr>
        <w:spacing w:after="0" w:line="5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Certain of the variable annuity and Shield Annuity products we offer include guaranteed benefits designed to protect contract holders against significant changes in equity markets and interest rates, including GMDBs and GMWBs. While we have GMABs and GMIBs in-force with respect to which we are obligated to perform, we no longer sell new products that include GMABs or GMIBs. We hold liabilities based on the value of the benefits we expect to be payable under such guarantees in excess of the contract holders’ projected account balances. As a result, any periods of significant and sustained negative or low separate account returns, increased equity volatility, or reduced interest rates could result in an increase in the valuation of our liabilities associated with these guarantees.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we make assumptions regarding policyholder behavior at the time of pricing, including the selection and utilization of the guaranteed options inherent within our products (e.g., utilization of option to annuitize within a GMIB product). An increase in the valuation of the liability could result to the extent emerging and actual experience deviates from these policyholder persistency and option utilization assumptions. We review key actuarial assumptions used to record our variable annuity liabilities on an annual basis, including the assumptions regarding policyholder behavior. Changes to assumptions based on our AAR in future years could result in an increase in the liabilities we record for these guarantees.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our Shield Annuities are index-linked annuities with guarantees for a defined amount of equity loss protection and upside participation. If the separate account assets are insufficient to support the increased liabilities, we may be required to fund such separate accounts with additional assets from our general account. We use derivatives to hedge against equity index movements, and margin calls on such options could have a negative impact on our liquidity.</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increase in our variable annuity or Shield Annuity guarantee liabilities for any of the above reasons, individually or in the aggregate, could have a material adverse effect on our financial condition and results of operations and our profitability measures, as well as materially impact our capitalization, our statutory free cash flow, our ability to receive dividends from our insurance subsidiaries and our liquidity. This could in turn impact our RBC ratios and our financial strength ratings, which are necessary to support our product sales, and, in certain circumstances, ultimately impact our solvency.</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Risk Management Strategies,” “Management’s Discussion and Analysis of Financial Condition and Results of Operations — Results of Operations — Annual Actuarial Review” and “Management’s Discussion and Analysis of Financial Condition and Results of Operations — Industry Trends and Uncertainties — Financial and Economic Environment.”</w:t>
      </w:r>
    </w:p>
    <w:p>
      <w:pPr>
        <w:spacing w:after="0" w:line="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hedging strategy may not be effective, which may result in significant volatility in our profitability measures or may negatively affect our statutory capital</w:t>
      </w:r>
    </w:p>
    <w:p>
      <w:pPr>
        <w:spacing w:after="0" w:line="5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risk management strategy seeks to mitigate the potential adverse effects of changes in capital markets, specifically equity markets and interest rates. Our risk management strategy includes product design strategies, hedging using derivative instruments, as well as reinsurance. We utilize a combination of short-term and longer-term derivative instruments to have a laddered maturity of protection and reduce roll-over risk during periods of market disruption or higher volatility.</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However, our hedging strategy, which is a component of our risk management strategy, may not be fully effective. In connection with our risk management strategy, we may determine to seek the approval of applicable regulatory authorities to permit us to increase our hedge limits consistent with those contemplated by the strategy. No assurance can be given that any of our requested approvals will be obtained, and, even if obtained, any such approvals may be subject to qualifications, limitations or conditions. If our insurance subsidiaries’ capital is depleted due to adverse changes in the capital markets, such depletion may result in our contributing additional capital to insurance subsidiaries (which may have been allocated for other uses), or us purchasing additional or more expensive hedging protection. Under our hedging strategy, period-to-period changes in the valuation of our hedges relative to the guarantee liabilities may result in significant volatility in certain of our profitability measures, which in certain circumstances could be more significant than has been the case historically.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addition, hedging instruments we enter into may not effectively offset the costs of the guarantees within certain of our annuity products or may otherwise be insufficient in relation to our obligations. For example, in the event that derivative counterparties or central clearinghouses are unable or unwilling to honor their obligations, we would remain liable for the guaranteed benefits. Furthermore, we are subject to the risk that changes in policyholder behavior or mortality, combined with adverse market events, could produce economic losses outside the scope of our risk management strategy.</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cost of our hedging strategy may also be greater than anticipated if adverse market conditions were to limit the availability, and increase the costs of, the derivatives we intend to employ, and such costs may not be recovered in the pricing of the underlying products we offer.</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above factors, individually or in the aggregate, could have a material adverse effect on our financial condition and results of operations and our profitability measures, as well as materially impact our capitalization, our statutory free cash flow, our ability to receive dividends from our insurance subsidiaries and BRCD as well as our liquidity. This could in turn impact our ability to return capital to stockholders, as well as our RBC ratios and our financial strength ratings, which are necessary to support our product sales, and, in certain circumstances, ultimately impact our solvency. See “Business — Segment Information — Annuities — Products — Variable Annuities” for further consideration of the risks associated with guaranteed benefits, as well as “Management’s Discussion and Analysis of Financial Condition and Results of Operations — Risk Management Strategies” and “— A downgrade or a potential downgrade in our financial strength or credit ratings could result in a loss of business and materially adversely affect our financial condition and results of operations.”</w:t>
      </w:r>
    </w:p>
    <w:p>
      <w:pPr>
        <w:spacing w:after="0" w:line="8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analyses of scenarios and sensitivities that we may utilize in connection with our risk management strategy involve significant estimates based on assumptions, which inherently could result in material differences between actual outcomes and the sensitivities calculated under such scenarios</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part of our risk management strategy, we estimate the impact of various market factors under certain scenarios on our variable annuity statutory free cash flow, our reserves, or our capital (collectively, the “market sensitivities”).</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such market sensitivities may use inputs that are difficult to approximate and could include estimates that may differ materially from actual results. Any such estimates may, among other things, be associated with: (i) basis returns related to equity or fixed income indices; (ii) actuarial assumptions related to policyholder behavior; and (iii) management actions that may occur in response to developing facts, circumstances and experience for which no estimates are made in any market sensitivities. Any such estimates, or the absence thereof, may produce sensitivities that could differ materially from actual outcomes and may, therefore, influence our actions in connection with our risk management strategy.</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Finally, no assurances can be given that the assumptions underlying any market sensitivities can or will be realized. Our liquidity, statutory capitalization, financial condition and results of operations could be affected by a broad range of capital markets scenarios, which, if they adversely affect account values, could materially affect our statutory free cash flow and our reserving requirements, and by extension, could materially affect the accuracy of estimates used in any market sensitivities.</w:t>
      </w:r>
    </w:p>
    <w:p>
      <w:pPr>
        <w:spacing w:after="0" w:line="70"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assets to meet our future ULSG policyholder obligations, and changes in interest rates may result in volatility of our profitability measures and capital</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primary market risk associated with our ULSG block is the uncertainty around the future levels of U.S. interest rates and bond yields. To help ensure we have sufficient assets to meet future ULSG policyholder obligations, we have employed an actuarial approach based upon Statutory Cash Flow Testing (“ULSG CFT”) to set our ULSG asset requirement target for BRCD, which reinsures the majority of the ULSG business that was previously written by certain of our insurance subsidiaries. For the business retained by our insurance subsidiaries, we set our ULSG asset requirement target to equal the actuarially determined statutory reserves, which, taken together with our ULSG asset requirement target for BRCD, comprises our total ULSG asset requirement target (“ULSG Target”). Under the ULSG CFT approach, we assume that interest rates remain flat or lower than current levels, and our actuarial assumptions include a provision for adverse deviation. These underlying assumptions used in ULSG CFT include scenarios that are more conservative than those required under GAAP, which assumes a long-term mean reversion of interest rates and best estimate actuarial assumptions without additional provisions for adverse deviation.</w:t>
      </w:r>
    </w:p>
    <w:p>
      <w:pPr>
        <w:spacing w:after="0" w:line="8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seek to mitigate exposure to interest rate risk associated with these liabilities by holding invested assets and interest rate derivatives to closely match our ULSG Target in different interest rate environments.</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ULSG Target is sensitive to the actual and future expected level of long-term U.S. interest rates. If interest rates fall, our ULSG Target will likely increase, and conversely, if interest rates rise, our ULSG Target will likely decline. We may use interest rate swaps, swaptions and interest rate forwards, among other instruments, to protect our statutory capitalization from increases in the ULSG Target in lower interest rate environments. This risk mitigation strategy may negatively impact our GAAP stockholders’ equity and net income when interest rates rise and our ULSG Target likely declines as a result, since our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interest rate derivatives are measured at fair value, while our ULSG liabilities under GAAP are largely insensitive to actual fluctuations in interest rates. The ULSG liabilities under GAAP reflect changes in interest rates only when we revise our long-term assumptions due to sustained changes in the market interest rates, such as when we increased our mean reversion rate from 4.00% to 4.50% in the third quarter of 2025 following our GAAP AAR.</w:t>
      </w:r>
    </w:p>
    <w:p>
      <w:pPr>
        <w:spacing w:after="0" w:line="7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interest rate derivative instruments may not effectively offset the costs of our ULSG policyholder obligations or may otherwise be insufficient. In addition, this risk mitigation strategy may fail to adequately cover a scenario under which our obligations are higher than projected and we may be required to sell investments to cover these increased obligations. If our liquid investments are depleted, we may need to sell higher-yielding, less liquid assets or take other actions, including utilizing contingent liquidity sources or raising capital. The above factors, individually or in the aggregate, could have a material adverse effect on our financial condition and results of operations, or our profitability measures, as well as materially impact our capitalization, our statutory free cash flow, our ability to receive dividends from our insurance subsidiaries and BRCD and our liquidity. This could in turn impact our RBC ratios and our financial strength ratings, which are necessary to support our product sales, and in certain circumstances could ultimately impact our solvency. See “Management’s Discussion and Analysis of Financial Condition and Results of Operations — Risk Management Strategies.”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accounting standards issued by the Financial Accounting Standards Board may adversely affect our financial statements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financial statements are subject to the application of GAAP, which is periodically revised by the Financial Accounting Standards Board (“FASB”). Accordingly, from time to time, we are required to adopt new or revised accounting standards or interpretations issued by the FASB. For example, the FASB issued an accounting standards update that resulted in significant changes to the accounting for long-duration insurance contracts (“LDTI”), which became effective on January 1, 2023. The adoption of LDTI had a significant impact on our financial statements, including total stockholders’ equity. The impact of accounting pronouncements that have been issued but not yet implemented is disclosed in our reports filed with the SEC. The required adoption of future accounting standards could adversely affect our financial statements. See Note 1 of the Notes to the Consolidated Financial Statements.</w:t>
      </w:r>
    </w:p>
    <w:p>
      <w:pPr>
        <w:spacing w:after="0" w:line="75"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 downgrade or a potential downgrade in our financial strength or credit ratings could result in a loss of business and materially adversely affect our financial condition and results of operations</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Downgrades in our financial strength ratings or credit ratings or changes to our ratings outlooks could have a material adverse effect on our financial condition and results of operations in many ways, including:</w:t>
      </w:r>
    </w:p>
    <w:p>
      <w:pPr>
        <w:spacing w:after="0" w:line="57"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new sales of insurance products and annuity products;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losing existing distributors or negatively impacting our ability to establish relationships with new distributors;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relationships with independent sales intermediaries;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number or amount of policy surrenders and withdrawals by contract holders and policyholders;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reduce prices for many of our products and services to remain competitive;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for the benefit of our derivative instrument counterparties;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termination rights to cedents under assumed reinsurance contracts;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affecting our ability to obtain reinsurance at reasonable prices, if at all;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potentially increased regulatory scrutiny;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access to capital markets or other contingent funding sources;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capital, which could adversely affect our liquidity.</w:t>
      </w:r>
    </w:p>
    <w:p>
      <w:pPr>
        <w:spacing w:after="0" w:line="11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Credit rating agencies may continue to review and adjust their ratings for the companies that they rate, including us. For example, in July 2025, S&amp;P revised the long-term issuer credit ratings for BHF and BH Holdings to BBB from BBB+. In addition, S&amp;P revised the financial strength ratings for certain of our insurance subsidiaries to A from A+, among other revisions. Following the announcement that BHF has entered into the Merger Agreement, rating agencies took certain actions relating to our financial strength ratings and credit ratings. The credit rating agencies also evaluate the insurance industry as a whole and may change our credit rating based on their overall view of our industry. See “Management’s Discussion and Analysis of Financial Condition and Results of Operations — Liquidity and Capital Resources — The Company — Rating Agencies” for a discussion of the actions taken by rating agencies following the announcement of the Merger and for additional information regarding our financial strength ratings and credit ratings, including current ratings and outlooks.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and the degree to which we are leveraged could cause a material adverse effect on our financial condition and results of operations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had $3.2 billion of total long-term consolidated indebtedness outstanding at December 31, 2025, consisting of debt securities issued to investors. We are required to service this indebtedness with cash at BHF and with dividends and other intercompany cash flows from our subsidiaries. The funds needed to service our indebtedness, as well as to make required dividend payments on our outstanding preferred stock, may not be available to meet any short-term liquidity needs we may have, to invest in our business, to pay any potential dividends on our common stock or to carry out any share or debt repurchases that we may undertake.</w:t>
      </w:r>
    </w:p>
    <w:p>
      <w:pPr>
        <w:spacing w:after="0" w:line="79"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Overall, our ability to generate cash is subject to general economic, financial market, competitive, legislative, regulatory, client behavior-related and other factors that are beyond our control. We may not generate sufficient funds to service our indebtedness and meet our business needs, such as funding working capital or the expansion of our operations. In addition, our leverage could put us at a competitive disadvantage compared to our competitors that are less leveraged. Our leverage could also impede our ability to withstand downturns in our industry or the economy, in general, or lead to actions by rating agencies. See “— A downgrade or a potential downgrade in our financial strength or credit ratings could result in a loss of business and materially adversely affect our financial condition and results of operations.” See also “Management’s Discussion and Analysis of Financial Condition and Results of Operations — Liquidity and Capital Resources — The Company — Primary Sources of Liquidity and Capital” for more details about our indebtedness. Limitations on our operations and use of funds resulting from our indebtedness could have a material adverse effect on our financial condition and results of operations.</w:t>
      </w:r>
    </w:p>
    <w:p>
      <w:pPr>
        <w:spacing w:after="0" w:line="65"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agreements relating to our outstanding indebtedness, including as a result of events beyond our control, could result in an event of default that could materially and adversely affect our business, financial condition, results of operations or cash flows</w:t>
      </w:r>
    </w:p>
    <w:p>
      <w:pPr>
        <w:spacing w:after="0" w:line="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there were an event of default under any of the agreements governing our outstanding indebtedness, we may not be able to incur additional indebtedness and the holders of the defaulted indebtedness could cause all amounts outstanding with respect to that indebtedness to be due and payable immediately.</w:t>
      </w:r>
    </w:p>
    <w:p>
      <w:pPr>
        <w:spacing w:after="0" w:line="7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$1.0 billion senior unsecured revolving credit facility maturing April 15, 2027 (the “Revolving Credit Facility”) and our reinsurance financing arrangement contain certain administrative, reporting, legal and financial covenants, including, in the case of the Revolving Credit Facility, requirements to maintain a specified minimum consolidated net worth and to maintain a ratio of indebtedness to total capitalization not in excess of a specified percentage, as well as limitations on the dollar amount of indebtedness that may be incurred by our subsidiaries. Such covenants could restrict our operations and use of funds. See “Management’s Discussion and Analysis of Financial Condition and Results of Operations — Liquidity and Capital Resources — The Company.” Failure to comply with such covenants or the conditions to borrowings, as well as the failure of lenders to fund their lending commitments in the amounts provided for under the terms of the Revolving Credit Facility or our reinsurance financing arrangement (whether due to insolvency, illiquidity or other reasons), would restrict our ability to access the Revolving Credit Facility and our reinsurance financing arrangement when needed and, consequently, could have a material adverse effect on our financial condition, results of operations and liquidity. See “Management’s Discussion and Analysis of Financial Condition and Results of Operations — Liquidity and Capital Resources — The Company — Primary Sources of Liquidity and Capital — Credit and Committed Facilities” for a discussion of our credit facilities and committed facilities, including the Revolving Credit Facility.</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make payments on and to refinance our existing indebtedness, as well as any future indebtedness that we may incur, will depend on our ability to generate cash in the future from operations, financings or asset sales. Our ability to generate cash to meet our debt obligations in the future is sensitive to capital markets returns, primarily due to our variable annuity business. Overall, our ability to generate cash is subject to general economic, financial market, competitive, legislative, regulatory, client behavior-related, and other factors that are beyond our control.</w:t>
      </w:r>
    </w:p>
    <w:p>
      <w:pPr>
        <w:spacing w:after="0" w:line="7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lenders holding our indebtedness could also accelerate amounts due in the event that we default, which could potentially trigger a default or acceleration of the maturity of our other indebtedness. There can be no assurances that our assets or cash flow would be sufficient to fully repay borrowings under our outstanding debt instruments if accelerated upon an event of default. Any failure to do so could, in turn, have a material adverse effect on our ability to continue to operate as a going concern. If we are not able to repay or refinance our indebtedness as it becomes due, we may be forced to take disadvantageous actions, including significant business and legal entity restructuring, limited new business investment, selling assets or dedicating an unsustainable level of our cash flow from operations to the payment of principal and interest on our indebtedness, or any combination of such actions. In addition, our ability to withstand competitive pressures and to react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changes in the insurance industry could be impaired. Further, if we are unable to repay, refinance or restructure our secured indebtedness, the holders of such indebtedness could proceed against any collateral securing that indebtedness.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may not be available, affordable or adequate to protect us against losses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use reinsurance for risk management purposes and to provide opportunities for growth and capital management. While reinsurance agreements generally bind the reinsurer for the life of the business reinsured at generally fixed pricing, market conditions beyond our control determine the availability and cost of the reinsurance protection for new business. The premium rates and other fees that we charge for our products are based, in part, on the assumption that reinsurance will be available at a certain cost. Some of our reinsurance contracts contain provisions that limit the reinsurer’s ability to increase rates on in-force business; however, some do not. We have faced a number of rate increase actions on in-force business in recent years and may face additional increases in the future. There can be no assurance that the outcome of any future rate increase actions would not have a material effect on our financial condition and results of operations. If a reinsurer raises the rates that it charges on a block of in-force business, in some instances, we will not be able to pass the increased costs on to our customers and our profitability will be negatively impacted as a result. Additionally, such a rate increase could result in our recapturing the reinsured business, which could reduce reinsurance receivables and expose us to greater risks. A premium rate increase or our recapturing reinsured business could, in each case, also result in a need to maintain additional reserves. Accordingly, we may be forced to incur additional expenses for reinsurance or may not be able to obtain sufficient reinsurance on acceptable terms, which could limit our opportunities for growth and capital management or result in an increase in the amount of risk that we retain with respect to those policies we issue. See “Business — Reinsurance Activity.”</w:t>
      </w:r>
    </w:p>
    <w:p>
      <w:pPr>
        <w:spacing w:after="0" w:line="79"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If the counterparties to our reinsurance or indemnification arrangements or to the derivatives we use to hedge our business risks default or fail to perform, we may be exposed to risks we had sought to mitigate, which could materially adversely affect our financial condition and results of operations</w:t>
      </w:r>
    </w:p>
    <w:p>
      <w:pPr>
        <w:spacing w:after="0" w:line="3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use reinsurance, indemnification and derivatives to mitigate our risks in various circumstances. In general, reinsurance, indemnification and derivatives do not relieve us of our direct liability to our policyholders, even when a third party is liable to us. Accordingly, we bear credit risk with respect to our reinsurers, indemnitors, counterparties and central clearinghouses. A reinsurer’s, indemnitor’s, counterparty’s or central clearinghouse’s insolvency, inability or unwillingness to make payments under the terms of reinsurance agreements, indemnity agreements or derivative agreements with us or inability or unwillingness to return collateral could have a material adverse effect on our financial condition and results of operations.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cede a large block of long-term care insurance business to certain affiliates of Genworth, which results in a significant concentration of reinsurance risk. The Genworth reinsurers’ obligations to us are secured by trust accounts and Citigroup has agreed to indemnify us for losses and certain other payment obligations we might incur with respect to this business. Notwithstanding these arrangements, if the Genworth reinsurers become insolvent and the amounts in the trust accounts are insufficient to pay their obligations to us, it could have a material adverse effect on our financial condition and results of operations. See “Business — Reinsurance Activity — Unaffiliated Third-Party Reinsurance.”</w:t>
      </w:r>
    </w:p>
    <w:p>
      <w:pPr>
        <w:spacing w:after="0" w:line="79"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In addition, we use derivatives to hedge various business risks. We enter into a variety of OTC-bilateral and OTC-cleared derivatives, including options, forwards, interest rate, credit default and currency swaps. See “Management’s Discussion and Analysis of Financial Condition and Results of Operations</w:t>
      </w:r>
    </w:p>
    <w:p>
      <w:pPr>
        <w:spacing w:after="0" w:line="251" w:lineRule="auto"/>
        <w:rPr>
          <w:sz w:val="20"/>
          <w:szCs w:val="20"/>
          <w:color w:val="auto"/>
        </w:rPr>
      </w:pPr>
      <w:r>
        <w:rPr>
          <w:rFonts w:ascii="Times New Roman" w:cs="Times New Roman" w:eastAsia="Times New Roman" w:hAnsi="Times New Roman"/>
          <w:sz w:val="18"/>
          <w:szCs w:val="18"/>
          <w:color w:val="auto"/>
        </w:rPr>
        <w:t>— Derivatives.” If our counterparties, clearing brokers or central clearinghouses fail or refuse to honor their obligations under these derivatives, our hedges of the related risk will be ineffective. Such failure could have a material adverse effect on our financial condition and results of operations.</w:t>
      </w:r>
    </w:p>
    <w:p>
      <w:pPr>
        <w:spacing w:after="0" w:line="7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take credit for reinsurance, our statutory life insurance reinsurance financings may be subject to cost increases and new financings may be subject to limited market capacity</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currently utilize reinsurance and capital markets solutions to mitigate the capital impact of the statutory reserve requirements for several of our products, including, but not limited to, our level premium term life products subject to Regulation XXX and ULSG subject to Guideline AXXX. Our primary solution involves BRCD, our reinsurance subsidiary. See “Business — Reinsurance Activity — Affiliated Reinsurance.” BRCD obtained statutory reinsurance financing through a funding structure involving a single financing arrangement supported by a pool of highly rated third-party reinsurers. In connection with this financing arrangement, BRCD, with the explicit permission of the Delaware Commissioner, has included the value of credit-linked notes as admitted assets. See Notes 11 and 12 of the Notes to the Consolidated Financial Statements for a description of the financing arrangement and this associated permitted practice. The financing facility matures in 2039, and we may therefore need to refinance this facility in the future.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NAIC adopted AG 48, which regulates the terms of captive insurer arrangements that are entered into or amended in certain ways after December 31, 2014. See “Business — Regulation — Insurance Regulation — Captive Reinsurer Regulation.” There can be no assurance that, in light of AG 48, future rules and regulations, or changes in interpretations by state insurance departments, we will be able to continue to efficiently implement these arrangements, nor can there be assurances that future capacity for these arrangements will be available in the marketplace. To the extent we cannot continue to efficiently implement these arrangements, our statutory capitalization, financial condition and results of operations, as well as our competitiveness, could be adversely affected.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our competitiveness may adversely affect our market share and profitability</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believe competition among insurance companies is based on a number of factors, including service, product features, scale, price, actual or perceived financial strength, claims-paying ratings, credit ratings, e-business capabilities and name recognition. We face intense competition from a large number of other insurance companies, as well as non-insurance financial services companies (e.g., banks, private equity firms, broker-dealers and asset managers). In addition, certain of our distributors also currently offer their own competing products or may offer competing products in the future. Some of our competitors offer a broader array of products, have more competitive pricing or, with respect to other insurance companies, have higher claims-paying ability and financial strength ratings. Some may also have greater financial resources with which to compete. In some circumstances, national banks that sell annuity products of life insurers may also have a pre-existing customer base for financial services products. These competitive pressures may adversely affect the persistency of our products, as well as our ability or decision to sell certain products in the future. In addition, new and disruptive technologies may present competitive risks. If, as a result of competitive factors, our ability to generate profitability consistent with our strategic goals or otherwise, we are unable to generate a sufficient return on products we sell in the future, we may stop selling such products, which could result in adverse rating agency actions and have a material adverse effect on our financial condition and results of operations. See “Business — Competition.”</w:t>
      </w:r>
    </w:p>
    <w:p>
      <w:pPr>
        <w:spacing w:after="0" w:line="8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limited control over many of our costs. For example, we have limited control over the cost of unaffiliated third-party reinsurance, the cost of meeting changing regulatory requirements, and our cost to access capital or financing. There can be no assurance that we will be able to achieve or maintain a cost advantage over our competitors. If our cost structure increases and we are not able to achieve or maintain a cost advantage over our competitors, it could have a material adverse effect on our ability to execute our strategy, as well as on our financial condition and results of operations. If we hold substantially more capital than is needed to support credit ratings that are commensurate with our business strategy, over time, our competitive position could be adversely affected.</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the highly regulated nature of our business, as well as the legislative or other changes affecting the regulatory environment for our business, may, over time, affect our competitive position within the annuities and life insurance industry, and within the broader financial services industry. See “— Regulatory and Legal Risks” and “Business — Regulation.”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difficulty in marketing and distributing products through our distribution channels</w:t>
      </w:r>
    </w:p>
    <w:p>
      <w:pPr>
        <w:spacing w:after="0" w:line="115"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distribute our products through a variety of third-party distribution channels. Our agreements with our third-party distributors may be terminated by either party with or without cause. We may periodically renegotiate the terms of these agreements, and there can be no assurance that such terms will remain acceptable to us or such third parties. If we are unable to maintain our relationships, our sales of individual insurance, annuities and investment products could decline, and our financial condition and results of operations could be materially adversely affected. Our distributors may elect to suspend, alter, reduce or terminate their distribution relationships with us for various reasons, including changes in our distribution strategy, adverse developments in our business, adverse rating agency actions, changes in the products we offer, or concerns about market-related risks. We are also at risk that key distribution partners may merge, consolidate, change their business models in ways that affect how our products are sold, or terminate their distribution contracts with us, or that new distribution channels could emerge in the marketplace, any of which could adversely impact the effectiveness of our distribution efforts. Also, if we are unsuccessful in attracting and retaining key internal associates who conduct our business, including wholesalers, our sales could decline.</w:t>
      </w:r>
    </w:p>
    <w:p>
      <w:pPr>
        <w:spacing w:after="0" w:line="71"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An interruption or significant change in certain key relationships could materially affect our ability to market our products and could have a material adverse effect on our financial condition and results of operations. In addition, we rely on a core number of our distributors to produce the majority of our sales. If one or more such distributors were to terminate its relationship with us or reduce the amount of sales which it produces for us, our results of operations could be adversely affected. An increase in bank and broker-dealer consolidation activity could increase competition for access to distributors, resulting in greater distribution expenses and an impaired ability to market our products through these channels. Consolidation of distributors or other industry changes may also increase the likelihood that distributors will try to renegotiate the terms of any existing selling agreements to terms less favorable to us.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Because our products are distributed through unaffiliated firms, we may not be able to monitor or control the manner of their distribution despite our training and compliance programs. If our products are distributed by such firms in an inappropriate manner, or to customers for whom such products are not in their best interest, we may suffer reputational and other harm to our business.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compete with major, well-established stock and mutual life insurance companies and non-insurance financial services companies (e.g., banks, private equity firms, broker-dealers and asset managers) in all of our product offerings, and our distributors sell such competitors’ products along with our products. In addition, certain of our distributors currently offer their own competing products or may offer competing products in the future. If our distributors concentrate their efforts on selling their firm’s own products or our other competitors’ products instead of ours, our sales could be adversely impacted.</w:t>
      </w:r>
    </w:p>
    <w:p>
      <w:pPr>
        <w:spacing w:after="0" w:line="5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failure of third parties to provide various services to us, or any failure of the practices and procedures that these third parties use to provide services to us, could have a material adverse effect on our business</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 key part of our operating strategy is to leverage third parties to deliver certain services important to our business, including administrative, operational, technology, financial, investment and actuarial services. There can be no assurance that the services provided to us by third parties (or their suppliers, vendors or subcontractors) will be sufficient to meet our operational and business needs, that such third parties will continue to be able to perform their functions in a manner satisfactory to us, that the practices and procedures of such third parties will continue to enable them to adequately manage any processes they handle on our behalf, or that any remedies available under these third-party arrangements will be sufficient in the event of a dispute or nonperformance. In addition, we continue to leverage third-party service providers for certain administrative systems. There can be no assurance that in connection with any such services, including the transition to new third-party service providers in the future, or in connection with any of the services provided to us by existing third parties (or such third-party’s supplier, vendor or subcontractor), we will not incur unanticipated expenses or experience other economic or reputational harm, service delays or interruptions, or be subject to litigation or regulatory investigations and actions, any of which could have a material adverse effect on our business and financial results.</w:t>
      </w:r>
    </w:p>
    <w:p>
      <w:pPr>
        <w:spacing w:after="0" w:line="8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Furthermore, if a third-party provider (or such third-party’s supplier, vendor or subcontractor) fails to meet contractual obligations or requirements (e.g., compliance with applicable laws and regulations or fails to provide material information on a timely basis) or fails to provide required services due to the result of a cyberattack or other security breach, the loss of key personnel or otherwise, then, in each case, we could suffer economic and reputational harm that could have a material adverse effect on our business and financial reporting. In addition, such failures could result in the loss of key distributors, impact the accuracy of our financial reporting, or subject us to litigation or regulatory investigations and actions, which could have a material adverse effect on our business, financial condition and results of operations. See “— Risks Related to Our Business — We may experience difficulty in marketing and distributing products through our distribution channels” and “— Operational Risks — Any failure in our cybersecurity risk management program,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7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Similarly, if any third-party provider (or such third-party’s supplier, vendor or subcontractor) experiences any deficiency in internal controls, determines that its practices and procedures used in providing services to us (including administering any of our policies or managing any of our investments) require review, or otherwise fails to provide services to us in accordance with appropriate standards, we could incur expenses and experience other adverse effects as a result. In such situations, we may be unable to resolve any issues on our own without assistance from the third-party provider, and we could have limited ability to influence the speed and effectiveness of that resolution.</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from time to time, certain third parties have brought to our attention practices and procedures used to estimate our reserves with respect to certain products they administer on our behalf that require further review. While we do not believe, based on the information made available to us to date, that any of the matters brought to our attention will require material modifications to reserves or will have a material effect on our business and financial reporting, we are reliant on our third-party service providers to provide further information and assistance with respect to those products. There can also be no assurance that such matters will not require material modifications to reserves or have a material effect on our financial condition or results of operations in the future, or that our third-party service providers will provide further information and assistance.</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It may be difficult, disruptive and costly for us to replace some of our third-party providers in a timely manner if in the future they were unwilling or unable to provide us with the services we require (as a result of their financial or business conditions or otherwise), which could have a material adverse effect on our business and financial results. In addition, if a</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third-party provider raises the rates that it charges us for its services, we may not be able to pass the increased costs onto our customers and our profitability may be negatively impacted as a result.</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our deferred income tax assets or liabilities, including changes in our ability to realize our deferred income tax assets, could adversely affect our financial condition or results of operations</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Deferred income tax represents the tax effect of the differences between the book and tax bases of assets and liabilities. Deferred income tax assets are assessed periodically by management to determine whether they are realizable. Factors in management’s determination include the performance of the business, including the ability to generate future taxable income. If, based on available information, it is more likely than not that the deferred income tax asset will not be realized, then a valuation allowance must be established with a corresponding charge to our profitability measures. Such charges could have a material adverse effect on our financial condition and results of operations. Significant changes in the estimates of future taxable income used in determining a valuation allowance, new information or changes in tax laws, tax regulations or interpretations of such laws or regulations could affect the value of our deferred income tax assets and may require a write-off of some of those assets. See “Management’s Discussion and Analysis of Financial Condition and Results of Operations — Summary of Critical Accounting Estimates.”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holding company, BHF depends on the ability of its subsidiaries to pay dividends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BHF is a holding company for its insurance subsidiaries and BRCD and does not have any significant operations of its own. We depend on the cash at the holding company as well as dividends or other capital inflows from our subsidiaries to meet our obligations and to pay dividends on our preferred and common stock, if any. See “Management’s Discussion and Analysis of Financial Condition and Results of Operations — Liquidity and Capital Resources — The Parent Company — Liquidity and Capital — Statutory Capital and Dividends.”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the cash BHF receives from its subsidiaries is insufficient for it to fund its debt-service and other holding company obligations, BHF may be required to raise capital through the incurrence of indebtedness, the issuance of additional equity or the sale of assets. Our ability to access funds through such methods is subject to prevailing market conditions and there can be no assurance that we will be able to do so. See “— Economic Environment and Capital Markets-Related Risks — Adverse capital and credit market conditions may significantly affect our ability to meet liquidity needs and our access to capital.”</w:t>
      </w:r>
    </w:p>
    <w:p>
      <w:pPr>
        <w:spacing w:after="0" w:line="6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 payment of dividends and other distributions by our insurance subsidiaries is regulated by insurance laws and regulations. In general, dividends in excess of prescribed limits require insurance regulatory approval. In addition, insurance regulators may prohibit the payment of dividends or other payments by our insurance subsidiaries if they determine that the payment could be adverse to the interests of our policyholders or contract holders. Any requested payment of dividends by our insurance subsidiaries in excess of their respective ordinary dividend capacity would be considered an extraordinary dividend subject to prior approval by the Delaware DOI, the Massachusetts Division of Insurance, or the NYDFS, as applicable. Any payment of dividends by Brighthouse Life Insurance Company in 2026 would be considered an extraordinary dividend subject to regulatory approval. See Note 13 of the Notes to the Consolidated Financial Statements for a discussion of the applicable dividend restrictions and certain of our subsidiaries’ ordinary dividend capacity, as well as the circumstances under which regulatory approval would be required. Furthermore, any dividends by BRCD are subject to the approval of the Delaware DOI. The payment of dividends and other distributions by our insurance subsidiaries is also influenced by business conditions, including those described in the Risk Factors above as well as rating agency considerations. There can be no assurance that any regulatory approval described herein will be received. See “— Regulatory and Legal Risks — A decrease in the RBC ratio of our insurance subsidiaries (as a result of a reduction in statutory capital and surplus or an increase in the required RBC capital charges), or a change in the rating agency proprietary capital models for our insurance subsidiaries, could result in increased scrutiny by insurance regulators and rating agencies or BHF contributing capital to its subsidiaries and could have a material adverse effect on our financial condition and results of operations.” See also “Business — Regulation — Insurance Regulation” and “Management’s Discussion and Analysis of Financial Condition and Results of Operations — Liquidity and Capital Resources — The Parent Company — Liquidity and Capital — Statutory Capital and Dividends.”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climate change could adversely affect our business, financial condition and results of operations.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Climate change could pose a systemic risk to the global financial system. Climate change could increase the frequency and severity of weather-related disasters and pandemics. Efforts to reduce greenhouse gas emissions and limit global warming could impact global investment asset valuations. There is also a risk that some asset sectors could face significantly higher costs and a disorderly adjustment to asset values leading to an adverse impact on the value and future performance of investment assets as a result of climate change or regulatory or other responses. Climate change could also impact our counterparties and other third parties, including, among others, reinsurers and derivative counterparties. Increasing scrutiny and evolving expectations from investors, customers, regulators, and other stakeholders regarding climate change matters may adversely affect our reputation. The above risks could adversely affect our business, financial condition and results of operations.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Public health crises, extreme mortality events or similar occurrences may adversely impact our business, financial condition, or results of operations, as well as the economy in general</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Public health crises, extreme mortality events or other similar occurrences could have a major impact on the global economy and the financial markets or the economies of particular countries or regions, including market volatility and disruptions to commerce, the health system, and the food supply, as well as reduced economic activity and labor shortages. In addition, a public health crisis that affected our employees or the employees of our distributors or of other companies with which we do business, including providers of third-party services, could disrupt our business operations. Furthermore, the value of our investment portfolio could be negatively impacted. See “— Risks Related to Our Investment Portfolio — Ongoing military actions, the continued threat of terrorism, climate change as well as other catastrophic events may adversely affect the value of our investment portfolio and the level of claim losses we incur.”</w:t>
      </w:r>
    </w:p>
    <w:p>
      <w:pPr>
        <w:spacing w:after="0" w:line="81"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Economic uncertainty resulting from a public health crisis or similar event could impact sales of certain of our products, and we may decide or otherwise be required to provide relief to customers adversely affected by such an event, similar to the relief we provided in connection with the COVID-19 pandemic.</w:t>
      </w:r>
    </w:p>
    <w:p>
      <w:pPr>
        <w:spacing w:after="0" w:line="3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our life insurance operations are exposed to the risk of catastrophic mortality, such as a pandemic or other event that causes a large number of deaths. For example, the COVID-19 pandemic and several significant influenza pandemics have occurred in the last century. The likelihood, timing, and severity of a future pandemic that may impact our policyholders cannot be predicted. Moreover, the impact of climate change could cause changes in the frequency or severity of outbreaks of certain diseases. Circumstances resulting from a public health crisis or similar event could affect the incidence of claims, utilization of benefits, lapses or surrenders of policies and payments on insurance premiums, any of which could impact the revenues and expenses associated with our products.</w:t>
      </w:r>
    </w:p>
    <w:p>
      <w:pPr>
        <w:spacing w:after="0" w:line="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Consistent with industry practice and accounting standards, we establish liabilities for claims arising from a catastrophe only after assessing the probable losses arising from the event. We cannot be certain that the liabilities we have established will be adequate to cover actual claim liabilities. A catastrophic event or multiple catastrophic events could have a material adverse effect on our business, financial condition and results of operations. Conversely, improvements in medical care and other developments which positively affect life expectancy can cause our assumptions with respect to longevity, which we use when we price our products, to become incorrect and, accordingly, can adversely affect our financial condition and results of operations.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face difficulties, unforeseen liabilities, asset impairments or rating actions arising from business acquisitions or dispositions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may engage in dispositions or acquisitions of businesses. Such activity exposes us to a number of risks arising from (i) potential difficulties achieving projected financial results, including the costs and benefits of integration or deconsolidation; (ii) unforeseen liabilities or asset impairments; (iii) the scope and duration of rights to indemnification for losses; (iv) the use of capital which could be used for other purposes; (v) rating agency reactions; (vi) regulatory requirements that could impact our operations or capital requirements; (vii) changes in statutory accounting principles or GAAP, practices or policies; and (viii) certain other risks specifically arising from activities relating to a legal entity reorganization.</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achieve certain financial benefits we anticipate from any acquisitions of businesses will depend, in part, upon our ability to successfully integrate such businesses in an efficient and effective manner. There may be liabilities or asset impairments that we fail, or are unable, to discover in the course of performing acquisition-related due diligence reviews. Furthermore, even for obligations and liabilities that we do discover during the due diligence process, neither the valuation adjustment nor the contractual protections we negotiate may be sufficient to fully protect us from losses.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may from time to time dispose of business or blocks of in-force business through outright sales, reinsurance transactions or by alternate means. After a disposition, we may remain liable to the acquirer or to third parties for certain losses or costs arising from the divested business or on other bases. We also may not realize the anticipated profit on a disposition or incur a loss on the disposition. In anticipation of any disposition, we may need to restructure our operations, which could disrupt such operations and affect our ability to recruit key personnel needed to operate and grow such business pending the completion of such transaction. In addition, the actions of key employees of the business to be divested could adversely affect the success of such disposition as they may be more focused on obtaining employment, or the terms of their employment, than on maximizing the value of the business to be divested. Furthermore, transition services or tax arrangements related to any such disposition could further disrupt our operations and may impose restrictions, liabilities, losses or indemnification obligations on us. Depending on its particulars, a disposition could increase our exposure to certain risks, such as by decreasing the diversification of our sources of revenue. Moreover, we may be unable to timely dissolve all contractual relationships with the divested business in the course of the proposed transaction, which may materially adversely affect our ability to realize value from the disposition. Such disposition could also adversely affect our internal controls and procedures and impair our relationships with key customers, distributors and suppliers. An interruption or significant change in certain key relationships could materially affect our ability to market our products and could have a material adverse effect on our business, financial condition and results of operations.</w:t>
      </w:r>
    </w:p>
    <w:p>
      <w:pPr>
        <w:spacing w:after="0" w:line="7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Continued scrutiny and evolving expectations from investors, customers, regulators and other stakeholders regarding environmental, social and governance matters may adversely affect our reputation or otherwise adversely impact our business and results of operations</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There is continued scrutiny and evolving expectations, as well as conflicting expectations, from investors, customers, regulators and other stakeholders on environmental, social and governance (“ESG”) practices and disclosures, including those related to environmental stewardship, climate change, workplace conduct and other social and political mandates. Regulators have imposed and may continue to impose ESG-related rules and guidance, which may conflict with one another and impose additional costs on us or expose us to new or additional risks. In view of evolving regulatory expectations, investor scrutiny, and changing consumer preferences and social expectations, ESG issues can represent emerging or unforeseen risks to our long-term operating performance and financial condition. Moreover, certain organizations that provide information to investors have developed ratings for evaluating companies on their approach to different ESG matters, and unfavorable ratings of the Company or our industry may lead to negative investor sentiment and the diversion of investment to other companies or industries.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Economic Environment and Capital Markets-Related Risks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difficult conditions in the capital markets and the U.S. economy generally persist or are perceived to persist, they may materially adversely affect our business and results of operations</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capital markets and the U.S. economy generally, as well as by the global economy to the extent it affects the U.S. economy. In addition, while our operations are entirely in the U.S., we have foreign investments in our general and separate accounts and, accordingly, conditions in the global capital markets can affect the value of our general account and separate account assets, as well as our financial results. Actual or perceived stressed conditions, volatility and disruptions in financial asset classes or various capital markets can have an adverse effect on us, both because we have a large and well-diversified investment portfolio and our benefit and claim liabilities are sensitive to changing market factors, including interest rates, credit spreads, equity and commodity prices, derivative prices and availability, real estate markets, foreign currency exchange rates and the returns and volatility of capital markets. In an economic downturn characterized by rapid increases in inflation, higher unemployment, lower family income, lower corporate earnings, lower business investment or lower consumer spending, the demand for our products could be adversely affected as customers are unwilling or unable to purchase them. In addition, we may experience an elevated incidence of claims, adverse utilization of benefits relative to our best estimate expectations and lapses or surrenders of policies. Furthermore, our policyholders may choose to defer paying insurance premiums or stop paying insurance premiums altogether. Such adverse changes in the economy could negatively affect our earnings and capitalization and have a material adverse effect on our financial condition, results of operations and our ability to receive dividends from our insurance subsidiaries and BRCD. In addition, adverse economic conditions could have a material impact on our investment portfolio.</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Significant market volatility in reaction to the evolving and uncertain regulatory, legal and geopolitical landscape in the U.S. and abroad due to tariffs, trade disputes, changing monetary policy, uncertain fiscal policy, military conflicts and the political environment may exacerbate some of the risks we face. Increased market volatility may affect the performance of the various asset classes in which we invest, as well as separate account values. See “Management’s Discussion and Analysis of Financial Condition and Results of Operations — Investments — Current Environment” and “Management’s Discussion and Analysis of Financial Condition and Results of Operations — Industry Trends and Uncertainties — Financial and Economic Environment.”</w:t>
      </w:r>
    </w:p>
    <w:p>
      <w:pPr>
        <w:spacing w:after="0" w:line="79"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Extreme declines or shocks in equity markets, as well as sustained stagnation and persistent low interest rates, could cause us to incur significant capital or operating losses due to, among other reasons, the impact of guarantees related to our annuity products, including increases in liabilities, increased capital requirements, or collateral requirements. Furthermore, periods of sustained stagnation in equity and bond markets, which are characterized by multiple years of low annualized total returns impacting the growth in separate accounts or low level of U.S. interest rates, may materially increase our insurance contract liabilities due to inherent market return guarantees in these liabilities. Similarly, sustained periods of low interest rates and risk asset returns could reduce income from our investment portfolio, increase our insurance contract liabilities, and increase the cost of risk transfer measures such as hedging, causing our profit margins to erode as a result of reduced investment portfolio income and increased insurance liabilities. See also “— Risks Related to Our Business — Guarantees within certain of our annuity products may decrease our earnings, decrease our capitalization, increase the volatility of our results, result in higher risk management costs and expose us to increased market risk” and “— Risks Related to Our Business — Public health crises, extreme mortality events or similar occurrences may adversely impact our business, financial condition, or results of operations, as well as the economy in general.”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capital and credit market conditions may significantly affect our ability to meet liquidity needs and our access to capital</w:t>
      </w:r>
    </w:p>
    <w:p>
      <w:pPr>
        <w:spacing w:after="0" w:line="11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capital and credit markets may be subject to periods of extreme volatility. Disruptions in capital markets could adversely affect our liquidity and credit capacity or limit our access to capital which may in the future be needed to operate our business and meet policyholder obligations.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need liquidity at our holding company to pay our operating expenses, pay interest on our indebtedness, pay dividends on our preferred stock, carry out any share or debt repurchases that we may undertake, pay any potential dividends on our common stock and provide our subsidiaries with cash or collateral. Furthermore, our insurance subsidiaries need liquidity to maintain our securities lending activities, to replace certain maturing liabilities and to post collateral for derivative transactions. Without sufficient liquidity, we could be forced to curtail our operations and limit the investments necessary to grow our business.</w:t>
      </w:r>
    </w:p>
    <w:p>
      <w:pPr>
        <w:spacing w:after="0" w:line="6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our insurance subsidiaries, the principal sources of liquidity are insurance premiums and fees paid in connection with annuity products, as well as cash flows from our investment portfolio to the extent consisting of cash and readily marketable securities.</w:t>
      </w:r>
    </w:p>
    <w:p>
      <w:pPr>
        <w:spacing w:after="0" w:line="5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the event capital markets or other conditions have an adverse impact on our capital and liquidity, or our stress-testing indicates that such conditions could have an adverse impact beyond expectations and our current resources do not satisfy our needs or regulatory requirements, we may have to seek additional financing to enhance our capital and liquidity position. The availability of additional financing will depend on a variety of factors, such as the then current market conditions, regulatory capital requirements, availability of credit to us and the financial services industry generally, our credit ratings and financial leverage, and the perception of our customers and lenders regarding our long- or short-term financial prospects if we incur large operating or investment losses or if the level of our business activity decreases due to a market downturn. Similarly, our access to funds may be impaired if regulatory authorities or rating agencies take negative actions against us. Our internal sources of liquidity may prove to be insufficient and, in such case, we may not be able to successfully obtain additional financing on favorable terms, or at all.</w:t>
      </w:r>
    </w:p>
    <w:p>
      <w:pPr>
        <w:spacing w:after="0" w:line="8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our liquidity requirements may change if, among other things, we are required to return significant amounts of cash collateral on short notice under securities lending agreements or other collateral requirements. See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financial condition, results of operations, cash flows and statutory capital position could be materially adversely affected by disruptions in the financial markets, as such disruptions may limit our ability to replace, in a timely manner, maturing liabilities, satisfy regulatory capital requirements, and access the capital that may be necessary to grow our business. See “— Regulatory and Legal Risks — Our insurance business is highly regulated, and changes in regulation and in supervisory and enforcement policies or interpretations thereof may materially impact our capitalization or cash flows, reduce our profitability and limit our growth.” As a result, we may be forced to delay raising capital, issue different types of securities than we would have otherwise, less effectively deploy such capital, issue shorter tenor securities than we prefer, or bear an unattractive cost of capital, which could decrease our profitability and significantly reduce our financial flexibility.</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significant financial and capital markets risks which may adversely affect our financial condition, results of operations and liquidity, and may cause our profitability measures to vary from period-to-period</w:t>
      </w:r>
    </w:p>
    <w:p>
      <w:pPr>
        <w:spacing w:after="0" w:line="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Economic risks and other factors described below, as well as significant volatility in the markets, individually or collectively, could have a material adverse effect on our financial condition, results of operations, liquidity or cash flows through a change in our insurance liabilities or increases in reserves for future policyholder benefits.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Some of our current or anticipated future products, principally whole life, universal life, fixed, index-linked and income annuities, as well as funding agreements and structured settlements, expose us to the risk that changes in interest rates will reduce our investment margin or “net investment spread,” or the difference between the amounts that we are required to pay under the contracts in our general account and the rate of return we earn on general account investments intended to support the obligations under such contracts. Our net investment spread is a key component of our profitability measures.</w:t>
      </w:r>
    </w:p>
    <w:p>
      <w:pPr>
        <w:spacing w:after="0" w:line="61"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Although reducing interest crediting rates can help offset decreases in net investment spreads on some products, our ability to reduce these rates is limited to the portion of our in-force product portfolio that has adjustable interest crediting rates and could also be limited by the actions of our competitors or contractually guaranteed minimum rates and may not match the timing or magnitude of changes in asset yields. As a result, a decrease in interest rates could cause our net investment spread to decrease or potentially become negative, which could have a material adverse effect on our financial condition and results of operations. See “Management’s Discussion and Analysis of Financial Condition and Results of Operations — Policyholder Liabilities.”</w:t>
      </w:r>
    </w:p>
    <w:p>
      <w:pPr>
        <w:spacing w:after="0" w:line="62" w:lineRule="exact"/>
        <w:rPr>
          <w:sz w:val="20"/>
          <w:szCs w:val="20"/>
          <w:color w:val="auto"/>
        </w:rPr>
      </w:pPr>
    </w:p>
    <w:p>
      <w:pPr>
        <w:jc w:val="both"/>
        <w:ind w:left="160" w:firstLine="318"/>
        <w:spacing w:after="0" w:line="269" w:lineRule="auto"/>
        <w:rPr>
          <w:sz w:val="20"/>
          <w:szCs w:val="20"/>
          <w:color w:val="auto"/>
        </w:rPr>
      </w:pPr>
      <w:r>
        <w:rPr>
          <w:rFonts w:ascii="Times New Roman" w:cs="Times New Roman" w:eastAsia="Times New Roman" w:hAnsi="Times New Roman"/>
          <w:sz w:val="17"/>
          <w:szCs w:val="17"/>
          <w:color w:val="auto"/>
        </w:rPr>
        <w:t>An increase in interest rates could result in decreased fee revenue associated with a decline in the value of variable annuity account balances invested in fixed income funds. In addition, during periods of declining interest rates, our return on investments that do not support particular policy obligations may decrease. During periods of sustained lower interest rates, our reserves for policy liabilities may not be sufficient to meet future policy obligations and may need to be strengthened. Accordingly, declining and sustained lower interest rates may materially adversely affect our financial condition and results of operations, our ability to receive dividends from our insurance subsidiaries and BRCD and significantly reduce our profitability. We may therefore have to accept a lower investment return and lower profitability or face a decline in sales and greater loss of existing contracts and related assets.</w:t>
      </w:r>
    </w:p>
    <w:p>
      <w:pPr>
        <w:spacing w:after="0" w:line="63"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In addition, because our interest rate hedging program is primarily a risk mitigation strategy intended to reduce our risk to statutory capitalization and long-term economic exposures from sustained low levels of interest rates, this strategy will likely result in higher net income volatility due to the insensitivity of related ULSG GAAP liabilities to the change in interest rate levels. This strategy may adversely affect our financial condition and results of operations. See “— Risks Related to Our Business — We may not have sufficient assets to meet our future ULSG policyholder obligations, and changes in interest rates may result in volatility of our profitability measures and capital” and “Management’s Discussion and Analysis of Financial Condition and Results of Operations — Risk Management Strategies.”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Inflation Risk</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Inflation increases our expenses (including, among others, for labor and third-party services), potentially putting pressure on our profitability in the event that such additional costs cannot be passed through to policyholders. High inflation could also cause a change in consumer sentiment and behavior adversely affecting the sales of certain of our products.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Risk</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We sell certain spread-based annuity products that expose us to the risk that changes in equity markets will reduce our investment margin, as higher equity markets would require us to credit more under the contracts. These products include index-linked annuities where the crediting rate is determined by reference to the performance of an underlying index. We are also exposed to equity risk related to certain guarantees found in fee-based products, such as variable annuities (as sustained lower equity markets may increase our liabilities) and certain of our businesses where fee income is earned based upon the estimated market value of the AUM in both the separate and general account. Because fees generated by such products are primarily related to the value of AUM, a decline in the equity markets could reduce our revenues as a result of the reduction in the value of the investment assets supporting those products and services.</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manage our exposures to equity risk through product design strategies such as selling products or introducing product features that provide a risk offset to each other, hedging using derivative instruments, as well as reinsurance. See “Management’s Discussion and Analysis of Financial Condition and Results of Operations — Risk Management Strategies,” for details regarding our risk management and hedging programs.</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However, such derivatives and reinsurance may become less available and, if they remain available, their price could materially increase in a period characterized by volatile equity markets. See “Business — Segment Information — Annuities — Products — Variable Annuities” for details regarding sensitivity of our variable annuity business to capital markets.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See “— Risks Related to Our Business — Guarantees within certain of our annuity products may decrease our earnings, decrease our capitalization, increase the volatility of our results, result in higher risk management costs and expose us to increased market risk.”</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Investment Portfolio</w:t>
      </w:r>
    </w:p>
    <w:p>
      <w:pPr>
        <w:spacing w:after="0" w:line="1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Risk</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Fixed income securities and mortgage loans represent a significant portion of our investment portfolio. We are also subject to the risk that the issuers or guarantors of the fixed income securities and mortgage loans in our investment portfolio may default on principal and interest payments they owe us. In addition, the underlying collateral within asset-backed securities (“ABS”), including mortgage-backed securities, may default on principal and interest payments causing an adverse change in cash flows. The occurrence of a major economic downturn, acts of corporate malfeasance, widening mortgage or credit spreads, or other events that adversely affect the issuers, guarantors or underlying collateral of these securities and mortgage loans could cause the estimated fair value of our portfolio of fixed income securities and mortgage loans and our earnings to decline and the default rate of the fixed income securities and mortgage loans in our investment portfolio to increase.</w:t>
      </w:r>
    </w:p>
    <w:p>
      <w:pPr>
        <w:spacing w:after="0" w:line="81"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Defaults or deteriorating credit of other financial institutions could adversely affect us as we have exposure to many different industries and counterparties and routinely execute transactions with counterparties in the financial services industry, including brokers and dealers, central clearinghouses, commercial banks, investment banks, hedge funds and investment funds and other financial institutions. Many of these transactions expose us to credit risk in the event of the default of our counterparty. In addition, with respect to secured transactions, our credit risk may be exacerbated when the collateral held by us cannot be realized or is liquidated at prices not sufficient to recover the full amount of the loan or derivative exposure due to us. We also have exposure to these financial institutions in the form of unsecured debt instruments, non-redeemable and redeemable preferred securities, derivatives, joint ventures and equity investments. Any losses or impairments to the carrying value of these investments or other changes could materially and adversely affect our financial condition and results of operations.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We are exposed to certain risks in a variety of interest rate environments. When interest rates are low, we may be forced to reinvest proceeds from investments that have matured or have been prepaid or sold at lower yields, which will reduce our net investment income. Moreover, borrowers may prepay or redeem the fixed income securities and commercial, agricultural or residential mortgage loans in our investment portfolio with greater frequency in order to borrow at lower market rates, thereby exacerbating this risk.</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Increases in interest rates could negatively affect our profitability. In periods of rapidly increasing interest rates, we may not be able to replace, in a timely manner, the investments in our general account with higher-yielding investments needed to fund the higher crediting rates necessary to keep interest rate sensitive products competitive. In addition, as interest rates rise, policy loans, surrenders and withdrawals may increase as policyholders seek investments with higher perceived returns. This process may result in cash outflows requiring that we sell investments at a time when the prices of those investments are adversely affected by the increase in interest rates, which may result in realized investment losses. An increase in interest rates could also have a material adverse effect on the value of our investments, for example, by decreasing the estimated fair values of the fixed income securities and mortgage loans that comprise a significant portion of our investment portfolio.</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Inflation Risk</w:t>
      </w:r>
    </w:p>
    <w:p>
      <w:pPr>
        <w:spacing w:after="0" w:line="115" w:lineRule="exact"/>
        <w:rPr>
          <w:sz w:val="20"/>
          <w:szCs w:val="20"/>
          <w:color w:val="auto"/>
        </w:rPr>
      </w:pPr>
    </w:p>
    <w:p>
      <w:pPr>
        <w:jc w:val="both"/>
        <w:ind w:left="160" w:firstLine="318"/>
        <w:spacing w:after="0" w:line="267" w:lineRule="auto"/>
        <w:rPr>
          <w:sz w:val="20"/>
          <w:szCs w:val="20"/>
          <w:color w:val="auto"/>
        </w:rPr>
      </w:pPr>
      <w:r>
        <w:rPr>
          <w:rFonts w:ascii="Times New Roman" w:cs="Times New Roman" w:eastAsia="Times New Roman" w:hAnsi="Times New Roman"/>
          <w:sz w:val="17"/>
          <w:szCs w:val="17"/>
          <w:color w:val="auto"/>
        </w:rPr>
        <w:t>A sustained or material increase in inflation could affect our business in several ways. During inflationary periods, the value of fixed income investments may fall, which could increase realized and unrealized losses. Interest rates may increase in the future due to central bank policy responses to combat inflation, which may positively impact our business in certain respects, but could also increase the risk of a recession or an equity market downturn and could negatively impact various portions of our business, including our investment portfolio. Prolonged and elevated inflation could adversely affect the financial markets and the economy generally, and dispelling it may require governments to pursue a restrictive fiscal and monetary policy, which could constrain overall economic activity and inhibit revenue growth. See “Management’s Discussion and Analysis of Financial Condition and Results of Operations — Industry Trends and Uncertainties — Financial and Economic Environment” for a discussion of the current impacts of inflation.</w:t>
      </w:r>
    </w:p>
    <w:p>
      <w:pPr>
        <w:spacing w:after="0" w:line="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Market Valuation Risk</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Market valuation risk relates to the variability in the estimated fair value of investments associated with changes in market factors. Our portfolio’s market valuation risks include the following:</w:t>
      </w:r>
    </w:p>
    <w:p>
      <w:pPr>
        <w:spacing w:after="0" w:line="55" w:lineRule="exact"/>
        <w:rPr>
          <w:sz w:val="20"/>
          <w:szCs w:val="20"/>
          <w:color w:val="auto"/>
        </w:rPr>
      </w:pPr>
    </w:p>
    <w:p>
      <w:pPr>
        <w:jc w:val="both"/>
        <w:ind w:left="800" w:hanging="317"/>
        <w:spacing w:after="0" w:line="251" w:lineRule="auto"/>
        <w:tabs>
          <w:tab w:leader="none" w:pos="7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Credit Spread Risk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credit spread risk primarily as a result of market price volatility and investment risk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fluctuation in credit spreads. Widening credit spreads may cause unrealized losses in our investment portfolio and increase losses associated with written credit protection derivatives used in replication transactions. Additionally, an increase in credit spreads relative to U.S. Treasury benchmarks can also adversely affect the cost of our borrowing if we need to access credit markets. Tightening credit spreads may reduce our investment income and cause an increase in the reported value of certain liabilities that are valued using a discount rate that reflects our own credit spread.</w:t>
      </w:r>
    </w:p>
    <w:p>
      <w:pPr>
        <w:spacing w:after="0" w:line="79" w:lineRule="exact"/>
        <w:rPr>
          <w:rFonts w:ascii="Times New Roman" w:cs="Times New Roman" w:eastAsia="Times New Roman" w:hAnsi="Times New Roman"/>
          <w:sz w:val="18"/>
          <w:szCs w:val="18"/>
          <w:color w:val="auto"/>
        </w:rPr>
      </w:pPr>
    </w:p>
    <w:p>
      <w:pPr>
        <w:jc w:val="both"/>
        <w:ind w:left="800" w:hanging="317"/>
        <w:spacing w:after="0" w:line="253" w:lineRule="auto"/>
        <w:tabs>
          <w:tab w:leader="none" w:pos="7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Risks Related to Equity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 portion of our investments are in leveraged buy-out funds and other private equity funds. The amount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timing of net investment income from such funds tends to be uneven as a result of the performance of the underlying investments. As a result, the amount of net investment income from these investments can vary substantially from period-to-period. Significant volatility could adversely impact returns and net investment income on these investments. In addition, the estimated fair value of such investments may be affected by downturns or volatility in equity or other markets.</w:t>
      </w:r>
    </w:p>
    <w:p>
      <w:pPr>
        <w:spacing w:after="0" w:line="75" w:lineRule="exact"/>
        <w:rPr>
          <w:rFonts w:ascii="Times New Roman" w:cs="Times New Roman" w:eastAsia="Times New Roman" w:hAnsi="Times New Roman"/>
          <w:sz w:val="18"/>
          <w:szCs w:val="18"/>
          <w:color w:val="auto"/>
        </w:rPr>
      </w:pPr>
    </w:p>
    <w:p>
      <w:pPr>
        <w:jc w:val="both"/>
        <w:ind w:left="800" w:hanging="317"/>
        <w:spacing w:after="0" w:line="265" w:lineRule="auto"/>
        <w:tabs>
          <w:tab w:leader="none" w:pos="79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u w:val="single" w:color="auto"/>
          <w:color w:val="auto"/>
        </w:rPr>
        <w:t>Risks Related to the Valuation of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Fixed maturity and equity securities, as well as short-term investments that are reported at estimated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fair value, represent the majority of our total cash and investments. See Note 1 to the Notes to the Consolidated Financial Statements for more information on how we calculate fair value. During periods of market disruption, including periods of significantly rising or high interest rates, rapidly widening credit spreads or illiquidity, it may be difficult to value certain of our securities if trading becomes less frequent or market data becomes less observable. In addition, in times of financial market disruption, certain asset classes that were in active markets with significant observable data may become illiquid. In those cases, the valuation process includes inputs that are less observable and require more subjectivity and management judgment. Valuations may result in estimated fair values which vary significantly from the amount at which the investments may ultimately be sold. Further, rapidly changing and unprecedented credit and equity market conditions could materially impact the valuation of securities as reported within our consolidated financial statements and the period-to-period changes in estimated fair value could vary significantly. Decreases in the estimated fair value of securities we hold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800" w:hanging="317"/>
        <w:spacing w:after="0" w:line="261" w:lineRule="auto"/>
        <w:tabs>
          <w:tab w:leader="none" w:pos="7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Risks Related to the Determination of Allowances and Impairments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determination of the amount of allowances and impairments is subjective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varies by investment type, which is based on our periodic evaluation and assessment of known and inherent risks associated with the respective asset class. However, historical trends may not be indicative of future impairments or allowances.</w:t>
      </w:r>
    </w:p>
    <w:p>
      <w:pPr>
        <w:spacing w:after="0" w:line="66" w:lineRule="exact"/>
        <w:rPr>
          <w:rFonts w:ascii="Times New Roman" w:cs="Times New Roman" w:eastAsia="Times New Roman" w:hAnsi="Times New Roman"/>
          <w:sz w:val="18"/>
          <w:szCs w:val="18"/>
          <w:color w:val="auto"/>
        </w:rPr>
      </w:pPr>
    </w:p>
    <w:p>
      <w:pPr>
        <w:jc w:val="both"/>
        <w:ind w:left="800" w:hanging="317"/>
        <w:spacing w:after="0" w:line="251" w:lineRule="auto"/>
        <w:tabs>
          <w:tab w:leader="none" w:pos="7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Gross Unrealized Losses on Fixed Maturity Securities and Related Impairment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Unrealized gains or losses on fixed maturity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as available-for-sale (“AFS”) securities are recognized as a component of other comprehensive income (loss) (“OCI”) and are, therefore, excluded from our profitability measures. The accumulated change in estimated fair value of these AFS securities is recognized in our profitability measures when the gain or loss is realized upon the sale of the security or in the event that the decline in estimated fair value is determined to be credit-related and impairment charges are taken. See “Management’s Discussion and Analysis of Financial Condition and Results of Operations — Investments — Fixed Maturity Securities Available-For-Sale.”</w:t>
      </w:r>
    </w:p>
    <w:p>
      <w:pPr>
        <w:spacing w:after="0" w:line="79" w:lineRule="exact"/>
        <w:rPr>
          <w:rFonts w:ascii="Times New Roman" w:cs="Times New Roman" w:eastAsia="Times New Roman" w:hAnsi="Times New Roman"/>
          <w:sz w:val="18"/>
          <w:szCs w:val="18"/>
          <w:color w:val="auto"/>
        </w:rPr>
      </w:pPr>
    </w:p>
    <w:p>
      <w:pPr>
        <w:jc w:val="both"/>
        <w:ind w:left="800" w:hanging="317"/>
        <w:spacing w:after="0" w:line="249" w:lineRule="auto"/>
        <w:tabs>
          <w:tab w:leader="none" w:pos="7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Defaults, Downgrades or Other Events Affecting Issuers or Guarantors of Securities and Related Impairment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occurrence of a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downturn, acts of corporate malfeasance, widening credit spreads, or other events that adversely affect the issuers or guarantors of securities or the underlying collateral of residential mortgage-backed securities (“RMBS”), commercial mortgage-backed securities (“CMBS”) and ABS (collectively, “Structured Securities”) could cause the estimated fair value of our fixed maturity securities portfolio and corresponding net investment income to decline and cause the default rate of the fixed maturity securities in our portfolio to increase. A ratings downgrade affecting issuers or guarantors of particular securities, or similar trends that could worsen the credit quality of issuers, such as the corporate issuers of securities in our portfolio, could also have a similar effect. Economic uncertainty can adversely affect credit quality of issuers or guarantors. Similarly, a ratings downgrade affecting a security we hold could indicate the credit quality of that security has deteriorated and could increase the capital we must hold to support that security to maintain our RBC levels. Our intent to sell or assessment of the likelihood that we would be required to sell fixed maturity securities that have declined in value may affect the level of write-downs or impairments.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Risk</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There may be a limited market for certain investments we hold in our investment portfolio, making them relatively illiquid. These include privately-placed fixed maturity securities, derivative instruments such as options, mortgage loans, policy loans, leveraged leases, other limited partnership interests, and real estate equity, such as real estate limited partnerships, limited liability companies and funds. In the past, even some of our very high-quality investments experienced reduced liquidity during periods of market volatility or disruption. If we were forced to sell certain of our investments during periods of market volatility or disruption, market prices may be lower than our carrying value in such investments. This could result in realized losses which could have a material adverse effect on our financial condition and results of operations, as well as our financial ratios, which could affect compliance with our credit instruments and rating agency capital adequacy measures. Moreover, our ability to sell assets could be limited if other market participants are seeking to sell fungible or similar assets at the same time.</w:t>
      </w:r>
    </w:p>
    <w:p>
      <w:pPr>
        <w:spacing w:after="0" w:line="8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Similarly, we loan blocks of our securities to third parties (primarily brokerage firms and commercial banks) through our securities lending program, including fixed maturity securities and short-term investments. See “Management’s Discussion and Analysis of Financial Condition and Results of Operations — Investments — Securities Lending” for a discussion of our obligations under our securities lending program.</w:t>
      </w:r>
    </w:p>
    <w:p>
      <w:pPr>
        <w:spacing w:after="0" w:line="72" w:lineRule="exact"/>
        <w:rPr>
          <w:sz w:val="20"/>
          <w:szCs w:val="20"/>
          <w:color w:val="auto"/>
        </w:rPr>
      </w:pPr>
    </w:p>
    <w:p>
      <w:pPr>
        <w:jc w:val="both"/>
        <w:ind w:left="160" w:firstLine="318"/>
        <w:spacing w:after="0" w:line="266" w:lineRule="auto"/>
        <w:rPr>
          <w:sz w:val="20"/>
          <w:szCs w:val="20"/>
          <w:color w:val="auto"/>
        </w:rPr>
      </w:pPr>
      <w:r>
        <w:rPr>
          <w:rFonts w:ascii="Times New Roman" w:cs="Times New Roman" w:eastAsia="Times New Roman" w:hAnsi="Times New Roman"/>
          <w:sz w:val="17"/>
          <w:szCs w:val="17"/>
          <w:color w:val="auto"/>
        </w:rPr>
        <w:t>If we are required to return significant amounts of cash collateral in connection with our securities lending or otherwise need significant amounts of cash on short notice and we are forced to sell securities, we may have difficulty selling such collateral that is invested in securities in a timely manner, be forced to sell securities in a volatile or illiquid market for less than we otherwise would have been able to realize in normal market conditions, or both. In the event of a forced sale, accounting guidance requires the recognition of a loss for securities in an unrealized loss position and may require the impairment of other securities based on our ability to hold those securities, which would negatively impact our financial condition and results of operations, as well as our financial ratios, which could affect compliance with our credit instruments and rating agency capital adequacy measures. In addition, under stressful capital markets and economic conditions, liquidity broadly deteriorates, which could further restrict our ability to sell securities. Furthermore, if we decrease the amount of our securities lending activities over time, the amount of net investment income generated by these activities will also likely decline.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Real Estate Risk</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A portion of our investment portfolio consists of mortgage loans on commercial, agricultural and residential real estate. Our exposure to this risk stems from various factors, including the supply and demand of leasable commercial space, creditworthiness of tenants and partners, capital markets volatility, interest rate fluctuations, agricultural prices and farm incomes. Although we manage credit risk and market valuation risk for our commercial, agricultural and residential real estate assets through geographic, property type and product type diversification and asset allocation, general economic conditions in the commercial, agricultural and residential real estate sectors will continue to influence the performance of these investments. These factors, which are beyond our control, could have a material adverse effect on our financial condition, results of operations, liquidity or cash flows.</w:t>
      </w:r>
    </w:p>
    <w:p>
      <w:pPr>
        <w:spacing w:after="0" w:line="79"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Mortgage loans in our portfolio also face default risk. An increase in the default rate of our mortgage loan investments or fluctuations in their performance could have a material adverse effect on our financial condition and results of operations.</w:t>
      </w:r>
    </w:p>
    <w:p>
      <w:pPr>
        <w:spacing w:after="0" w:line="57"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Further, any geographic or property type concentration of the mortgage loans in our portfolio may have adverse effects on our portfolio and, consequently, on our financial condition and results of operations. Events or developments that have a negative effect on any particular geographic region or sector may have a greater adverse effect on our investment portfolio to the extent that the portfolio is concentrated. See “Management’s Discussion and Analysis of Financial Condition and Results of Operations — Investments — Mortgage Loans” and Notes 8 and 10 of the Notes to the Consolidated Financial Statements.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Risk</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We use a variety of strategies to manage risk related to our ongoing business operations, including the use of derivatives. Our derivative counterparties’ defaults could have a material adverse effect on our financial condition and results of operations. In addition, ratings downgrades or financial difficulties of derivative counterparties may require us to utilize additional capital with respect to the affected businesses. Furthermore, the valuation of our derivatives could change based on changes to our valuation methodology or the discovery of errors.</w:t>
      </w:r>
    </w:p>
    <w:p>
      <w:pPr>
        <w:spacing w:after="0" w:line="74"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Substantially all of our derivative transactions require us to pledge or receive collateral or make payments related to any decline in the net estimated fair value of such derivative transactions. The amount of collateral we may be required to pledge and the payments we may be required to make under our derivative transactions may increase under certain circumstances as a result of the requirement to pledge initial margin or variation margin for OTC-bilateral transactions. Such requirements could adversely affect our liquidity, expose us to central clearinghouse and counterparty credit risk, or increase our costs of hedging. See “Business — Regulation — Regulation of Over-the-Counter Derivatives.”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Risks</w:t>
      </w:r>
    </w:p>
    <w:p>
      <w:pPr>
        <w:spacing w:after="0" w:line="115" w:lineRule="exact"/>
        <w:rPr>
          <w:sz w:val="20"/>
          <w:szCs w:val="20"/>
          <w:color w:val="auto"/>
        </w:rPr>
      </w:pPr>
    </w:p>
    <w:p>
      <w:pPr>
        <w:jc w:val="both"/>
        <w:ind w:left="160" w:right="20" w:firstLine="318"/>
        <w:spacing w:after="0" w:line="304" w:lineRule="auto"/>
        <w:rPr>
          <w:sz w:val="20"/>
          <w:szCs w:val="20"/>
          <w:color w:val="auto"/>
        </w:rPr>
      </w:pPr>
      <w:r>
        <w:rPr>
          <w:rFonts w:ascii="Times New Roman" w:cs="Times New Roman" w:eastAsia="Times New Roman" w:hAnsi="Times New Roman"/>
          <w:sz w:val="17"/>
          <w:szCs w:val="17"/>
          <w:color w:val="auto"/>
        </w:rPr>
        <w:t>We are also exposed to other risks outside of our control, including foreign currency exchange rate risk relating to the variability in currency exchange rates for non-U.S. dollar denominated investments, as well as other financial and operational risks related to using external asset management firms.</w:t>
      </w:r>
    </w:p>
    <w:p>
      <w:pPr>
        <w:spacing w:after="0" w:line="3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Investments — Investment Risk Management Strategy” for discussion of how we manage the risks related to our investment portfolio.</w:t>
      </w:r>
    </w:p>
    <w:p>
      <w:pPr>
        <w:spacing w:after="0" w:line="5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Ongoing military actions, the continued threat of terrorism, climate change as well as other catastrophic events may adversely affect the value of our investment portfolio and the level of claim losses we incur</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Ongoing military actions (including the ongoing armed conflicts in Europe and the Middle East), the continued threat of terrorism, both within the U.S. and abroad, and heightened security measures in response to these types of threats, as well as climate change and other natural or man-made catastrophic events, may cause significant decline and volatility in global financial markets and result in loss of life, property damage, additional disruptions to commerce, the health system, and the food supply and reduced economic activity. The effects of climate change could cause changes in weather patterns, resulting in more severe and more frequent natural disasters such as forest fires, hurricanes, tornados, floods and storm surges. The value of assets in our investment portfolio may be adversely affected by declines in the credit and equity markets and reduced economic activity caused by the continued threat of catastrophic events. Companies in which we maintain investments may suffer losses as a result of financial, commercial or economic disruptions and such disruptions might affect the ability of those companies to pay interest or principal on their securities or mortgage loans. Catastrophic events could also disrupt our operations as well as the operations of our third-party service providers and also result in higher than anticipated claims under insurance policies that we have issued. See “Management’s Discussion and Analysis of Financial Condition and Results of Operations — Policyholder Liabilities.”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Legal Risks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insurance business is highly regulated, and changes in regulation and in supervisory and enforcement policies or interpretations thereof may materially impact our capitalization or cash flows, reduce our profitability and limit our growth</w:t>
      </w:r>
    </w:p>
    <w:p>
      <w:pPr>
        <w:spacing w:after="0" w:line="5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operations are subject to a wide variety of insurance and other laws and regulations. Our insurance subsidiaries and BRCD are subject to regulation by their primary Delaware, Massachusetts and New York state regulators, as applicable, as well as other regulations in states in which they operate. Changes in these laws and regulations could adversely affect our business, financial condition and results of operations. See “Business — Regulation,” as supplemented by discussions of regulatory developments in our subsequently filed Quarterly Reports on Form 10-Q under the caption “Management’s Discussion and Analysis of Financial Condition and Results of Operations — Industry Trends and Uncertainties — Regulatory Developments.”</w:t>
      </w:r>
    </w:p>
    <w:p>
      <w:pPr>
        <w:spacing w:after="0" w:line="6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we cannot predict what proposals may be made, what legislation or regulations may be introduced or enacted, or what impact any future legislation or regulations could have on our business, financial condition and results of operations, including the cost of any such compliance. Furthermore, regulatory uncertainty could create confusion among our distribution partners and customers, which could negatively impact product sales. See “Business — Regulation — Standard of Conduct Regulation” for a more detailed discussion of particular regulatory efforts by various regulators.</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Changes to the laws and regulations that govern the standards of conduct that apply to the sale of our products, as well as the firms that distribute our products, could adversely affect our operations and profitability. Such changes could increase our regulatory and compliance burden, resulting in increased costs, or limit the type, amount or structure of compensation arrangements into which we may enter with certain of our employees, which could negatively impact our ability to compete with other companies, including with respect to recruiting and retaining key personnel. Additionally, our ability to react to rapidly changing economic conditions and the dynamic, competitive market for our products will depend on the continued efficacy of provisions we have incorporated into our product design allowing frequent and contemporaneous revisions of key pricing elements, as well as our ability to work collaboratively with regulators. Changes in regulatory approval processes, rules and other dynamics in the regulatory process could adversely impact our ability to react to such changing conditions.</w:t>
      </w:r>
    </w:p>
    <w:p>
      <w:pPr>
        <w:spacing w:after="0" w:line="8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cannot predict the impact that “best interest” or fiduciary standards may have on our business, financial condition or results of operations. Compliance with new or changed rules or legislation in this area may increase our regulatory burden and that of our distribution partners, require changes to our compensation practices and product offerings, and increase litigation risk, which could adversely affect our financial condition and results of operations. See “Business — Regulation — Standard of Conduct Regulation — State Law Standard of Conduct Rules and Regulations.”</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we are subject to federal, state and other securities and state insurance laws and regulations which, among other things, require that we distribute certain of our products through a registered broker-dealer. The failure to comply with these laws or changes to these laws could have a material adverse effect on our operations and our profitability. Furthermore, changes in laws and regulations that affect our customers and distribution partners or their operations also may affect our business relationships with them and their ability to purchase or distribute our products. Such actions may negatively affect our business and results of operations.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our associates fail to adhere to regulatory requirements or our policies and procedures, we may be subject to penalties, restrictions or other sanctions by applicable regulators, and we may suffer reputational harm. See “Business — Regulation.”</w:t>
      </w:r>
    </w:p>
    <w:p>
      <w:pPr>
        <w:spacing w:after="0" w:line="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 decrease in the RBC ratio of our insurance subsidiaries (as a result of a reduction in statutory capital and surplus or an increase in the required RBC capital charges), or a change in the rating agency proprietary capital models for our insurance subsidiaries, could result in increased scrutiny by insurance regulators and rating agencies or BHF contributing capital to its subsidiaries and could have a material adverse effect on our financial condition and results of operations</w:t>
      </w:r>
    </w:p>
    <w:p>
      <w:pPr>
        <w:spacing w:after="0" w:line="7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NAIC has established model regulations that provide minimum capitalization requirements based on RBC formulas for insurance companies. Each of our insurance subsidiaries is subject to RBC standards or other minimum statutory capital and surplus requirements imposed under the laws of its respective jurisdiction of domicile. See “Business — Regulation — Insurance Regulation — Statutory Accounting, Reserves and Risk-Based Capital.” A failure to meet these requirements could subject our insurance subsidiaries to further examination or corrective action imposed by insurance regulators, including limitations on their ability to write additional business, increased regulatory supervision, or seizure or liquidation. Any corrective action imposed could cause a material adverse effect on our business, financial condition, results of operations and cash flows. A decline in RBC ratio, whether or not it results in a failure to meet applicable RBC requirements, could limit the ability of an insurance subsidiary to make dividends or distributions to us, could result in a loss of customers or new</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business, or could influence ratings agencies to downgrade our financial strength ratings, each of which could cause a material adverse effect on our business, financial condition and results of operations.</w:t>
      </w:r>
    </w:p>
    <w:p>
      <w:pPr>
        <w:spacing w:after="0" w:line="5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any particular year, TAC amounts, and thus RBC ratios, may fluctuate depending on a variety of factors, including the amount of statutory income or losses generated by the insurance subsidiary, the amount of additional capital such insurer must hold to support business growth, equity and credit market conditions, the value and credit ratings of certain fixed income and equity securities in its investment portfolio, the value of certain derivative instruments, as well as changes to the RBC formulas and the interpretation of the NAIC’s instructions with respect to RBC calculation methodologies. In addition, rating agencies may implement changes to their own proprietary capital models, which differ from the RBC capital model, that have the effect of increasing or decreasing the amount of capital our insurance subsidiaries should hold relative to the rating agencies’ expectations. Under stressed or stagnant capital markets conditions and with the aging of existing insurance liabilities, without offsets from new business, the amount of additional statutory reserves that an insurance subsidiary is required to hold could materially increase. This increase in reserves would decrease the capital available for use in calculating the subsidiary’s RBC ratio. To the extent that an insurance subsidiary’s RBC ratio is deemed to be insufficient, we may seek to take actions either to increase the capitalization of the insurer, for example, by contributing capital, which may adversely impact BHF’s liquidity, or to reduce the capitalization requirements. If we were unable to accomplish such actions, the rating agencies could view this as a reason for a ratings downgrade.</w:t>
      </w:r>
    </w:p>
    <w:p>
      <w:pPr>
        <w:spacing w:after="0" w:line="8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interpretations of such laws could reduce our earnings and materially impact our operations by increasing our corporate taxes and making some of our products less attractive to consumers</w:t>
      </w:r>
    </w:p>
    <w:p>
      <w:pPr>
        <w:spacing w:after="0" w:line="5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Changes in tax laws or interpretations of such laws could have a material adverse effect on our profitability and financial condition and could result in our incurring materially higher statutory taxes. Changes, including changes in tax laws, higher corporate tax rates or differences in interpretation of tax laws may adversely affect our business, financial condition, results of operations and liquidity. In addition, current U.S. federal income tax law permits tax-deferred accumulation of income earned under life insurance and annuity products and permits exclusion from taxation of death benefits paid under life insurance contracts. Changes in tax laws that restrict these tax benefits, or declines in individual income tax rates more generally, could make our products less attractive to consumers. See “Business — Regulation — Federal Tax Reform” for a discussion of the potential impacts of the Inflation Reduction Act and the related corporate alternative minimum tax.</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disputes and regulatory investigations are common in our businesses and may result in significant financial losses or harm to our reputation</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face a significant risk of legal disputes and regulatory investigations in the ordinary course of operating our businesses, including the risk of class action lawsuits. Our pending legal actions and regulatory investigations include proceedings specific to us, as well as other proceedings that raise issues that are generally applicable to business practices in the industries in which we operate.</w:t>
      </w:r>
    </w:p>
    <w:p>
      <w:pPr>
        <w:spacing w:after="0" w:line="7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our insurance operations, plaintiffs’ lawyers may bring or are bringing class actions and individual suits alleging, among other things, issues relating to sales or underwriting practices, claims payments and procedures, escheatment, product design, disclosure, administration, investments, denial or delay of benefits, lapse or termination of policies, COI and breaches of fiduciary or other duties to customers. Plaintiffs in class action and other lawsuits against us may seek very large or indeterminate amounts, including punitive and treble damages. Due to the vagaries of litigation, the outcome of a litigation matter and the amount or range of potential loss at particular points in time may be difficult to ascertain. Material pending litigation and other legal disputes, as well as regulatory matters affecting us and risks to our business presented by these proceedings, if any, are discussed in Note 17 of the Notes to the Consolidated Financial Statements.</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 substantial legal liability or a significant federal, state or other regulatory action against us, as well as regulatory inquiries or investigations, could harm our reputation, result in material fines or penalties, result in significant legal costs and otherwise have a material adverse effect on our business, financial condition and results of operations. Even if we ultimately prevail in the litigation, regulatory action or investigation, our ability to attract new customers and distributors, retain our current customers and distributors, and recruit and retain personnel could be materially and adversely impacted. Regulatory inquiries and legal disputes may also cause volatility in the price of BHF securities and the securities of companies in our industry.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Current claims, litigation, unasserted claims probable of assertion, investigations and other proceedings against us, as well as any other disputes or other matters involving third parties, could have a material adverse effect on our business, financial condition and results of operations. It is also possible that related or unrelated claims, litigation, unasserted claims probable of assertion, investigations and proceedings may be commenced in the future, and we could become subject to further investigations and have lawsuits filed or enforcement actions initiated against us. Increased regulatory scrutiny and any resulting investigations or proceedings in any of the jurisdictions where we operate could result in new legal actions and precedents or changes in laws, rules or regulations that could adversely affect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Risks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gaps in our policies, procedures, or processes may leave us exposed to unidentified or unanticipated risk, and our models used by our business may not operate properly and could contain errors, each of which could adversely affect our business, financial condition, or results of operations</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developed policies, procedures and processes to enable and support the ongoing review of the actual and potential risks facing the Company. Nonetheless, our policies, procedures and processes may not be fully effective in identifying and assessing such risks, leaving us exposed to unidentified or unanticipated risks. In addition, we rely on third-party providers to administer and service many of our products, and our policies, procedures and processes may not enable us to identify and assess every risk with respect to those products, especially to the extent we rely on those providers for relevant information, including detailed information regarding the holders of our products.</w:t>
      </w:r>
    </w:p>
    <w:p>
      <w:pPr>
        <w:spacing w:after="0" w:line="7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use models to manage our business and evaluate the associated risk exposures. The models may not operate properly and could contain errors related to model inputs, data, assumptions, calculations, or output that may adversely impact our results of operations. In addition, these models may not fully predict future exposures, which may be significantly greater than our historical measures indicate. For example, we use actuarial models to assist us in establishing reserves for liabilities arising from our insurance policies and annuity contracts. We periodically review the effectiveness of these models, their underlying logic, and, from time to time, implement refinements to our models based on these reviews. We implement refinements after rigorous testing and validation; even after such validation and testing, our models remain subject to inherent limitations. Accordingly, no assurances can be given as to whether or when we will implement refinements to our actuarial models, and, if implemented, whether such refinements will be sufficient. Furthermore, if implemented, any such refinements could cause us to increase the reserves we hold for our insurance policy and annuity contract liabilities. If models are misused or fail to serve their intended purposes, they could produce incorrect or inappropriate results. Business decisions based on incorrect or misused model outputs or reports could have a material adverse impact on our results of operations.</w:t>
      </w:r>
    </w:p>
    <w:p>
      <w:pPr>
        <w:spacing w:after="0" w:line="87"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Other risk management models depend upon the evaluation of information regarding markets, clients, catastrophe occurrence, or other matters that are publicly available or otherwise accessible to us. This information may not always be accurate, complete, up-to-date, or properly evaluated. Furthermore, there can be no assurance that we can effectively review and monitor all risks or that all of our employees will follow our policies, procedures and processes, nor can there be any assurance that our policies, procedures and processes, or the policies, procedures and processes of third parties that administer or service our products, will enable us to accurately identify all risks and limit our exposures based on our assessments. In addition, if our business changes or the markets in which we operate evolve and new risks emerge, we may have to implement more extensive and perhaps different policies, procedures or processes and our risk management framework may not evolve at the same pace as those changes. See “— Risks Related to Our Business — Our hedging strategy may not be effective, which may result in significant volatility in our profitability measures or may negatively affect our statutory capital.”</w:t>
      </w:r>
    </w:p>
    <w:p>
      <w:pPr>
        <w:spacing w:after="0" w:line="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Any failure in our cybersecurity risk management program,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w:t>
      </w:r>
    </w:p>
    <w:p>
      <w:pPr>
        <w:spacing w:after="0" w:line="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heavily rely on communications, information systems (both internal and provided by third parties), and the internet to conduct our business. We rely on these systems throughout our business for a variety of functions, including processing new business, claims, and post-issue transactions, providing information to customers and distributors, performing actuarial analyses, managing our investments and maintaining financial records. A failure in the security of such systems or a failure to maintain the security of such systems, or the confidential information stored thereon, may result in regulatory enforcement action, harm our reputation or otherwise adversely affect our ability to conduct business, our financial condition or results of operations. In addition, our continuous technological evaluations and enhancements, including changes designed and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intended to update our protective measures, may increase our risk of a breach or gap in our security, and there can be no assurance that any such efforts will be effective in preventing or limiting the impact of future cyberattacks.</w:t>
      </w:r>
    </w:p>
    <w:p>
      <w:pPr>
        <w:spacing w:after="0" w:line="5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and our vendors, like other commercial entities, have been, and will likely continue to be, subject to a variety of forms of cyberattacks with the objective of gaining unauthorized access to our systems and data, or disrupting our operations. Potential attacks may include, but are not limited to, cyberattacks, phishing attacks, account takeover attempts, the introduction of computer viruses or malicious code (commonly referred to as “malware”), ransomware or other extortion tactics, denial of service attacks, credential stuffing, and other computer-related penetrations, each of which may be facilitated by the use of AI. Hardware, software or applications developed by us or received from third parties may contain exploitable vulnerabilities, bugs, or defects in design, maintenance or manufacture or other issues that could compromise information and cybersecurity. The risk of cyberattacks has also increased and may continue to increase in connection with recent geopolitical conflicts, including in Europe and the Middle East, and other geopolitical events and dynamics that may adversely disrupt or degrade our operations and may compromise our data. Malicious actors may attempt to fraudulently induce employees, customers, or other users of our systems to disclose credentials or other similar sensitive information in order to gain access to our systems or data, or that of our customers, through social engineering, phishing, mobile phone malware, and other methods.</w:t>
      </w:r>
    </w:p>
    <w:p>
      <w:pPr>
        <w:spacing w:after="0" w:line="8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Cybersecurity threats are rapidly evolving, and those threats and the means for obtaining access to our systems are becoming increasingly sophisticated. Cybersecurity threats can originate from a wide variety of sources including terrorists, nation states, financially or politically motivated actors, internal actors such as employees (through malicious or accidental acts), or third parties, such as external service providers, and the techniques used to effectuate such threats change frequently or are often not recognized until after they have been launched. The rapid evolution and increased adoption of AI technologies may intensify our cybersecurity or other information security system risks, including the deployment of AI technologies by malicious third parties and threat actors intent on finding and exploiting vulnerabilities, their use of “deep fakes,” and long-term persistent attacks that may increase in sophistication and effectiveness in the future. There is no assurance that administrative, physical and technical controls and other preventive actions taken to reduce the risk of cyberattacks and protect our information technology will prevent physical and electronic break-ins, cyberattacks or other security breaches to such computer systems. In some cases, such physical and electronic break-ins, cyberattacks or other security breaches may not be immediately detected. If we or our vendors fail to prevent, detect, address and mitigate such incidents, this may impede or interrupt our business operations and information systems, result in data loss, destruction, modification, disclosure or misuse, or loss of assets which could adversely affect our business, financial condition and results of operations.</w:t>
      </w:r>
    </w:p>
    <w:p>
      <w:pPr>
        <w:spacing w:after="0" w:line="7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 disaster such as a natural catastrophe, epidemic, pandemic, industrial accident, blackout, terrorist attack, cyberattack or war, unanticipated problems with our or our vendors’ disaster recovery systems (and the disaster recovery systems of such vendors’ suppliers, vendors or subcontractors), could cause our computer systems to be inaccessible to our employees, distributors, vendors or customers or may destroy valuable data. In addition, in the event that a significant number of our or our vendors’ managers were unavailable following a disaster, our ability to effectively conduct business could be severely compromised. These interruptions also may interfere with our suppliers’ ability to provide goods and services and our employees’ ability to perform their job responsibilities. Unanticipated problems with, or failures of, our disaster recovery systems and business continuity plans could have a material impact on our ability to conduct business and on our financial condition and results of operations.</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 failure of our or relevant third-party (or such third-party’s supplier’s, vendor’s or subcontractor’s computer systems) computer systems could cause significant interruptions in our operations, result in a failure to maintain the security, confidentiality or privacy of sensitive data, harm our reputation, subject us to regulatory sanctions and legal claims, lead to a loss of customers and revenues, and otherwise adversely affect our business and financial results. Our cyber liability insurance may not be sufficient to protect us against all losses. See also “— Any failure to protect the confidentiality of customer, employee, or other third-party information could adversely affect our reputation and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employees and those of our third-party service providers may take excessive risks which could negatively affect our financial condition and business</w:t>
      </w:r>
    </w:p>
    <w:p>
      <w:pPr>
        <w:spacing w:after="0" w:line="12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an insurance enterprise, we are in the business of accepting certain risks. The individuals who conduct our business include executive officers and other members of management, sales intermediaries, investment professionals, product managers, and other associates, as well as associates of our various third-party service providers. Each of these individuals makes decisions and choices that may expose us to risk. These include decisions such as setting underwriting guidelines and standards, product design and pricing, determining what assets to purchase for investment and when to sell them, which business opportunities to pursue, and other decisions. Such individuals may take excessive risks regardless of the structure of our risk management framework or our compensation programs and practices, which may not effectively deter excessive risk-taking or misconduct. Similarly, our controls and procedures designed to monitor associates’ business decisions and prevent them from taking excessive risks, and to prevent employee misconduct, may not be effective. If our associates and those of our third-party service providers take excessive risks, the impact of those risks could harm our reputation and have a material adverse effect on our financial condition and results of operations.</w:t>
      </w:r>
    </w:p>
    <w:p>
      <w:pPr>
        <w:spacing w:after="0" w:line="7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the confidentiality of customer, employee, or other third-party information could adversely affect our reputation and have a material adverse effect on our business, financial condition and results of operations</w:t>
      </w:r>
    </w:p>
    <w:p>
      <w:pPr>
        <w:spacing w:after="0" w:line="5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Federal and state legislatures and various government agencies have established laws and regulations protecting the privacy and security of personal information. See “Business — Regulation — Privacy and Cybersecurity Regulation.” Our third-party service providers and our employees have access to, and routinely process, personal information through a variety of media, including information technology systems. It is possible that an employee or third-party service provider (or their suppliers, vendors or subcontractors) could, intentionally or unintentionally, disclose or misappropriate personal information, and there can be no assurance that our information security policies and systems in place can prevent unauthorized use or disclosure of confidential information, including personal information. Additionally, our data has been and could in the future be the subject of cyberattacks, and the misappropriation or intentional or unintentional inappropriate disclosure or misuse of employee or client information has occurred and could occur in the future, including as a result of us or our third-party service providers (or their suppliers, vendors or subcontractors) failing to maintain adequate internal controls or if our associates or any of our third-party service providers fail to comply with applicable policies and procedures. Any failure or perceived failure by us to comply with our privacy policies, our privacy-related obligations to customers, employees, or other third parties, or our privacy-related legal obligations, or any compromise of security that results in the unauthorized release or transfer of sensitive information, which could include personal information or other user data, may result in governmental investigations, enforcement actions, regulatory fines, litigation and public statements against us by consumer advocacy groups or others, and could cause our customers, employees, or other third parties to lose trust in us, all of which could be costly and have a material adverse effect on our business, financial condition and results of operations. See “— Any failure in our cybersecurity risk management program,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 In addition, compliance with complex variations in privacy and data security laws may require modifications to current business practices, including significant technological efforts that require long implementation timelines, increased costs and dedicated resources.</w:t>
      </w:r>
    </w:p>
    <w:p>
      <w:pPr>
        <w:spacing w:after="0" w:line="8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Furthermore, there has been increased scrutiny as well as enacted and proposed additional laws and regulations, including from state regulators, regarding the use of personal information. These laws and regulations are increasing in complexity and number, change frequently, and may be subject to interpretation by different regulators and courts. We may analyze personal information or input such information into third-party analytics in order to better manage our business. Any inquiry in connection with our analytics business practices, as well as any misuse or alleged misuse of those analytics insights, including for alleged violation of third-party privacy and intellectual property rights, or other rights, or alleged breach of contractual obligations, such as limitations on the use of personal information, could cause reputational harm or result in regulatory enforcement actions or litigation, and any related limitations imposed on us could have a material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Separation from, and Continuing Relationship with, MetLife</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the Separation were to fail to qualify for non-recognition treatment for federal income tax purposes, then we could be subject to significant tax liabilities</w:t>
      </w:r>
    </w:p>
    <w:p>
      <w:pPr>
        <w:spacing w:after="0" w:line="5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Separation, MetLife received a private letter ruling from the IRS regarding certain significant issues under the Tax Code, as well as an opinion from its tax advisor that, subject to certain limited exceptions, the Separation qualifies for non-recognition of gain or loss to MetLife and MetLife’s shareholders pursuant to Sections 355 and 361 of the Tax Code. Notwithstanding the receipt of the private letter ruling and the tax opinion, the tax opinion is not binding on the IRS or the courts, and the IRS could determine that the Separation should be treated as a taxable transaction and, as a result, we could incur significant federal income tax liabilities, and we could have an indemnification obligation to MetLife.</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Generally, taxes resulting from the failure of the Separation to qualify for non-recognition treatment for federal income tax purposes would be imposed on MetLife or MetLife’s shareholders. Under the tax separation agreement with MetLife, Inc. (the “Tax Separation Agreement”), MetLife is generally obligated to indemnify us against such taxes if the failure to qualify for tax-free treatment results from, among other things, any action or inaction that is within MetLife’s control. MetLife may dispute an indemnification obligation to us under the Tax Separation Agreement, and there can be no assurance that MetLife will be able to satisfy its indemnification obligation to us or that such indemnification will be sufficient for us in the event of nonperformance by MetLife. The failure of MetLife to fully indemnify us could have a material adverse effect on our financial condition and results of operations.</w:t>
      </w:r>
    </w:p>
    <w:p>
      <w:pPr>
        <w:spacing w:after="0" w:line="79"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MetLife will generally bear tax-related losses due to the failure of certain steps that were part of the Separation to qualify for their intended tax treatment. However, the IRS could seek to hold us responsible for such liabilities, and under the Tax Separation Agreement, we could be required, under certain circumstances, to indemnify MetLife and its affiliates against certain tax-related liabilities caused by those failures. If the Separation does not qualify for non-recognition treatment or if certain other steps that are part of the Separation do not qualify for their intended tax treatment, we could be required to pay material additional taxes or be obligated to indemnify MetLife, which could have a material adverse effect on our financial condition and results of operations.</w:t>
      </w:r>
    </w:p>
    <w:p>
      <w:pPr>
        <w:spacing w:after="0" w:line="62"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 Separation was also subject to tax rules regarding the treatment of certain of our tax attributes (such as the basis in our assets). In certain circumstances such rules could require us to reduce those attributes, which could materially and adversely affect our financial condition. The ultimate tax consequences to us of the Separation may not be finally determined for many years and may differ from the tax consequences that we and MetLife expected at the time of the Separation. As a result, we could be required to pay material additional taxes and to materially reduce the tax assets (or materially increase the tax liabilities) on our consolidated balance sheet. These changes could impact our available capital, ratings or cost of capital. There can be no assurance that the Tax Separation Agreement will protect us from any such consequences, or that any issue that may arise will be subject to indemnification by MetLife under the Tax Separation Agreement. As a result, our financial condition and results of operations could be materially and adversely affected.</w:t>
      </w:r>
    </w:p>
    <w:p>
      <w:pPr>
        <w:spacing w:after="0" w:line="6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Disputes or disagreements with MetLife may affect our financial statements and business operations, and our contractual remedies may not be sufficient; we may also be required to share in certain of MetLife's liabilities</w:t>
      </w:r>
    </w:p>
    <w:p>
      <w:pPr>
        <w:spacing w:after="0" w:line="5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Master Separation Agreement that sets forth our agreements with MetLife relating to the ownership of certain assets and the allocation of certain liabilities in connection with the Separation (the “Master Separation Agreement”) provides that, subject to certain exceptions, we will indemnify, hold harmless and defend MetLife and certain related individuals from and against all liabilities relating to, arising out of or resulting from certain events relating to our business. We cannot predict whether any event triggering this indemnity will occur or the extent to which we may be obligated to indemnify MetLife or such related individuals. In addition, the Master Separation Agreement provides that, subject to certain exceptions, MetLife will indemnify, hold harmless and defend us and certain related individuals from and against all liabilities relating to, arising out of or resulting from certain events relating to its business. There can be no assurance that MetLife will be able to satisfy its indemnification obligation to us or that such indemnification will be sufficient to us in the event of a dispute or nonperformance by MetLife.</w:t>
      </w:r>
    </w:p>
    <w:p>
      <w:pPr>
        <w:spacing w:after="0" w:line="8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the Master Separation Agreement allocates responsibility among MetLife and Brighthouse Financial with respect to certain claims (including litigation or regulatory actions or investigations where Brighthouse Financial is not a party). As a result, we may face indemnification obligations or be required to share in certain of MetLife’s liabilities with respect to such claims.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10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permitted to declare and pay dividends on our common stock, and legal restrictions could limit our ability to pay dividends on our capital stock and our ability to repurchase our common stock at the level we wish in the future</w:t>
      </w:r>
    </w:p>
    <w:p>
      <w:pPr>
        <w:spacing w:after="0" w:line="5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Pursuant to the Merger Agreement, we have agreed that during the period beginning the date of the Merger Agreement through the earlier of the closing of the Merger and the termination of the Merger Agreement, we will not, without the written consent of Aquarian Parent, pay any dividend or other distribution payable in cash, stock or property with respect to our common stock, or subject to certain exceptions, purchase directly or indirectly any of BHF’s or its subsidiaries’ capital stock or other equity or voting interests of BHF or any of its subsidiaries. We currently intend to use our future statutory free cash flow, if any, to pay debt obligations, to fund our growth, to develop our business, for working capital needs, to carry out any share or debt repurchases that we may undertake, as well as for general corporate purposes. Therefore, you are not likely to receive any dividends on your common stock in the foreseeable future. There is no guarantee that shares of our common stock will appreciate in value or even maintain the price at which the shares currently trade, and the market price of our common stock may fluctuate widely depending on many factors, some of which may be beyond our control, including the pendency of the Merger. See “Risks Related to the Merger – Failure to complete the Merger could adversely affect our business, results of operations or financial condition, including in the event the Company is required to pay the termination fee.”</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terms of the agreements governing preferred stock and certain of our outstanding indebtedness, as well as debt and other financial instruments that we may issue in the future, may limit or prohibit the payment of dividends on our common stock or preferred stock, or the payment of interest on our junior subordinated debentures. See “Management’s Discussion and Analysis of Financial Condition and Results of Operations — Liquidity and Capital Resources — The Company — Primary Uses of Liquidity and Capital — ‘Dividend Stopper’ Provisions in BHF’s Preferred Stock and Junior Subordinated Debentures.”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Program and Strategy</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understand the importance of maintaining a robust cybersecurity risk management program to assess, identify, and manage the material risks associated with cybersecurity threats.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Cybersecurity Risks; Cybersecurity Risk Management Strategy</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the Company’s enterprise risk management framework, and our strategy focuses on implementing effective and efficient processes, technologies, and controls to assess, identify, and manage cybersecurity risks. Our cybersecurity risk management program is designed to be aligned with the National Institute of Standards and Technology Cybersecurity Framework (“NIST Framework”), which provides standards, guidelines and best practices on managing cybersecurity risk, as well as the organization, improvement and assessment of the Company’s cybersecurity risk management program.</w:t>
      </w:r>
    </w:p>
    <w:p>
      <w:pPr>
        <w:spacing w:after="0" w:line="79"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Our Chief Technology Officer (“CTO”) has overall responsibility for our information technology program, which includes the Company’s cybersecurity risk management program. Our Chief Information Security Officer (“CISO”) is directly responsible for the Company’s cybersecurity risk management program, which is designed to protect and preserve the integrity, confidentiality, and continued availability of the information owned by, or in the care of, the Company. Our CTO has over 25 years of information technology experience, including systems development, technology strategy, and vendor management; our CISO has over 30 years of information technology and cybersecurity risk management program management experience. Prior to joining Brighthouse Financial, both our CTO and CISO previously served in roles that involved leading and overseeing information technology and cybersecurity risk management programs at other public companies in the financial services industry. In addition, our CTO serves on a cross-departmental, management-level risk committee that oversees the Company’s enterprise risks, including cybersecurity risks. This enterprise-level risk committee is informed about and monitors the prevention, mitigation, detection, and remediation of cybersecurity incidents.</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Our cybersecurity team regularly assesses the threat landscape and takes an enterprise-wide view of cybersecurity risks. We monitor issues that are internally discovered or externally reported that may affect our business, and we employ a range of tools and third-party services to effectuate our cybersecurity risk identification and assessments, including regular</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network and endpoint monitoring, threat and vulnerability assessments, and external penetration testing. In addition, our cybersecurity team conducts regular reviews, conducts tabletop exercises, performs internal testing, and leverages the audits performed by our internal audit team. We also engage the services of third-party consultants to assess and evaluate the effectiveness of our controls (in alignment with the NIST Framework), to improve our security measures and strategy, and to review our cybersecurity risk management program against the NIST Framework. The results of the most recent assessment of our cybersecurity risk management program confirmed the rigor of our cybersecurity risk management practices.</w:t>
      </w:r>
    </w:p>
    <w:p>
      <w:pPr>
        <w:spacing w:after="0" w:line="79" w:lineRule="exact"/>
        <w:rPr>
          <w:sz w:val="20"/>
          <w:szCs w:val="20"/>
          <w:color w:val="auto"/>
        </w:rPr>
      </w:pPr>
    </w:p>
    <w:p>
      <w:pPr>
        <w:jc w:val="both"/>
        <w:ind w:left="160" w:firstLine="318"/>
        <w:spacing w:after="0" w:line="266" w:lineRule="auto"/>
        <w:rPr>
          <w:sz w:val="20"/>
          <w:szCs w:val="20"/>
          <w:color w:val="auto"/>
        </w:rPr>
      </w:pPr>
      <w:r>
        <w:rPr>
          <w:rFonts w:ascii="Times New Roman" w:cs="Times New Roman" w:eastAsia="Times New Roman" w:hAnsi="Times New Roman"/>
          <w:sz w:val="17"/>
          <w:szCs w:val="17"/>
          <w:color w:val="auto"/>
        </w:rPr>
        <w:t>Our cybersecurity team has also established company-wide policies and procedures that cover cybersecurity matters, which are designed to enable us to effectively identify, evaluate, and respond to events that have the potential to impact our business. In the event of a cybersecurity incident, the Company utilizes a well-defined incident response plan that is designed to coordinate the activities we take to prepare for, detect, respond to and recover from cybersecurity incidents, which include processes to triage, assess severity, escalate, contain, investigate, and remediate the incident, as well as to comply with potentially applicable legal obligations (including relevant securities laws) and mitigate brand and reputational damage. This plan includes immediate actions to mitigate the impact of the incident, as well as long-term strategies for the remediation and prevention of future incidents. In accordance with this plan, we have established a cross-departmental Brighthouse Response Team that is responsible for coordinating enterprise-wide responses to cybersecurity incidents. This Brighthouse Response Team provides reports regarding cybersecurity incidents to the enterprise-level risk committee referenced above.</w:t>
      </w:r>
    </w:p>
    <w:p>
      <w:pPr>
        <w:spacing w:after="0" w:line="69"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Further, employees outside of our information technology organization have a role in our cybersecurity defenses, and we encourage a corporate culture supportive of security, which we believe improves the effectiveness of our cybersecurity risk management program. Through our Security Awareness Program, we provide our employees with regular cybersecurity training and educational resources to help ensure that they remain vigilant against threats. These include frequent simulated phishing campaigns, newsletters, alerts, e-mail reminders, and a mandatory annual cybersecurity awareness training course for all employees. In addition to Company policies that we make available to all employees, our cybersecurity awareness training provides clear reporting and escalation processes in the event of suspicious activity.</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Third-Party Risk Management</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Our processes also address the cybersecurity risks associated with our use of third-party vendors, some of which have access to our customer and employee data. We conduct security assessments of all third-party vendors that have access to our systems, our data and/or the facilities that house such systems or data. As part of our third-party risk management program, our cybersecurity risk management and third-party risk management teams collaborate to monitor our third-party vendors’ compliance with our cybersecurity standards. This approach is designed to mitigate risks related to data breaches or other security incidents originating from third parties.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from Cybersecurity Threats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Our systems and our third-party vendors’ systems periodically experience directed attacks intended to lead to (i) interruptions or delays in our operations or (ii) the loss, misuse or theft of personal information and other data, including confidential information or intellectual property. Based on the information available as of the filing date of this Annual Report on Form 10-K, we are not aware of any cybersecurity incidents, directly or indirectly, that have materially affected or are reasonably likely to materially affect our business, results of operations, or financial condition. For more information regarding our risks from cybersecurity threats, see “Risk Factors — Operational Risks — Any failure in our cybersecurity risk management program, as well as the occurrence of events unanticipated in Brighthouse Financial’s or our third-party service providers’ disaster recovery systems and business continuity planning, could result in a loss or disclosure of confidential information, damage to our reputation and impairment of our ability to conduct business effectively” and “Risk Factors — Operational Risks — Any failure to protect the confidentiality of customer, employee, or other third-party information could adversely affect our reputation and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Board of Directors - Oversight and Management Reporting</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is primarily responsible for overseeing cybersecurity risks, and the Board of Directors is actively engaged with respect to these risks. The Audit Committee and/or the Board of Directors generally meet with our CTO and CISO on a quarterly basis to review our information technology and cybersecurity risk profile and to discuss our activities to manage the related risks, including risk assessments, mitigation strategies, areas of emerging risks, incidents, industry trends, tabletop exercises, and other areas of importance. In addition to these regular meetings, we have an escalation process in place to timely inform the Board of Directors of any significant cybersecurity incidents, including any updates relating thereto, to ensure that the Board of Directors’ oversight is proactive and responsive. Our Chief Compliance Officer also regularly reports to the Audit Committee regarding the Company’s compliance with applicable regulations relating to cybersecurity.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material.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17 of the Notes to the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1" w:lineRule="exact"/>
        <w:rPr>
          <w:sz w:val="20"/>
          <w:szCs w:val="20"/>
          <w:color w:val="auto"/>
        </w:rPr>
      </w:pPr>
    </w:p>
    <w:p>
      <w:pPr>
        <w:ind w:right="214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Item 5. Market for Registrant’s Common Equity, Related Stockholder Matters and Issuer Purchases of Equity Securities </w:t>
      </w:r>
      <w:r>
        <w:rPr>
          <w:rFonts w:ascii="Times New Roman" w:cs="Times New Roman" w:eastAsia="Times New Roman" w:hAnsi="Times New Roman"/>
          <w:sz w:val="18"/>
          <w:szCs w:val="18"/>
          <w:b w:val="1"/>
          <w:bCs w:val="1"/>
          <w:i w:val="1"/>
          <w:iCs w:val="1"/>
          <w:color w:val="auto"/>
        </w:rPr>
        <w:t>Issuer Common Equity</w:t>
      </w:r>
    </w:p>
    <w:p>
      <w:pPr>
        <w:spacing w:after="0" w:line="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BHF’s common stock, par value $0.01 per share, trades on the Nasdaq under the symbol “BHF.”</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February 20, 2026, there were approximately 1.0 million registered holders of record of our common stock. The actual number of holders of our common stock is substantially greater than this number of record holders, and includes stockholders who are beneficial owners, but whose shares are held in “street name” by banks, brokers, and other financial institutions.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we are not currently permitted to declare and pay dividends on our common stock. See “Risk Factors — Risks Related to Our Securities — We are not currently permitted to declare and pay dividends on our common stock, and legal restrictions could limit our ability to pay dividends on our capital stock and our ability to repurchase our common stock at the level we wish in the future” and “Management’s Discussion and Analysis of Financial Condition and Results of Operations — Liquidity and Capital Resources — The Company — Capital.”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graph and table below present BHF’s cumulative total shareholder return relative to the performance of (1) the S&amp;P 500 Index, (2) the S&amp;P 500 Financials Index and (3) the S&amp;P 500 Life &amp; Health Insurance Index, respectively, for the five-year period ended December 31, 2025. All values assume a $100 initial investment at the opening price of BHF’s common stock on the Nasdaq and data for each of the S&amp;P 500 Index, the S&amp;P 500 Financials Index and the S&amp;P 500 Life &amp; Health Insurance Index assume all dividends were reinvested on the date paid. The points on the graph and the values in the table represent month-end values based on the last trading day of each month. The comparisons are based on historical data and are not indicative of, nor intended to forecast, the future performance of our common stock.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588010</wp:posOffset>
            </wp:positionV>
            <wp:extent cx="5662295" cy="25996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62295" cy="2599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2020</w:t>
            </w:r>
          </w:p>
        </w:tc>
        <w:tc>
          <w:tcPr>
            <w:tcW w:w="16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2021</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2022</w:t>
            </w:r>
          </w:p>
        </w:tc>
        <w:tc>
          <w:tcPr>
            <w:tcW w:w="180" w:type="dxa"/>
            <w:vAlign w:val="bottom"/>
          </w:tcPr>
          <w:p>
            <w:pPr>
              <w:spacing w:after="0"/>
              <w:rPr>
                <w:sz w:val="16"/>
                <w:szCs w:val="16"/>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2023</w:t>
            </w:r>
          </w:p>
        </w:tc>
        <w:tc>
          <w:tcPr>
            <w:tcW w:w="16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 31, 2024</w:t>
            </w:r>
          </w:p>
        </w:tc>
        <w:tc>
          <w:tcPr>
            <w:tcW w:w="180" w:type="dxa"/>
            <w:vAlign w:val="bottom"/>
          </w:tcPr>
          <w:p>
            <w:pPr>
              <w:spacing w:after="0"/>
              <w:rPr>
                <w:sz w:val="16"/>
                <w:szCs w:val="16"/>
                <w:color w:val="auto"/>
              </w:rPr>
            </w:pPr>
          </w:p>
        </w:tc>
        <w:tc>
          <w:tcPr>
            <w:tcW w:w="104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Dec 31, 2025</w:t>
            </w:r>
          </w:p>
        </w:tc>
      </w:tr>
      <w:tr>
        <w:trPr>
          <w:trHeight w:val="38"/>
        </w:trPr>
        <w:tc>
          <w:tcPr>
            <w:tcW w:w="350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444"/>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BHF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146.17</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132.69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178.95</w:t>
            </w:r>
          </w:p>
        </w:tc>
      </w:tr>
      <w:tr>
        <w:trPr>
          <w:trHeight w:val="441"/>
        </w:trPr>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S&amp;P 500</w:t>
            </w:r>
          </w:p>
        </w:tc>
        <w:tc>
          <w:tcPr>
            <w:tcW w:w="28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105.40</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133.10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166.40</w:t>
            </w:r>
          </w:p>
        </w:tc>
        <w:tc>
          <w:tcPr>
            <w:tcW w:w="8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196.16</w:t>
            </w:r>
          </w:p>
        </w:tc>
      </w:tr>
      <w:tr>
        <w:trPr>
          <w:trHeight w:val="460"/>
        </w:trPr>
        <w:tc>
          <w:tcPr>
            <w:tcW w:w="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S&amp;P 500</w:t>
            </w:r>
          </w:p>
        </w:tc>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135.49</w:t>
            </w: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176.89</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203.47</w:t>
            </w:r>
          </w:p>
        </w:tc>
      </w:tr>
      <w:tr>
        <w:trPr>
          <w:trHeight w:val="432"/>
        </w:trPr>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S&amp;P 500</w:t>
            </w:r>
          </w:p>
        </w:tc>
        <w:tc>
          <w:tcPr>
            <w:tcW w:w="2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&amp; Health Insurance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136.68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157.83</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189.86</w:t>
            </w:r>
          </w:p>
        </w:tc>
        <w:tc>
          <w:tcPr>
            <w:tcW w:w="8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201.00</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15"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On November 16, 2023, BHF’s Board of Directors authorized the repurchase of up to $750 million of BHF’s common stock, which does not have an expiration date. Repurchases made under such authorization may be made through open market purchases, including pursuant to Rule 10b5-1 plans or pursuant to accelerated stock repurchase plans, or through privately negotiated transactions, from time to time at management’s discretion in accordance with applicable legal requirements. The Company did not repurchase any shares of its common stock during the fourth quarter of 2025. In addition, pursuant to the Merger Agreement, we have agreed that during the period beginning the date of the Merger Agreement through the earlier of the closing of the Merger and the termination of the Merger Agreement, we will not, subject to certain exceptions, purchase directly or indirectly any of BHF’s or its subsidiaries’ capital stock or other equity or voting interests of BHF or any of its subsidiaries. At December 31, 2025, BHF had $441 million remaining under its common stock repurchase program. See “Risk Factors — Risks Related to Our Securities — We are not currently permitted to declare and pay dividends on our common stock, and legal restrictions could limit our ability to pay dividends on our capital stock and our ability to repurchase our common stock at the level we wish in the future,” “Management’s Discussion and Analysis of Financial Condition and Results of Operations — Liquidity and Capital Resources — The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Capital,” “Management’s Discussion and Analysis of Financial Condition and Results of Operations — Liquidity and Capital Resources — The Company</w:t>
      </w:r>
    </w:p>
    <w:p>
      <w:pPr>
        <w:spacing w:after="0" w:line="1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Primary Uses of Liquidity and Capital — Common Stock Repurchases” and Note 12 of the Notes to the Consolidated Financial Statements for more information on common stock repurchases.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7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0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0" w:type="dxa"/>
            <w:vAlign w:val="bottom"/>
          </w:tcPr>
          <w:p>
            <w:pPr>
              <w:spacing w:after="0"/>
              <w:rPr>
                <w:sz w:val="24"/>
                <w:szCs w:val="24"/>
                <w:color w:val="auto"/>
              </w:rPr>
            </w:pPr>
          </w:p>
        </w:tc>
        <w:tc>
          <w:tcPr>
            <w:tcW w:w="14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rPr>
              <w:t>Introduction</w:t>
            </w:r>
          </w:p>
        </w:tc>
        <w:tc>
          <w:tcPr>
            <w:tcW w:w="8320" w:type="dxa"/>
            <w:vAlign w:val="bottom"/>
            <w:gridSpan w:val="8"/>
            <w:vMerge w:val="restart"/>
          </w:tcPr>
          <w:p>
            <w:pPr>
              <w:spacing w:after="0"/>
              <w:rPr>
                <w:sz w:val="24"/>
                <w:szCs w:val="24"/>
                <w:color w:val="auto"/>
              </w:rPr>
            </w:pPr>
          </w:p>
        </w:tc>
        <w:tc>
          <w:tcPr>
            <w:tcW w:w="14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440" w:type="dxa"/>
            <w:vAlign w:val="bottom"/>
            <w:tcBorders>
              <w:bottom w:val="single" w:sz="8" w:color="0000FF"/>
            </w:tcBorders>
            <w:gridSpan w:val="4"/>
            <w:vMerge w:val="continue"/>
          </w:tcPr>
          <w:p>
            <w:pPr>
              <w:spacing w:after="0"/>
              <w:rPr>
                <w:sz w:val="14"/>
                <w:szCs w:val="14"/>
                <w:color w:val="auto"/>
              </w:rPr>
            </w:pPr>
          </w:p>
        </w:tc>
        <w:tc>
          <w:tcPr>
            <w:tcW w:w="8320" w:type="dxa"/>
            <w:vAlign w:val="bottom"/>
            <w:gridSpan w:val="8"/>
            <w:vMerge w:val="continue"/>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0000FF"/>
            </w:tcBorders>
          </w:tcPr>
          <w:p>
            <w:pPr>
              <w:jc w:val="center"/>
              <w:spacing w:after="0" w:line="152" w:lineRule="exact"/>
              <w:rPr>
                <w:sz w:val="20"/>
                <w:szCs w:val="20"/>
                <w:color w:val="auto"/>
              </w:rPr>
            </w:pPr>
            <w:r>
              <w:rPr>
                <w:rFonts w:ascii="Times New Roman" w:cs="Times New Roman" w:eastAsia="Times New Roman" w:hAnsi="Times New Roman"/>
                <w:sz w:val="17"/>
                <w:szCs w:val="17"/>
                <w:color w:val="0000FF"/>
              </w:rPr>
              <w:t>66</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7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Executive Summary</w:t>
            </w:r>
          </w:p>
        </w:tc>
        <w:tc>
          <w:tcPr>
            <w:tcW w:w="820" w:type="dxa"/>
            <w:vAlign w:val="bottom"/>
            <w:gridSpan w:val="2"/>
          </w:tcPr>
          <w:p>
            <w:pPr>
              <w:jc w:val="center"/>
              <w:ind w:left="552"/>
              <w:spacing w:after="0"/>
              <w:rPr>
                <w:sz w:val="20"/>
                <w:szCs w:val="20"/>
                <w:color w:val="auto"/>
              </w:rPr>
            </w:pPr>
            <w:r>
              <w:rPr>
                <w:rFonts w:ascii="Times New Roman" w:cs="Times New Roman" w:eastAsia="Times New Roman" w:hAnsi="Times New Roman"/>
                <w:sz w:val="18"/>
                <w:szCs w:val="18"/>
                <w:color w:val="0000FF"/>
                <w:w w:val="99"/>
              </w:rPr>
              <w:t>67</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04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Risk Management Strategies</w:t>
            </w:r>
          </w:p>
        </w:tc>
        <w:tc>
          <w:tcPr>
            <w:tcW w:w="772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68</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7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Industry Trends and Uncertainties</w:t>
            </w:r>
          </w:p>
        </w:tc>
        <w:tc>
          <w:tcPr>
            <w:tcW w:w="820" w:type="dxa"/>
            <w:vAlign w:val="bottom"/>
            <w:gridSpan w:val="2"/>
          </w:tcPr>
          <w:p>
            <w:pPr>
              <w:jc w:val="center"/>
              <w:ind w:left="552"/>
              <w:spacing w:after="0" w:line="205" w:lineRule="exact"/>
              <w:rPr>
                <w:sz w:val="20"/>
                <w:szCs w:val="20"/>
                <w:color w:val="auto"/>
              </w:rPr>
            </w:pPr>
            <w:r>
              <w:rPr>
                <w:rFonts w:ascii="Times New Roman" w:cs="Times New Roman" w:eastAsia="Times New Roman" w:hAnsi="Times New Roman"/>
                <w:sz w:val="18"/>
                <w:szCs w:val="18"/>
                <w:color w:val="0000FF"/>
                <w:w w:val="99"/>
              </w:rPr>
              <w:t>69</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06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Summary of Critical Accounting Estimates</w:t>
            </w:r>
          </w:p>
        </w:tc>
        <w:tc>
          <w:tcPr>
            <w:tcW w:w="6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70</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20" w:type="dxa"/>
            <w:vAlign w:val="bottom"/>
            <w:tcBorders>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Non-GAAP Financial Disclosures</w:t>
            </w:r>
          </w:p>
        </w:tc>
        <w:tc>
          <w:tcPr>
            <w:tcW w:w="73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73</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54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Results of Operations</w:t>
            </w:r>
          </w:p>
        </w:tc>
        <w:tc>
          <w:tcPr>
            <w:tcW w:w="822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75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6"/>
              </w:rPr>
              <w:t>Investments</w:t>
            </w:r>
          </w:p>
        </w:tc>
        <w:tc>
          <w:tcPr>
            <w:tcW w:w="890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86</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2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6"/>
              </w:rPr>
              <w:t>Derivatives</w:t>
            </w:r>
          </w:p>
        </w:tc>
        <w:tc>
          <w:tcPr>
            <w:tcW w:w="8940" w:type="dxa"/>
            <w:vAlign w:val="bottom"/>
            <w:gridSpan w:val="11"/>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94</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97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Policyholder Liabilities</w:t>
            </w:r>
          </w:p>
        </w:tc>
        <w:tc>
          <w:tcPr>
            <w:tcW w:w="820" w:type="dxa"/>
            <w:vAlign w:val="bottom"/>
            <w:gridSpan w:val="2"/>
          </w:tcPr>
          <w:p>
            <w:pPr>
              <w:jc w:val="center"/>
              <w:ind w:left="552"/>
              <w:spacing w:after="0" w:line="205" w:lineRule="exact"/>
              <w:rPr>
                <w:sz w:val="20"/>
                <w:szCs w:val="20"/>
                <w:color w:val="auto"/>
              </w:rPr>
            </w:pPr>
            <w:r>
              <w:rPr>
                <w:rFonts w:ascii="Times New Roman" w:cs="Times New Roman" w:eastAsia="Times New Roman" w:hAnsi="Times New Roman"/>
                <w:sz w:val="18"/>
                <w:szCs w:val="18"/>
                <w:color w:val="0000FF"/>
                <w:w w:val="99"/>
              </w:rPr>
              <w:t>95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gridSpan w:val="6"/>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4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976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820" w:type="dxa"/>
            <w:vAlign w:val="bottom"/>
            <w:gridSpan w:val="2"/>
          </w:tcPr>
          <w:p>
            <w:pPr>
              <w:jc w:val="center"/>
              <w:ind w:left="552"/>
              <w:spacing w:after="0" w:line="205" w:lineRule="exact"/>
              <w:rPr>
                <w:sz w:val="20"/>
                <w:szCs w:val="20"/>
                <w:color w:val="auto"/>
              </w:rPr>
            </w:pPr>
            <w:r>
              <w:rPr>
                <w:rFonts w:ascii="Times New Roman" w:cs="Times New Roman" w:eastAsia="Times New Roman" w:hAnsi="Times New Roman"/>
                <w:sz w:val="18"/>
                <w:szCs w:val="18"/>
                <w:color w:val="0000FF"/>
                <w:w w:val="99"/>
              </w:rPr>
              <w:t>97</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may contain forward-looking statements that reflect our plans, estimates and beliefs. Our actual results could differ materially from those discussed in these forward-looking statements. Factors that could cause or contribute to these differences include those factors discussed below and elsewhere in this report, particularly in “Note Regarding Forward-Looking Statements and Summary of Risk Factors” and “Risk Factors.” This Management’s Discussion and Analysis of Financial Condition and Results of Operations should also be read in conjunction with “Quantitative and Qualitative Disclosures About Market Risk” and our consolidated financial statements included elsewhere herein.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intended to help the reader understand the results of operations, financial condition and cash flows of Brighthouse Financial for the periods indicated. In addition to Brighthouse Financial, Inc., the companies and businesses included in the results of operations, financial condition and cash flows are:</w:t>
      </w:r>
    </w:p>
    <w:p>
      <w:pPr>
        <w:spacing w:after="0" w:line="72" w:lineRule="exact"/>
        <w:rPr>
          <w:sz w:val="20"/>
          <w:szCs w:val="20"/>
          <w:color w:val="auto"/>
        </w:rPr>
      </w:pPr>
    </w:p>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Life Insurance Company (together with its subsidiaries and affiliates, “BLIC”), our largest insurance subsidiary, domiciled in Delaware and licensed to write business in all U.S. states (except New York), the District of Columbia, the Bahamas, Guam, Puerto Rico, the British Virgin Islands and the U.S. Virgin Islands;</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NELICO, domiciled in Massachusetts and licensed to write business in all U.S. states and the District of Columbia;</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BHNY, domiciled in New York and licensed to write business only in New York, which is a subsidiary of Brighthouse Life Insurance Company;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BRCD, our reinsurance subsidiary domiciled and licensed in Delaware, which is a subsidiary of Brighthouse Life Insurance Company;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Advisers, serving as investment advisor to certain proprietary funds that are underlying investments under our and MetLife’s variable insurance products;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Services, LLC, an internal services and payroll company;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Securities, registered as a broker-dealer with the SEC, approved as a member of FINRA, registered as a broker-dealer and licensed as an insurance agency in all required states;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Brighthouse Holdings, LLC (“BH Holdings”), a direct holding company subsidiary of Brighthouse Financial, Inc. domiciled in Delaware.</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spacing w:after="0" w:line="72" w:lineRule="exact"/>
        <w:rPr>
          <w:sz w:val="20"/>
          <w:szCs w:val="20"/>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provides summarized information regarding our business, segments and financial results.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Management Strategies” describes the Company’s risk management strategies to protect against capital markets and other economic risks.</w:t>
      </w:r>
    </w:p>
    <w:p>
      <w:pPr>
        <w:spacing w:after="0" w:line="111"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Uncertainties” discusses updates and changes to a number of trends and uncertainties that we believe may materially affect our future financial condition, results of operations or cash flows.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Critical Accounting Estimates” explains what we believe to be the most critical estimates and judgments applied in determining our results in accordance with GAAP.</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82" w:lineRule="auto"/>
        <w:tabs>
          <w:tab w:leader="none" w:pos="63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“Non-GAAP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w:t>
      </w:r>
    </w:p>
    <w:p>
      <w:pPr>
        <w:spacing w:after="0" w:line="52"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begins with a discussion of our AAR, including a summary of the changes made to the key assumptions in 2025 and 2024, as well as the resulting impact on net income (loss) available to shareholders in each period.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Results of Operations discussion and analysis presents a review for the years ended December 31, 2025 and 2024 and year-over-year comparisons between these years. Our Results of Operations discussion and analysis for the year ended December 31, 2024, including a review of the 2024 AAR and year-over-year comparisons between the years ended December 31, 2024 and 2023 can be found in “Management’s Discussion and Analysis of Financial Condition and Results of Operations — Results of Operations” in our Annual Report on Form 10-K for the year ended December 31, 2024 (our “2024 Annual Report”), which was filed with the SEC on February 28, 2025, and such discussions are incorporated herein by reference.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one of the largest providers of annuity and life insurance products in the U.S. through multiple independent distribution channels and marketing arrangements with a diverse network of distribution partners. We are organized into the following reportable segments: Annuities; Life; Run-off; and Corporate &amp; Other. See “Business — Segment Information” and Note 2 of the Notes to the Consolidated Financial Statements for further information regarding our segments.</w:t>
      </w:r>
    </w:p>
    <w:p>
      <w:pPr>
        <w:spacing w:after="0" w:line="7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November 6, 2025, BHF entered into the Merger Agreement, pursuant to which, at the closing of the transactions contemplated by the Merger Agreement, Merger Sub will merge with and into BHF, and the separate corporate existence of Merger Sub will cease, with BHF continuing as the surviving corporation and as a wholly-owned subsidiary of Aquarian Parent. The Merger Agreement was adopted by stockholders at the special meeting held on February 12, 2026, and the applicable waiting period under the Hart-Scott Rodino Antitrust Improvement Act of 1976, as amended, has expired. The Merger is expected to close in 2026. However, the completion of the Merger remains subject to the satisfaction or waiver of certain other customary conditions, including receipt of insurance regulatory approvals. See “Risks Related to the Merger – The completion of the Merger is subject to a number of conditions, many of which are largely outside the parties’ control, and, if these conditions are not satisfied or waived, the Merger may not be completed within the expected timeframe or at all.”</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(loss) available to shareholders and adjusted earnings (loss), a non-GAAP financial measure,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60" w:type="dxa"/>
            <w:vAlign w:val="bottom"/>
          </w:tcPr>
          <w:p>
            <w:pPr>
              <w:spacing w:after="0"/>
              <w:rPr>
                <w:sz w:val="16"/>
                <w:szCs w:val="16"/>
                <w:color w:val="auto"/>
              </w:rPr>
            </w:pPr>
          </w:p>
        </w:tc>
        <w:tc>
          <w:tcPr>
            <w:tcW w:w="21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66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8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866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8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gridSpan w:val="3"/>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8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78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444"/>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475"/>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 (1)</w:t>
            </w: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8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0"/>
        </w:trPr>
        <w:tc>
          <w:tcPr>
            <w:tcW w:w="8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 and preferred stock dividends (1)</w:t>
            </w:r>
          </w:p>
        </w:tc>
        <w:tc>
          <w:tcPr>
            <w:tcW w:w="78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1,996</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1,623</w:t>
            </w:r>
          </w:p>
        </w:tc>
        <w:tc>
          <w:tcPr>
            <w:tcW w:w="0" w:type="dxa"/>
            <w:vAlign w:val="bottom"/>
          </w:tcPr>
          <w:p>
            <w:pPr>
              <w:spacing w:after="0"/>
              <w:rPr>
                <w:sz w:val="1"/>
                <w:szCs w:val="1"/>
                <w:color w:val="auto"/>
              </w:rPr>
            </w:pPr>
          </w:p>
        </w:tc>
      </w:tr>
      <w:tr>
        <w:trPr>
          <w:trHeight w:val="444"/>
        </w:trPr>
        <w:tc>
          <w:tcPr>
            <w:tcW w:w="8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4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475"/>
        </w:trPr>
        <w:tc>
          <w:tcPr>
            <w:tcW w:w="8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 (1)</w:t>
            </w: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1,617</w:t>
            </w:r>
          </w:p>
        </w:tc>
        <w:tc>
          <w:tcPr>
            <w:tcW w:w="1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1,319</w:t>
            </w:r>
          </w:p>
        </w:tc>
        <w:tc>
          <w:tcPr>
            <w:tcW w:w="0" w:type="dxa"/>
            <w:vAlign w:val="bottom"/>
          </w:tcPr>
          <w:p>
            <w:pPr>
              <w:spacing w:after="0"/>
              <w:rPr>
                <w:sz w:val="1"/>
                <w:szCs w:val="1"/>
                <w:color w:val="auto"/>
              </w:rPr>
            </w:pPr>
          </w:p>
        </w:tc>
      </w:tr>
      <w:tr>
        <w:trPr>
          <w:trHeight w:val="20"/>
        </w:trPr>
        <w:tc>
          <w:tcPr>
            <w:tcW w:w="8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8660" w:type="dxa"/>
            <w:vAlign w:val="bottom"/>
            <w:vMerge w:val="continue"/>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term “net income (loss) available to shareholders” to refer to “net income (loss) available to Brighthouse Financial, Inc.’s common shareholders” and “adjusted loss” to refer to negative adjusted earnings values throughout the results of operations discussions.</w:t>
      </w:r>
    </w:p>
    <w:p>
      <w:pPr>
        <w:spacing w:after="0" w:line="5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2025, we had net income available to shareholders of $331 million and adjusted earnings of $1.6 billion compared to net income available to shareholders of $286 million and adjusted earnings of $1.3 billion for the year ended December 31, 2024. Net income available to shareholders for the year ended December 31, 2025 primarily reflects favorable pre-tax adjusted earnings and a net investment gain on the sale of a subsidiary which owned certain mineral rights across the U.S. These favorable impacts were partially offset by unfavorable changes in our Shield embedded derivatives net of our variable annuity and Shield hedges due to market factors, an unfavorable change in the estimated fair value of freestanding interest rate derivatives we use to hedge our ULSG business, net investment losses on sales of fixed maturity securities, net investment losses on mortgage loans and the weakening of the U.S. dollar unfavorably impacting foreign currency forwards and swaps.</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 Non-GAAP Financial Disclosures.” See “— Results of Operations” for a detailed discussion of our results.</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Strategies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employ risk management strategies to mitigate the effects of severe market disruptions and other economic events on our business. These strategies currently include hedging certain market risk exposures at the product level while taking into consideration market risk exposures at an aggregated level, as well as reinsurance. Our risk management strategies focus on protecting the capital and surplus of our insurance subsidiaries, through the use of metrics aligned with regulatory capital requirements. We continually review our risk management strategies in the context of our overall capitalization targets and monitor the capital markets for opportunities to adjust our derivative positions to manage our market risk exposure, as appropriate.</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 metric we utilize to manage our risk is the combined RBC ratio (“Combined RBC Ratio”), which reflects the aggregate RBC ratio of our insurance subsidiaries, defined as aggregate TAC of our insurance subsidiaries divided by the total of their respective company action level RBCs. Combined RBC Ratio is an internal metric used by the Company to manage the risk associated with its insurance products through our risk management strategy; it is not a metric required or used by regulators. Brighthouse Financial targets a Combined RBC Ratio of 400% to 450% in normal market conditions.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historically managed the risks related to our variable annuity and first generation Shield Annuity contracts on a combined basis. However, in the third quarter of 2025, we completed an initiative that established a standalone hedging program for each product allowing us to more effectively manage the risks related to these two products. We launched updated versions of our Shield Annuity products in 2024, which we also manage and hedge on a standalone basis separately from our variable annuity and first generation Shield Annuity products.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the level of our capital protection provides us financial flexibility and supports deploying capital for growing long-term, sustainable shareholder value. However, because our hedging strategies place a lower priority on offsetting changes to GAAP liabilities, changes to markets over time, including market volatility, could result in GAAP net income volatility, which could potentially impact stockholders’ equity. See “Risk Factors — Risks Related to Our Business — Our hedging strategy may not be effective, which may result in significant volatility in our profitability measures or may negatively affect our statutory capital” and “— Summary of Critical Accounting Estimates.”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 Management</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are exposed to interest rate risk in most of our products, with the more significant longer-dated exposure residing in our in-force variable annuity guarantees and ULSG business. Historically, we have managed interest rate exposure in aggregate across the Company, while also setting individual hedge targets for certain products such as ULSG, where the economics of the interest rate derivatives are ceded through reinsurance to BRCD. As discussed above, in the third quarter of 2025, we established a standalone hedging program for our variable annuity block. Our current variable annuity interest rate hedging program is intended to mitigate our exposure to changes in interest rates arising from the variable annuity contracts. Our interest rate hedge programs may also include hybrid options that have other risk exposure in addition to interest rate exposure. We continue to set individual hedge targets for certain products such as ULSG, where the economics of the interest rate derivatives are ceded through reinsurance to BRCD. While we now manage interest rate risk primarily on a product basis, we also manage interest rate exposure in aggregate across the Company.</w:t>
      </w:r>
    </w:p>
    <w:p>
      <w:pPr>
        <w:spacing w:after="0" w:line="8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ULSG block, which is no longer actively sold, includes the business retained by our insurance subsidiaries and the portion of it that is ceded to BRCD for providing redundant, non-economic reinsurance financing support. The primary market risk associated with our ULSG block is the uncertainty around the future levels of U.S. interest rates and bond yields. To help ensure we have sufficient assets to meet future ULSG policyholder obligations, we have employed an actuarial approach based upon ULSG CFT to set our ULSG asset requirement target for BRCD, which reinsures the majority of the ULSG business written by our insurance subsidiaries. For the business retained by our insurance subsidiaries, we set our ULSG asset requirement target to equal the actuarially determined statutory reserves, which, taken together with our ULSG asset requirement target of BRCD, comprises our ULSG Target.</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seek to mitigate interest rate exposures associated with our ULSG business by holding ULSG Assets to closely match our ULSG Target under different interest rate environments. “ULSG Assets” are defined as (i) total general account assets supporting statutory reserves and capital in the ULSG portfolios of our insurance subsidiaries and BRCD and (ii) interest rate derivative instruments to mitigate ULSG interest rate exposures. The net statutory reserves for the ULSG business in our insurance subsidiaries and BRCD (which is in part supported by reinsurance financings) were $24.4 billion and $24.6 billion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ULSG Target is sensitive to the actual and future expected level of long-term U.S. interest rates. If interest rates fall, our ULSG Target increases. Likewise, if interest rates rise, our ULSG Target declines. The interest rate derivatives included in ULSG Assets seek to offset movement in the ULSG Target. This could increase the period-to-period volatility of net income and equity due to differences in the sensitivity of the ULSG Target and GAAP liabilities to the changes in interest rates. We closely monitor the sensitivity of our ULSG Target to changes in interest rates. We seek to maintain ULSG Assets above the ULSG Target across a wide range of interest rate scenarios. At December 31, 2025, BRCD assets exceeded the ULSG CFT requirement.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Risk Management</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exposed to equity market risk from policyholder liabilities with long-term guarantees based on equity performance, with our most significant exposures found in crediting rates on Shield Annuities and variable annuity guarantees. While we manage equity risk primarily through the use of product-specific hedging strategies, we also manage equity risk in aggregate across the Company. As discussed above, we have historically managed equity risk of variable annuities and first generation Shield Annuity contracts together, but in the third quarter of 2025, we established standalone equity hedging programs for each product. We also manage the risks associated with our updated Shield Annuity product, launched in 2024, on a standalone basis.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hedge the equity risk associated with Shield Annuity products by purchasing equity derivatives that are intended to offset the index credits due to contract holders. Since it is not practical to hedge each policy individually, we may group individual policies into cohorts or use other industry methods to reduce the number of hedge trades. We manage the equity risk associated with our variable annuity contracts through the use of derivatives intended to offset the exposure attributable to changes in equity markets.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 and Uncertainties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In addition, the following factors represent some of the key general trends and uncertainties that have influenced the development of our business and our historical financial performance and that we believe will continue to influence our business and results of operations in the future.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Environment</w:t>
      </w:r>
    </w:p>
    <w:p>
      <w:pPr>
        <w:spacing w:after="0" w:line="115"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 Annuities and other separate account products as a result of the effects it has on product demand, revenues, expenses, reserves and our risk management effectiveness. The Federal Reserve Board (the “Federal Reserve”) decreased the target range for the federal funds rate in September, October and December 2025, as well as in September, November and December 2024, and any additional future decrease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fraud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 perceived to persist, they may materially adversely affect our business and results of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7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above factors affect our expectations regarding future margins. We review our long-term assumptions about capital markets returns and interest rates, along with other assumptions such as contract holder behavior, as part of our AAR. As additional company specific or industry information on contract holder behavior becomes available, related assumptions may change and may potentially have a material impact on liability valuations and net income.</w:t>
      </w:r>
    </w:p>
    <w:p>
      <w:pPr>
        <w:spacing w:after="0" w:line="53"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color w:val="auto"/>
        </w:rPr>
        <w:t>We continue to closely monitor political and economic conditions that might contribute to market volatility and their impact on our business operations, investment portfolio and derivatives, such as global inflation, tariffs imposed or threatened by the U.S. or foreign governments, uncertainty and instability in certain asset classes (including commercial real estate), supply chain disruptions and recent geopolitical conflicts, including in Europe and the Middle East. See “— Investments — Current Environment” herein, as well as “Risk Factors — Economic Environment and Capital Markets-Related Risks,” “Risk Factors</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Risks Related to Our Investment Portfolio” and “— Risk Management Strategies” for a detailed discussion of financial and economic impacts on our business, including the potential impacts of interest rate risk and inflation risk on our investments and overall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Demographics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that demographic trends in the U.S. population, the increase in under-insured individuals, the potential risk to governmental social safety net programs and the shifting of responsibility for retirement planning and financial security from employers and other institutions to individuals, highlight the need of individuals to plan for their long-term financial security and will create opportunities to generate significant demand for our products.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By focusing our product development and marketing efforts to meeting the needs of certain targeted customer segments identified as part of our strategy, we will be able to focus on offering a smaller number of products that we believe are appropriately priced given current economic conditions. We believe this strategy will benefit our expense ratio thereby increasing our profitability.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Competitive Environment</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life insurance industry remains highly fragmented and competitive. See “Business — Competition.” In particular, we believe that financial strength and financial flexibility are highly relevant differentiators from the perspective of customers and distributors. We believe we are adequately positioned to compete in this environment.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Our insurance subsidiaries and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ERISA, consumer protection laws, securities, broker-dealer and investment advisor regulations, as well as environmental and unclaimed property laws and regulations. See “Business — Regulation,” as well as “Risk Factors — Regulatory and Legal Risks.”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6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and make estimates and assumptions that affect amounts reported on the Consolidated Financial Statements.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future policy benefits (“LFPB”);</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MRBs;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5" w:lineRule="exact"/>
        <w:rPr>
          <w:sz w:val="20"/>
          <w:szCs w:val="20"/>
          <w:color w:val="auto"/>
        </w:rPr>
      </w:pPr>
    </w:p>
    <w:p>
      <w:pPr>
        <w:ind w:right="1780" w:firstLine="318"/>
        <w:spacing w:after="0" w:line="396" w:lineRule="auto"/>
        <w:rPr>
          <w:sz w:val="20"/>
          <w:szCs w:val="20"/>
          <w:color w:val="auto"/>
        </w:rPr>
      </w:pPr>
      <w:r>
        <w:rPr>
          <w:rFonts w:ascii="Times New Roman" w:cs="Times New Roman" w:eastAsia="Times New Roman" w:hAnsi="Times New Roman"/>
          <w:sz w:val="18"/>
          <w:szCs w:val="18"/>
          <w:color w:val="auto"/>
        </w:rPr>
        <w:t xml:space="preserve">The above critical accounting estimates are described below and in Note 1 of the Notes to the Consolidated Financial Statements. </w:t>
      </w:r>
      <w:r>
        <w:rPr>
          <w:rFonts w:ascii="Times New Roman" w:cs="Times New Roman" w:eastAsia="Times New Roman" w:hAnsi="Times New Roman"/>
          <w:sz w:val="18"/>
          <w:szCs w:val="18"/>
          <w:b w:val="1"/>
          <w:bCs w:val="1"/>
          <w:i w:val="1"/>
          <w:iCs w:val="1"/>
          <w:color w:val="auto"/>
        </w:rPr>
        <w:t>Liability for Future Policy Benefits</w:t>
      </w:r>
    </w:p>
    <w:p>
      <w:pPr>
        <w:spacing w:after="0" w:line="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establishes an LFPB for income annuities, as well as non-participating term and whole life insurance. LFPBs are accrued over time as revenue is recognized based on a net premium ratio. The net premium ratio is the portion of gross premiums required to provide for all future benefits. LFPBs are established using the Company’s current assumptions of future cash flows, discounted at a rate that approximates a single A corporate bond curve. The Company generally aggregates insurance contracts into groupings by issue year, product and segment for determining the net premium ratio and related LFPBs.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reviews cash flow assumptions regularly, and, if such assumptions change significantly, LFPBs are adjusted by determining a revised net premium ratio. The revised net premium ratio is calculated as of contract inception using both actual historical experience and updated future cash flow assumptions. The recalculated net premium ratio is applied to derive a remeasurement gain or loss recognized in current period net income. The net premium ratio is also updated for the difference between actual and expected experience.</w:t>
      </w:r>
    </w:p>
    <w:p>
      <w:pPr>
        <w:spacing w:after="0" w:line="12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The measurement of our LFPBs can be significantly impacted by changes in assumptions for mortality, policy lapses and market interest rates. See Note 3 of the Notes to the Consolidated Financial Statements for additional information on the effects of changes in assumptions on the measurement of our LFPBs.</w:t>
      </w:r>
    </w:p>
    <w:p>
      <w:pPr>
        <w:spacing w:after="0" w:line="8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establishes liabilities in addition to the account balance for secondary guarantees on universal life insurance. These liabilities are determined by estimating the expected value of death benefits payable when the account balance is projected to be zero and recognizing those benefits ratably over the contract period based on total expected assessments. The benefits used in calculating the liabilities are based on the average benefits payable over a range of scenarios. The Company also maintains a liability for profits followed by losses on ULSG, which is determined by projecting future earnings and establishing a liability to offset losses that are expected to occur in later years. The Company reviews cash flow assumptions regularly, and, if they change significantly, the liability for secondary guarantees is adjusted by a cumulative charge or credit to net income.</w:t>
      </w:r>
    </w:p>
    <w:p>
      <w:pPr>
        <w:spacing w:after="0" w:line="132"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The measurement of our ULSG liabilities can be significantly impacted by changes in assumptions for the general account rate of return, which is driven by our assumption for long-term treasury yields, and changes in assumptions for mortality, premium persistency, lapses and withdrawals. The Company’s practice of projecting treasury yields uses a mean reversion approach that assumes that long-term interest rates are less influenced by short-term fluctuations and are only changed when sustained interim deviations are expected. As part of our 2025 AAR, we increased our projected long-term general account earned rate, as well as our mean reversion rate over a period of ten years, from 4.00% to 4.50%, which resulted in a decrease in our ULSG liabilities of $359 million. We also updated other assumptions related to ULSG, see “— Results of Operations — Annual Actuarial Review” for more information.</w:t>
      </w:r>
    </w:p>
    <w:p>
      <w:pPr>
        <w:spacing w:after="0" w:line="6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3 of the Notes to the Consolidated Financial Statements for additional information on the effects of inputs and assumptions on the measurement of ULSG liabilities.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MRBs principally include guaranteed minimum benefits on variable annuity contracts, including reinsured benefits related to these guarantees.</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The attributed fee ratio is not updated in subsequent periods.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 (as discussed below). For more information on the determination of estimated fair value of MRBs, see Note 10 of the Notes to the Consolidated Financial Statements.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our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In 2025, the Company updated assumptions regarding policyholder behavior, mortality and separate account fund allocations. See Note 4 of the Notes to the Consolidated Financial Statements for additional information on the effects of changes in inputs and assumptions on the measurement of our liabilities for variable annuity guarantees.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use freestanding derivative instruments to hedge various capital markets risks in our products, including: (i) certain variable annuity guarantees, which are reported as MRBs; (ii) index-linked interest credited features, which are reported as embedded derivatives; (iii) current or future changes in the fair value of our assets and liabilities; and (iv) current or future changes in cash flows. All derivatives, whether freestanding or embedded, are required to be carried on the balance sheet at fair value with changes reflected in either net income (loss) available to shareholders or in OCI, depending on the type of hedge. Below is a summary of critical accounting estimates by type of derivative.</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Freestanding Derivatives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determination of the estimated fair value of freestanding derivatives, when quoted market values are not available, is based on market standard valuation methodologies and inputs that management believes are consistent with what other market participants would use when pricing such instruments. Derivative valuations can be affected by changes in interest rates, foreign currency exchange rates, financial indices, credit spreads, default risk, nonperformance risk, volatility, liquidity and changes in estimates and assumptions used in the pricing models. See Note 9 of the Notes to the Consolidated Financial Statements for additional information on significant inputs into the OTC derivative pricing models and credit risk adjustment.</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Embedded Derivatives in Index-Linked Annuities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issues, and assumes through reinsurance, index-linked annuities, including Shield, that contain crediting rates classified as embedded derivatives. The crediting rates are measured at estimated fair value separately from the fixed annuity host contracts, which is determined using a combination of an option pricing methodology and an option-budget approach. The estimated fair value includes capital market inputs and actuarial policyholder behavior assumptions, including expectations for renewals at the end of the term period. Actuarial assumptions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Market conditions, including interest rates and implied volatilities, and variations in actuarial assumptions and risk margins, as well as changes in our nonperformance risk adjustment, may result in significant fluctuations in the estimated fair value that could have a material impact on net income. See Note 10 of the Notes to the Consolidated Financial Statements for more information on the determination of estimated fair value of crediting rate embedded derivatives.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provide for federal and state income taxes currently payable, as well as those deferred due to temporary differences between the financial reporting and tax bases of assets and liabilities. Our accounting for income taxes represents our best estimate of various events and transactions. Tax laws are often complex and may be subject to differing interpretations by the taxpayer and the relevant governmental taxing authorities. In establishing a provision for income tax expense, we must make judgments and interpretations about the application of tax laws. We must also make estimates about when in the future certain items will affect taxable income in the various taxing jurisdictions.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establishing a liability for unrecognized tax benefits, assumptions may be made in determining whether, and to what extent, a tax position may be sustained. Once established, unrecognized tax benefits are adjusted when there is more information available or when events occur requiring a change.</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Valuation allowances are established against deferred tax assets, particularly those arising from carryforwards, when management determines, based on available information, that it is more likely than not that deferred income tax assets will not be realized. The realization of deferred tax assets related to carryforwards depends upon the existence of sufficient taxable income within the carryforward periods under the tax law in the applicable tax jurisdiction. Significant judgment is required in projecting future taxable income to determine whether valuation allowances should be established, as well as the amount of such allowances. See Note 1 of the Notes to the Consolidated Financial Statements for additional information relating to our determination of such valuation allowances.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may be required to change our provision for income taxes when estimates used in determining valuation allowances on deferred tax assets significantly change, or when new information indicates the need for adjustment in valuation allowances. Additionally, future events, such as changes in tax laws, tax regulations, or interpretations of such laws or regulations, could have an impact on the provision for income tax and the effective tax rate. Any such changes could significantly affect the amounts reported in the financial statements in the year these changes occur.</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15 of the Notes to the Consolidated Financial Statements as well as “Business — Regulation — Federal Tax Reform” for additional information on our income taxes.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Disclosures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present certain measures of our performance that are not calculated in accordance with GAAP. Our definitions of non-GAAP financial measures may differ from those used by other companies.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Earnings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7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Adjusted earnings, which may be positive or negative, focuses on our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MRBs;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132080</wp:posOffset>
            </wp:positionV>
            <wp:extent cx="7134860" cy="302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Component of Adjusted Earnings</w:t>
      </w:r>
    </w:p>
    <w:p>
      <w:pPr>
        <w:spacing w:after="0" w:line="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Fee income</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investment spread</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w:t>
      </w:r>
    </w:p>
    <w:p>
      <w:pPr>
        <w:spacing w:after="0" w:line="14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Insurance-related activities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(iii)</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of DAC and VOBA</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(iv)</w:t>
      </w:r>
    </w:p>
    <w:p>
      <w:pPr>
        <w:spacing w:after="0" w:line="3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expenses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w:t>
      </w:r>
    </w:p>
    <w:p>
      <w:pPr>
        <w:spacing w:after="0" w:line="39" w:lineRule="exact"/>
        <w:rPr>
          <w:sz w:val="20"/>
          <w:szCs w:val="20"/>
          <w:color w:val="auto"/>
        </w:rPr>
      </w:pPr>
    </w:p>
    <w:p>
      <w:pPr>
        <w:jc w:val="right"/>
        <w:ind w:right="375"/>
        <w:spacing w:after="0"/>
        <w:rPr>
          <w:sz w:val="20"/>
          <w:szCs w:val="20"/>
          <w:color w:val="auto"/>
        </w:rPr>
      </w:pPr>
      <w:r>
        <w:rPr>
          <w:rFonts w:ascii="Times New Roman" w:cs="Times New Roman" w:eastAsia="Times New Roman" w:hAnsi="Times New Roman"/>
          <w:sz w:val="18"/>
          <w:szCs w:val="18"/>
          <w:color w:val="auto"/>
        </w:rPr>
        <w:t>Provision for income tax expense (benefit)</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8"/>
          <w:szCs w:val="18"/>
          <w:b w:val="1"/>
          <w:bCs w:val="1"/>
          <w:color w:val="auto"/>
        </w:rPr>
        <w:t>How Derived from GAAP (1)</w:t>
      </w:r>
    </w:p>
    <w:p>
      <w:pPr>
        <w:spacing w:after="0" w:line="45" w:lineRule="exact"/>
        <w:rPr>
          <w:sz w:val="20"/>
          <w:szCs w:val="20"/>
          <w:color w:val="auto"/>
        </w:rPr>
      </w:pPr>
    </w:p>
    <w:p>
      <w:pPr>
        <w:ind w:left="465" w:hanging="465"/>
        <w:spacing w:after="0"/>
        <w:tabs>
          <w:tab w:leader="none" w:pos="4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Universal life and investment-type product policy fees </w:t>
      </w:r>
      <w:r>
        <w:rPr>
          <w:rFonts w:ascii="Times New Roman" w:cs="Times New Roman" w:eastAsia="Times New Roman" w:hAnsi="Times New Roman"/>
          <w:sz w:val="18"/>
          <w:szCs w:val="18"/>
          <w:color w:val="auto"/>
        </w:rPr>
        <w:t>plus</w:t>
      </w:r>
      <w:r>
        <w:rPr>
          <w:rFonts w:ascii="Times New Roman" w:cs="Times New Roman" w:eastAsia="Times New Roman" w:hAnsi="Times New Roman"/>
          <w:sz w:val="18"/>
          <w:szCs w:val="18"/>
          <w:i w:val="1"/>
          <w:iCs w:val="1"/>
          <w:color w:val="auto"/>
        </w:rPr>
        <w:t xml:space="preserve"> Other revenues</w:t>
      </w:r>
      <w:r>
        <w:rPr>
          <w:rFonts w:ascii="Times New Roman" w:cs="Times New Roman" w:eastAsia="Times New Roman" w:hAnsi="Times New Roman"/>
          <w:sz w:val="18"/>
          <w:szCs w:val="18"/>
          <w:color w:val="auto"/>
        </w:rPr>
        <w:t>.</w:t>
      </w:r>
    </w:p>
    <w:p>
      <w:pPr>
        <w:spacing w:after="0" w:line="270" w:lineRule="exact"/>
        <w:rPr>
          <w:rFonts w:ascii="Times New Roman" w:cs="Times New Roman" w:eastAsia="Times New Roman" w:hAnsi="Times New Roman"/>
          <w:sz w:val="18"/>
          <w:szCs w:val="18"/>
          <w:color w:val="auto"/>
        </w:rPr>
      </w:pPr>
    </w:p>
    <w:p>
      <w:pPr>
        <w:jc w:val="both"/>
        <w:ind w:left="465" w:right="20" w:hanging="465"/>
        <w:spacing w:after="0" w:line="241" w:lineRule="auto"/>
        <w:tabs>
          <w:tab w:leader="none" w:pos="46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Net investment income </w:t>
      </w:r>
      <w:r>
        <w:rPr>
          <w:rFonts w:ascii="Times New Roman" w:cs="Times New Roman" w:eastAsia="Times New Roman" w:hAnsi="Times New Roman"/>
          <w:sz w:val="17"/>
          <w:szCs w:val="17"/>
          <w:color w:val="auto"/>
        </w:rPr>
        <w:t>(excluding investment gains (losses) on trading securities) plus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Investment Hedge Adjustments reduced by </w:t>
      </w:r>
      <w:r>
        <w:rPr>
          <w:rFonts w:ascii="Times New Roman" w:cs="Times New Roman" w:eastAsia="Times New Roman" w:hAnsi="Times New Roman"/>
          <w:sz w:val="17"/>
          <w:szCs w:val="17"/>
          <w:i w:val="1"/>
          <w:iCs w:val="1"/>
          <w:color w:val="auto"/>
        </w:rPr>
        <w:t>Interest credited to policyholder account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balances </w:t>
      </w:r>
      <w:r>
        <w:rPr>
          <w:rFonts w:ascii="Times New Roman" w:cs="Times New Roman" w:eastAsia="Times New Roman" w:hAnsi="Times New Roman"/>
          <w:sz w:val="17"/>
          <w:szCs w:val="17"/>
          <w:color w:val="auto"/>
        </w:rPr>
        <w:t>(excluding Market Value Adjustments) and interest on future policy benefits.</w:t>
      </w:r>
    </w:p>
    <w:p>
      <w:pPr>
        <w:spacing w:after="0" w:line="2" w:lineRule="exact"/>
        <w:rPr>
          <w:rFonts w:ascii="Times New Roman" w:cs="Times New Roman" w:eastAsia="Times New Roman" w:hAnsi="Times New Roman"/>
          <w:sz w:val="17"/>
          <w:szCs w:val="17"/>
          <w:color w:val="auto"/>
        </w:rPr>
      </w:pPr>
    </w:p>
    <w:p>
      <w:pPr>
        <w:ind w:left="465" w:right="20" w:hanging="465"/>
        <w:spacing w:after="0" w:line="230" w:lineRule="auto"/>
        <w:tabs>
          <w:tab w:leader="none" w:pos="4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Premiums </w:t>
      </w:r>
      <w:r>
        <w:rPr>
          <w:rFonts w:ascii="Times New Roman" w:cs="Times New Roman" w:eastAsia="Times New Roman" w:hAnsi="Times New Roman"/>
          <w:sz w:val="18"/>
          <w:szCs w:val="18"/>
          <w:color w:val="auto"/>
        </w:rPr>
        <w:t>less</w:t>
      </w:r>
      <w:r>
        <w:rPr>
          <w:rFonts w:ascii="Times New Roman" w:cs="Times New Roman" w:eastAsia="Times New Roman" w:hAnsi="Times New Roman"/>
          <w:sz w:val="18"/>
          <w:szCs w:val="18"/>
          <w:i w:val="1"/>
          <w:iCs w:val="1"/>
          <w:color w:val="auto"/>
        </w:rPr>
        <w:t xml:space="preserve"> Policyholder benefits and claims</w:t>
      </w:r>
      <w:r>
        <w:rPr>
          <w:rFonts w:ascii="Times New Roman" w:cs="Times New Roman" w:eastAsia="Times New Roman" w:hAnsi="Times New Roman"/>
          <w:sz w:val="18"/>
          <w:szCs w:val="18"/>
          <w:color w:val="auto"/>
        </w:rPr>
        <w:t>, excluding interest on future policy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w:t>
      </w:r>
    </w:p>
    <w:p>
      <w:pPr>
        <w:spacing w:after="0" w:line="72" w:lineRule="exact"/>
        <w:rPr>
          <w:rFonts w:ascii="Times New Roman" w:cs="Times New Roman" w:eastAsia="Times New Roman" w:hAnsi="Times New Roman"/>
          <w:sz w:val="18"/>
          <w:szCs w:val="18"/>
          <w:color w:val="auto"/>
        </w:rPr>
      </w:pPr>
    </w:p>
    <w:p>
      <w:pPr>
        <w:ind w:left="465" w:right="20" w:hanging="465"/>
        <w:spacing w:after="0" w:line="235" w:lineRule="auto"/>
        <w:tabs>
          <w:tab w:leader="none" w:pos="4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of deferred policy acquisition costs (“DAC”) and value of business acquired (“VOBA”)</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65" w:hanging="465"/>
        <w:spacing w:after="0"/>
        <w:tabs>
          <w:tab w:leader="none" w:pos="4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expenses.</w:t>
      </w:r>
    </w:p>
    <w:p>
      <w:pPr>
        <w:spacing w:after="0" w:line="272" w:lineRule="exact"/>
        <w:rPr>
          <w:rFonts w:ascii="Times New Roman" w:cs="Times New Roman" w:eastAsia="Times New Roman" w:hAnsi="Times New Roman"/>
          <w:sz w:val="18"/>
          <w:szCs w:val="18"/>
          <w:color w:val="auto"/>
        </w:rPr>
      </w:pPr>
    </w:p>
    <w:p>
      <w:pPr>
        <w:jc w:val="both"/>
        <w:ind w:left="465" w:right="20" w:hanging="465"/>
        <w:spacing w:after="0" w:line="227" w:lineRule="auto"/>
        <w:tabs>
          <w:tab w:leader="none" w:pos="46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impact of the above items, calculated using the statutory tax rate of 21%, net of impacts related to the dividends received deduction, tax credits and current period non-recurring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-2913380</wp:posOffset>
            </wp:positionH>
            <wp:positionV relativeFrom="paragraph">
              <wp:posOffset>-1647825</wp:posOffset>
            </wp:positionV>
            <wp:extent cx="7134860" cy="3702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37020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-974725</wp:posOffset>
            </wp:positionV>
            <wp:extent cx="7134860" cy="302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302895"/>
                    </a:xfrm>
                    <a:prstGeom prst="rect">
                      <a:avLst/>
                    </a:prstGeom>
                    <a:noFill/>
                  </pic:spPr>
                </pic:pic>
              </a:graphicData>
            </a:graphic>
          </wp:anchor>
        </w:drawing>
        <w:drawing>
          <wp:anchor simplePos="0" relativeHeight="251657728" behindDoc="1" locked="0" layoutInCell="0" allowOverlap="1">
            <wp:simplePos x="0" y="0"/>
            <wp:positionH relativeFrom="column">
              <wp:posOffset>-2913380</wp:posOffset>
            </wp:positionH>
            <wp:positionV relativeFrom="paragraph">
              <wp:posOffset>-368935</wp:posOffset>
            </wp:positionV>
            <wp:extent cx="7134860" cy="3702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370205"/>
                    </a:xfrm>
                    <a:prstGeom prst="rect">
                      <a:avLst/>
                    </a:prstGeom>
                    <a:noFill/>
                  </pic:spPr>
                </pic:pic>
              </a:graphicData>
            </a:graphic>
          </wp:anchor>
        </w:drawing>
      </w:r>
    </w:p>
    <w:p>
      <w:pPr>
        <w:spacing w:after="0" w:line="339" w:lineRule="exact"/>
        <w:rPr>
          <w:sz w:val="20"/>
          <w:szCs w:val="20"/>
          <w:color w:val="auto"/>
        </w:rPr>
      </w:pPr>
    </w:p>
    <w:p>
      <w:pPr>
        <w:sectPr>
          <w:pgSz w:w="11900" w:h="16838" w:orient="portrait"/>
          <w:cols w:equalWidth="0" w:num="2">
            <w:col w:w="3875" w:space="720"/>
            <w:col w:w="6645"/>
          </w:cols>
          <w:pgMar w:left="320" w:top="27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(1) Italicized items indicate GAAP statements of operations line items.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2 of the Notes to the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Investment Income</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net investment income is used by management to measure our performance, and we believe it enhances the understanding of our investment portfolio results. Adjusted net investment income represents GAAP net investment income plus Investment Hedge Adjustments less investment gains (losses) on trading securities. For a reconciliation of adjusted net investment income to net investment income, the most directly comparable GAAP measure, see table note (3) to the summary yield table located in “— Investments — Current Environment — Investment Portfolio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Investment Income Yield</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Similar to adjusted net investment income, adjusted net investment income yield is used by management as a performance measure that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 For a reconciliation of adjusted net investment income yield to net investment income, the most directly comparable GAAP measure, see the summary yield table located in “— Investments — Current Environment — Investment Portfolio Results.”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0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200" w:type="dxa"/>
            <w:vAlign w:val="bottom"/>
            <w:gridSpan w:val="6"/>
          </w:tcPr>
          <w:p>
            <w:pPr>
              <w:ind w:left="2660"/>
              <w:spacing w:after="0"/>
              <w:rPr>
                <w:sz w:val="20"/>
                <w:szCs w:val="20"/>
                <w:color w:val="auto"/>
              </w:rPr>
            </w:pPr>
            <w:r>
              <w:rPr>
                <w:rFonts w:ascii="Times New Roman" w:cs="Times New Roman" w:eastAsia="Times New Roman" w:hAnsi="Times New Roman"/>
                <w:sz w:val="18"/>
                <w:szCs w:val="18"/>
                <w:b w:val="1"/>
                <w:bCs w:val="1"/>
                <w:color w:val="auto"/>
              </w:rPr>
              <w:t>Index to Results of Operations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7"/>
        </w:trPr>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9"/>
        </w:trPr>
        <w:tc>
          <w:tcPr>
            <w:tcW w:w="20" w:type="dxa"/>
            <w:vAlign w:val="bottom"/>
          </w:tcPr>
          <w:p>
            <w:pPr>
              <w:spacing w:after="0"/>
              <w:rPr>
                <w:sz w:val="15"/>
                <w:szCs w:val="15"/>
                <w:color w:val="auto"/>
              </w:rPr>
            </w:pPr>
          </w:p>
        </w:tc>
        <w:tc>
          <w:tcPr>
            <w:tcW w:w="10000" w:type="dxa"/>
            <w:vAlign w:val="bottom"/>
            <w:gridSpan w:val="7"/>
          </w:tcPr>
          <w:p>
            <w:pPr>
              <w:spacing w:after="0" w:line="179" w:lineRule="exact"/>
              <w:rPr>
                <w:sz w:val="20"/>
                <w:szCs w:val="20"/>
                <w:color w:val="auto"/>
              </w:rPr>
            </w:pPr>
            <w:r>
              <w:rPr>
                <w:rFonts w:ascii="Times New Roman" w:cs="Times New Roman" w:eastAsia="Times New Roman" w:hAnsi="Times New Roman"/>
                <w:sz w:val="18"/>
                <w:szCs w:val="18"/>
                <w:color w:val="0000FF"/>
              </w:rPr>
              <w:t>Annual Actuarial Review</w:t>
            </w:r>
          </w:p>
        </w:tc>
        <w:tc>
          <w:tcPr>
            <w:tcW w:w="1220" w:type="dxa"/>
            <w:vAlign w:val="bottom"/>
            <w:gridSpan w:val="3"/>
          </w:tcPr>
          <w:p>
            <w:pPr>
              <w:jc w:val="center"/>
              <w:spacing w:after="0" w:line="179" w:lineRule="exact"/>
              <w:rPr>
                <w:sz w:val="20"/>
                <w:szCs w:val="20"/>
                <w:color w:val="auto"/>
              </w:rPr>
            </w:pPr>
            <w:r>
              <w:rPr>
                <w:rFonts w:ascii="Times New Roman" w:cs="Times New Roman" w:eastAsia="Times New Roman" w:hAnsi="Times New Roman"/>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508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Results for the Years Ended December 31, 2025 and 2024</w:t>
            </w:r>
          </w:p>
        </w:tc>
        <w:tc>
          <w:tcPr>
            <w:tcW w:w="49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2"/>
          </w:tcPr>
          <w:p>
            <w:pPr>
              <w:jc w:val="center"/>
              <w:ind w:right="520"/>
              <w:spacing w:after="0" w:line="205" w:lineRule="exact"/>
              <w:rPr>
                <w:sz w:val="20"/>
                <w:szCs w:val="20"/>
                <w:color w:val="auto"/>
              </w:rPr>
            </w:pPr>
            <w:r>
              <w:rPr>
                <w:rFonts w:ascii="Times New Roman" w:cs="Times New Roman" w:eastAsia="Times New Roman" w:hAnsi="Times New Roman"/>
                <w:sz w:val="18"/>
                <w:szCs w:val="18"/>
                <w:color w:val="0000FF"/>
                <w:w w:val="99"/>
              </w:rPr>
              <w:t>77</w:t>
            </w:r>
          </w:p>
        </w:tc>
      </w:tr>
      <w:tr>
        <w:trPr>
          <w:trHeight w:val="20"/>
        </w:trPr>
        <w:tc>
          <w:tcPr>
            <w:tcW w:w="20" w:type="dxa"/>
            <w:vAlign w:val="bottom"/>
          </w:tcPr>
          <w:p>
            <w:pPr>
              <w:spacing w:after="0" w:line="20" w:lineRule="exact"/>
              <w:rPr>
                <w:sz w:val="1"/>
                <w:szCs w:val="1"/>
                <w:color w:val="auto"/>
              </w:rPr>
            </w:pPr>
          </w:p>
        </w:tc>
        <w:tc>
          <w:tcPr>
            <w:tcW w:w="508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0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Reconciliation of Net Income (Loss) Available to Shareholders to Adjusted Earnings (Loss)</w:t>
            </w:r>
          </w:p>
        </w:tc>
        <w:tc>
          <w:tcPr>
            <w:tcW w:w="122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79</w:t>
            </w:r>
          </w:p>
        </w:tc>
      </w:tr>
      <w:tr>
        <w:trPr>
          <w:trHeight w:val="20"/>
        </w:trPr>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0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Consolidated Results for the Years Ended December 31, 2025 and 2024 - Adjusted Earnings (Loss)</w:t>
            </w:r>
          </w:p>
        </w:tc>
        <w:tc>
          <w:tcPr>
            <w:tcW w:w="122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80</w:t>
            </w:r>
          </w:p>
        </w:tc>
      </w:tr>
      <w:tr>
        <w:trPr>
          <w:trHeight w:val="20"/>
        </w:trPr>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02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Segment Results for the Years Ended December 31, 2025 and 2024 - Adjusted Earnings (Loss)</w:t>
            </w:r>
          </w:p>
        </w:tc>
        <w:tc>
          <w:tcPr>
            <w:tcW w:w="29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700" w:type="dxa"/>
            <w:vAlign w:val="bottom"/>
            <w:gridSpan w:val="2"/>
          </w:tcPr>
          <w:p>
            <w:pPr>
              <w:jc w:val="center"/>
              <w:ind w:right="520"/>
              <w:spacing w:after="0" w:line="205" w:lineRule="exact"/>
              <w:rPr>
                <w:sz w:val="20"/>
                <w:szCs w:val="20"/>
                <w:color w:val="auto"/>
              </w:rPr>
            </w:pPr>
            <w:r>
              <w:rPr>
                <w:rFonts w:ascii="Times New Roman" w:cs="Times New Roman" w:eastAsia="Times New Roman" w:hAnsi="Times New Roman"/>
                <w:sz w:val="18"/>
                <w:szCs w:val="18"/>
                <w:color w:val="0000FF"/>
                <w:w w:val="99"/>
              </w:rPr>
              <w:t>81</w:t>
            </w:r>
          </w:p>
        </w:tc>
      </w:tr>
      <w:tr>
        <w:trPr>
          <w:trHeight w:val="20"/>
        </w:trPr>
        <w:tc>
          <w:tcPr>
            <w:tcW w:w="20" w:type="dxa"/>
            <w:vAlign w:val="bottom"/>
          </w:tcPr>
          <w:p>
            <w:pPr>
              <w:spacing w:after="0" w:line="20" w:lineRule="exact"/>
              <w:rPr>
                <w:sz w:val="1"/>
                <w:szCs w:val="1"/>
                <w:color w:val="auto"/>
              </w:rPr>
            </w:pPr>
          </w:p>
        </w:tc>
        <w:tc>
          <w:tcPr>
            <w:tcW w:w="6700" w:type="dxa"/>
            <w:vAlign w:val="bottom"/>
            <w:gridSpan w:val="4"/>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0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Annuity Guaranteed Benefits and Shield Annuity Liabilities for the Years Ended December 31, 2025 and 2024</w:t>
            </w:r>
          </w:p>
        </w:tc>
        <w:tc>
          <w:tcPr>
            <w:tcW w:w="122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9"/>
              </w:rPr>
              <w:t>85</w:t>
            </w:r>
          </w:p>
        </w:tc>
      </w:tr>
      <w:tr>
        <w:trPr>
          <w:trHeight w:val="20"/>
        </w:trPr>
        <w:tc>
          <w:tcPr>
            <w:tcW w:w="2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Actuarial Review</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conducted our GAAP AAR in the third quarter of 2025. As part of the 2025 GAAP AAR, for our ULSG business, we updated assumptions regarding policyholder behavior, including mortality, premium persistency, lapses and withdrawals. In addition, we increased the long-term general account earned rate, driven by an increase in the mean reversion rate, from 4.00% to 4.50%. For our variable annuity business, we updated assumptions regarding annuitization, mortality, guaranteed principal option utilization, lapses and withdrawals, as well as separate account assumptions, including fund fees and allocations. For the payout annuity business, we updated assumptions regarding mortality. For term participating and non-participating whole life insurance, we updated assumptions regarding mortality and lapses.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part of the 2024 GAAP AAR, for our ULSG business, we increased the long-term general account earned rate, driven by an increase in the mean reversion rate, from 3.75% to 4.00%. Also, with respect to our ULSG business, we updated assumptions regarding policyholder behavior, including mortality, premium persistency, lapses and withdrawals. For our variable annuity business, we updated assumptions regarding annuitization, mortality, lapses and withdrawals, as well as separate account assumptions, including fund fees and allocations. For term participating and non-participating whole life insurance, we updated assumptions regarding mortality and lapses.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conducted our 2025 statutory AAR in the fourth quarter, the results of which will be included in our insurance subsidiaries’ 2025 annual statutory financial statements. The 2025 statutory AAR resulted in an increase to our statutory reserves; however, our 2025 preliminary Combined RBC Ratio was 456%, above our target range of 400% to 450% in normal market conditions, without contributing capital to our insurance subsidiaries. See “Risk Factors — Risks Related to Our Business — Differences between actual experience and actuarial assumptions may adversely affect our financial results, capitalization and financial condition.”</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impact on income (loss) available to shareholders before provision for income tax was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40" w:type="dxa"/>
            <w:vAlign w:val="bottom"/>
          </w:tcPr>
          <w:p>
            <w:pPr>
              <w:spacing w:after="0"/>
              <w:rPr>
                <w:sz w:val="16"/>
                <w:szCs w:val="16"/>
                <w:color w:val="auto"/>
              </w:rPr>
            </w:pPr>
          </w:p>
        </w:tc>
        <w:tc>
          <w:tcPr>
            <w:tcW w:w="256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40" w:type="dxa"/>
            <w:vAlign w:val="bottom"/>
          </w:tcPr>
          <w:p>
            <w:pPr>
              <w:spacing w:after="0"/>
              <w:rPr>
                <w:sz w:val="16"/>
                <w:szCs w:val="16"/>
                <w:color w:val="auto"/>
              </w:rPr>
            </w:pPr>
          </w:p>
        </w:tc>
      </w:tr>
      <w:tr>
        <w:trPr>
          <w:trHeight w:val="38"/>
        </w:trPr>
        <w:tc>
          <w:tcPr>
            <w:tcW w:w="8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393"/>
        </w:trPr>
        <w:tc>
          <w:tcPr>
            <w:tcW w:w="8240" w:type="dxa"/>
            <w:vAlign w:val="bottom"/>
          </w:tcPr>
          <w:p>
            <w:pPr>
              <w:spacing w:after="0"/>
              <w:rPr>
                <w:sz w:val="24"/>
                <w:szCs w:val="24"/>
                <w:color w:val="auto"/>
              </w:rPr>
            </w:pPr>
          </w:p>
        </w:tc>
        <w:tc>
          <w:tcPr>
            <w:tcW w:w="98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24"/>
                <w:szCs w:val="24"/>
                <w:color w:val="auto"/>
              </w:rPr>
            </w:pPr>
          </w:p>
        </w:tc>
      </w:tr>
      <w:tr>
        <w:trPr>
          <w:trHeight w:val="38"/>
        </w:trPr>
        <w:tc>
          <w:tcPr>
            <w:tcW w:w="82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r>
      <w:tr>
        <w:trPr>
          <w:trHeight w:val="393"/>
        </w:trPr>
        <w:tc>
          <w:tcPr>
            <w:tcW w:w="8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8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40" w:type="dxa"/>
            <w:vAlign w:val="bottom"/>
          </w:tcPr>
          <w:p>
            <w:pPr>
              <w:spacing w:after="0"/>
              <w:rPr>
                <w:sz w:val="24"/>
                <w:szCs w:val="24"/>
                <w:color w:val="auto"/>
              </w:rPr>
            </w:pPr>
          </w:p>
        </w:tc>
      </w:tr>
      <w:tr>
        <w:trPr>
          <w:trHeight w:val="38"/>
        </w:trPr>
        <w:tc>
          <w:tcPr>
            <w:tcW w:w="8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45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w:t>
            </w:r>
          </w:p>
        </w:tc>
        <w:tc>
          <w:tcPr>
            <w:tcW w:w="98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44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 derivatives</w:t>
            </w: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450"/>
        </w:trPr>
        <w:tc>
          <w:tcPr>
            <w:tcW w:w="8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market risk benefits and embedded derivatives</w:t>
            </w: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421"/>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Included in pre-tax adjusted earnings (loss):</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6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annuity business</w:t>
            </w: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41"/>
        </w:trPr>
        <w:tc>
          <w:tcPr>
            <w:tcW w:w="8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Life business</w:t>
            </w:r>
          </w:p>
        </w:tc>
        <w:tc>
          <w:tcPr>
            <w:tcW w:w="980" w:type="dxa"/>
            <w:vAlign w:val="bottom"/>
          </w:tcPr>
          <w:p>
            <w:pPr>
              <w:spacing w:after="0"/>
              <w:rPr>
                <w:sz w:val="24"/>
                <w:szCs w:val="24"/>
                <w:color w:val="auto"/>
              </w:rPr>
            </w:pPr>
          </w:p>
        </w:tc>
        <w:tc>
          <w:tcPr>
            <w:tcW w:w="4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453"/>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Run-off</w:t>
            </w: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444"/>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included in pre-tax adjusted earnings (loss)</w:t>
            </w: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970</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r>
      <w:tr>
        <w:trPr>
          <w:trHeight w:val="476"/>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impact on income (loss) available to shareholders before provision for income tax</w:t>
            </w:r>
          </w:p>
        </w:tc>
        <w:tc>
          <w:tcPr>
            <w:tcW w:w="980" w:type="dxa"/>
            <w:vAlign w:val="bottom"/>
            <w:tcBorders>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Years Ended December 31, 2025 and 2024</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920" w:type="dxa"/>
            <w:vAlign w:val="bottom"/>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24"/>
                <w:szCs w:val="24"/>
                <w:color w:val="auto"/>
              </w:rPr>
            </w:pPr>
          </w:p>
        </w:tc>
        <w:tc>
          <w:tcPr>
            <w:tcW w:w="920" w:type="dxa"/>
            <w:vAlign w:val="bottom"/>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r>
      <w:tr>
        <w:trPr>
          <w:trHeight w:val="437"/>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6,766</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4,724</w:t>
            </w:r>
          </w:p>
        </w:tc>
      </w:tr>
      <w:tr>
        <w:trPr>
          <w:trHeight w:val="437"/>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($273) and ($978), respectively)</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1,794</w:t>
            </w:r>
          </w:p>
        </w:tc>
      </w:tr>
      <w:tr>
        <w:trPr>
          <w:trHeight w:val="437"/>
        </w:trPr>
        <w:tc>
          <w:tcPr>
            <w:tcW w:w="82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6,292</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4,302</w:t>
            </w:r>
          </w:p>
        </w:tc>
      </w:tr>
      <w:tr>
        <w:trPr>
          <w:trHeight w:val="4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45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(loss)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5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469"/>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1440" w:gutter="0" w:footer="0" w:header="0"/>
        </w:sectPr>
      </w:pP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net income (loss) available to shareholders were as follows:</w:t>
      </w:r>
    </w:p>
    <w:p>
      <w:pPr>
        <w:sectPr>
          <w:pgSz w:w="11900" w:h="16838" w:orient="portrait"/>
          <w:cols w:equalWidth="0" w:num="1">
            <w:col w:w="11240"/>
          </w:cols>
          <w:pgMar w:left="320" w:top="278"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51"/>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46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9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w:t>
            </w:r>
          </w:p>
        </w:tc>
      </w:tr>
      <w:tr>
        <w:trPr>
          <w:trHeight w:val="460"/>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Market value adjustments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 and preferred stock dividends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4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469"/>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Change in Market Risk Benefits. </w:t>
      </w:r>
      <w:r>
        <w:rPr>
          <w:rFonts w:ascii="Times New Roman" w:cs="Times New Roman" w:eastAsia="Times New Roman" w:hAnsi="Times New Roman"/>
          <w:sz w:val="18"/>
          <w:szCs w:val="18"/>
          <w:color w:val="auto"/>
        </w:rPr>
        <w:t>The change in MRBs reflects changes in the projected value of annuity guaranteed benefits discounted at current risk-free rates, plus a nonperformance risk spread that is locked-in at policy issuance.</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Net Investment Gains (Losses). </w:t>
      </w:r>
      <w:r>
        <w:rPr>
          <w:rFonts w:ascii="Times New Roman" w:cs="Times New Roman" w:eastAsia="Times New Roman" w:hAnsi="Times New Roman"/>
          <w:sz w:val="18"/>
          <w:szCs w:val="18"/>
          <w:color w:val="auto"/>
        </w:rPr>
        <w:t>Includes gains and losses on sales of investments, impairments losses and changes in allowances for credit losses.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Investment Gains (Losses) on Trading Securities. </w:t>
      </w:r>
      <w:r>
        <w:rPr>
          <w:rFonts w:ascii="Times New Roman" w:cs="Times New Roman" w:eastAsia="Times New Roman" w:hAnsi="Times New Roman"/>
          <w:sz w:val="18"/>
          <w:szCs w:val="18"/>
          <w:color w:val="auto"/>
        </w:rPr>
        <w:t>Includes gains and losses on trading securities measured at estimated fair value through net investment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w:t>
      </w:r>
    </w:p>
    <w:p>
      <w:pPr>
        <w:spacing w:after="0" w:line="5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Net Derivative Gains (Losses), Excluding Investment Hedge Adjustments. </w:t>
      </w:r>
      <w:r>
        <w:rPr>
          <w:rFonts w:ascii="Times New Roman" w:cs="Times New Roman" w:eastAsia="Times New Roman" w:hAnsi="Times New Roman"/>
          <w:sz w:val="18"/>
          <w:szCs w:val="18"/>
          <w:color w:val="auto"/>
        </w:rPr>
        <w:t>We use derivative instruments to minimize exposure to various market risks,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interest rates and equity markets. In addition, the crediting rates associated with index-linked annuities, including Shield Annuities, are classified as embedded derivatives. The change in fair value of derivative instruments that do not qualify for hedge accounting and embedded derivatives are recognized in net derivative gains (losses).</w:t>
      </w:r>
    </w:p>
    <w:p>
      <w:pPr>
        <w:spacing w:after="0" w:line="71"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Market Value Adjustments. </w:t>
      </w:r>
      <w:r>
        <w:rPr>
          <w:rFonts w:ascii="Times New Roman" w:cs="Times New Roman" w:eastAsia="Times New Roman" w:hAnsi="Times New Roman"/>
          <w:sz w:val="18"/>
          <w:szCs w:val="18"/>
          <w:color w:val="auto"/>
        </w:rPr>
        <w:t>Includes the change in fair value of the crediting rate on experience-rated contracts and market value adjustments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institutional group annuities that are economically offset by gains (losses) on the related trading securities.</w:t>
      </w:r>
    </w:p>
    <w:p>
      <w:pPr>
        <w:spacing w:after="0" w:line="5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Pre-tax Adjusted Earnings. </w:t>
      </w:r>
      <w:r>
        <w:rPr>
          <w:rFonts w:ascii="Times New Roman" w:cs="Times New Roman" w:eastAsia="Times New Roman" w:hAnsi="Times New Roman"/>
          <w:sz w:val="18"/>
          <w:szCs w:val="18"/>
          <w:color w:val="auto"/>
        </w:rPr>
        <w:t>Adjusted earnings is a financial measure used by management to evaluate performance and facilitate comparisons to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w:t>
      </w:r>
    </w:p>
    <w:p>
      <w:pPr>
        <w:spacing w:after="0" w:line="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 Non-GAAP Financial Disclosures — Adjusted Earnings” for more information on the items described above.</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2025 Compared with the Year Ended December 31, 2024</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Income available to shareholders before provision for income tax was $367 million ($331 million, net of income tax), an increase of $52 million ($45 million, net of income tax) from income available to shareholders before provision for income tax of $315 million ($286 million, net of income tax) in the prior period.</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income before provision for income tax was driven by the following favorable items:</w:t>
      </w:r>
    </w:p>
    <w:p>
      <w:pPr>
        <w:spacing w:after="0" w:line="111" w:lineRule="exact"/>
        <w:rPr>
          <w:sz w:val="20"/>
          <w:szCs w:val="20"/>
          <w:color w:val="auto"/>
        </w:rPr>
      </w:pPr>
    </w:p>
    <w:p>
      <w:pPr>
        <w:ind w:left="800" w:hanging="317"/>
        <w:spacing w:after="0"/>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pre-tax adjusted earnings, as discussed in greater detail below;</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losses from the impact of interest rates on derivatives used to manage interest rate exposure in our ULSG business, as long-term rates were relatively flat in the current period and increased in the prior period; and</w:t>
      </w:r>
    </w:p>
    <w:p>
      <w:pPr>
        <w:spacing w:after="0" w:line="57"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reflecting lower net losses on sales of fixed maturity securities, a net decrease in impairments on fixed maturity securities, and a gain on the sale of a subsidiary which owned certain mineral rights across the U.S., partially offset by higher losses on mortgage loans due to an increase in the allowance for credit losses.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income before provision for income tax was partially offset by the following unfavorable items:</w:t>
      </w:r>
    </w:p>
    <w:p>
      <w:pPr>
        <w:spacing w:after="0" w:line="111" w:lineRule="exact"/>
        <w:rPr>
          <w:sz w:val="20"/>
          <w:szCs w:val="20"/>
          <w:color w:val="auto"/>
        </w:rPr>
      </w:pPr>
    </w:p>
    <w:p>
      <w:pPr>
        <w:ind w:left="800" w:hanging="317"/>
        <w:spacing w:after="0" w:line="274" w:lineRule="auto"/>
        <w:tabs>
          <w:tab w:leader="none" w:pos="7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losses from variable annuity guaranteed benefit riders, see “— Annuity Guaranteed Benefits and Shield Annuity Liabilities for the Years Ended December 31, 2025 and 2024”;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dollar weakening in the current period and strengthening in the prior period, unfavorably impacting foreign currency forwards and swaps.</w:t>
      </w:r>
    </w:p>
    <w:p>
      <w:pPr>
        <w:spacing w:after="0" w:line="12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income (loss) before provision for income tax, resulted in an effective tax rate of 8% in the current period compared to 7% in the prior period.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Available to Shareholders to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net income (loss) available to shareholders to adjusted earnings (loss) was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2025</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8"/>
        </w:trPr>
        <w:tc>
          <w:tcPr>
            <w:tcW w:w="5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379"/>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6"/>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393"/>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
        </w:trPr>
        <w:tc>
          <w:tcPr>
            <w:tcW w:w="5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45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444"/>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451"/>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44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46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$0</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(1,792)</w:t>
            </w:r>
          </w:p>
        </w:tc>
      </w:tr>
      <w:tr>
        <w:trPr>
          <w:trHeight w:val="46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44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397"/>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r>
      <w:tr>
        <w:trPr>
          <w:trHeight w:val="239"/>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w:t>
            </w:r>
          </w:p>
        </w:tc>
      </w:tr>
      <w:tr>
        <w:trPr>
          <w:trHeight w:val="444"/>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r>
      <w:tr>
        <w:trPr>
          <w:trHeight w:val="475"/>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704"/>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1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Year Ended December 31, 2024</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
        </w:trPr>
        <w:tc>
          <w:tcPr>
            <w:tcW w:w="5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366"/>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99"/>
        </w:trPr>
        <w:tc>
          <w:tcPr>
            <w:tcW w:w="5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17"/>
                <w:szCs w:val="17"/>
                <w:color w:val="auto"/>
              </w:rPr>
            </w:pPr>
          </w:p>
        </w:tc>
        <w:tc>
          <w:tcPr>
            <w:tcW w:w="8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7"/>
                <w:szCs w:val="17"/>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8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393"/>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
        </w:trPr>
        <w:tc>
          <w:tcPr>
            <w:tcW w:w="5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45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444"/>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451"/>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44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r>
      <w:tr>
        <w:trPr>
          <w:trHeight w:val="46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$31</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w:t>
            </w:r>
          </w:p>
        </w:tc>
      </w:tr>
      <w:tr>
        <w:trPr>
          <w:trHeight w:val="46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444"/>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97"/>
        </w:trPr>
        <w:tc>
          <w:tcPr>
            <w:tcW w:w="5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r>
      <w:tr>
        <w:trPr>
          <w:trHeight w:val="239"/>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r>
      <w:tr>
        <w:trPr>
          <w:trHeight w:val="444"/>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475"/>
        </w:trPr>
        <w:tc>
          <w:tcPr>
            <w:tcW w:w="5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278" w:right="339" w:bottom="327"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174"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Years Ended December 31, 2025 and 2024 -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0" w:type="dxa"/>
            <w:vAlign w:val="bottom"/>
          </w:tcPr>
          <w:p>
            <w:pPr>
              <w:spacing w:after="0"/>
              <w:rPr>
                <w:sz w:val="1"/>
                <w:szCs w:val="1"/>
                <w:color w:val="auto"/>
              </w:rPr>
            </w:pPr>
          </w:p>
        </w:tc>
      </w:tr>
      <w:tr>
        <w:trPr>
          <w:trHeight w:val="441"/>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0" w:type="dxa"/>
            <w:vAlign w:val="bottom"/>
          </w:tcPr>
          <w:p>
            <w:pPr>
              <w:spacing w:after="0"/>
              <w:rPr>
                <w:sz w:val="1"/>
                <w:szCs w:val="1"/>
                <w:color w:val="auto"/>
              </w:rPr>
            </w:pPr>
          </w:p>
        </w:tc>
      </w:tr>
      <w:tr>
        <w:trPr>
          <w:trHeight w:val="460"/>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0" w:type="dxa"/>
            <w:vAlign w:val="bottom"/>
          </w:tcPr>
          <w:p>
            <w:pPr>
              <w:spacing w:after="0"/>
              <w:rPr>
                <w:sz w:val="1"/>
                <w:szCs w:val="1"/>
                <w:color w:val="auto"/>
              </w:rPr>
            </w:pPr>
          </w:p>
        </w:tc>
      </w:tr>
      <w:tr>
        <w:trPr>
          <w:trHeight w:val="441"/>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460"/>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0" w:type="dxa"/>
            <w:vAlign w:val="bottom"/>
          </w:tcPr>
          <w:p>
            <w:pPr>
              <w:spacing w:after="0"/>
              <w:rPr>
                <w:sz w:val="1"/>
                <w:szCs w:val="1"/>
                <w:color w:val="auto"/>
              </w:rPr>
            </w:pPr>
          </w:p>
        </w:tc>
      </w:tr>
      <w:tr>
        <w:trPr>
          <w:trHeight w:val="444"/>
        </w:trPr>
        <w:tc>
          <w:tcPr>
            <w:tcW w:w="8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450"/>
        </w:trPr>
        <w:tc>
          <w:tcPr>
            <w:tcW w:w="160" w:type="dxa"/>
            <w:vAlign w:val="bottom"/>
            <w:shd w:val="clear" w:color="auto" w:fill="CCEEFF"/>
          </w:tcPr>
          <w:p>
            <w:pPr>
              <w:spacing w:after="0"/>
              <w:rPr>
                <w:sz w:val="24"/>
                <w:szCs w:val="24"/>
                <w:color w:val="auto"/>
              </w:rPr>
            </w:pPr>
          </w:p>
        </w:tc>
        <w:tc>
          <w:tcPr>
            <w:tcW w:w="8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 and preferred stock dividends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0" w:type="dxa"/>
            <w:vAlign w:val="bottom"/>
          </w:tcPr>
          <w:p>
            <w:pPr>
              <w:spacing w:after="0"/>
              <w:rPr>
                <w:sz w:val="1"/>
                <w:szCs w:val="1"/>
                <w:color w:val="auto"/>
              </w:rPr>
            </w:pPr>
          </w:p>
        </w:tc>
      </w:tr>
      <w:tr>
        <w:trPr>
          <w:trHeight w:val="444"/>
        </w:trPr>
        <w:tc>
          <w:tcPr>
            <w:tcW w:w="8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475"/>
        </w:trPr>
        <w:tc>
          <w:tcPr>
            <w:tcW w:w="160" w:type="dxa"/>
            <w:vAlign w:val="bottom"/>
            <w:tcBorders>
              <w:bottom w:val="single" w:sz="8" w:color="CCEEFF"/>
            </w:tcBorders>
            <w:shd w:val="clear" w:color="auto" w:fill="CCEEFF"/>
          </w:tcPr>
          <w:p>
            <w:pPr>
              <w:spacing w:after="0"/>
              <w:rPr>
                <w:sz w:val="24"/>
                <w:szCs w:val="24"/>
                <w:color w:val="auto"/>
              </w:rPr>
            </w:pPr>
          </w:p>
        </w:tc>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7"/>
              </w:rPr>
              <w:t>Year Ended December 31, 2025 Compared with the Year Ended December 31, 2024</w:t>
            </w:r>
          </w:p>
        </w:tc>
        <w:tc>
          <w:tcPr>
            <w:tcW w:w="2020" w:type="dxa"/>
            <w:vAlign w:val="bottom"/>
            <w:tcBorders>
              <w:top w:val="single" w:sz="8" w:color="CCEEFF"/>
              <w:bottom w:val="single" w:sz="8" w:color="CCEEFF"/>
            </w:tcBorders>
            <w:vMerge w:val="restart"/>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60" w:type="dxa"/>
            <w:vAlign w:val="bottom"/>
          </w:tcPr>
          <w:p>
            <w:pPr>
              <w:spacing w:after="0"/>
              <w:rPr>
                <w:sz w:val="24"/>
                <w:szCs w:val="24"/>
                <w:color w:val="auto"/>
              </w:rPr>
            </w:pPr>
          </w:p>
        </w:tc>
        <w:tc>
          <w:tcPr>
            <w:tcW w:w="6040" w:type="dxa"/>
            <w:vAlign w:val="bottom"/>
            <w:tcBorders>
              <w:bottom w:val="single" w:sz="8" w:color="auto"/>
            </w:tcBorders>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60" w:type="dxa"/>
            <w:vAlign w:val="bottom"/>
          </w:tcPr>
          <w:p>
            <w:pPr>
              <w:spacing w:after="0"/>
              <w:rPr>
                <w:sz w:val="24"/>
                <w:szCs w:val="24"/>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Adjusted earnings were $1.6 billion in the current period, an increase of $298 million.</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 w:type="dxa"/>
            <w:vAlign w:val="bottom"/>
          </w:tcPr>
          <w:p>
            <w:pPr>
              <w:spacing w:after="0"/>
              <w:rPr>
                <w:sz w:val="24"/>
                <w:szCs w:val="24"/>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Key net favorable impacts were:</w:t>
            </w: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00" w:hanging="317"/>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in our Run-off and Life segments and other refinements; and</w:t>
      </w:r>
    </w:p>
    <w:p>
      <w:pPr>
        <w:spacing w:after="0" w:line="57"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liability balances in our Run-off segment resulting from a reinsurance premium rate increase associated with the conclusion of a reinsurance arbitration in the prior period;</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 in our Life and Run-off segments;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liability balances in our Run-off segment resulting from a premium rate increase on an existing reinsurance agreement;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COI fees in our Life and Run-off segments related to the conclusion of the aforementioned reinsurance arbitration in the prior period;</w:t>
      </w:r>
    </w:p>
    <w:p>
      <w:pPr>
        <w:spacing w:after="0" w:line="5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is offset in other expenses;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COI fees driven by the aging in-force business in our Run-off segment.</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and prior period changes made in connection with the AAR, net of year-over-year actuarial modeling improvements in our Annuities segment;</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yields and average invested long-term assets on our institutional spread margin business;</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short-term investments;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ectPr>
          <w:pgSz w:w="11900" w:h="16838" w:orient="portrait"/>
          <w:cols w:equalWidth="0" w:num="1">
            <w:col w:w="11240"/>
          </w:cols>
          <w:pgMar w:left="320" w:top="278" w:right="339" w:bottom="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72"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20" w:hanging="319"/>
        <w:spacing w:after="0" w:line="274" w:lineRule="auto"/>
        <w:tabs>
          <w:tab w:leader="none" w:pos="113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on our fixed income portfolio, as proceeds from maturing investments and the growth in the investment portfolio were invested at higher yields than the portfolio average;</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real estate limited partnerships and limited liability companies (“LLC”);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long-term assets;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asset-based variable annuity expenses resulting from lower average separate account balances, a portion of which is offset in fee income;</w:t>
      </w:r>
    </w:p>
    <w:p>
      <w:pPr>
        <w:spacing w:after="0" w:line="122" w:lineRule="exact"/>
        <w:rPr>
          <w:rFonts w:ascii="Times New Roman" w:cs="Times New Roman" w:eastAsia="Times New Roman" w:hAnsi="Times New Roman"/>
          <w:sz w:val="17"/>
          <w:szCs w:val="17"/>
          <w:color w:val="auto"/>
        </w:rPr>
      </w:pPr>
    </w:p>
    <w:p>
      <w:pPr>
        <w:ind w:left="1120" w:hanging="319"/>
        <w:spacing w:after="0" w:line="274" w:lineRule="auto"/>
        <w:tabs>
          <w:tab w:leader="none" w:pos="11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reinsurance expenses in our Life and Run-off segments associated with the conclusion of the aforementioned reinsurance arbitration in the prior period;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 and</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amortization of DAC and VOBA resulting primarily from changes in policyholder behavior in our Annuities segment net of the aging in-force business in our Life segment.</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18% in both the current period and the prior period. Our effective tax rate differs from the statutory tax rate primarily due to the impacts of the dividends received deduction, tax credits and current period non-recurring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for the Years Ended December 31, 2025 and 2024 — Adjusted Earnings (Loss)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for our Annuities segment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24"/>
                <w:szCs w:val="24"/>
                <w:color w:val="auto"/>
              </w:rPr>
            </w:pPr>
          </w:p>
        </w:tc>
      </w:tr>
      <w:tr>
        <w:trPr>
          <w:trHeight w:val="37"/>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1,508</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4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r>
      <w:tr>
        <w:trPr>
          <w:trHeight w:val="441"/>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Pre-tax adjusted earnings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w:t>
            </w:r>
          </w:p>
        </w:tc>
      </w:tr>
      <w:tr>
        <w:trPr>
          <w:trHeight w:val="4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r>
      <w:tr>
        <w:trPr>
          <w:trHeight w:val="450"/>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Adjusted earnings</w:t>
            </w:r>
          </w:p>
        </w:tc>
        <w:tc>
          <w:tcPr>
            <w:tcW w:w="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00" w:type="dxa"/>
            <w:vAlign w:val="bottom"/>
          </w:tcPr>
          <w:p>
            <w:pPr>
              <w:spacing w:after="0"/>
              <w:rPr>
                <w:sz w:val="24"/>
                <w:szCs w:val="24"/>
                <w:color w:val="auto"/>
              </w:rPr>
            </w:pPr>
          </w:p>
        </w:tc>
        <w:tc>
          <w:tcPr>
            <w:tcW w:w="92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w:t>
            </w:r>
          </w:p>
        </w:tc>
      </w:tr>
      <w:tr>
        <w:trPr>
          <w:trHeight w:val="20"/>
        </w:trPr>
        <w:tc>
          <w:tcPr>
            <w:tcW w:w="8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5 of the Notes to the Consolidated Financial Statements.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2025 Compared with the Year Ended December 31,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$1.3 billion in the current period, an increase of $3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on our fixed income portfolio, as proceeds from maturing investments and the growth in the investment portfolio were invested at higher yields than the portfolio average;</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returns on real estate limited partnerships and LLCs;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long-term assets;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ectPr>
          <w:pgSz w:w="11900" w:h="16838" w:orient="portrait"/>
          <w:cols w:equalWidth="0" w:num="1">
            <w:col w:w="11240"/>
          </w:cols>
          <w:pgMar w:left="320" w:top="27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278" w:right="339" w:bottom="0" w:gutter="0" w:footer="0" w:header="0"/>
          <w:type w:val="continuous"/>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20" w:hanging="319"/>
        <w:spacing w:after="0" w:line="274" w:lineRule="auto"/>
        <w:tabs>
          <w:tab w:leader="none" w:pos="113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interest credited to policyholders due to higher account balances and prior period changes made in connection with the AAR, net of year-over-year actuarial modeling improvements;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a portion of which is offset in fee income;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480" w:right="8100" w:firstLine="321"/>
        <w:spacing w:after="0" w:line="390" w:lineRule="auto"/>
        <w:tabs>
          <w:tab w:leader="none" w:pos="1112"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operational expenses. Key net unfavorable impacts were:</w:t>
      </w:r>
    </w:p>
    <w:p>
      <w:pPr>
        <w:ind w:left="800" w:hanging="317"/>
        <w:spacing w:after="0" w:line="274" w:lineRule="auto"/>
        <w:tabs>
          <w:tab w:leader="none" w:pos="7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 lower asset-based fees resulting from lower average separate account balances, a portion of which is offset in other expenses;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amortization of DAC and VOBA resulting primarily from changes in policyholder behavior.</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resulted in an effective tax rate of 19% in both the current period and the prior period. Our effective tax rate differs from the statutory tax rate primarily due to the impact of the dividends received deduction.</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Life segment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540" w:type="dxa"/>
            <w:vAlign w:val="bottom"/>
            <w:gridSpan w:val="4"/>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8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60" w:type="dxa"/>
            <w:vAlign w:val="bottom"/>
            <w:gridSpan w:val="3"/>
          </w:tcPr>
          <w:p>
            <w:pPr>
              <w:jc w:val="right"/>
              <w:ind w:right="58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441"/>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0" w:type="dxa"/>
            <w:vAlign w:val="bottom"/>
          </w:tcPr>
          <w:p>
            <w:pPr>
              <w:spacing w:after="0"/>
              <w:rPr>
                <w:sz w:val="1"/>
                <w:szCs w:val="1"/>
                <w:color w:val="auto"/>
              </w:rPr>
            </w:pPr>
          </w:p>
        </w:tc>
      </w:tr>
      <w:tr>
        <w:trPr>
          <w:trHeight w:val="460"/>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441"/>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453"/>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441"/>
        </w:trPr>
        <w:tc>
          <w:tcPr>
            <w:tcW w:w="160" w:type="dxa"/>
            <w:vAlign w:val="bottom"/>
          </w:tcPr>
          <w:p>
            <w:pPr>
              <w:spacing w:after="0"/>
              <w:rPr>
                <w:sz w:val="24"/>
                <w:szCs w:val="24"/>
                <w:color w:val="auto"/>
              </w:rPr>
            </w:pPr>
          </w:p>
        </w:tc>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w:t>
            </w: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453"/>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450"/>
        </w:trPr>
        <w:tc>
          <w:tcPr>
            <w:tcW w:w="160" w:type="dxa"/>
            <w:vAlign w:val="bottom"/>
          </w:tcPr>
          <w:p>
            <w:pPr>
              <w:spacing w:after="0"/>
              <w:rPr>
                <w:sz w:val="24"/>
                <w:szCs w:val="24"/>
                <w:color w:val="auto"/>
              </w:rPr>
            </w:pPr>
          </w:p>
        </w:tc>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98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7"/>
              </w:rPr>
              <w:t>Year Ended December 31, 2025 Compared with the Year Ended December 31, 2024</w:t>
            </w:r>
          </w:p>
        </w:tc>
        <w:tc>
          <w:tcPr>
            <w:tcW w:w="202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60" w:type="dxa"/>
            <w:vAlign w:val="bottom"/>
          </w:tcPr>
          <w:p>
            <w:pPr>
              <w:spacing w:after="0"/>
              <w:rPr>
                <w:sz w:val="24"/>
                <w:szCs w:val="24"/>
                <w:color w:val="auto"/>
              </w:rPr>
            </w:pPr>
          </w:p>
        </w:tc>
        <w:tc>
          <w:tcPr>
            <w:tcW w:w="6040" w:type="dxa"/>
            <w:vAlign w:val="bottom"/>
            <w:tcBorders>
              <w:bottom w:val="single" w:sz="8" w:color="auto"/>
            </w:tcBorders>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$41 million in the current period, an increase of $8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fee income due to lower ceded COI fees related to the conclusion of the aforementioned reinsurance arbitration in the prior period;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amortization of DAC and VOBA driven by the aging in-force business.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and other refinements; and</w:t>
      </w:r>
    </w:p>
    <w:p>
      <w:pPr>
        <w:sectPr>
          <w:pgSz w:w="11900" w:h="16838" w:orient="portrait"/>
          <w:cols w:equalWidth="0" w:num="1">
            <w:col w:w="11240"/>
          </w:cols>
          <w:pgMar w:left="320" w:top="27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0" w:hanging="317"/>
        <w:spacing w:after="0"/>
        <w:tabs>
          <w:tab w:leader="none" w:pos="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other expenses due to:</w:t>
      </w:r>
    </w:p>
    <w:p>
      <w:pPr>
        <w:spacing w:after="0" w:line="111" w:lineRule="exact"/>
        <w:rPr>
          <w:rFonts w:ascii="Times New Roman" w:cs="Times New Roman" w:eastAsia="Times New Roman" w:hAnsi="Times New Roman"/>
          <w:sz w:val="18"/>
          <w:szCs w:val="18"/>
          <w:color w:val="auto"/>
        </w:rPr>
      </w:pPr>
    </w:p>
    <w:p>
      <w:pPr>
        <w:ind w:left="800" w:right="8100" w:firstLine="1"/>
        <w:spacing w:after="0" w:line="368" w:lineRule="auto"/>
        <w:tabs>
          <w:tab w:leader="none" w:pos="111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reinsurance expenses associated with the conclusion of the aforementioned reinsurance arbitration in the prior period.</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9% in the current period compared to 13% in the prior period. Our effective tax rate differs from the statutory tax rate primarily due to the impact of the dividends received deduction.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Run-off</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Run-off segment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8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0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8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441"/>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0" w:type="dxa"/>
            <w:vAlign w:val="bottom"/>
          </w:tcPr>
          <w:p>
            <w:pPr>
              <w:spacing w:after="0"/>
              <w:rPr>
                <w:sz w:val="1"/>
                <w:szCs w:val="1"/>
                <w:color w:val="auto"/>
              </w:rPr>
            </w:pPr>
          </w:p>
        </w:tc>
      </w:tr>
      <w:tr>
        <w:trPr>
          <w:trHeight w:val="460"/>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441"/>
        </w:trPr>
        <w:tc>
          <w:tcPr>
            <w:tcW w:w="8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3"/>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441"/>
        </w:trPr>
        <w:tc>
          <w:tcPr>
            <w:tcW w:w="160" w:type="dxa"/>
            <w:vAlign w:val="bottom"/>
          </w:tcPr>
          <w:p>
            <w:pPr>
              <w:spacing w:after="0"/>
              <w:rPr>
                <w:sz w:val="24"/>
                <w:szCs w:val="24"/>
                <w:color w:val="auto"/>
              </w:rPr>
            </w:pPr>
          </w:p>
        </w:tc>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w:t>
            </w: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453"/>
        </w:trPr>
        <w:tc>
          <w:tcPr>
            <w:tcW w:w="8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450"/>
        </w:trPr>
        <w:tc>
          <w:tcPr>
            <w:tcW w:w="160" w:type="dxa"/>
            <w:vAlign w:val="bottom"/>
          </w:tcPr>
          <w:p>
            <w:pPr>
              <w:spacing w:after="0"/>
              <w:rPr>
                <w:sz w:val="24"/>
                <w:szCs w:val="24"/>
                <w:color w:val="auto"/>
              </w:rPr>
            </w:pPr>
          </w:p>
        </w:tc>
        <w:tc>
          <w:tcPr>
            <w:tcW w:w="8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98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24"/>
                <w:szCs w:val="24"/>
                <w:color w:val="auto"/>
              </w:rPr>
            </w:pPr>
          </w:p>
        </w:tc>
        <w:tc>
          <w:tcPr>
            <w:tcW w:w="92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7"/>
              </w:rPr>
              <w:t>Year Ended December 31, 2025 Compared with the Year Ended December 31, 2024</w:t>
            </w:r>
          </w:p>
        </w:tc>
        <w:tc>
          <w:tcPr>
            <w:tcW w:w="202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160" w:type="dxa"/>
            <w:vAlign w:val="bottom"/>
          </w:tcPr>
          <w:p>
            <w:pPr>
              <w:spacing w:after="0"/>
              <w:rPr>
                <w:sz w:val="24"/>
                <w:szCs w:val="24"/>
                <w:color w:val="auto"/>
              </w:rPr>
            </w:pPr>
          </w:p>
        </w:tc>
        <w:tc>
          <w:tcPr>
            <w:tcW w:w="6040" w:type="dxa"/>
            <w:vAlign w:val="bottom"/>
            <w:tcBorders>
              <w:bottom w:val="single" w:sz="8" w:color="auto"/>
            </w:tcBorders>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60" w:type="dxa"/>
            <w:vAlign w:val="bottom"/>
          </w:tcPr>
          <w:p>
            <w:pPr>
              <w:spacing w:after="0"/>
              <w:rPr>
                <w:sz w:val="24"/>
                <w:szCs w:val="24"/>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Adjusted earnings were $436 million in the current period, an increase of $371 million.</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 w:type="dxa"/>
            <w:vAlign w:val="bottom"/>
          </w:tcPr>
          <w:p>
            <w:pPr>
              <w:spacing w:after="0"/>
              <w:rPr>
                <w:sz w:val="24"/>
                <w:szCs w:val="24"/>
                <w:color w:val="auto"/>
              </w:rPr>
            </w:pPr>
          </w:p>
        </w:tc>
        <w:tc>
          <w:tcPr>
            <w:tcW w:w="80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Key net favorable impacts were:</w:t>
            </w: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00" w:hanging="317"/>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4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liability balances resulting from a reinsurance premium rate increase associated with the conclusion of the aforementioned reinsurance arbitration in the prior period;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decrease in liability balances resulting from year-over-year changes made in connection with the AAR and other refinements;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liability balances resulting from a premium rate increase on an existing reinsurance agreement;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800" w:right="1380" w:firstLine="1"/>
        <w:spacing w:after="0" w:line="368" w:lineRule="auto"/>
        <w:tabs>
          <w:tab w:leader="none" w:pos="1114"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reinsurance expenses associated with the conclusion of the aforementioned reinsurance arbitration in the prior period;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operational expenses;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ceded COI fees related to the conclusion of the aforementioned reinsurance arbitration in the prior period;</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the net COI fees driven by the aging in-force business.</w:t>
      </w:r>
    </w:p>
    <w:p>
      <w:pPr>
        <w:sectPr>
          <w:pgSz w:w="11900" w:h="16838" w:orient="portrait"/>
          <w:cols w:equalWidth="0" w:num="1">
            <w:col w:w="11240"/>
          </w:cols>
          <w:pgMar w:left="320" w:top="278" w:right="339"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416"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unfavorable impact was a lower net investment spread due to:</w:t>
      </w:r>
    </w:p>
    <w:p>
      <w:pPr>
        <w:spacing w:after="0" w:line="111" w:lineRule="exact"/>
        <w:rPr>
          <w:sz w:val="20"/>
          <w:szCs w:val="20"/>
          <w:color w:val="auto"/>
        </w:rPr>
      </w:pPr>
    </w:p>
    <w:p>
      <w:pPr>
        <w:ind w:left="1120" w:hanging="319"/>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w:t>
      </w:r>
    </w:p>
    <w:p>
      <w:pPr>
        <w:spacing w:after="0" w:line="111" w:lineRule="exact"/>
        <w:rPr>
          <w:sz w:val="20"/>
          <w:szCs w:val="20"/>
          <w:color w:val="auto"/>
        </w:rPr>
      </w:pPr>
    </w:p>
    <w:p>
      <w:pPr>
        <w:ind w:left="160" w:firstLine="318"/>
        <w:spacing w:after="0" w:line="304" w:lineRule="auto"/>
        <w:rPr>
          <w:sz w:val="20"/>
          <w:szCs w:val="20"/>
          <w:color w:val="auto"/>
        </w:rPr>
      </w:pPr>
      <w:r>
        <w:rPr>
          <w:rFonts w:ascii="Times New Roman" w:cs="Times New Roman" w:eastAsia="Times New Roman" w:hAnsi="Times New Roman"/>
          <w:sz w:val="17"/>
          <w:szCs w:val="17"/>
          <w:color w:val="auto"/>
        </w:rPr>
        <w:t>The provision for income tax, calculated as a percentage of pre-tax adjusted earnings (loss), resulted in an effective tax rate of 20% in both the current period and the prior period. Our effective tax rate differs from the statutory tax rate primarily due to the impact of the dividends received deduction.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Corporate &amp; Other segment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6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50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16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gridSpan w:val="3"/>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160" w:type="dxa"/>
            <w:vAlign w:val="bottom"/>
          </w:tcPr>
          <w:p>
            <w:pPr>
              <w:spacing w:after="0"/>
              <w:rPr>
                <w:sz w:val="3"/>
                <w:szCs w:val="3"/>
                <w:color w:val="auto"/>
              </w:rPr>
            </w:pPr>
          </w:p>
        </w:tc>
        <w:tc>
          <w:tcPr>
            <w:tcW w:w="60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940" w:type="dxa"/>
            <w:vAlign w:val="bottom"/>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441"/>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9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460"/>
        </w:trPr>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940" w:type="dxa"/>
            <w:vAlign w:val="bottom"/>
            <w:shd w:val="clear" w:color="auto" w:fill="CCEEFF"/>
          </w:tcPr>
          <w:p>
            <w:pPr>
              <w:spacing w:after="0"/>
              <w:rPr>
                <w:sz w:val="24"/>
                <w:szCs w:val="24"/>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1"/>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94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60"/>
        </w:trPr>
        <w:tc>
          <w:tcPr>
            <w:tcW w:w="8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444"/>
        </w:trPr>
        <w:tc>
          <w:tcPr>
            <w:tcW w:w="8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451"/>
        </w:trPr>
        <w:tc>
          <w:tcPr>
            <w:tcW w:w="160" w:type="dxa"/>
            <w:vAlign w:val="bottom"/>
            <w:shd w:val="clear" w:color="auto" w:fill="CCEEFF"/>
          </w:tcPr>
          <w:p>
            <w:pPr>
              <w:spacing w:after="0"/>
              <w:rPr>
                <w:sz w:val="24"/>
                <w:szCs w:val="24"/>
                <w:color w:val="auto"/>
              </w:rPr>
            </w:pPr>
          </w:p>
        </w:tc>
        <w:tc>
          <w:tcPr>
            <w:tcW w:w="8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 and preferred stock dividends</w:t>
            </w:r>
          </w:p>
        </w:tc>
        <w:tc>
          <w:tcPr>
            <w:tcW w:w="9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444"/>
        </w:trPr>
        <w:tc>
          <w:tcPr>
            <w:tcW w:w="82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9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476"/>
        </w:trPr>
        <w:tc>
          <w:tcPr>
            <w:tcW w:w="160" w:type="dxa"/>
            <w:vAlign w:val="bottom"/>
            <w:tcBorders>
              <w:bottom w:val="single" w:sz="8" w:color="CCEEFF"/>
            </w:tcBorders>
            <w:shd w:val="clear" w:color="auto" w:fill="CCEEFF"/>
          </w:tcPr>
          <w:p>
            <w:pPr>
              <w:spacing w:after="0"/>
              <w:rPr>
                <w:sz w:val="24"/>
                <w:szCs w:val="24"/>
                <w:color w:val="auto"/>
              </w:rPr>
            </w:pPr>
          </w:p>
        </w:tc>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940" w:type="dxa"/>
            <w:vAlign w:val="bottom"/>
            <w:tcBorders>
              <w:bottom w:val="single" w:sz="8" w:color="auto"/>
            </w:tcBorders>
            <w:shd w:val="clear" w:color="auto" w:fill="CCEEFF"/>
          </w:tcPr>
          <w:p>
            <w:pPr>
              <w:jc w:val="right"/>
              <w:ind w:right="76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tcPr>
          <w:p>
            <w:pPr>
              <w:spacing w:after="0" w:line="20" w:lineRule="exact"/>
              <w:rPr>
                <w:sz w:val="1"/>
                <w:szCs w:val="1"/>
                <w:color w:val="auto"/>
              </w:rPr>
            </w:pPr>
          </w:p>
        </w:tc>
        <w:tc>
          <w:tcPr>
            <w:tcW w:w="6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w w:val="97"/>
              </w:rPr>
              <w:t>Year Ended December 31, 2025 Compared with the Year Ended December 31, 2024</w:t>
            </w:r>
          </w:p>
        </w:tc>
        <w:tc>
          <w:tcPr>
            <w:tcW w:w="206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160" w:type="dxa"/>
            <w:vAlign w:val="bottom"/>
          </w:tcPr>
          <w:p>
            <w:pPr>
              <w:spacing w:after="0"/>
              <w:rPr>
                <w:sz w:val="24"/>
                <w:szCs w:val="24"/>
                <w:color w:val="auto"/>
              </w:rPr>
            </w:pPr>
          </w:p>
        </w:tc>
        <w:tc>
          <w:tcPr>
            <w:tcW w:w="6040" w:type="dxa"/>
            <w:vAlign w:val="bottom"/>
            <w:tcBorders>
              <w:bottom w:val="single" w:sz="8" w:color="auto"/>
            </w:tcBorders>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60" w:type="dxa"/>
            <w:vAlign w:val="bottom"/>
          </w:tcPr>
          <w:p>
            <w:pPr>
              <w:spacing w:after="0"/>
              <w:rPr>
                <w:sz w:val="24"/>
                <w:szCs w:val="24"/>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Adjusted loss was $114 million in the current period, a higher loss of $84 million.</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60" w:type="dxa"/>
            <w:vAlign w:val="bottom"/>
          </w:tcPr>
          <w:p>
            <w:pPr>
              <w:spacing w:after="0"/>
              <w:rPr>
                <w:sz w:val="24"/>
                <w:szCs w:val="24"/>
                <w:color w:val="auto"/>
              </w:rPr>
            </w:pPr>
          </w:p>
        </w:tc>
        <w:tc>
          <w:tcPr>
            <w:tcW w:w="81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Key unfavorable impacts were:</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800" w:hanging="31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 lower yields and lower average invested long-term assets on our institutional spread margin business;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other expenses due to higher operational expenses.</w:t>
      </w:r>
    </w:p>
    <w:p>
      <w:pPr>
        <w:spacing w:after="0" w:line="111"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 higher effective tax rate in the current period compared to the prior period. Our effective tax rate differs from the statutory tax rate primarily due to the impacts of the dividends received deduction and tax credits. We believe the effective tax rate for the Corporate &amp; Other segment is not generally meaningful, neither on a standalone basis nor for comparison to prior periods, since taxes for the Corporate &amp; Other segment are derived from the difference between the overall consolidated effective tax rate and total taxes for the other operating segments.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Annuity Guaranteed Benefits and Shield Annuity Liabilities for the Years Ended December 31, 2025 and 2024</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overall impact on income (loss) available to shareholders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8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gridSpan w:val="3"/>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4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mark-to-market</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Annuity guaranteed benefit rider fees, net of claims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w:t>
            </w:r>
          </w:p>
        </w:tc>
      </w:tr>
      <w:tr>
        <w:trPr>
          <w:trHeight w:val="45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Ceded reinsurance</w:t>
            </w: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441"/>
        </w:trPr>
        <w:tc>
          <w:tcPr>
            <w:tcW w:w="82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changes attributable to annuity guaranteed benefits</w:t>
            </w: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2,673</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annuity and Shield hedges</w:t>
            </w: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Shield embedded derivatives</w:t>
            </w: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(3,776)</w:t>
            </w:r>
          </w:p>
        </w:tc>
      </w:tr>
      <w:tr>
        <w:trPr>
          <w:trHeight w:val="475"/>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Market Risk Benefits Mark-to-Market. </w:t>
      </w:r>
      <w:r>
        <w:rPr>
          <w:rFonts w:ascii="Times New Roman" w:cs="Times New Roman" w:eastAsia="Times New Roman" w:hAnsi="Times New Roman"/>
          <w:sz w:val="18"/>
          <w:szCs w:val="18"/>
          <w:color w:val="auto"/>
        </w:rPr>
        <w:t>Annuity guaranteed rider benefits are accounted for as MRBs. MRBs related to guaranteed rider benefits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estimated fair value of the obligation to protect policyholders against the possibility that a downturn in the markets will reduce the specified benefits that can be claimed under the base annuity contract. Any periods of significant or sustained downturns in equity markets, increased equity volatility, or reduced interest rates could result in an increase in the valuation of these liabilities. An increase in these liabilities would result in a decrease to our net income (loss) available to shareholders, which could be significant.</w:t>
      </w:r>
    </w:p>
    <w:p>
      <w:pPr>
        <w:spacing w:after="0" w:line="7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Annuity Guaranteed Benefit Rider Fees, Net of Claims. </w:t>
      </w:r>
      <w:r>
        <w:rPr>
          <w:rFonts w:ascii="Times New Roman" w:cs="Times New Roman" w:eastAsia="Times New Roman" w:hAnsi="Times New Roman"/>
          <w:sz w:val="18"/>
          <w:szCs w:val="18"/>
          <w:color w:val="auto"/>
        </w:rPr>
        <w:t>We earn fees from the guaranteed rider benefits, which are calculated using the policyholder’s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 Base. Fees calculated using the Benefit Base are more stable in market downturns, compared to fees based on the account value because the Benefit Base excludes the impact of a decline in the market value of the policyholder’s account value. We use the fees directly earned from the guarantee riders to fund the reserves, future claims and costs associated with the hedges of market risks inherent in these liabilities. The future fees are included in the estimated fair value of MRB liabilities, with changes recorded in MRBs.</w:t>
      </w:r>
    </w:p>
    <w:p>
      <w:pPr>
        <w:spacing w:after="0" w:line="7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Variable Annuity and Shield Hedges, including Reinsurance. </w:t>
      </w:r>
      <w:r>
        <w:rPr>
          <w:rFonts w:ascii="Times New Roman" w:cs="Times New Roman" w:eastAsia="Times New Roman" w:hAnsi="Times New Roman"/>
          <w:sz w:val="18"/>
          <w:szCs w:val="18"/>
          <w:color w:val="auto"/>
        </w:rPr>
        <w:t>We enter into freestanding derivatives to hedge certain aspects of the annuity guaranteed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accounted for as MRBs and index-linked crediting rates accounted for as embedded derivatives. Generally, the same market factors that impact the estimated fair value of the annuity guaranteed benefits impact the value of the hedges, though in the opposite direction. However, the changes in value of MRBs and related hedges may not be symmetrical and the divergence could be significant due to certain factors, including unhedged risks within MRBs. We may also use reinsurance to manage our exposure related to MRBs.</w:t>
      </w:r>
    </w:p>
    <w:p>
      <w:pPr>
        <w:spacing w:after="0" w:line="75"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Shield Embedded Derivatives</w:t>
      </w:r>
      <w:r>
        <w:rPr>
          <w:rFonts w:ascii="Times New Roman" w:cs="Times New Roman" w:eastAsia="Times New Roman" w:hAnsi="Times New Roman"/>
          <w:sz w:val="18"/>
          <w:szCs w:val="18"/>
          <w:color w:val="auto"/>
        </w:rPr>
        <w:t>. Shield Annuities provide the contract holder the ability to participate in the appreciation of certain financial markets up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stated level, while offering protection from a portion of declines in the applicable indices or benchmark. Shield embedded derivatives represent the estimated fair value of these features. We believe that Shield Annuities provide us with a risk offset to liabilities related to guaranteed rider benefits.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 Risk Management Strategies” for a discussion of our management of our hedging strategy.</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year ended December 31, 2025, primarily driven by:</w:t>
      </w:r>
    </w:p>
    <w:p>
      <w:pPr>
        <w:spacing w:after="0" w:line="111" w:lineRule="exact"/>
        <w:rPr>
          <w:sz w:val="20"/>
          <w:szCs w:val="20"/>
          <w:color w:val="auto"/>
        </w:rPr>
      </w:pPr>
    </w:p>
    <w:p>
      <w:pPr>
        <w:ind w:left="800" w:hanging="317"/>
        <w:spacing w:after="0" w:line="274" w:lineRule="auto"/>
        <w:tabs>
          <w:tab w:leader="none" w:pos="7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equity markets, partially offset by changes made in connection with the AAR and decreasing interest rates;</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increasing equity markets;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 and changes made in connection with the AAR.</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Year Ended December 31, 2024</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year ended December 31, 2024, primarily driven by:</w:t>
      </w:r>
    </w:p>
    <w:p>
      <w:pPr>
        <w:spacing w:after="0" w:line="111" w:lineRule="exact"/>
        <w:rPr>
          <w:sz w:val="20"/>
          <w:szCs w:val="20"/>
          <w:color w:val="auto"/>
        </w:rPr>
      </w:pPr>
    </w:p>
    <w:p>
      <w:pPr>
        <w:ind w:left="800" w:hanging="317"/>
        <w:spacing w:after="0" w:line="274" w:lineRule="auto"/>
        <w:tabs>
          <w:tab w:leader="none" w:pos="7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long-term interest rates and equity markets, as well as changes made in connection with the AAR;</w:t>
      </w:r>
    </w:p>
    <w:p>
      <w:pPr>
        <w:spacing w:after="0" w:line="57"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increasing equity markets, partially offset by increasing long-term interest rates; and</w:t>
      </w:r>
    </w:p>
    <w:p>
      <w:pPr>
        <w:spacing w:after="0" w:line="57"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 partially offset by increasing long-term interest rates and changes made in connection with the AAR.</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 Management Strategy</w:t>
      </w:r>
    </w:p>
    <w:p>
      <w:pPr>
        <w:spacing w:after="0" w:line="11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Environment</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capital markets and the economy, generally. As a U.S. insurance company, we are affected by the monetary policy of the Federal Reserve in the U.S. We are also affected by the monetary policy of central banks around the world due to the diversification of our investment portfolio. See “— Industry Trends and Uncertainties — Financial and Economic Environment.”</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September, October and December 2025, the Federal Reserve decreased the target range for the federal funds rate from between 4.25% and 4.50% to between 3.50% to 3.75%. In 2024, the Federal Reserve decreased the target range for the federal funds rate three times — from between 5.25% and 5.50% to between 4.25% and 4.50%. The Federal Reserve may increase or decrease the federal funds rate in the future, which may have an impact on the pricing levels of risk-bearing investments and may adversely impact the level of product sales.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Prior period interest rate increases have contributed to the net unrealized loss position in our investment portfolio. As a result of increases in interest rates, the unrealized losses on our fixed maturity securities exceeded the unrealized gains as of December 31, 2025.</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Selected Sector Investments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Market volatility has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There has been a continued market focus on commercial real estate, including office properties, as a result of hybrid work arrangements and the resulting impact on the demand for office space.</w:t>
      </w:r>
    </w:p>
    <w:p>
      <w:pPr>
        <w:spacing w:after="0" w:line="57"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We have direct commercial real estate exposure through mortgage loans and certain structured securities, which include RMBS, CMBS and ABS. In addition, we have direct and indirect exposure through certain financial industry corporate fixed maturity securities. See “— Investments — Mortgage Loans” and Note 8 of the Notes to the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 as well as “— Investments — Fixed Maturity Securities Available-For-Sale — U.S. and Foreign Corporate Fixed Maturity Securities” for our exposure to the finance industry.</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Portfolio Results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4080" w:type="dxa"/>
            <w:vAlign w:val="bottom"/>
          </w:tcPr>
          <w:p>
            <w:pPr>
              <w:spacing w:after="0"/>
              <w:rPr>
                <w:sz w:val="24"/>
                <w:szCs w:val="24"/>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center"/>
              <w:ind w:left="94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4080" w:type="dxa"/>
            <w:vAlign w:val="bottom"/>
          </w:tcPr>
          <w:p>
            <w:pPr>
              <w:spacing w:after="0"/>
              <w:rPr>
                <w:sz w:val="24"/>
                <w:szCs w:val="24"/>
                <w:color w:val="auto"/>
              </w:rPr>
            </w:pP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60" w:type="dxa"/>
            <w:vAlign w:val="bottom"/>
          </w:tcPr>
          <w:p>
            <w:pPr>
              <w:spacing w:after="0"/>
              <w:rPr>
                <w:sz w:val="24"/>
                <w:szCs w:val="24"/>
                <w:color w:val="auto"/>
              </w:rPr>
            </w:pPr>
          </w:p>
        </w:tc>
        <w:tc>
          <w:tcPr>
            <w:tcW w:w="9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60" w:type="dxa"/>
            <w:vAlign w:val="bottom"/>
          </w:tcPr>
          <w:p>
            <w:pPr>
              <w:spacing w:after="0"/>
              <w:rPr>
                <w:sz w:val="24"/>
                <w:szCs w:val="2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30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60" w:type="dxa"/>
            <w:vAlign w:val="bottom"/>
          </w:tcPr>
          <w:p>
            <w:pPr>
              <w:spacing w:after="0"/>
              <w:rPr>
                <w:sz w:val="24"/>
                <w:szCs w:val="24"/>
                <w:color w:val="auto"/>
              </w:rPr>
            </w:pPr>
          </w:p>
        </w:tc>
        <w:tc>
          <w:tcPr>
            <w:tcW w:w="84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6"/>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4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 (1)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4.48 %</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5,405</w:t>
            </w: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4.49 %</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5,403</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4.23 %</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w:t>
            </w:r>
          </w:p>
        </w:tc>
        <w:tc>
          <w:tcPr>
            <w:tcW w:w="0" w:type="dxa"/>
            <w:vAlign w:val="bottom"/>
          </w:tcPr>
          <w:p>
            <w:pPr>
              <w:spacing w:after="0"/>
              <w:rPr>
                <w:sz w:val="1"/>
                <w:szCs w:val="1"/>
                <w:color w:val="auto"/>
              </w:rPr>
            </w:pPr>
          </w:p>
        </w:tc>
      </w:tr>
      <w:tr>
        <w:trPr>
          <w:trHeight w:val="444"/>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fees and expenses (2)</w:t>
            </w:r>
          </w:p>
        </w:tc>
        <w:tc>
          <w:tcPr>
            <w:tcW w:w="11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6"/>
                <w:szCs w:val="16"/>
                <w:color w:val="auto"/>
              </w:rPr>
              <w:t>(0.13)</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475"/>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4.34 %</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1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4.36 %</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5,253</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08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20" w:hanging="314"/>
        <w:spacing w:after="0" w:line="255" w:lineRule="auto"/>
        <w:tabs>
          <w:tab w:leader="none" w:pos="3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4" w:lineRule="exact"/>
        <w:rPr>
          <w:rFonts w:ascii="Times New Roman" w:cs="Times New Roman" w:eastAsia="Times New Roman" w:hAnsi="Times New Roman"/>
          <w:sz w:val="18"/>
          <w:szCs w:val="18"/>
          <w:color w:val="auto"/>
        </w:rPr>
      </w:pPr>
    </w:p>
    <w:p>
      <w:pPr>
        <w:jc w:val="both"/>
        <w:ind w:left="320" w:hanging="314"/>
        <w:spacing w:after="0" w:line="304" w:lineRule="auto"/>
        <w:tabs>
          <w:tab w:leader="none" w:pos="31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1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presented in the yield table varies from the most directly comparable GAAP measure due to certain reclassifications, as presented below.</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80" w:type="dxa"/>
            <w:vAlign w:val="bottom"/>
            <w:gridSpan w:val="6"/>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920" w:type="dxa"/>
            <w:vAlign w:val="bottom"/>
          </w:tcPr>
          <w:p>
            <w:pPr>
              <w:spacing w:after="0"/>
              <w:rPr>
                <w:sz w:val="16"/>
                <w:szCs w:val="16"/>
                <w:color w:val="auto"/>
              </w:rPr>
            </w:pPr>
          </w:p>
        </w:tc>
      </w:tr>
      <w:tr>
        <w:trPr>
          <w:trHeight w:val="38"/>
        </w:trPr>
        <w:tc>
          <w:tcPr>
            <w:tcW w:w="7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7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3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7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
        </w:trPr>
        <w:tc>
          <w:tcPr>
            <w:tcW w:w="7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45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5,244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4,664</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Investment hedge adjustments</w:t>
            </w:r>
          </w:p>
        </w:tc>
        <w:tc>
          <w:tcPr>
            <w:tcW w:w="76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r>
      <w:tr>
        <w:trPr>
          <w:trHeight w:val="45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76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5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 in the above yield table</w:t>
            </w:r>
          </w:p>
        </w:tc>
        <w:tc>
          <w:tcPr>
            <w:tcW w:w="760" w:type="dxa"/>
            <w:vAlign w:val="bottom"/>
            <w:tcBorders>
              <w:top w:val="single" w:sz="8" w:color="auto"/>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5,244</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5,253</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4,769</w:t>
            </w:r>
          </w:p>
        </w:tc>
      </w:tr>
      <w:tr>
        <w:trPr>
          <w:trHeight w:val="20"/>
        </w:trPr>
        <w:tc>
          <w:tcPr>
            <w:tcW w:w="7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 Results of Operations — Consolidated Results for the Years Ended December 31, 2025 and 2024” and “Management’s Discussion and Analysis of Financial Condition and Results of Operations — Results of Operations — Consolidated Results for the Years Ended December 31, 2024 and 2023” in our 2024 Annual Report for an analysis of the year-over-year changes in net investment income.</w:t>
      </w:r>
    </w:p>
    <w:p>
      <w:pPr>
        <w:sectPr>
          <w:pgSz w:w="11900" w:h="16838" w:orient="portrait"/>
          <w:cols w:equalWidth="0" w:num="1">
            <w:col w:w="11240"/>
          </w:cols>
          <w:pgMar w:left="320" w:top="278" w:right="339" w:bottom="1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12"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maturity securities held by type (public or private)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2560" w:type="dxa"/>
            <w:vAlign w:val="bottom"/>
            <w:gridSpan w:val="3"/>
          </w:tcPr>
          <w:p>
            <w:pPr>
              <w:jc w:val="right"/>
              <w:ind w:right="70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57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67"/>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4"/>
                <w:szCs w:val="1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3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5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0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7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gridSpan w:val="5"/>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393"/>
        </w:trPr>
        <w:tc>
          <w:tcPr>
            <w:tcW w:w="5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00" w:type="dxa"/>
            <w:vAlign w:val="bottom"/>
          </w:tcPr>
          <w:p>
            <w:pPr>
              <w:spacing w:after="0"/>
              <w:rPr>
                <w:sz w:val="24"/>
                <w:szCs w:val="24"/>
                <w:color w:val="auto"/>
              </w:rPr>
            </w:pPr>
          </w:p>
        </w:tc>
      </w:tr>
      <w:tr>
        <w:trPr>
          <w:trHeight w:val="38"/>
        </w:trPr>
        <w:tc>
          <w:tcPr>
            <w:tcW w:w="5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45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Publicly-traded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67,348</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66,402</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82.9 %</w:t>
            </w:r>
          </w:p>
        </w:tc>
      </w:tr>
      <w:tr>
        <w:trPr>
          <w:trHeight w:val="444"/>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Privately-placed</w:t>
            </w: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14,666</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13,653</w:t>
            </w:r>
          </w:p>
        </w:tc>
        <w:tc>
          <w:tcPr>
            <w:tcW w:w="100" w:type="dxa"/>
            <w:vAlign w:val="bottom"/>
            <w:tcBorders>
              <w:bottom w:val="single" w:sz="8" w:color="CCEEFF"/>
            </w:tcBorders>
          </w:tcPr>
          <w:p>
            <w:pPr>
              <w:spacing w:after="0"/>
              <w:rPr>
                <w:sz w:val="24"/>
                <w:szCs w:val="24"/>
                <w:color w:val="auto"/>
              </w:rPr>
            </w:pPr>
          </w:p>
        </w:tc>
        <w:tc>
          <w:tcPr>
            <w:tcW w:w="13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17.1</w:t>
            </w:r>
          </w:p>
        </w:tc>
      </w:tr>
      <w:tr>
        <w:trPr>
          <w:trHeight w:val="476"/>
        </w:trPr>
        <w:tc>
          <w:tcPr>
            <w:tcW w:w="5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82,014</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80,055</w:t>
            </w:r>
          </w:p>
        </w:tc>
        <w:tc>
          <w:tcPr>
            <w:tcW w:w="10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405"/>
        </w:trPr>
        <w:tc>
          <w:tcPr>
            <w:tcW w:w="5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Percentage of cash and invested assets</w:t>
            </w: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65.1 %</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65.4 %</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9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See Note 10 of the Notes to the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8 of the Notes to the Consolidated Financial Statements for further information about fixed maturity securities by sector, contractual maturities, continuous gross unrealized losses and the allowance for credit losses.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Credit Quality — Ratings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Rating agency ratings are based on availability of applicable ratings from rating agencies on the NAIC credit rating provider list, including Moody’s, S&amp;P, Fitch, Dominion Bond Rating Service and Kroll Bond Rating Agency. If no rating is available from a rating agency, then an internally developed rating is used.</w:t>
      </w:r>
    </w:p>
    <w:p>
      <w:pPr>
        <w:spacing w:after="0" w:line="72"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NAIC has methodologies to assess credit quality for certain Structured Securities comprised of non-agency RMBS, CMBS and ABS. The NAIC’s objective with these methodologies is to increase the accuracy in assessing expected losses, and to use the improved assessment to determine a more appropriate capital requirement for such Structured Securities. The methodologies reduce regulatory reliance on rating agencies and allow for greater regulatory input into the assumptions used to estimate expected losses from Structured Securities. In 2021, these methodologies were updated to only apply to those Structured Securities issued prior to 2013. We apply the NAIC methodologies to Structured Securities held by our insurance subsidiaries and BRCD. The NAIC’s present methodology is to evaluate Structured Securities held by insurers on an annual basis. If our insurance subsidiaries and BRCD acquire Structured Securities that have not been previously evaluated by the NAIC but are expected to be evaluated by the NAIC in the upcoming annual review, an internally developed designation is used until a final designation becomes available.</w:t>
      </w:r>
    </w:p>
    <w:p>
      <w:pPr>
        <w:spacing w:after="0" w:line="8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presents total fixed maturity securities by nationally statistical rating organizations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w w:val="94"/>
              </w:rPr>
              <w:t>December 31, 2025</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December 31, 2024</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34"/>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35"/>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Allowance for</w:t>
            </w:r>
          </w:p>
        </w:tc>
        <w:tc>
          <w:tcPr>
            <w:tcW w:w="120" w:type="dxa"/>
            <w:vAlign w:val="bottom"/>
          </w:tcPr>
          <w:p>
            <w:pPr>
              <w:spacing w:after="0"/>
              <w:rPr>
                <w:sz w:val="24"/>
                <w:szCs w:val="24"/>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94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Estimated Fair</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3"/>
              </w:rPr>
              <w:t>Unrealized</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Estimated Fair</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40"/>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NAIC Designation</w:t>
            </w: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NRSRO Rating</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12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Gain (Loss)</w:t>
            </w:r>
          </w:p>
        </w:tc>
        <w:tc>
          <w:tcPr>
            <w:tcW w:w="200" w:type="dxa"/>
            <w:vAlign w:val="bottom"/>
          </w:tcPr>
          <w:p>
            <w:pPr>
              <w:spacing w:after="0"/>
              <w:rPr>
                <w:sz w:val="12"/>
                <w:szCs w:val="12"/>
                <w:color w:val="auto"/>
              </w:rPr>
            </w:pPr>
          </w:p>
        </w:tc>
        <w:tc>
          <w:tcPr>
            <w:tcW w:w="7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Gain (Loss)</w:t>
            </w:r>
          </w:p>
        </w:tc>
        <w:tc>
          <w:tcPr>
            <w:tcW w:w="180" w:type="dxa"/>
            <w:vAlign w:val="bottom"/>
          </w:tcPr>
          <w:p>
            <w:pPr>
              <w:spacing w:after="0"/>
              <w:rPr>
                <w:sz w:val="12"/>
                <w:szCs w:val="12"/>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140" w:type="dxa"/>
            <w:vAlign w:val="bottom"/>
          </w:tcPr>
          <w:p>
            <w:pPr>
              <w:spacing w:after="0"/>
              <w:rPr>
                <w:sz w:val="12"/>
                <w:szCs w:val="12"/>
                <w:color w:val="auto"/>
              </w:rPr>
            </w:pPr>
          </w:p>
        </w:tc>
      </w:tr>
      <w:tr>
        <w:trPr>
          <w:trHeight w:val="34"/>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6"/>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74"/>
        </w:trPr>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6"/>
          </w:tcPr>
          <w:p>
            <w:pPr>
              <w:ind w:left="34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tcPr>
          <w:p>
            <w:pPr>
              <w:spacing w:after="0"/>
              <w:rPr>
                <w:sz w:val="2"/>
                <w:szCs w:val="2"/>
                <w:color w:val="auto"/>
              </w:rPr>
            </w:pPr>
          </w:p>
        </w:tc>
      </w:tr>
      <w:tr>
        <w:trPr>
          <w:trHeight w:val="391"/>
        </w:trPr>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Aaa/Aa/A</w:t>
            </w:r>
          </w:p>
        </w:tc>
        <w:tc>
          <w:tcPr>
            <w:tcW w:w="22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57,600</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54,281</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56,661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51,976</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64.9 %</w:t>
            </w:r>
          </w:p>
        </w:tc>
      </w:tr>
      <w:tr>
        <w:trPr>
          <w:trHeight w:val="381"/>
        </w:trPr>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Baa</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26,845</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25,286</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28,446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25,806</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140" w:type="dxa"/>
            <w:vAlign w:val="bottom"/>
          </w:tcPr>
          <w:p>
            <w:pPr>
              <w:spacing w:after="0"/>
              <w:rPr>
                <w:sz w:val="24"/>
                <w:szCs w:val="24"/>
                <w:color w:val="auto"/>
              </w:rPr>
            </w:pPr>
          </w:p>
        </w:tc>
      </w:tr>
      <w:tr>
        <w:trPr>
          <w:trHeight w:val="30"/>
        </w:trPr>
        <w:tc>
          <w:tcPr>
            <w:tcW w:w="9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384"/>
        </w:trPr>
        <w:tc>
          <w:tcPr>
            <w:tcW w:w="25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Subtotal investment grade</w:t>
            </w: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84,445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79,567</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85,107</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(7,320)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77,782</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380"/>
        </w:trPr>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2,009</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1,879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1,787</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140" w:type="dxa"/>
            <w:vAlign w:val="bottom"/>
          </w:tcPr>
          <w:p>
            <w:pPr>
              <w:spacing w:after="0"/>
              <w:rPr>
                <w:sz w:val="24"/>
                <w:szCs w:val="24"/>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391"/>
        </w:trPr>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380"/>
        </w:trPr>
        <w:tc>
          <w:tcPr>
            <w:tcW w:w="9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Caa and lower</w:t>
            </w: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Pr>
          <w:p>
            <w:pPr>
              <w:spacing w:after="0"/>
              <w:rPr>
                <w:sz w:val="24"/>
                <w:szCs w:val="24"/>
                <w:color w:val="auto"/>
              </w:rPr>
            </w:pPr>
          </w:p>
        </w:tc>
      </w:tr>
      <w:tr>
        <w:trPr>
          <w:trHeight w:val="30"/>
        </w:trPr>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411"/>
        </w:trPr>
        <w:tc>
          <w:tcPr>
            <w:tcW w:w="9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 or near default</w:t>
            </w: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374"/>
        </w:trPr>
        <w:tc>
          <w:tcPr>
            <w:tcW w:w="250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Subtotal below investment grade</w:t>
            </w: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2,601</w:t>
            </w: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2,447</w:t>
            </w:r>
          </w:p>
        </w:tc>
        <w:tc>
          <w:tcPr>
            <w:tcW w:w="100" w:type="dxa"/>
            <w:vAlign w:val="bottom"/>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2,496</w:t>
            </w:r>
          </w:p>
        </w:tc>
        <w:tc>
          <w:tcPr>
            <w:tcW w:w="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2,273</w:t>
            </w:r>
          </w:p>
        </w:tc>
        <w:tc>
          <w:tcPr>
            <w:tcW w:w="100" w:type="dxa"/>
            <w:vAlign w:val="bottom"/>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30"/>
        </w:trPr>
        <w:tc>
          <w:tcPr>
            <w:tcW w:w="9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r>
      <w:tr>
        <w:trPr>
          <w:trHeight w:val="422"/>
        </w:trPr>
        <w:tc>
          <w:tcPr>
            <w:tcW w:w="25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fixed maturity securities</w:t>
            </w:r>
          </w:p>
        </w:tc>
        <w:tc>
          <w:tcPr>
            <w:tcW w:w="2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87,046</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82,014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87,603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(7,467)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80,055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60" w:type="dxa"/>
            <w:vAlign w:val="bottom"/>
            <w:gridSpan w:val="1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Fixed Maturity Securities — by Sector &amp; Credit Quality Rating</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38"/>
        </w:trPr>
        <w:tc>
          <w:tcPr>
            <w:tcW w:w="3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393"/>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60" w:type="dxa"/>
            <w:vAlign w:val="bottom"/>
          </w:tcPr>
          <w:p>
            <w:pPr>
              <w:spacing w:after="0"/>
              <w:rPr>
                <w:sz w:val="24"/>
                <w:szCs w:val="24"/>
                <w:color w:val="auto"/>
              </w:rPr>
            </w:pPr>
          </w:p>
        </w:tc>
        <w:tc>
          <w:tcPr>
            <w:tcW w:w="8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8"/>
        </w:trPr>
        <w:tc>
          <w:tcPr>
            <w:tcW w:w="3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r>
      <w:tr>
        <w:trPr>
          <w:trHeight w:val="379"/>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or Near</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r>
      <w:tr>
        <w:trPr>
          <w:trHeight w:val="186"/>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60" w:type="dxa"/>
            <w:vAlign w:val="bottom"/>
          </w:tcPr>
          <w:p>
            <w:pPr>
              <w:spacing w:after="0"/>
              <w:rPr>
                <w:sz w:val="16"/>
                <w:szCs w:val="16"/>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Aaa/Aa/A</w:t>
            </w:r>
          </w:p>
        </w:tc>
        <w:tc>
          <w:tcPr>
            <w:tcW w:w="240" w:type="dxa"/>
            <w:vAlign w:val="bottom"/>
          </w:tcPr>
          <w:p>
            <w:pPr>
              <w:spacing w:after="0"/>
              <w:rPr>
                <w:sz w:val="16"/>
                <w:szCs w:val="16"/>
                <w:color w:val="auto"/>
              </w:rPr>
            </w:pPr>
          </w:p>
        </w:tc>
        <w:tc>
          <w:tcPr>
            <w:tcW w:w="8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Baa</w:t>
            </w:r>
          </w:p>
        </w:tc>
        <w:tc>
          <w:tcPr>
            <w:tcW w:w="260" w:type="dxa"/>
            <w:vAlign w:val="bottom"/>
          </w:tcPr>
          <w:p>
            <w:pPr>
              <w:spacing w:after="0"/>
              <w:rPr>
                <w:sz w:val="16"/>
                <w:szCs w:val="16"/>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Ba</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85"/>
              </w:rPr>
              <w:t>B</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Caa and Lower</w:t>
            </w:r>
          </w:p>
        </w:tc>
        <w:tc>
          <w:tcPr>
            <w:tcW w:w="14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40" w:type="dxa"/>
            <w:vAlign w:val="bottom"/>
          </w:tcPr>
          <w:p>
            <w:pPr>
              <w:spacing w:after="0"/>
              <w:rPr>
                <w:sz w:val="16"/>
                <w:szCs w:val="16"/>
                <w:color w:val="auto"/>
              </w:rPr>
            </w:pPr>
          </w:p>
        </w:tc>
        <w:tc>
          <w:tcPr>
            <w:tcW w:w="86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8"/>
        </w:trPr>
        <w:tc>
          <w:tcPr>
            <w:tcW w:w="35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393"/>
        </w:trPr>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8"/>
        </w:trPr>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451"/>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441"/>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18,624</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18,414</w:t>
            </w:r>
          </w:p>
        </w:tc>
        <w:tc>
          <w:tcPr>
            <w:tcW w:w="100" w:type="dxa"/>
            <w:vAlign w:val="bottom"/>
          </w:tcPr>
          <w:p>
            <w:pPr>
              <w:spacing w:after="0"/>
              <w:rPr>
                <w:sz w:val="24"/>
                <w:szCs w:val="24"/>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4"/>
                <w:szCs w:val="2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38,909</w:t>
            </w:r>
          </w:p>
        </w:tc>
      </w:tr>
      <w:tr>
        <w:trPr>
          <w:trHeight w:val="46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11,497</w:t>
            </w:r>
          </w:p>
        </w:tc>
      </w:tr>
      <w:tr>
        <w:trPr>
          <w:trHeight w:val="441"/>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8,509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w:t>
            </w:r>
          </w:p>
        </w:tc>
      </w:tr>
      <w:tr>
        <w:trPr>
          <w:trHeight w:val="46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w:t>
            </w:r>
          </w:p>
        </w:tc>
      </w:tr>
      <w:tr>
        <w:trPr>
          <w:trHeight w:val="441"/>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w:t>
            </w:r>
          </w:p>
        </w:tc>
      </w:tr>
      <w:tr>
        <w:trPr>
          <w:trHeight w:val="46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w:t>
            </w:r>
          </w:p>
        </w:tc>
      </w:tr>
      <w:tr>
        <w:trPr>
          <w:trHeight w:val="441"/>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r>
      <w:tr>
        <w:trPr>
          <w:trHeight w:val="45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r>
      <w:tr>
        <w:trPr>
          <w:trHeight w:val="450"/>
        </w:trPr>
        <w:tc>
          <w:tcPr>
            <w:tcW w:w="3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54,281</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25,286</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82,014</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2"/>
        </w:trPr>
        <w:tc>
          <w:tcPr>
            <w:tcW w:w="3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441"/>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6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37,123</w:t>
            </w:r>
          </w:p>
        </w:tc>
      </w:tr>
      <w:tr>
        <w:trPr>
          <w:trHeight w:val="441"/>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11,830</w:t>
            </w:r>
          </w:p>
        </w:tc>
      </w:tr>
      <w:tr>
        <w:trPr>
          <w:trHeight w:val="46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w:t>
            </w:r>
          </w:p>
        </w:tc>
      </w:tr>
      <w:tr>
        <w:trPr>
          <w:trHeight w:val="441"/>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6,636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6,747</w:t>
            </w:r>
          </w:p>
        </w:tc>
      </w:tr>
      <w:tr>
        <w:trPr>
          <w:trHeight w:val="46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5,776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6,312</w:t>
            </w:r>
          </w:p>
        </w:tc>
      </w:tr>
      <w:tr>
        <w:trPr>
          <w:trHeight w:val="441"/>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5,985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6,356</w:t>
            </w:r>
          </w:p>
        </w:tc>
      </w:tr>
      <w:tr>
        <w:trPr>
          <w:trHeight w:val="46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3,441</w:t>
            </w:r>
          </w:p>
        </w:tc>
      </w:tr>
      <w:tr>
        <w:trPr>
          <w:trHeight w:val="444"/>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959</w:t>
            </w:r>
          </w:p>
        </w:tc>
      </w:tr>
      <w:tr>
        <w:trPr>
          <w:trHeight w:val="475"/>
        </w:trPr>
        <w:tc>
          <w:tcPr>
            <w:tcW w:w="35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51,976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80,055</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and Foreign Corporate Fixed Maturity Securities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maintain a diversified portfolio of corporate fixed maturity securities across industries and issuers. Our portfolio does not have any exposure to any single issuer in excess of 1% of total investments and the top ten holdings in aggregate comprise 1% of total investments at both December 31, 2025 and 2024. Our U.S. and foreign corporate fixed maturity securities holdings by industry were as follows at:</w:t>
      </w:r>
    </w:p>
    <w:p>
      <w:pPr>
        <w:sectPr>
          <w:pgSz w:w="11900" w:h="16838" w:orient="portrait"/>
          <w:cols w:equalWidth="0" w:num="1">
            <w:col w:w="11240"/>
          </w:cols>
          <w:pgMar w:left="320" w:top="278"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2440" w:type="dxa"/>
            <w:vAlign w:val="bottom"/>
            <w:gridSpan w:val="3"/>
          </w:tcPr>
          <w:p>
            <w:pPr>
              <w:jc w:val="right"/>
              <w:ind w:right="663"/>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58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67"/>
        </w:trPr>
        <w:tc>
          <w:tcPr>
            <w:tcW w:w="5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32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2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2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8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5"/>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393"/>
        </w:trPr>
        <w:tc>
          <w:tcPr>
            <w:tcW w:w="5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320" w:type="dxa"/>
            <w:vAlign w:val="bottom"/>
          </w:tcPr>
          <w:p>
            <w:pPr>
              <w:spacing w:after="0"/>
              <w:rPr>
                <w:sz w:val="24"/>
                <w:szCs w:val="24"/>
                <w:color w:val="auto"/>
              </w:rPr>
            </w:pPr>
          </w:p>
        </w:tc>
      </w:tr>
      <w:tr>
        <w:trPr>
          <w:trHeight w:val="38"/>
        </w:trPr>
        <w:tc>
          <w:tcPr>
            <w:tcW w:w="5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Pr>
          <w:p>
            <w:pPr>
              <w:spacing w:after="0"/>
              <w:rPr>
                <w:sz w:val="3"/>
                <w:szCs w:val="3"/>
                <w:color w:val="auto"/>
              </w:rPr>
            </w:pPr>
          </w:p>
        </w:tc>
      </w:tr>
      <w:tr>
        <w:trPr>
          <w:trHeight w:val="45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16,541</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15,448</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31.6 %</w:t>
            </w:r>
          </w:p>
        </w:tc>
      </w:tr>
      <w:tr>
        <w:trPr>
          <w:trHeight w:val="441"/>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12,736</w:t>
            </w:r>
          </w:p>
        </w:tc>
        <w:tc>
          <w:tcPr>
            <w:tcW w:w="120" w:type="dxa"/>
            <w:vAlign w:val="bottom"/>
          </w:tcPr>
          <w:p>
            <w:pPr>
              <w:spacing w:after="0"/>
              <w:rPr>
                <w:sz w:val="24"/>
                <w:szCs w:val="24"/>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13,279</w:t>
            </w:r>
          </w:p>
        </w:tc>
        <w:tc>
          <w:tcPr>
            <w:tcW w:w="100" w:type="dxa"/>
            <w:vAlign w:val="bottom"/>
          </w:tcPr>
          <w:p>
            <w:pPr>
              <w:spacing w:after="0"/>
              <w:rPr>
                <w:sz w:val="24"/>
                <w:szCs w:val="24"/>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27.1</w:t>
            </w:r>
          </w:p>
        </w:tc>
      </w:tr>
      <w:tr>
        <w:trPr>
          <w:trHeight w:val="46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11,743</w:t>
            </w:r>
          </w:p>
        </w:tc>
        <w:tc>
          <w:tcPr>
            <w:tcW w:w="12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11,155</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22.8</w:t>
            </w:r>
          </w:p>
        </w:tc>
      </w:tr>
      <w:tr>
        <w:trPr>
          <w:trHeight w:val="441"/>
        </w:trPr>
        <w:tc>
          <w:tcPr>
            <w:tcW w:w="5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Utility</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w:t>
            </w:r>
          </w:p>
        </w:tc>
        <w:tc>
          <w:tcPr>
            <w:tcW w:w="120" w:type="dxa"/>
            <w:vAlign w:val="bottom"/>
          </w:tcPr>
          <w:p>
            <w:pPr>
              <w:spacing w:after="0"/>
              <w:rPr>
                <w:sz w:val="24"/>
                <w:szCs w:val="24"/>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6,405</w:t>
            </w:r>
          </w:p>
        </w:tc>
        <w:tc>
          <w:tcPr>
            <w:tcW w:w="100" w:type="dxa"/>
            <w:vAlign w:val="bottom"/>
          </w:tcPr>
          <w:p>
            <w:pPr>
              <w:spacing w:after="0"/>
              <w:rPr>
                <w:sz w:val="24"/>
                <w:szCs w:val="24"/>
                <w:color w:val="auto"/>
              </w:rPr>
            </w:pPr>
          </w:p>
        </w:tc>
        <w:tc>
          <w:tcPr>
            <w:tcW w:w="13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13.1</w:t>
            </w:r>
          </w:p>
        </w:tc>
      </w:tr>
      <w:tr>
        <w:trPr>
          <w:trHeight w:val="46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20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20" w:type="dxa"/>
            <w:vAlign w:val="bottom"/>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5.4</w:t>
            </w:r>
          </w:p>
        </w:tc>
      </w:tr>
      <w:tr>
        <w:trPr>
          <w:trHeight w:val="437"/>
        </w:trPr>
        <w:tc>
          <w:tcPr>
            <w:tcW w:w="5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50,406</w:t>
            </w:r>
          </w:p>
        </w:tc>
        <w:tc>
          <w:tcPr>
            <w:tcW w:w="12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48,953</w:t>
            </w:r>
          </w:p>
        </w:tc>
        <w:tc>
          <w:tcPr>
            <w:tcW w:w="10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7"/>
        </w:trPr>
        <w:tc>
          <w:tcPr>
            <w:tcW w:w="58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Structured Securities</w:t>
      </w:r>
    </w:p>
    <w:p>
      <w:pPr>
        <w:spacing w:after="0" w:line="115" w:lineRule="exact"/>
        <w:rPr>
          <w:sz w:val="20"/>
          <w:szCs w:val="20"/>
          <w:color w:val="auto"/>
        </w:rPr>
      </w:pPr>
    </w:p>
    <w:p>
      <w:pPr>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We held $20.5 billion and $20.0 billion of Structured Securities, at estimated fair value, at December 31, 2025 and 2024, respectively, as presented in the RMBS, CMBS and ABS sections below.</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RMBS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RMBS holdings are diversified by security type, risk profile and ratings profile, which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spacing w:after="0"/>
              <w:rPr>
                <w:sz w:val="16"/>
                <w:szCs w:val="16"/>
                <w:color w:val="auto"/>
              </w:rPr>
            </w:pPr>
          </w:p>
        </w:tc>
      </w:tr>
      <w:tr>
        <w:trPr>
          <w:trHeight w:val="38"/>
        </w:trPr>
        <w:tc>
          <w:tcPr>
            <w:tcW w:w="4100" w:type="dxa"/>
            <w:vAlign w:val="bottom"/>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94"/>
        </w:trPr>
        <w:tc>
          <w:tcPr>
            <w:tcW w:w="4100" w:type="dxa"/>
            <w:vAlign w:val="bottom"/>
          </w:tcPr>
          <w:p>
            <w:pPr>
              <w:spacing w:after="0"/>
              <w:rPr>
                <w:sz w:val="16"/>
                <w:szCs w:val="16"/>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16"/>
                <w:szCs w:val="16"/>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86"/>
        </w:trPr>
        <w:tc>
          <w:tcPr>
            <w:tcW w:w="4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40" w:type="dxa"/>
            <w:vAlign w:val="bottom"/>
          </w:tcPr>
          <w:p>
            <w:pPr>
              <w:spacing w:after="0"/>
              <w:rPr>
                <w:sz w:val="16"/>
                <w:szCs w:val="16"/>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38"/>
        </w:trPr>
        <w:tc>
          <w:tcPr>
            <w:tcW w:w="4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36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393"/>
        </w:trPr>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60" w:type="dxa"/>
            <w:vAlign w:val="bottom"/>
            <w:gridSpan w:val="4"/>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
        </w:trPr>
        <w:tc>
          <w:tcPr>
            <w:tcW w:w="4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45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type: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441"/>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2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53.6 %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45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Pass-through securities</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450"/>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RMBS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1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profile: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441"/>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5,752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78.9 %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r>
      <w:tr>
        <w:trPr>
          <w:trHeight w:val="46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220</w:t>
            </w:r>
          </w:p>
        </w:tc>
        <w:tc>
          <w:tcPr>
            <w:tcW w:w="100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441"/>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00" w:type="dxa"/>
            <w:vAlign w:val="bottom"/>
          </w:tcPr>
          <w:p>
            <w:pPr>
              <w:spacing w:after="0"/>
              <w:rPr>
                <w:sz w:val="24"/>
                <w:szCs w:val="24"/>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992</w:t>
            </w:r>
          </w:p>
        </w:tc>
        <w:tc>
          <w:tcPr>
            <w:tcW w:w="100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453"/>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Sub-prime</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r>
      <w:tr>
        <w:trPr>
          <w:trHeight w:val="450"/>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RMBS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7,287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17"/>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Ratings profile: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441"/>
        </w:trPr>
        <w:tc>
          <w:tcPr>
            <w:tcW w:w="4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Rated Aaa</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892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60"/>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NAIC 1</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7,254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23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CMBS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CMBS holdings are diversified by vintage year, which were as follows at:</w:t>
      </w:r>
    </w:p>
    <w:p>
      <w:pPr>
        <w:sectPr>
          <w:pgSz w:w="11900" w:h="16838" w:orient="portrait"/>
          <w:cols w:equalWidth="0" w:num="1">
            <w:col w:w="11240"/>
          </w:cols>
          <w:pgMar w:left="320" w:top="278"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420" w:type="dxa"/>
            <w:vAlign w:val="bottom"/>
          </w:tcPr>
          <w:p>
            <w:pPr>
              <w:spacing w:after="0"/>
              <w:rPr>
                <w:sz w:val="16"/>
                <w:szCs w:val="16"/>
                <w:color w:val="auto"/>
              </w:rPr>
            </w:pPr>
          </w:p>
        </w:tc>
        <w:tc>
          <w:tcPr>
            <w:tcW w:w="3020" w:type="dxa"/>
            <w:vAlign w:val="bottom"/>
            <w:gridSpan w:val="4"/>
          </w:tcPr>
          <w:p>
            <w:pPr>
              <w:jc w:val="right"/>
              <w:ind w:right="106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4240" w:type="dxa"/>
            <w:vAlign w:val="bottom"/>
          </w:tcPr>
          <w:p>
            <w:pPr>
              <w:spacing w:after="0"/>
              <w:rPr>
                <w:sz w:val="3"/>
                <w:szCs w:val="3"/>
                <w:color w:val="auto"/>
              </w:rPr>
            </w:pPr>
          </w:p>
        </w:tc>
        <w:tc>
          <w:tcPr>
            <w:tcW w:w="178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167"/>
        </w:trPr>
        <w:tc>
          <w:tcPr>
            <w:tcW w:w="4240" w:type="dxa"/>
            <w:vAlign w:val="bottom"/>
          </w:tcPr>
          <w:p>
            <w:pPr>
              <w:spacing w:after="0"/>
              <w:rPr>
                <w:sz w:val="14"/>
                <w:szCs w:val="14"/>
                <w:color w:val="auto"/>
              </w:rPr>
            </w:pPr>
          </w:p>
        </w:tc>
        <w:tc>
          <w:tcPr>
            <w:tcW w:w="17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6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86"/>
        </w:trPr>
        <w:tc>
          <w:tcPr>
            <w:tcW w:w="4240" w:type="dxa"/>
            <w:vAlign w:val="bottom"/>
          </w:tcPr>
          <w:p>
            <w:pPr>
              <w:spacing w:after="0"/>
              <w:rPr>
                <w:sz w:val="16"/>
                <w:szCs w:val="16"/>
                <w:color w:val="auto"/>
              </w:rPr>
            </w:pPr>
          </w:p>
        </w:tc>
        <w:tc>
          <w:tcPr>
            <w:tcW w:w="1060" w:type="dxa"/>
            <w:vAlign w:val="bottom"/>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Cost</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420" w:type="dxa"/>
            <w:vAlign w:val="bottom"/>
          </w:tcPr>
          <w:p>
            <w:pPr>
              <w:spacing w:after="0"/>
              <w:rPr>
                <w:sz w:val="16"/>
                <w:szCs w:val="16"/>
                <w:color w:val="auto"/>
              </w:rPr>
            </w:pPr>
          </w:p>
        </w:tc>
        <w:tc>
          <w:tcPr>
            <w:tcW w:w="136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140" w:type="dxa"/>
            <w:vAlign w:val="bottom"/>
          </w:tcPr>
          <w:p>
            <w:pPr>
              <w:spacing w:after="0"/>
              <w:rPr>
                <w:sz w:val="16"/>
                <w:szCs w:val="16"/>
                <w:color w:val="auto"/>
              </w:rPr>
            </w:pPr>
          </w:p>
        </w:tc>
        <w:tc>
          <w:tcPr>
            <w:tcW w:w="15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38"/>
        </w:trPr>
        <w:tc>
          <w:tcPr>
            <w:tcW w:w="424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r>
      <w:tr>
        <w:trPr>
          <w:trHeight w:val="393"/>
        </w:trPr>
        <w:tc>
          <w:tcPr>
            <w:tcW w:w="4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8"/>
        </w:trPr>
        <w:tc>
          <w:tcPr>
            <w:tcW w:w="4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451"/>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2005 - 2011</w:t>
            </w:r>
          </w:p>
        </w:tc>
        <w:tc>
          <w:tcPr>
            <w:tcW w:w="106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441"/>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2012</w:t>
            </w:r>
          </w:p>
        </w:tc>
        <w:tc>
          <w:tcPr>
            <w:tcW w:w="10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6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2013</w:t>
            </w: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441"/>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2014</w:t>
            </w:r>
          </w:p>
        </w:tc>
        <w:tc>
          <w:tcPr>
            <w:tcW w:w="106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46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w:t>
            </w:r>
          </w:p>
        </w:tc>
      </w:tr>
      <w:tr>
        <w:trPr>
          <w:trHeight w:val="441"/>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106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46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441"/>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106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1,570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1,524</w:t>
            </w:r>
          </w:p>
        </w:tc>
      </w:tr>
      <w:tr>
        <w:trPr>
          <w:trHeight w:val="46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441"/>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106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r>
      <w:tr>
        <w:trPr>
          <w:trHeight w:val="46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r>
      <w:tr>
        <w:trPr>
          <w:trHeight w:val="441"/>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106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w:t>
            </w:r>
          </w:p>
        </w:tc>
      </w:tr>
      <w:tr>
        <w:trPr>
          <w:trHeight w:val="46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441"/>
        </w:trPr>
        <w:tc>
          <w:tcPr>
            <w:tcW w:w="4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106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45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0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50"/>
        </w:trPr>
        <w:tc>
          <w:tcPr>
            <w:tcW w:w="42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060" w:type="dxa"/>
            <w:vAlign w:val="bottom"/>
            <w:tcBorders>
              <w:top w:val="single" w:sz="8" w:color="auto"/>
              <w:bottom w:val="single" w:sz="8" w:color="auto"/>
            </w:tcBorders>
          </w:tcPr>
          <w:p>
            <w:pPr>
              <w:jc w:val="right"/>
              <w:ind w:right="865"/>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6,086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5,870</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6,776</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6,356</w:t>
            </w:r>
          </w:p>
        </w:tc>
      </w:tr>
      <w:tr>
        <w:trPr>
          <w:trHeight w:val="20"/>
        </w:trPr>
        <w:tc>
          <w:tcPr>
            <w:tcW w:w="4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CMBS rated Aaa using rating agency ratings was $3.9 billion, or 67.2% of total CMBS, and designated NAIC 1 was $5.6 billion, or 94.8% of total CMBS, at December 31, 2025. The estimated fair value of CMBS rated Aaa using rating agency ratings was $4.3 billion, or 67.7% of total CMBS, and designated NAIC 1 was $6.0 billion, or 94.2% of total CMBS, at December 31, 2024.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ABS holdings are diversified by both collateral type and issuer. Our ABS holdings by collateral type and ratings profile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160" w:type="dxa"/>
            <w:vAlign w:val="bottom"/>
          </w:tcPr>
          <w:p>
            <w:pPr>
              <w:spacing w:after="0"/>
              <w:rPr>
                <w:sz w:val="16"/>
                <w:szCs w:val="16"/>
                <w:color w:val="auto"/>
              </w:rPr>
            </w:pPr>
          </w:p>
        </w:tc>
      </w:tr>
      <w:tr>
        <w:trPr>
          <w:trHeight w:val="38"/>
        </w:trPr>
        <w:tc>
          <w:tcPr>
            <w:tcW w:w="4120" w:type="dxa"/>
            <w:vAlign w:val="bottom"/>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379"/>
        </w:trPr>
        <w:tc>
          <w:tcPr>
            <w:tcW w:w="4120" w:type="dxa"/>
            <w:vAlign w:val="bottom"/>
          </w:tcPr>
          <w:p>
            <w:pPr>
              <w:spacing w:after="0"/>
              <w:rPr>
                <w:sz w:val="24"/>
                <w:szCs w:val="24"/>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24"/>
                <w:szCs w:val="24"/>
                <w:color w:val="auto"/>
              </w:rPr>
            </w:pPr>
          </w:p>
        </w:tc>
        <w:tc>
          <w:tcPr>
            <w:tcW w:w="10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60" w:type="dxa"/>
            <w:vAlign w:val="bottom"/>
          </w:tcPr>
          <w:p>
            <w:pPr>
              <w:spacing w:after="0"/>
              <w:rPr>
                <w:sz w:val="24"/>
                <w:szCs w:val="24"/>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86"/>
        </w:trPr>
        <w:tc>
          <w:tcPr>
            <w:tcW w:w="4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40" w:type="dxa"/>
            <w:vAlign w:val="bottom"/>
          </w:tcPr>
          <w:p>
            <w:pPr>
              <w:spacing w:after="0"/>
              <w:rPr>
                <w:sz w:val="16"/>
                <w:szCs w:val="16"/>
                <w:color w:val="auto"/>
              </w:rPr>
            </w:pPr>
          </w:p>
        </w:tc>
        <w:tc>
          <w:tcPr>
            <w:tcW w:w="86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Pr>
          <w:p>
            <w:pPr>
              <w:spacing w:after="0"/>
              <w:rPr>
                <w:sz w:val="16"/>
                <w:szCs w:val="16"/>
                <w:color w:val="auto"/>
              </w:rPr>
            </w:pP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38"/>
        </w:trPr>
        <w:tc>
          <w:tcPr>
            <w:tcW w:w="4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393"/>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gridSpan w:val="4"/>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8"/>
        </w:trPr>
        <w:tc>
          <w:tcPr>
            <w:tcW w:w="4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451"/>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 type:</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441"/>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obligations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47.6 %</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46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Automobile loans</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w:t>
            </w:r>
          </w:p>
        </w:tc>
        <w:tc>
          <w:tcPr>
            <w:tcW w:w="10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41"/>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 loans</w:t>
            </w:r>
          </w:p>
        </w:tc>
        <w:tc>
          <w:tcPr>
            <w:tcW w:w="22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24"/>
                <w:szCs w:val="24"/>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2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46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Student loans</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441"/>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loans</w:t>
            </w:r>
          </w:p>
        </w:tc>
        <w:tc>
          <w:tcPr>
            <w:tcW w:w="220" w:type="dxa"/>
            <w:vAlign w:val="bottom"/>
          </w:tcPr>
          <w:p>
            <w:pPr>
              <w:spacing w:after="0"/>
              <w:rPr>
                <w:sz w:val="24"/>
                <w:szCs w:val="24"/>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24"/>
                <w:szCs w:val="24"/>
                <w:color w:val="auto"/>
              </w:rPr>
            </w:pP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2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5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loans</w:t>
            </w:r>
          </w:p>
        </w:tc>
        <w:tc>
          <w:tcPr>
            <w:tcW w:w="2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1,313</w:t>
            </w:r>
          </w:p>
        </w:tc>
        <w:tc>
          <w:tcPr>
            <w:tcW w:w="100" w:type="dxa"/>
            <w:vAlign w:val="bottom"/>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450"/>
        </w:trPr>
        <w:tc>
          <w:tcPr>
            <w:tcW w:w="4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4"/>
                <w:szCs w:val="24"/>
                <w:color w:val="auto"/>
              </w:rPr>
            </w:pP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41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Ratings profile:</w:t>
            </w: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441"/>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Rated Aaa</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59.6 %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60"/>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Designated NAIC 1</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5,843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Fixed Maturity Securities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8 of the Notes to the Consolidated Financial Statements for information about the evaluation of fixed maturity securities for an allowance for credit losses or write-offs due to uncollectibility.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8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See “— Liquidity and Capital Resources — The Company — Primary Uses of Liquidity and Capital — Securities Lending” and Note 8 of the Notes to the Consolidated Financial Statements for information regarding our securities lending program.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mortgage loans are principally collateralized by commercial, agricultural and residential properties. Information regarding mortgage loans by portfolio segment is summarized as follows at:</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8"/>
        </w:trPr>
        <w:tc>
          <w:tcPr>
            <w:tcW w:w="27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66"/>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Amortized</w:t>
            </w:r>
          </w:p>
        </w:tc>
        <w:tc>
          <w:tcPr>
            <w:tcW w:w="120" w:type="dxa"/>
            <w:vAlign w:val="bottom"/>
          </w:tcPr>
          <w:p>
            <w:pPr>
              <w:spacing w:after="0"/>
              <w:rPr>
                <w:sz w:val="24"/>
                <w:szCs w:val="24"/>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Amortized</w:t>
            </w:r>
          </w:p>
        </w:tc>
      </w:tr>
      <w:tr>
        <w:trPr>
          <w:trHeight w:val="186"/>
        </w:trPr>
        <w:tc>
          <w:tcPr>
            <w:tcW w:w="2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9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Cost</w:t>
            </w:r>
          </w:p>
        </w:tc>
      </w:tr>
      <w:tr>
        <w:trPr>
          <w:trHeight w:val="51"/>
        </w:trPr>
        <w:tc>
          <w:tcPr>
            <w:tcW w:w="27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4"/>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393"/>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8"/>
        </w:trPr>
        <w:tc>
          <w:tcPr>
            <w:tcW w:w="2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45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53.7 %</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right="40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56.8 %</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center"/>
              <w:ind w:right="42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441"/>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24"/>
                <w:szCs w:val="24"/>
                <w:color w:val="auto"/>
              </w:rPr>
            </w:pPr>
          </w:p>
        </w:tc>
        <w:tc>
          <w:tcPr>
            <w:tcW w:w="8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24"/>
                <w:szCs w:val="24"/>
                <w:color w:val="auto"/>
              </w:rPr>
            </w:pPr>
          </w:p>
        </w:tc>
        <w:tc>
          <w:tcPr>
            <w:tcW w:w="8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r>
      <w:tr>
        <w:trPr>
          <w:trHeight w:val="45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450"/>
        </w:trPr>
        <w:tc>
          <w:tcPr>
            <w:tcW w:w="27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22,955</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640" w:type="dxa"/>
            <w:vAlign w:val="bottom"/>
            <w:tcBorders>
              <w:bottom w:val="single" w:sz="8" w:color="auto"/>
            </w:tcBorders>
          </w:tcPr>
          <w:p>
            <w:pPr>
              <w:jc w:val="center"/>
              <w:ind w:right="40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23,464</w:t>
            </w:r>
          </w:p>
        </w:tc>
        <w:tc>
          <w:tcPr>
            <w:tcW w:w="10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660" w:type="dxa"/>
            <w:vAlign w:val="bottom"/>
            <w:tcBorders>
              <w:bottom w:val="single" w:sz="8" w:color="auto"/>
            </w:tcBorders>
          </w:tcPr>
          <w:p>
            <w:pPr>
              <w:jc w:val="center"/>
              <w:ind w:right="42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178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20"/>
        </w:trPr>
        <w:tc>
          <w:tcPr>
            <w:tcW w:w="2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ectPr>
          <w:pgSz w:w="11900" w:h="16838" w:orient="portrait"/>
          <w:cols w:equalWidth="0" w:num="1">
            <w:col w:w="11240"/>
          </w:cols>
          <w:pgMar w:left="320" w:top="278" w:right="339" w:bottom="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770"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was 99% and 98% at December 31, 2025 and 2024, respectively. The remainder was collateralized by properties located outside of the U.S. At December 31, 2025, the carrying value as a percentage of total commercial and agricultural mortgage loans for the top three states in the U.S. was 17% for California, 11% for Texas and 7% for New York. Additionally, we manage risk when originating commercial and agricultural mortgage loans by generally lending up to 75% of the estimated fair value of the underlying real estate collateral.</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residential mortgage loan portfolio is managed in a similar manner to reduce risk of concentration. All residential mortgage loans were collateralized by properties located in the U.S. at both December 31, 2025 and 2024. At December 31, 2025, the carrying value as a percentage of total residential mortgage loans for the top three states in the U.S. was 37% for California, 10% for Florida and 6% for Texas.</w:t>
      </w:r>
    </w:p>
    <w:p>
      <w:pPr>
        <w:spacing w:after="0" w:line="70"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Commercial Mortgage Loans by Geographic Region and Property Type. </w:t>
      </w:r>
      <w:r>
        <w:rPr>
          <w:rFonts w:ascii="Times New Roman" w:cs="Times New Roman" w:eastAsia="Times New Roman" w:hAnsi="Times New Roman"/>
          <w:sz w:val="18"/>
          <w:szCs w:val="18"/>
          <w:color w:val="auto"/>
        </w:rPr>
        <w:t>Commercial mortgage loans are the largest component of the mortgage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asset class. The diversification across geographic regions and property types of commercial mortgage loans was as follows at: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980" w:type="dxa"/>
            <w:vAlign w:val="bottom"/>
            <w:gridSpan w:val="3"/>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8"/>
        </w:trPr>
        <w:tc>
          <w:tcPr>
            <w:tcW w:w="6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4"/>
                <w:szCs w:val="24"/>
                <w:color w:val="auto"/>
              </w:rPr>
            </w:pPr>
          </w:p>
        </w:tc>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60" w:type="dxa"/>
            <w:vAlign w:val="bottom"/>
          </w:tcPr>
          <w:p>
            <w:pPr>
              <w:spacing w:after="0"/>
              <w:rPr>
                <w:sz w:val="24"/>
                <w:szCs w:val="24"/>
                <w:color w:val="auto"/>
              </w:rPr>
            </w:pPr>
          </w:p>
        </w:tc>
        <w:tc>
          <w:tcPr>
            <w:tcW w:w="7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108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38"/>
        </w:trPr>
        <w:tc>
          <w:tcPr>
            <w:tcW w:w="68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4"/>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4"/>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6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Geographic region:</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Atlantic</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0" w:type="dxa"/>
            <w:vAlign w:val="bottom"/>
          </w:tcPr>
          <w:p>
            <w:pPr>
              <w:spacing w:after="0"/>
              <w:rPr>
                <w:sz w:val="1"/>
                <w:szCs w:val="1"/>
                <w:color w:val="auto"/>
              </w:rPr>
            </w:pPr>
          </w:p>
        </w:tc>
      </w:tr>
      <w:tr>
        <w:trPr>
          <w:trHeight w:val="4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Pacific</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1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2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441"/>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Atlantic</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180" w:type="dxa"/>
            <w:vAlign w:val="bottom"/>
            <w:gridSpan w:val="2"/>
          </w:tcPr>
          <w:p>
            <w:pPr>
              <w:jc w:val="right"/>
              <w:ind w:right="105"/>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2,075</w:t>
            </w:r>
          </w:p>
        </w:tc>
        <w:tc>
          <w:tcPr>
            <w:tcW w:w="120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4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 South Central</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1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2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441"/>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Mountain</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180" w:type="dxa"/>
            <w:vAlign w:val="bottom"/>
            <w:gridSpan w:val="2"/>
          </w:tcPr>
          <w:p>
            <w:pPr>
              <w:jc w:val="right"/>
              <w:ind w:right="105"/>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20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4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North Central</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1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2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441"/>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England</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180" w:type="dxa"/>
            <w:vAlign w:val="bottom"/>
            <w:gridSpan w:val="2"/>
          </w:tcPr>
          <w:p>
            <w:pPr>
              <w:jc w:val="right"/>
              <w:ind w:right="105"/>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20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4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South Central</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1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2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41"/>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 North Central</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180" w:type="dxa"/>
            <w:vAlign w:val="bottom"/>
            <w:gridSpan w:val="2"/>
          </w:tcPr>
          <w:p>
            <w:pPr>
              <w:jc w:val="right"/>
              <w:ind w:right="105"/>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20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1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2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444"/>
        </w:trPr>
        <w:tc>
          <w:tcPr>
            <w:tcW w:w="6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Multi-region and Other</w:t>
            </w: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47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6840" w:type="dxa"/>
            <w:vAlign w:val="bottom"/>
            <w:tcBorders>
              <w:bottom w:val="single" w:sz="8" w:color="CCEEFF"/>
            </w:tcBorders>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68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Carrying value, net of allowance for credit losses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12,189</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13,224</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Property type: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6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Apartment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39.4 %</w:t>
            </w:r>
          </w:p>
        </w:tc>
        <w:tc>
          <w:tcPr>
            <w:tcW w:w="0" w:type="dxa"/>
            <w:vAlign w:val="bottom"/>
          </w:tcPr>
          <w:p>
            <w:pPr>
              <w:spacing w:after="0"/>
              <w:rPr>
                <w:sz w:val="1"/>
                <w:szCs w:val="1"/>
                <w:color w:val="auto"/>
              </w:rPr>
            </w:pPr>
          </w:p>
        </w:tc>
      </w:tr>
      <w:tr>
        <w:trPr>
          <w:trHeight w:val="441"/>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180" w:type="dxa"/>
            <w:vAlign w:val="bottom"/>
            <w:gridSpan w:val="2"/>
          </w:tcPr>
          <w:p>
            <w:pPr>
              <w:jc w:val="right"/>
              <w:ind w:right="105"/>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20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4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18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2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441"/>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180" w:type="dxa"/>
            <w:vAlign w:val="bottom"/>
            <w:gridSpan w:val="2"/>
          </w:tcPr>
          <w:p>
            <w:pPr>
              <w:jc w:val="right"/>
              <w:ind w:right="105"/>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120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46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Hotel</w:t>
            </w: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w:t>
            </w:r>
          </w:p>
        </w:tc>
        <w:tc>
          <w:tcPr>
            <w:tcW w:w="12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44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1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0" w:gutter="0" w:footer="0" w:header="0"/>
        </w:sectPr>
      </w:pPr>
    </w:p>
    <w:p>
      <w:pPr>
        <w:spacing w:after="0" w:line="11" w:lineRule="exact"/>
        <w:rPr>
          <w:sz w:val="20"/>
          <w:szCs w:val="20"/>
          <w:color w:val="auto"/>
        </w:rPr>
      </w:pPr>
    </w:p>
    <w:p>
      <w:pPr>
        <w:ind w:left="340"/>
        <w:spacing w:after="0"/>
        <w:tabs>
          <w:tab w:leader="none" w:pos="6840" w:val="left"/>
          <w:tab w:leader="none" w:pos="7280" w:val="left"/>
          <w:tab w:leader="none" w:pos="9100" w:val="left"/>
          <w:tab w:leader="none" w:pos="9520" w:val="left"/>
        </w:tabs>
        <w:rPr>
          <w:sz w:val="20"/>
          <w:szCs w:val="20"/>
          <w:color w:val="auto"/>
        </w:rPr>
      </w:pPr>
      <w:r>
        <w:rPr>
          <w:rFonts w:ascii="Times New Roman" w:cs="Times New Roman" w:eastAsia="Times New Roman" w:hAnsi="Times New Roman"/>
          <w:sz w:val="16"/>
          <w:szCs w:val="16"/>
          <w:color w:val="auto"/>
        </w:rPr>
        <w:t>Carrying value, net of allowance for credit losses</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12,189</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13,224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6057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5790" cy="8255"/>
                    </a:xfrm>
                    <a:prstGeom prst="rect">
                      <a:avLst/>
                    </a:prstGeom>
                    <a:noFill/>
                  </pic:spPr>
                </pic:pic>
              </a:graphicData>
            </a:graphic>
          </wp:anchor>
        </w:drawing>
        <w:drawing>
          <wp:anchor simplePos="0" relativeHeight="251657728" behindDoc="1" locked="0" layoutInCell="0" allowOverlap="1">
            <wp:simplePos x="0" y="0"/>
            <wp:positionH relativeFrom="column">
              <wp:posOffset>5775325</wp:posOffset>
            </wp:positionH>
            <wp:positionV relativeFrom="paragraph">
              <wp:posOffset>60325</wp:posOffset>
            </wp:positionV>
            <wp:extent cx="6057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5790" cy="8255"/>
                    </a:xfrm>
                    <a:prstGeom prst="rect">
                      <a:avLst/>
                    </a:prstGeom>
                    <a:noFill/>
                  </pic:spPr>
                </pic:pic>
              </a:graphicData>
            </a:graphic>
          </wp:anchor>
        </w:drawing>
        <w:drawing>
          <wp:anchor simplePos="0" relativeHeight="251657728" behindDoc="1" locked="0" layoutInCell="0" allowOverlap="1">
            <wp:simplePos x="0" y="0"/>
            <wp:positionH relativeFrom="column">
              <wp:posOffset>4345305</wp:posOffset>
            </wp:positionH>
            <wp:positionV relativeFrom="paragraph">
              <wp:posOffset>34925</wp:posOffset>
            </wp:positionV>
            <wp:extent cx="6057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05790" cy="8255"/>
                    </a:xfrm>
                    <a:prstGeom prst="rect">
                      <a:avLst/>
                    </a:prstGeom>
                    <a:noFill/>
                  </pic:spPr>
                </pic:pic>
              </a:graphicData>
            </a:graphic>
          </wp:anchor>
        </w:drawing>
        <w:drawing>
          <wp:anchor simplePos="0" relativeHeight="251657728" behindDoc="1" locked="0" layoutInCell="0" allowOverlap="1">
            <wp:simplePos x="0" y="0"/>
            <wp:positionH relativeFrom="column">
              <wp:posOffset>4345305</wp:posOffset>
            </wp:positionH>
            <wp:positionV relativeFrom="paragraph">
              <wp:posOffset>60325</wp:posOffset>
            </wp:positionV>
            <wp:extent cx="6057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05790" cy="8255"/>
                    </a:xfrm>
                    <a:prstGeom prst="rect">
                      <a:avLst/>
                    </a:prstGeom>
                    <a:noFill/>
                  </pic:spPr>
                </pic:pic>
              </a:graphicData>
            </a:graphic>
          </wp:anchor>
        </w:drawing>
      </w:r>
    </w:p>
    <w:p>
      <w:pPr>
        <w:sectPr>
          <w:pgSz w:w="11900" w:h="16838" w:orient="portrait"/>
          <w:cols w:equalWidth="0" w:num="1">
            <w:col w:w="11240"/>
          </w:cols>
          <w:pgMar w:left="320" w:top="278" w:right="339" w:bottom="0" w:gutter="0" w:footer="0" w:header="0"/>
          <w:type w:val="continuous"/>
        </w:sectPr>
      </w:pPr>
    </w:p>
    <w:bookmarkStart w:id="100" w:name="page101"/>
    <w:bookmarkEnd w:id="100"/>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Mortgage Loan Credit Quality — Monitoring Process. </w:t>
      </w:r>
      <w:r>
        <w:rPr>
          <w:rFonts w:ascii="Times New Roman" w:cs="Times New Roman" w:eastAsia="Times New Roman" w:hAnsi="Times New Roman"/>
          <w:sz w:val="18"/>
          <w:szCs w:val="18"/>
          <w:color w:val="auto"/>
        </w:rPr>
        <w:t>Our mortgage loan investments are monitored on an ongoing basis, including a review of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current, past due, restructured and under foreclosure. Quarterly, we conduct a formal review of the portfolio with our investment managers. See Note 8 of the Notes to the Consolidated Financial Statements for information on mortgage loans by credit quality indicator, past due status, nonaccrual status and modified mortgage loans.</w:t>
      </w:r>
    </w:p>
    <w:p>
      <w:pPr>
        <w:spacing w:after="0" w:line="7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including reviews on a geographic and sector basis. Our residential mortgage loans are reviewed on an ongoing basis. See Note 8 of the Notes to the Consolidated Financial Statements for information on our evaluation of residential mortgage loans and related measurement of allowance for credit losses.</w:t>
      </w:r>
    </w:p>
    <w:p>
      <w:pPr>
        <w:spacing w:after="0" w:line="5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67% and 69% at December 31, 2025 and 2024, respectively, and our average debt-service coverage ratio was 2.2x and 2.3x at December 31, 2025 and 2024, respectively.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46% and 48% at December 31, 2025 and 2024, respectively. The values utilized in calculating the agricultural mortgage loan loan-to-value ratio are developed in connection with the ongoing review of the agricultural loan portfolio and are routinely updated.</w:t>
      </w:r>
    </w:p>
    <w:p>
      <w:pPr>
        <w:spacing w:after="0" w:line="81"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Mortgage Loan Allowance for Credit Losses. </w:t>
      </w:r>
      <w:r>
        <w:rPr>
          <w:rFonts w:ascii="Times New Roman" w:cs="Times New Roman" w:eastAsia="Times New Roman" w:hAnsi="Times New Roman"/>
          <w:sz w:val="18"/>
          <w:szCs w:val="18"/>
          <w:color w:val="auto"/>
        </w:rPr>
        <w:t>See Note 8 of the Notes to the Consolidated Financial Statements for information about how the allowance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credit losses is established and monitored, as well as activity in and balances of the allowance for credit losses for the years ended December 31, 2025 and 2024.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Partnerships and Limited Liability Companies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our limited partnerships and LLCs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tcPr>
          <w:p>
            <w:pPr>
              <w:spacing w:after="0"/>
              <w:rPr>
                <w:sz w:val="16"/>
                <w:szCs w:val="16"/>
                <w:color w:val="auto"/>
              </w:rPr>
            </w:pPr>
          </w:p>
        </w:tc>
        <w:tc>
          <w:tcPr>
            <w:tcW w:w="146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0" w:type="dxa"/>
            <w:vAlign w:val="bottom"/>
          </w:tcPr>
          <w:p>
            <w:pPr>
              <w:spacing w:after="0"/>
              <w:rPr>
                <w:sz w:val="1"/>
                <w:szCs w:val="1"/>
                <w:color w:val="auto"/>
              </w:rPr>
            </w:pPr>
          </w:p>
        </w:tc>
      </w:tr>
      <w:tr>
        <w:trPr>
          <w:trHeight w:val="38"/>
        </w:trPr>
        <w:tc>
          <w:tcPr>
            <w:tcW w:w="75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gridSpan w:val="3"/>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7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limited partnerships</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4,100</w:t>
            </w:r>
          </w:p>
        </w:tc>
        <w:tc>
          <w:tcPr>
            <w:tcW w:w="0" w:type="dxa"/>
            <w:vAlign w:val="bottom"/>
          </w:tcPr>
          <w:p>
            <w:pPr>
              <w:spacing w:after="0"/>
              <w:rPr>
                <w:sz w:val="1"/>
                <w:szCs w:val="1"/>
                <w:color w:val="auto"/>
              </w:rPr>
            </w:pPr>
          </w:p>
        </w:tc>
      </w:tr>
      <w:tr>
        <w:trPr>
          <w:trHeight w:val="444"/>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Real estate limited partnerships and LLCs (1)</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727</w:t>
            </w:r>
          </w:p>
        </w:tc>
        <w:tc>
          <w:tcPr>
            <w:tcW w:w="0" w:type="dxa"/>
            <w:vAlign w:val="bottom"/>
          </w:tcPr>
          <w:p>
            <w:pPr>
              <w:spacing w:after="0"/>
              <w:rPr>
                <w:sz w:val="1"/>
                <w:szCs w:val="1"/>
                <w:color w:val="auto"/>
              </w:rPr>
            </w:pPr>
          </w:p>
        </w:tc>
      </w:tr>
      <w:tr>
        <w:trPr>
          <w:trHeight w:val="475"/>
        </w:trPr>
        <w:tc>
          <w:tcPr>
            <w:tcW w:w="7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5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estimated fair value of real estate limited partnerships and LLCs was $599 million and $836 million at December 31, 2025 and 2024, respectively.</w:t>
      </w:r>
    </w:p>
    <w:p>
      <w:pPr>
        <w:spacing w:after="0" w:line="1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 of our other invested assets by type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40" w:type="dxa"/>
            <w:vAlign w:val="bottom"/>
          </w:tcPr>
          <w:p>
            <w:pPr>
              <w:spacing w:after="0"/>
              <w:rPr>
                <w:sz w:val="16"/>
                <w:szCs w:val="16"/>
                <w:color w:val="auto"/>
              </w:rPr>
            </w:pPr>
          </w:p>
        </w:tc>
        <w:tc>
          <w:tcPr>
            <w:tcW w:w="1900" w:type="dxa"/>
            <w:vAlign w:val="bottom"/>
            <w:gridSpan w:val="3"/>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8"/>
        </w:trPr>
        <w:tc>
          <w:tcPr>
            <w:tcW w:w="66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6660" w:type="dxa"/>
            <w:vAlign w:val="bottom"/>
          </w:tcPr>
          <w:p>
            <w:pPr>
              <w:spacing w:after="0"/>
              <w:rPr>
                <w:sz w:val="19"/>
                <w:szCs w:val="19"/>
                <w:color w:val="auto"/>
              </w:rPr>
            </w:pPr>
          </w:p>
        </w:tc>
        <w:tc>
          <w:tcPr>
            <w:tcW w:w="11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1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1"/>
        </w:trPr>
        <w:tc>
          <w:tcPr>
            <w:tcW w:w="6660" w:type="dxa"/>
            <w:vAlign w:val="bottom"/>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122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100" w:type="dxa"/>
            <w:vAlign w:val="bottom"/>
            <w:tcBorders>
              <w:bottom w:val="single" w:sz="8" w:color="auto"/>
            </w:tcBorders>
            <w:gridSpan w:val="3"/>
            <w:vMerge w:val="continue"/>
          </w:tcPr>
          <w:p>
            <w:pPr>
              <w:spacing w:after="0"/>
              <w:rPr>
                <w:sz w:val="16"/>
                <w:szCs w:val="16"/>
                <w:color w:val="auto"/>
              </w:rPr>
            </w:pPr>
          </w:p>
        </w:tc>
        <w:tc>
          <w:tcPr>
            <w:tcW w:w="114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99"/>
        </w:trPr>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6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Freestanding derivatives with positive estimated fair values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6,779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85.5 %</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78.8 %</w:t>
            </w:r>
          </w:p>
        </w:tc>
        <w:tc>
          <w:tcPr>
            <w:tcW w:w="0" w:type="dxa"/>
            <w:vAlign w:val="bottom"/>
          </w:tcPr>
          <w:p>
            <w:pPr>
              <w:spacing w:after="0"/>
              <w:rPr>
                <w:sz w:val="1"/>
                <w:szCs w:val="1"/>
                <w:color w:val="auto"/>
              </w:rPr>
            </w:pPr>
          </w:p>
        </w:tc>
      </w:tr>
      <w:tr>
        <w:trPr>
          <w:trHeight w:val="441"/>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3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24"/>
                <w:szCs w:val="24"/>
                <w:color w:val="auto"/>
              </w:rPr>
            </w:pP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tcPr>
          <w:p>
            <w:pPr>
              <w:spacing w:after="0"/>
              <w:rPr>
                <w:sz w:val="24"/>
                <w:szCs w:val="24"/>
                <w:color w:val="auto"/>
              </w:rPr>
            </w:pP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46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stock</w:t>
            </w: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441"/>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Leveraged leases, net of non-recourse debt</w:t>
            </w:r>
          </w:p>
        </w:tc>
        <w:tc>
          <w:tcPr>
            <w:tcW w:w="32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4"/>
                <w:szCs w:val="24"/>
                <w:color w:val="auto"/>
              </w:rPr>
            </w:pPr>
          </w:p>
        </w:tc>
        <w:tc>
          <w:tcPr>
            <w:tcW w:w="11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4"/>
                <w:szCs w:val="24"/>
                <w:color w:val="auto"/>
              </w:rPr>
            </w:pPr>
          </w:p>
        </w:tc>
        <w:tc>
          <w:tcPr>
            <w:tcW w:w="114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46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and renewable energy partnerships</w:t>
            </w:r>
          </w:p>
        </w:tc>
        <w:tc>
          <w:tcPr>
            <w:tcW w:w="3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444"/>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476"/>
        </w:trPr>
        <w:tc>
          <w:tcPr>
            <w:tcW w:w="66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7,932</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1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65"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Risks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including interest rate, foreign currency exchange rate, credit and equity market risks. We use a variety of strategies to manage these risks, including the use of derivatives. We have historically managed the risks related to our variable annuity and first generation Shield Annuity contracts on a combined basis. In the third quarter of 2025, we completed an initiative that established a standalone hedging program for each product allowing us to separately manage the risks related to these two products.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9 of the Notes to the Consolidated Financial Statements for:</w:t>
      </w:r>
    </w:p>
    <w:p>
      <w:pPr>
        <w:spacing w:after="0" w:line="111" w:lineRule="exact"/>
        <w:rPr>
          <w:sz w:val="20"/>
          <w:szCs w:val="20"/>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comprehensive description of the nature of our derivatives, including the strategies for which derivatives are used in managing various risks;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gross notional amount, estimated fair value and primary underlying risk exposure of our derivatives by type of hedge designation, excluding embedded derivatives held at December 31, 2025 and 2024;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derivatives in cash flow, fair value or non-qualifying hedge relationships on the statements of operations for the years ended December 31, 2025, 2024 and 2023.</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See “— Risk Management Strategies” for more information about our hedging strategies. In addition, see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10 of the Notes to the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Derivatives categorized as Level 3 at December 31, 2025 include: credit default swaps priced using unobservable credit spreads, or that are priced through independent broker quotations; and foreign currency swaps with certain unobservable inputs.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See Note 9 of the Notes to the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policy is not to offset the fair value amounts recognized for derivatives executed with the same counterparty under the same master netting agreement. This policy applies to the recognition of derivatives on the balance sheet and does not affect our legal right of offset.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notional amount and estimated fair value of credit default swaps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74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80" w:type="dxa"/>
            <w:vAlign w:val="bottom"/>
          </w:tcPr>
          <w:p>
            <w:pPr>
              <w:spacing w:after="0"/>
              <w:rPr>
                <w:sz w:val="16"/>
                <w:szCs w:val="16"/>
                <w:color w:val="auto"/>
              </w:rPr>
            </w:pPr>
          </w:p>
        </w:tc>
        <w:tc>
          <w:tcPr>
            <w:tcW w:w="2540" w:type="dxa"/>
            <w:vAlign w:val="bottom"/>
            <w:gridSpan w:val="3"/>
          </w:tcPr>
          <w:p>
            <w:pPr>
              <w:jc w:val="right"/>
              <w:ind w:right="96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4700" w:type="dxa"/>
            <w:vAlign w:val="bottom"/>
          </w:tcPr>
          <w:p>
            <w:pPr>
              <w:spacing w:after="0"/>
              <w:rPr>
                <w:sz w:val="3"/>
                <w:szCs w:val="3"/>
                <w:color w:val="auto"/>
              </w:rPr>
            </w:pPr>
          </w:p>
        </w:tc>
        <w:tc>
          <w:tcPr>
            <w:tcW w:w="16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393"/>
        </w:trPr>
        <w:tc>
          <w:tcPr>
            <w:tcW w:w="4700" w:type="dxa"/>
            <w:vAlign w:val="bottom"/>
          </w:tcPr>
          <w:p>
            <w:pPr>
              <w:spacing w:after="0"/>
              <w:rPr>
                <w:sz w:val="24"/>
                <w:szCs w:val="24"/>
                <w:color w:val="auto"/>
              </w:rPr>
            </w:pPr>
          </w:p>
        </w:tc>
        <w:tc>
          <w:tcPr>
            <w:tcW w:w="160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Gross Notional Amount</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58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Gross Notional Amount</w:t>
            </w:r>
          </w:p>
        </w:tc>
        <w:tc>
          <w:tcPr>
            <w:tcW w:w="200" w:type="dxa"/>
            <w:vAlign w:val="bottom"/>
          </w:tcPr>
          <w:p>
            <w:pPr>
              <w:spacing w:after="0"/>
              <w:rPr>
                <w:sz w:val="24"/>
                <w:szCs w:val="24"/>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38"/>
        </w:trPr>
        <w:tc>
          <w:tcPr>
            <w:tcW w:w="470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393"/>
        </w:trPr>
        <w:tc>
          <w:tcPr>
            <w:tcW w:w="4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3"/>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8"/>
        </w:trPr>
        <w:tc>
          <w:tcPr>
            <w:tcW w:w="4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45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Written</w:t>
            </w:r>
          </w:p>
        </w:tc>
        <w:tc>
          <w:tcPr>
            <w:tcW w:w="580" w:type="dxa"/>
            <w:vAlign w:val="bottom"/>
            <w:shd w:val="clear" w:color="auto" w:fill="CCEEFF"/>
          </w:tcPr>
          <w:p>
            <w:pPr>
              <w:jc w:val="right"/>
              <w:ind w:right="385"/>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780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bl>
    <w:p>
      <w:pPr>
        <w:spacing w:after="0" w:line="2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10 of the Notes to the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 Summary of Critical Accounting Estimates — Derivatives” for additional information on the estimates and assumptions that affect embedded derivatives.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Liabilities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 Summary of Critical Accounting Estimates” and Notes 1, 3 and 4 of the Notes to the Consolidated Financial Statements for more details on policyholder liabilities.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Due to the nature of the underlying risks and the uncertainty associated with the determination of actuarial liabilities, we cannot precisely determine the amounts that will ultimately be paid with respect to these actuarial liabilities, and the ultimate amounts may vary from the estimated amounts, particularly when payments may not occur until well into the future.</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periodically review the assumptions supporting our estimates of actuarial liabilities for future policy benefits. We revise estimates, to the extent permitted or required under GAAP, if we determine that future expected experience differs from assumptions used in the development of actuarial liabilities. We charge or credit changes in our liabilities to expenses in the period the liabilities are established or re-estimated. If the liabilities originally established for future benefit payments prove inadequate, we must increase them. Such an increase could adversely affect our earnings and have a material adverse effect on our business, financial condition and results of operations.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We have experienced, and will likely in the future experience, catastrophe losses and possibly acts of terrorism, as well as turbulent financial markets that may have an adverse impact on our business, financial condition and results of operations. Moreover, the impact of climate change could cause changes in the frequency or severity of outbreaks of certain diseases. Due to their nature, we cannot predict the incidence, timing, severity or amount of losses from catastrophes, acts of terrorism or climate change, but we make broad use of catastrophic and non-catastrophic reinsurance to manage risk from these perils.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Policy Benefits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establish liabilities for future amounts payable under insurance policies. A discussion of future policy benefits by segment follows.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policy benefits for the annuities business are comprised mainly of liabilities for life contingent income annuities.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Future policy benefits for the life business are comprised mainly of liabilities for term, whole, universal and variable life insurance contracts. In order to manage risk, we have often reinsured a portion of the mortality risk on life insurance policies. The reinsurance programs are routinely evaluated, and this may result in increases or decreases to existing coverage. We have entered into various derivative positions, primarily interest rate swaps, to mitigate the risk that investment of premiums received and reinvestment of maturing assets over the life of the policy will be at rates below those assumed in the original pricing of these contracts.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Future policy benefits primarily include liabilities for structured settlements and pension risk transfer contracts. There is no interest rate crediting flexibility on the liabilities for immediate annuities. As a result, a sustained low interest rate environment could negatively impact earnings; however, we mitigate our risks by applying various ALM strategies, including the use of derivative positions, primarily interest rate swaps, to mitigate the risks associated with such a scenario.</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Future policy benefits primarily include liabilities for long-term care business reinsured through 100% quota share reinsurance agreements.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“Quantitative and Qualitative Disclosures About Market Risk — Market Risk - Fair Value Exposures — Interest Rates.”</w:t>
      </w:r>
    </w:p>
    <w:p>
      <w:pPr>
        <w:spacing w:after="0" w:line="72"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Policyholder account balances also include embedded derivatives on index-linked annuities and amounts associated with funding agreements issued for additional liquidity or in connection with our institutional spread margin business. See “— Liquidity and Capital Resources — The Company — Primary Sources of Liquidity and Capital — Funding Sources — Funding Agreements.” A discussion of policyholder account balances by segment follows.</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Policyholder account balance liabilities are held for fixed deferred annuities, the fixed account portion of variable annuities and non-life contingent income annuities. Interest is credited to the policyholder’s account at interest rates we determine which are influenced by current market rates, subject to specified minimums. A sustained low interest rate environment could negatively impact earnings as a result of the minimum credited rate guarantees present in most of these policyholder account balances. We have various interest rate derivative positions, as part of the Company’s interest rate hedging program, to partially mitigate the risks associated with such a scenario. A breakdown of account value subject to minimum guaranteed crediting rates can be found in Note 3 of the Notes to the Consolidated Financial Statements.</w:t>
      </w:r>
    </w:p>
    <w:p>
      <w:pPr>
        <w:spacing w:after="0" w:line="79"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As a result of acquisitions, we establish additional liabilities known as excess interest reserves for policies with credited rates in excess of market rates as of the applicable acquisition dates.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Life policyholder account balance liabilities are held for retained asset accounts, universal life policies and the fixed account of universal variable life insurance policies. Interest is credited to the policyholder’s account at interest rates we determine which are influenced by current market rates, subject to specified minimums. A sustained low interest rate environment could negatively impact earnings as a result of the minimum credited rate guarantees present in most of these policyholder account balances. We have various derivative positions to partially mitigate the risks associated with such a scenario. A breakdown of account value subject to minimum guaranteed crediting rates can be found in Note 3 of the Notes to Consolidated Financial Statements.</w:t>
      </w:r>
    </w:p>
    <w:p>
      <w:pPr>
        <w:spacing w:after="0" w:line="6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As a result of acquisitions, we establish additional liabilities known as excess interest reserves for policies with credited rates in excess of market rates as of the applicable acquisition dates.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Policyholder account balance liabilities in Run-off are comprised of ULSG, certain company-owned life insurance policies and certain funding agreements. Interest crediting rates vary by type of contract and can be fixed or variable. We are exposed to interest rate risks, when guaranteeing payment of interest and return on principal at the contractual maturity date. We mitigate our risks by applying various ALM strategies. A breakdown of account value subject to minimum guaranteed crediting rates can be found in Note 3 of the Notes to the Consolidated Financial Statements.</w:t>
      </w:r>
    </w:p>
    <w:p>
      <w:pPr>
        <w:spacing w:after="0" w:line="74"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As a result of acquisitions, we establish additional liabilities known as excess interest reserves for policies with credited rates in excess of market rates as of the applicable acquisition dates.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Policyholder account balance liabilities in Corporate &amp; Other are primarily comprised of funding agreements related to our institutional spread margin business.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issue certain variable annuity products with GMxBs that provide the policyholder a minimum return based on their initial deposit (i.e.,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Note 4 of the Notes to Consolidated Financial Statements and “Quantitative and Qualitative Disclosures About Market Risk — Market Risk - Fair Value Exposures — Interest Rates.”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3"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Management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Based upon our capitalization, expectations regarding maintaining our business mix, ratings and funding sources available to us, we believe we have sufficient liquidity to meet business requirements in current market conditions and certain stress scenarios. BHF’s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maintain a substantial short-term liquidity position, which was $4.3 billion and $5.2 billion at December 31, 2025 and 2024, respectively. Short-term liquidity is comprised of cash and cash equivalents and short-term investments, excluding assets that are pledged or otherwise committed. Assets pledged or otherwise committed include amounts received in connection with securities lending, derivatives and assets held on deposit or in trust.</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integral part of our liquidity management includes managing our level of liquid assets, which was $50.1 billion and $48.1 billion at December 31, 2025 and 2024,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w:t>
      </w:r>
    </w:p>
    <w:p>
      <w:pPr>
        <w:spacing w:after="0" w:line="115" w:lineRule="exact"/>
        <w:rPr>
          <w:sz w:val="20"/>
          <w:szCs w:val="20"/>
          <w:color w:val="auto"/>
        </w:rPr>
      </w:pPr>
    </w:p>
    <w:p>
      <w:pPr>
        <w:jc w:val="both"/>
        <w:ind w:left="160" w:firstLine="318"/>
        <w:spacing w:after="0" w:line="248" w:lineRule="auto"/>
        <w:rPr>
          <w:sz w:val="20"/>
          <w:szCs w:val="20"/>
          <w:color w:val="auto"/>
        </w:rPr>
      </w:pPr>
      <w:r>
        <w:rPr>
          <w:rFonts w:ascii="Times New Roman" w:cs="Times New Roman" w:eastAsia="Times New Roman" w:hAnsi="Times New Roman"/>
          <w:sz w:val="18"/>
          <w:szCs w:val="18"/>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reflects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8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We manage our capital position to maintain our financial strength and credit ratings. We target a Combined RBC Ratio of 400% to 450% in normal market conditions. We believe a ratio at this level in normal markets provides us with sufficient capital to absorb risks associated with stressed market scenarios. In addition,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In November 2023, we authorized a $750 million share repurchase program under which repurchases may be made through open market purchases, including pursuant to Rule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9"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we have agreed that during the period beginning the date of the Merger Agreement through the earlier of the closing of the Merger and the termination of the Merger Agreement, we will not, without the written consent of Aquarian Parent, pay any dividend or other distribution payable in cash, stock or property with respect to our common stock, or subject to certain exceptions, purchase directly or indirectly any of BHF’s or its subsidiaries’ capital stock or other equity or voting interests of BHF or any of its subsidiaries.</w:t>
      </w:r>
    </w:p>
    <w:p>
      <w:pPr>
        <w:spacing w:after="0" w:line="74"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Merger Agreement permits us to pay periodic cash dividends on our preferred stock not in excess of $412.50 per share on the 6.600% Non-Cumulative Preferred Stock, Series A (the “Series A Preferred Stock”), $421.875 per share on the 6.750% Non-Cumulative Preferred Stock, Series B (the “Series B Preferred Stock”), $335.9375 per share on the 5.375% Non-Cumulative Preferred Stock, Series C (the “Series C Preferred Stock”); and $289.0625 per share on the 4.625% Non-Cumulative Preferred Stock, Series D (the “Series D Preferred Stock” and; together with the Series A Preferred Stock, the Series B Preferred Stock and the Series C Preferred Stock, the “Preferred Stock”), in each case, per quarter during the period beginning the date of the Merger Agreement through the earlier of the closing of the Merger and the termination of the Merger Agreement, consistent with the per-quarter dividends due under each applicable Certificate of Designations.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Rating Agencies</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Financial strength ratings represent the opinion of rating agencies regarding the ability of an insurance company to pay obligations under insurance policies and contracts in accordance with their terms. Credit ratings indicate the rating agency’s opinion regarding a debt issuer’s ability to meet the terms of debt obligations in a timely manner. They are important factors in our overall funding profile and ability to access certain types of liquidity and capital. The level and composition of our regulatory capital at the subsidiary level, our Combined RBC Ratio and our equity capital are among the many factors considered in determining our financial strength ratings and credit ratings. Each agency has its own capital adequacy evaluation methodology, and assessments are generally based on a combination of factors. Financial strength ratings are not statements of fact nor are they recommendations to purchase, hold or sell any security, contract or policy. Each rating should be evaluated independently of any other rating.</w:t>
      </w:r>
    </w:p>
    <w:p>
      <w:pPr>
        <w:spacing w:after="0" w:line="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financial strength ratings and long-term issuer credit ratings as of the date of this filing were as follows: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60" w:type="dxa"/>
            <w:vAlign w:val="bottom"/>
          </w:tcPr>
          <w:p>
            <w:pPr>
              <w:spacing w:after="0"/>
              <w:rPr>
                <w:sz w:val="19"/>
                <w:szCs w:val="19"/>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A.M. Best (1)</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Fitch (2)</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Moody’s (3)</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S&amp;P (4)</w:t>
            </w:r>
          </w:p>
        </w:tc>
      </w:tr>
      <w:tr>
        <w:trPr>
          <w:trHeight w:val="437"/>
        </w:trPr>
        <w:tc>
          <w:tcPr>
            <w:tcW w:w="4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Strength Ratings:</w:t>
            </w:r>
          </w:p>
        </w:tc>
        <w:tc>
          <w:tcPr>
            <w:tcW w:w="16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700" w:type="dxa"/>
            <w:vAlign w:val="bottom"/>
            <w:tcBorders>
              <w:top w:val="single" w:sz="8" w:color="auto"/>
            </w:tcBorders>
            <w:shd w:val="clear" w:color="auto" w:fill="CCEEFF"/>
          </w:tcPr>
          <w:p>
            <w:pPr>
              <w:spacing w:after="0"/>
              <w:rPr>
                <w:sz w:val="24"/>
                <w:szCs w:val="24"/>
                <w:color w:val="auto"/>
              </w:rPr>
            </w:pPr>
          </w:p>
        </w:tc>
      </w:tr>
      <w:tr>
        <w:trPr>
          <w:trHeight w:val="441"/>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Outlook</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i w:val="1"/>
                <w:iCs w:val="1"/>
                <w:color w:val="auto"/>
                <w:w w:val="92"/>
              </w:rPr>
              <w:t>Watch</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i w:val="1"/>
                <w:iCs w:val="1"/>
                <w:color w:val="auto"/>
                <w:w w:val="99"/>
              </w:rPr>
              <w:t>Stable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i w:val="1"/>
                <w:iCs w:val="1"/>
                <w:color w:val="auto"/>
                <w:w w:val="92"/>
              </w:rPr>
              <w:t>Watch</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2"/>
              </w:rPr>
              <w:t>Watch</w:t>
            </w:r>
          </w:p>
        </w:tc>
      </w:tr>
      <w:tr>
        <w:trPr>
          <w:trHeight w:val="46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6"/>
              </w:rPr>
              <w:t>A</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4"/>
              </w:rPr>
              <w:t>A-</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1"/>
              </w:rPr>
              <w:t>A3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w:t>
            </w:r>
          </w:p>
        </w:tc>
      </w:tr>
      <w:tr>
        <w:trPr>
          <w:trHeight w:val="441"/>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England Life Insurance Company</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86"/>
              </w:rPr>
              <w:t>A</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4"/>
              </w:rPr>
              <w:t>A-</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1"/>
              </w:rPr>
              <w:t>A3</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w:t>
            </w:r>
          </w:p>
        </w:tc>
      </w:tr>
      <w:tr>
        <w:trPr>
          <w:trHeight w:val="46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 of NY</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86"/>
              </w:rPr>
              <w:t>A</w:t>
            </w:r>
          </w:p>
        </w:tc>
        <w:tc>
          <w:tcPr>
            <w:tcW w:w="17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8"/>
              </w:rPr>
              <w:t>NR</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NR</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A</w:t>
            </w:r>
          </w:p>
        </w:tc>
      </w:tr>
      <w:tr>
        <w:trPr>
          <w:trHeight w:val="265"/>
        </w:trPr>
        <w:tc>
          <w:tcPr>
            <w:tcW w:w="41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45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Issuer Credit Ratings:</w:t>
            </w:r>
          </w:p>
        </w:tc>
        <w:tc>
          <w:tcPr>
            <w:tcW w:w="1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r>
      <w:tr>
        <w:trPr>
          <w:trHeight w:val="441"/>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Outlook</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i w:val="1"/>
                <w:iCs w:val="1"/>
                <w:color w:val="auto"/>
                <w:w w:val="92"/>
              </w:rPr>
              <w:t>Watch</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i w:val="1"/>
                <w:iCs w:val="1"/>
                <w:color w:val="auto"/>
                <w:w w:val="99"/>
              </w:rPr>
              <w:t>Stable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i w:val="1"/>
                <w:iCs w:val="1"/>
                <w:color w:val="auto"/>
                <w:w w:val="92"/>
              </w:rPr>
              <w:t>Watch</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2"/>
              </w:rPr>
              <w:t>Watch</w:t>
            </w:r>
          </w:p>
        </w:tc>
      </w:tr>
      <w:tr>
        <w:trPr>
          <w:trHeight w:val="46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Financial, Inc.</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bbb+</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BBB</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Baa3</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BBB</w:t>
            </w:r>
          </w:p>
        </w:tc>
      </w:tr>
      <w:tr>
        <w:trPr>
          <w:trHeight w:val="432"/>
        </w:trPr>
        <w:tc>
          <w:tcPr>
            <w:tcW w:w="4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Brighthouse Holdings, LLC</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bbb+</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BBB</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Baa3</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BBB</w:t>
            </w:r>
          </w:p>
        </w:tc>
      </w:tr>
      <w:tr>
        <w:trPr>
          <w:trHeight w:val="272"/>
        </w:trPr>
        <w:tc>
          <w:tcPr>
            <w:tcW w:w="41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“Watch” indicates that the rating is under review with negative implications. A.M. Best’s financial strength ratings for insurance companies range from “A++ (Superior)” to “S (Suspended).” A.M. Best’s long-term issuer credit ratings range from “aaa (exceptional)” to “s (suspended).”</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Fitch’s financial strength ratings for insurance companies range from “AAA (highest rating)” to “C (distressed).” Fitch’s long-term issuer credit ratings range from “AAA (highest rating)” to “D (default).”</w:t>
      </w:r>
    </w:p>
    <w:p>
      <w:pPr>
        <w:spacing w:after="0" w:line="57" w:lineRule="exact"/>
        <w:rPr>
          <w:rFonts w:ascii="Times New Roman" w:cs="Times New Roman" w:eastAsia="Times New Roman" w:hAnsi="Times New Roman"/>
          <w:sz w:val="18"/>
          <w:szCs w:val="18"/>
          <w:color w:val="auto"/>
        </w:rPr>
      </w:pPr>
    </w:p>
    <w:p>
      <w:pPr>
        <w:ind w:left="320" w:right="20" w:hanging="314"/>
        <w:spacing w:after="0" w:line="274" w:lineRule="auto"/>
        <w:tabs>
          <w:tab w:leader="none" w:pos="3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“Watch” indicates that the rating is on review for downgrade. Moody’s financial strength ratings for insurance companies and long-term issuer credit ratings range from “Aaa (highest quality)” to “C (lowest rated).”</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“Watch” indicates that the rating is on CreditWatch with negative implications. S&amp;P’s financial strength ratings for insurance companies and long-term issuer credit ratings range from “AAA (extremely strong)” to “SD (selective default)” or “D (default).”</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NR = Not rated</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Rating agencies continue to review and adjust our ratings. In July 2025, S&amp;P revised the long-term issuer credit ratings for BHF and BH Holdings to</w:t>
      </w:r>
    </w:p>
    <w:p>
      <w:pPr>
        <w:spacing w:after="0" w:line="24" w:lineRule="exact"/>
        <w:rPr>
          <w:sz w:val="20"/>
          <w:szCs w:val="20"/>
          <w:color w:val="auto"/>
        </w:rPr>
      </w:pPr>
    </w:p>
    <w:p>
      <w:pPr>
        <w:jc w:val="both"/>
        <w:ind w:left="160" w:firstLine="5"/>
        <w:spacing w:after="0" w:line="246" w:lineRule="auto"/>
        <w:tabs>
          <w:tab w:leader="none" w:pos="57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BBB+. In addition, S&amp;P revised the financial strength ratings for certain of our insurance subsidiaries to A from A+, among other revisions. Following the announcement that BHF has entered into the Merger Agreement, S&amp;P, Moody’s and AM Best revised their outlook on our financial strength ratings and credit ratings, and Fitch downgraded our financial strength ratings and credit ratings. On November 6, 2025, S&amp;P placed BHF, BH Holdings and certain of our insurance subsidiaries on CreditWatch with negative implications. On November 7, 2025, Moody’s placed BHF, BH Holdings and certain of our insurance subsidiaries on review for a downgrade and changed the long-term issuer credit rating and financial strength rating outlooks for those entities to rating under review. On November 10, 2025, AM Best placed BHF, BH Holdings and certain of our insurance subsidiaries under review with negative implications. In addition, on November 10, 2025, Fitch downgraded the long-term issuer credit ratings for BHF and BH Holdings to BBB from BBB+ and the financial strength ratings for certain of our insurance subsidiaries to A- from A. See “Risk Factors — Risks Related to Our Business — A downgrade or a potential downgrade in our financial strength or credit ratings could result in a loss of business and materially adversely affect our financial condition and results of operations” for a description of the potential impact of a ratings downgrade.</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Sources and Uses of Liquidity and Capital</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primary sources and uses of liquidity and capital were as follows at:</w:t>
      </w:r>
    </w:p>
    <w:p>
      <w:pPr>
        <w:spacing w:after="0" w:line="200" w:lineRule="exact"/>
        <w:rPr>
          <w:sz w:val="20"/>
          <w:szCs w:val="20"/>
          <w:color w:val="auto"/>
        </w:rPr>
      </w:pPr>
    </w:p>
    <w:p>
      <w:pPr>
        <w:spacing w:after="0" w:line="276"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39370</wp:posOffset>
            </wp:positionV>
            <wp:extent cx="245681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270" w:lineRule="exact"/>
        <w:rPr>
          <w:sz w:val="20"/>
          <w:szCs w:val="20"/>
          <w:color w:val="auto"/>
        </w:rPr>
      </w:pPr>
    </w:p>
    <w:p>
      <w:pPr>
        <w:ind w:left="7840"/>
        <w:spacing w:after="0"/>
        <w:tabs>
          <w:tab w:leader="none" w:pos="9140" w:val="left"/>
          <w:tab w:leader="none" w:pos="104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4681855</wp:posOffset>
            </wp:positionH>
            <wp:positionV relativeFrom="paragraph">
              <wp:posOffset>39370</wp:posOffset>
            </wp:positionV>
            <wp:extent cx="245681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270" w:lineRule="exact"/>
        <w:rPr>
          <w:sz w:val="20"/>
          <w:szCs w:val="20"/>
          <w:color w:val="auto"/>
        </w:rPr>
      </w:pPr>
    </w:p>
    <w:p>
      <w:pPr>
        <w:ind w:left="89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7134860" cy="2857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 net</w:t>
            </w: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 net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44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w:t>
            </w:r>
          </w:p>
        </w:tc>
      </w:tr>
      <w:tr>
        <w:trPr>
          <w:trHeight w:val="4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4"/>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44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451"/>
        </w:trPr>
        <w:tc>
          <w:tcPr>
            <w:tcW w:w="73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sources</w:t>
            </w:r>
          </w:p>
        </w:tc>
        <w:tc>
          <w:tcPr>
            <w:tcW w:w="44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1,824</w:t>
            </w:r>
          </w:p>
        </w:tc>
        <w:tc>
          <w:tcPr>
            <w:tcW w:w="10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100" w:type="dxa"/>
            <w:vAlign w:val="bottom"/>
            <w:tcBorders>
              <w:top w:val="single" w:sz="8" w:color="CCEEFF"/>
            </w:tcBorders>
            <w:shd w:val="clear" w:color="auto" w:fill="CCEEFF"/>
          </w:tcPr>
          <w:p>
            <w:pPr>
              <w:spacing w:after="0"/>
              <w:rPr>
                <w:sz w:val="24"/>
                <w:szCs w:val="24"/>
                <w:color w:val="auto"/>
              </w:rPr>
            </w:pPr>
          </w:p>
        </w:tc>
        <w:tc>
          <w:tcPr>
            <w:tcW w:w="46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4,332</w:t>
            </w:r>
          </w:p>
        </w:tc>
      </w:tr>
      <w:tr>
        <w:trPr>
          <w:trHeight w:val="42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 net</w:t>
            </w:r>
          </w:p>
        </w:tc>
        <w:tc>
          <w:tcPr>
            <w:tcW w:w="4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Investing activities, net</w:t>
            </w:r>
          </w:p>
        </w:tc>
        <w:tc>
          <w:tcPr>
            <w:tcW w:w="44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r>
      <w:tr>
        <w:trPr>
          <w:trHeight w:val="4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44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w:t>
            </w:r>
          </w:p>
        </w:tc>
      </w:tr>
      <w:tr>
        <w:trPr>
          <w:trHeight w:val="4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repaid</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4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4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4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5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4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444"/>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uses</w:t>
            </w: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1,482</w:t>
            </w:r>
          </w:p>
        </w:tc>
        <w:tc>
          <w:tcPr>
            <w:tcW w:w="10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4,596</w:t>
            </w:r>
          </w:p>
        </w:tc>
      </w:tr>
      <w:tr>
        <w:trPr>
          <w:trHeight w:val="475"/>
        </w:trPr>
        <w:tc>
          <w:tcPr>
            <w:tcW w:w="73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ectPr>
          <w:pgSz w:w="11900" w:h="16838" w:orient="portrait"/>
          <w:cols w:equalWidth="0" w:num="1">
            <w:col w:w="11240"/>
          </w:cols>
          <w:pgMar w:left="320" w:top="278" w:right="339" w:bottom="181"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76835</wp:posOffset>
            </wp:positionV>
            <wp:extent cx="716026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227" w:right="1440"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of Liquidity and Capital</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Sources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Note 12 of the Notes to the Consolidated Financial Statements for information on preferred stock issuances.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Funding Agreements</w:t>
      </w:r>
    </w:p>
    <w:p>
      <w:pPr>
        <w:spacing w:after="0" w:line="111" w:lineRule="exact"/>
        <w:rPr>
          <w:sz w:val="20"/>
          <w:szCs w:val="20"/>
          <w:color w:val="auto"/>
        </w:rPr>
      </w:pPr>
    </w:p>
    <w:p>
      <w:pPr>
        <w:jc w:val="both"/>
        <w:ind w:left="480" w:firstLine="318"/>
        <w:spacing w:after="0" w:line="252" w:lineRule="auto"/>
        <w:rPr>
          <w:sz w:val="20"/>
          <w:szCs w:val="20"/>
          <w:color w:val="auto"/>
        </w:rPr>
      </w:pPr>
      <w:r>
        <w:rPr>
          <w:rFonts w:ascii="Times New Roman" w:cs="Times New Roman" w:eastAsia="Times New Roman" w:hAnsi="Times New Roman"/>
          <w:sz w:val="18"/>
          <w:szCs w:val="18"/>
          <w:color w:val="auto"/>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“Obligations Under Funding Agreements” in Note 3 of the Notes to the Consolidated Financial Statements for additional information on funding agreements.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Repurchase Agreement Program</w:t>
      </w:r>
    </w:p>
    <w:p>
      <w:pPr>
        <w:spacing w:after="0" w:line="113" w:lineRule="exact"/>
        <w:rPr>
          <w:sz w:val="20"/>
          <w:szCs w:val="20"/>
          <w:color w:val="auto"/>
        </w:rPr>
      </w:pPr>
    </w:p>
    <w:p>
      <w:pPr>
        <w:jc w:val="both"/>
        <w:ind w:left="640" w:firstLine="318"/>
        <w:spacing w:after="0" w:line="255" w:lineRule="auto"/>
        <w:rPr>
          <w:sz w:val="20"/>
          <w:szCs w:val="20"/>
          <w:color w:val="auto"/>
        </w:rPr>
      </w:pPr>
      <w:r>
        <w:rPr>
          <w:rFonts w:ascii="Times New Roman" w:cs="Times New Roman" w:eastAsia="Times New Roman" w:hAnsi="Times New Roman"/>
          <w:sz w:val="18"/>
          <w:szCs w:val="18"/>
          <w:color w:val="auto"/>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Commercial Paper Program</w:t>
      </w:r>
    </w:p>
    <w:p>
      <w:pPr>
        <w:spacing w:after="0" w:line="113" w:lineRule="exact"/>
        <w:rPr>
          <w:sz w:val="20"/>
          <w:szCs w:val="20"/>
          <w:color w:val="auto"/>
        </w:rPr>
      </w:pPr>
    </w:p>
    <w:p>
      <w:pPr>
        <w:jc w:val="both"/>
        <w:ind w:left="640" w:firstLine="318"/>
        <w:spacing w:after="0" w:line="255" w:lineRule="auto"/>
        <w:rPr>
          <w:sz w:val="20"/>
          <w:szCs w:val="20"/>
          <w:color w:val="auto"/>
        </w:rPr>
      </w:pPr>
      <w:r>
        <w:rPr>
          <w:rFonts w:ascii="Times New Roman" w:cs="Times New Roman" w:eastAsia="Times New Roman" w:hAnsi="Times New Roman"/>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Notes Program</w:t>
      </w:r>
    </w:p>
    <w:p>
      <w:pPr>
        <w:spacing w:after="0" w:line="113"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Federal Home Loan Bank Funding Agreements</w:t>
      </w:r>
    </w:p>
    <w:p>
      <w:pPr>
        <w:spacing w:after="0" w:line="113" w:lineRule="exact"/>
        <w:rPr>
          <w:sz w:val="20"/>
          <w:szCs w:val="20"/>
          <w:color w:val="auto"/>
        </w:rPr>
      </w:pPr>
    </w:p>
    <w:p>
      <w:pPr>
        <w:jc w:val="both"/>
        <w:ind w:left="640" w:firstLine="318"/>
        <w:spacing w:after="0" w:line="274" w:lineRule="auto"/>
        <w:rPr>
          <w:sz w:val="20"/>
          <w:szCs w:val="20"/>
          <w:color w:val="auto"/>
        </w:rPr>
      </w:pPr>
      <w:r>
        <w:rPr>
          <w:rFonts w:ascii="Times New Roman" w:cs="Times New Roman" w:eastAsia="Times New Roman" w:hAnsi="Times New Roman"/>
          <w:sz w:val="18"/>
          <w:szCs w:val="18"/>
          <w:color w:val="auto"/>
        </w:rPr>
        <w:t>Brighthouse Life Insurance Company is a member of the Federal Home Loan Bank (“FHLB”) of Atlanta, where it maintains a secured funding agreement program, under which funding agreements may be issued.</w:t>
      </w:r>
    </w:p>
    <w:p>
      <w:pPr>
        <w:spacing w:after="0" w:line="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Farmer Mac Funding Agreements</w:t>
      </w:r>
    </w:p>
    <w:p>
      <w:pPr>
        <w:spacing w:after="0" w:line="113"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Agricultural Mortgage Corporation and its affiliate Farmer Mac Mortgage Securities Corporation (“Farmer Mac”) with a term ending on December 1, 2026, pursuant to which the parties may enter into funding agreements in an aggregate amount of up to $750 million.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Information regarding funding agreements issued for spread lending purposes is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60" w:type="dxa"/>
            <w:vAlign w:val="bottom"/>
          </w:tcPr>
          <w:p>
            <w:pPr>
              <w:spacing w:after="0"/>
              <w:rPr>
                <w:sz w:val="14"/>
                <w:szCs w:val="14"/>
                <w:color w:val="auto"/>
              </w:rPr>
            </w:pPr>
          </w:p>
        </w:tc>
        <w:tc>
          <w:tcPr>
            <w:tcW w:w="196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Aggregate Principal Amount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86"/>
        </w:trPr>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38"/>
        </w:trPr>
        <w:tc>
          <w:tcPr>
            <w:tcW w:w="34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4"/>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393"/>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8"/>
        </w:trPr>
        <w:tc>
          <w:tcPr>
            <w:tcW w:w="34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393"/>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34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393"/>
        </w:trPr>
        <w:tc>
          <w:tcPr>
            <w:tcW w:w="3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8"/>
        </w:trPr>
        <w:tc>
          <w:tcPr>
            <w:tcW w:w="3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45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 Program</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8"/>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FABCP Program</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15,801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6,701</w:t>
            </w:r>
          </w:p>
        </w:tc>
      </w:tr>
      <w:tr>
        <w:trPr>
          <w:trHeight w:val="45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FABN Program</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1,350</w:t>
            </w:r>
          </w:p>
        </w:tc>
      </w:tr>
      <w:tr>
        <w:trPr>
          <w:trHeight w:val="448"/>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Funding Agreements</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w:t>
            </w:r>
          </w:p>
        </w:tc>
      </w:tr>
      <w:tr>
        <w:trPr>
          <w:trHeight w:val="45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Farmer Mac Funding Agreements</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6"/>
        </w:trPr>
        <w:tc>
          <w:tcPr>
            <w:tcW w:w="3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9,454</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10,962</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9,335</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19,651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10,396</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10,843</w:t>
            </w:r>
          </w:p>
        </w:tc>
        <w:tc>
          <w:tcPr>
            <w:tcW w:w="12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19,281</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9,951</w:t>
            </w:r>
          </w:p>
        </w:tc>
      </w:tr>
      <w:tr>
        <w:trPr>
          <w:trHeight w:val="20"/>
        </w:trPr>
        <w:tc>
          <w:tcPr>
            <w:tcW w:w="3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Debt Issuances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Note 11 of the Notes to the Consolidated Financial Statements for information on debt issuances.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Credit and Committed Facilities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Note 11 of the Notes to the Consolidated Financial Statements for information regarding our credit and committed facilities.</w:t>
      </w:r>
    </w:p>
    <w:p>
      <w:pPr>
        <w:spacing w:after="0" w:line="111" w:lineRule="exact"/>
        <w:rPr>
          <w:sz w:val="20"/>
          <w:szCs w:val="20"/>
          <w:color w:val="auto"/>
        </w:rPr>
      </w:pPr>
    </w:p>
    <w:p>
      <w:pPr>
        <w:jc w:val="both"/>
        <w:ind w:left="480" w:firstLine="318"/>
        <w:spacing w:after="0" w:line="259" w:lineRule="auto"/>
        <w:rPr>
          <w:sz w:val="20"/>
          <w:szCs w:val="20"/>
          <w:color w:val="auto"/>
        </w:rPr>
      </w:pPr>
      <w:r>
        <w:rPr>
          <w:rFonts w:ascii="Times New Roman" w:cs="Times New Roman" w:eastAsia="Times New Roman" w:hAnsi="Times New Roman"/>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72" w:lineRule="exact"/>
        <w:rPr>
          <w:sz w:val="20"/>
          <w:szCs w:val="20"/>
          <w:color w:val="auto"/>
        </w:rPr>
      </w:pPr>
    </w:p>
    <w:p>
      <w:pPr>
        <w:jc w:val="both"/>
        <w:ind w:left="480" w:firstLine="318"/>
        <w:spacing w:after="0" w:line="255" w:lineRule="auto"/>
        <w:rPr>
          <w:sz w:val="20"/>
          <w:szCs w:val="20"/>
          <w:color w:val="auto"/>
        </w:rPr>
      </w:pPr>
      <w:r>
        <w:rPr>
          <w:rFonts w:ascii="Times New Roman" w:cs="Times New Roman" w:eastAsia="Times New Roman" w:hAnsi="Times New Roman"/>
          <w:sz w:val="18"/>
          <w:szCs w:val="18"/>
          <w:color w:val="auto"/>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December 31, 2025, we were in compliance with these financial covenants.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Uses of Liquidity and Capital</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7"/>
          <w:szCs w:val="17"/>
          <w:color w:val="auto"/>
        </w:rPr>
        <w:t>See Note 12 of the Notes to the Consolidated Financial Statements for information relating to authorizations to repurchase BHF common stock, amounts of common stock repurchased pursuant to such authorizations and the amount remaining under such authorizations at December 31, 2025. See also “Risk Factors — Risks Related to Our Securities — We are not currently permitted to declare and pay dividends on our common stock, and legal restrictions could limit our ability to pay dividends on our capital stock and our ability to repurchase our common stock at the level we wish in the future.”</w:t>
      </w:r>
    </w:p>
    <w:p>
      <w:pPr>
        <w:spacing w:after="0" w:line="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 Dividends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12 of the Notes to the Consolidated Financial Statements for information relating to dividends declared and paid on our preferred stock.</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“Dividend Stopper” Provisions in BHF’s Preferred Stock and Junior Subordinated Debentures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Debt Repayments, Repurchases, Redemptions and Exchanges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11 of the Notes to the Consolidated Financial Statements for information on debt repayments and repurchases, as well as debt maturities and the terms of our outstanding long-term debt.</w:t>
      </w:r>
    </w:p>
    <w:p>
      <w:pPr>
        <w:spacing w:after="0" w:line="57"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Insurance Liabilities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Liabilities arising from our insurance activities primarily relate to benefit payments under various annuity and life insurance products, as well as payments for policy surrenders, withdrawals and loans.</w:t>
      </w:r>
    </w:p>
    <w:p>
      <w:pPr>
        <w:spacing w:after="0" w:line="57" w:lineRule="exact"/>
        <w:rPr>
          <w:sz w:val="20"/>
          <w:szCs w:val="20"/>
          <w:color w:val="auto"/>
        </w:rPr>
      </w:pPr>
    </w:p>
    <w:p>
      <w:pPr>
        <w:jc w:val="both"/>
        <w:ind w:left="320" w:firstLine="318"/>
        <w:spacing w:after="0" w:line="265" w:lineRule="auto"/>
        <w:rPr>
          <w:sz w:val="20"/>
          <w:szCs w:val="20"/>
          <w:color w:val="auto"/>
        </w:rPr>
      </w:pPr>
      <w:r>
        <w:rPr>
          <w:rFonts w:ascii="Times New Roman" w:cs="Times New Roman" w:eastAsia="Times New Roman" w:hAnsi="Times New Roman"/>
          <w:sz w:val="17"/>
          <w:szCs w:val="17"/>
          <w:color w:val="auto"/>
        </w:rPr>
        <w:t>At December 31, 2025, our insurance liabilities, excluding obligations under our institutional spread margin business, totaled $114.4 billion and the related future estimated cash payments totaled $204.9 billion, of which $13.7 billion is due in the next twelve months. These estimated cash payments are based on assumptions related to mortality, morbidity, policy lapses, withdrawals, surrender charges, annuitization, future interest credited and other assumptions comparable with our experience and expectations of future payment patterns, as well as other contingent events as appropriate for the respective product type. These amounts are undiscounted and, therefore, exceed the liabilities included on the consolidated balance sheet. Actual cash payments on insurance liabilities may differ significantly from future estimated cash payments due to differences between actual experience and the assumptions used in the establishment of the liabilities and the estimation of the future cash payments. All future estimated cash payments are presented gross of any reinsurance recoverable. At December 31, 2025, obligations under our institutional spread margin business totaled $9.5 billion and the related future estimated cash payments, including interest, totaled $10.1 billion, of which $4.7 billion is due in the next twelve months.</w:t>
      </w:r>
    </w:p>
    <w:p>
      <w:pPr>
        <w:spacing w:after="0" w:line="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Pledged Collateral</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We enter into derivatives to manage various risks relating to our ongoing business operations. We pledge collateral to, and have collateral pledged to us by, counterparties in connection with our derivatives. At December 31, 2025, we pledged $34 million of cash collateral to counterparties. At December 31, 2024, we did not pledge any cash collateral to counterparties. At December 31, 2025 and 2024, we were obligated to return cash collateral pledged to us by counterparties of $1.5 billion and $812 million, respectively. The timing of the return of the derivatives collateral is uncertain. We also pledge collateral from time to time in connection with certain funding agreements.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receive non-cash collateral from counterparties for derivatives, which can be sold or re-pledged subject to certain constraints, and which is not recorded on our consolidated balance sheets. The amount of this non-cash collateral at estimated fair value was $3.2 billion and $2.3 billion at December 31, 2025 and 2024, respectively.</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9 of the Notes to the Consolidated Financial Statements for additional information regarding pledged collateral.</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Lending</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$3.2 billion at both December 31, 2025 and 2024.</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We receive non-cash collateral for securities lending from counterparties, which cannot be sold or re-pledged, and which is not recorded on our consolidated balance sheets. There was no non-cash collateral at both December 31, 2025 and 2024.</w:t>
      </w:r>
    </w:p>
    <w:p>
      <w:pPr>
        <w:spacing w:after="0" w:line="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See Note 8 of the Notes to the Consolidated Financial Statements for further discussion of our securities lending program.</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Contingencies, Commitments and Guarantees</w:t>
      </w:r>
    </w:p>
    <w:p>
      <w:pPr>
        <w:spacing w:after="0" w:line="113" w:lineRule="exact"/>
        <w:rPr>
          <w:sz w:val="20"/>
          <w:szCs w:val="20"/>
          <w:color w:val="auto"/>
        </w:rPr>
      </w:pPr>
    </w:p>
    <w:p>
      <w:pPr>
        <w:jc w:val="both"/>
        <w:ind w:left="320" w:firstLine="318"/>
        <w:spacing w:after="0" w:line="304" w:lineRule="auto"/>
        <w:rPr>
          <w:sz w:val="20"/>
          <w:szCs w:val="20"/>
          <w:color w:val="auto"/>
        </w:rPr>
      </w:pPr>
      <w:r>
        <w:rPr>
          <w:rFonts w:ascii="Times New Roman" w:cs="Times New Roman" w:eastAsia="Times New Roman" w:hAnsi="Times New Roman"/>
          <w:sz w:val="17"/>
          <w:szCs w:val="17"/>
          <w:color w:val="auto"/>
        </w:rPr>
        <w:t>We establish liabilities for litigation, regulatory and other loss contingencies when it is probable that a loss has been incurred and the amount of the loss can be reasonably estimated. See Note 17 of the Notes to the Consolidated Financial Statements for additional information regarding contingencies.</w:t>
      </w:r>
    </w:p>
    <w:p>
      <w:pPr>
        <w:spacing w:after="0" w:line="35"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8 and 17 of the Notes to the Consolidated Financial Statements for additional information regarding commitments.</w:t>
      </w:r>
    </w:p>
    <w:p>
      <w:pPr>
        <w:spacing w:after="0" w:line="74"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In the normal course of our business, we have provided certain indemnities, guarantees and commitments to third parties such that we may be required to make payments now or in the future. See Note 17 of the Notes to the Consolidated Financial Statements for additional information regarding guarantees.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 See “Risk Factors — Risks Related to Our Business — As a holding company, BHF depends on the ability of its subsidiaries to pay dividends,” “Risk Factors — Economic Environment and Capital Markets-Related Risks — Adverse capital and credit market conditions may significantly affect our ability to meet liquidity needs and our access to capital” and “Risk Factors — Regulatory and Legal Risks — Our insurance business is highly regulated, and changes in regulation and in supervisory and enforcement policies or interpretations thereof may materially impact our capitalization or cash flows, reduce our profitability and limit our growth,” as well as Notes 12 and 15 of the Notes to the Consolidated Financial Statements.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Liquidity and Liquid Assets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At December 31, 2025 and 2024, BHF and certain of its non-insurance subsidiaries had short-term liquidity of $763 million and $912 million, respectively. Short-term liquidity is comprised of cash and cash equivalents and short-term investments, excluding assets that are pledged or otherwise committed. Assets pledged or otherwise committed include assets held in trust.</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At December 31, 2025 and 2024, BHF and certain of its non-insurance subsidiaries had liquid assets of $911 million and $1.1 billion, respectively, of which $868 million and $1.1 billion, respectively, was held by BHF. Liquid assets are comprised of cash and cash equivalents, short-term investments and publicly-traded securities, excluding assets that are pledged or otherwise committed. Assets pledged or otherwise committed include assets held in trust. On February 11, 2025, Brighthouse Life Insurance Company received a $100 million capital contribution from BH Holdings.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Statutory Capital and Dividends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NAIC and state insurance departments have established regulations that provide minimum capitalization requirements based on RBC formulas for insurance companies. See “Business — Regulation — Insurance Regulation” and Note 12 of the Notes to the Consolidated Financial Statements for information regarding our statutory accounting and reserves, as well as the calculation of RBC and the regulatory RBC requirements. At December 31, 2025, our insurance subsidiaries had a preliminary combined statutory TAC of approximately $5.3 billion, resulting in a preliminary Combined RBC Ratio of 456%.</w:t>
      </w:r>
    </w:p>
    <w:p>
      <w:pPr>
        <w:spacing w:after="0" w:line="79"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2026 would be subject to Delaware DOI approval. See also Note 12 of the Notes to the Consolidated Financial Statements for additional information regarding the applicable dividend restrictions and certain of our subsidiaries’ ordinary dividend capacity, as well as the circumstances under which regulatory approval would be required.</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Normalized Statutory Earnings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Normalized statutory earnings (loss) is used by management to measure our insurance subsidiaries’ ability to pay future distributions and incorporates the effectiveness of our hedging program as well as other factors related to our business. Normalized statutory earnings (loss) is calculated as statutory pre-tax net gain (loss) from operations adjusted for the favorable or unfavorable impacts of (i) net realized capital gains (losses) before capital gains tax (excluding gains (losses) and taxes transferred to the interest maintenance reserve), (ii) the change in total asset requirement at CTE98, net of the change in our variable annuity reserves, which are calculated at CTE70, and (iii) pre-tax unrealized gains (losses) associated with our variable annuities and Shield hedges, net of reinsurance, and other equity risk management strategies. See “Glossary” for the definition of CTE. Normalized statutory earnings (loss) may be further adjusted for certain unanticipated items that impact our results in order to help management and investors better understand, evaluate and forecast those results.</w:t>
      </w:r>
    </w:p>
    <w:p>
      <w:pPr>
        <w:spacing w:after="0" w:line="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the components of combined normalized statutory earnings for Brighthouse Life Insurance Company and NELICO:</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60" w:type="dxa"/>
            <w:vAlign w:val="bottom"/>
          </w:tcPr>
          <w:p>
            <w:pPr>
              <w:spacing w:after="0"/>
              <w:rPr>
                <w:sz w:val="16"/>
                <w:szCs w:val="16"/>
                <w:color w:val="auto"/>
              </w:rPr>
            </w:pPr>
          </w:p>
        </w:tc>
        <w:tc>
          <w:tcPr>
            <w:tcW w:w="236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20" w:type="dxa"/>
            <w:vAlign w:val="bottom"/>
          </w:tcPr>
          <w:p>
            <w:pPr>
              <w:spacing w:after="0"/>
              <w:rPr>
                <w:sz w:val="16"/>
                <w:szCs w:val="16"/>
                <w:color w:val="auto"/>
              </w:rPr>
            </w:pPr>
          </w:p>
        </w:tc>
      </w:tr>
      <w:tr>
        <w:trPr>
          <w:trHeight w:val="225"/>
        </w:trPr>
        <w:tc>
          <w:tcPr>
            <w:tcW w:w="8460" w:type="dxa"/>
            <w:vAlign w:val="bottom"/>
          </w:tcPr>
          <w:p>
            <w:pPr>
              <w:spacing w:after="0"/>
              <w:rPr>
                <w:sz w:val="19"/>
                <w:szCs w:val="19"/>
                <w:color w:val="auto"/>
              </w:rPr>
            </w:pP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9"/>
                <w:szCs w:val="19"/>
                <w:color w:val="auto"/>
              </w:rPr>
            </w:pPr>
          </w:p>
        </w:tc>
      </w:tr>
      <w:tr>
        <w:trPr>
          <w:trHeight w:val="38"/>
        </w:trPr>
        <w:tc>
          <w:tcPr>
            <w:tcW w:w="84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393"/>
        </w:trPr>
        <w:tc>
          <w:tcPr>
            <w:tcW w:w="8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60" w:type="dxa"/>
            <w:vAlign w:val="bottom"/>
            <w:gridSpan w:val="3"/>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(In billions)</w:t>
            </w:r>
          </w:p>
        </w:tc>
        <w:tc>
          <w:tcPr>
            <w:tcW w:w="420" w:type="dxa"/>
            <w:vAlign w:val="bottom"/>
          </w:tcPr>
          <w:p>
            <w:pPr>
              <w:spacing w:after="0"/>
              <w:rPr>
                <w:sz w:val="24"/>
                <w:szCs w:val="24"/>
                <w:color w:val="auto"/>
              </w:rPr>
            </w:pPr>
          </w:p>
        </w:tc>
      </w:tr>
      <w:tr>
        <w:trPr>
          <w:trHeight w:val="38"/>
        </w:trPr>
        <w:tc>
          <w:tcPr>
            <w:tcW w:w="8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45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Statutory net gain (loss) from operations, pre-tax</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7"/>
              </w:rPr>
              <w:t>(1.2)</w:t>
            </w:r>
          </w:p>
        </w:tc>
      </w:tr>
      <w:tr>
        <w:trPr>
          <w:trHeight w:val="441"/>
        </w:trPr>
        <w:tc>
          <w:tcPr>
            <w:tcW w:w="8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net realized capital gains (losses)</w:t>
            </w:r>
          </w:p>
        </w:tc>
        <w:tc>
          <w:tcPr>
            <w:tcW w:w="900" w:type="dxa"/>
            <w:vAlign w:val="bottom"/>
          </w:tcPr>
          <w:p>
            <w:pPr>
              <w:spacing w:after="0"/>
              <w:rPr>
                <w:sz w:val="24"/>
                <w:szCs w:val="24"/>
                <w:color w:val="auto"/>
              </w:rPr>
            </w:pPr>
          </w:p>
        </w:tc>
        <w:tc>
          <w:tcPr>
            <w:tcW w:w="44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0.5</w:t>
            </w:r>
          </w:p>
        </w:tc>
      </w:tr>
      <w:tr>
        <w:trPr>
          <w:trHeight w:val="460"/>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change in total asset requirement at CTE98, net of the change in variable annuity reserves</w:t>
            </w:r>
          </w:p>
        </w:tc>
        <w:tc>
          <w:tcPr>
            <w:tcW w:w="900" w:type="dxa"/>
            <w:vAlign w:val="bottom"/>
            <w:shd w:val="clear" w:color="auto" w:fill="CCEEFF"/>
          </w:tcPr>
          <w:p>
            <w:pPr>
              <w:spacing w:after="0"/>
              <w:rPr>
                <w:sz w:val="24"/>
                <w:szCs w:val="24"/>
                <w:color w:val="auto"/>
              </w:rPr>
            </w:pPr>
          </w:p>
        </w:tc>
        <w:tc>
          <w:tcPr>
            <w:tcW w:w="440" w:type="dxa"/>
            <w:vAlign w:val="bottom"/>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9"/>
              </w:rPr>
              <w:t>1.6</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20" w:type="dxa"/>
            <w:vAlign w:val="bottom"/>
            <w:shd w:val="clear" w:color="auto" w:fill="CCEEFF"/>
          </w:tcPr>
          <w:p>
            <w:pPr>
              <w:jc w:val="center"/>
              <w:ind w:left="1"/>
              <w:spacing w:after="0"/>
              <w:rPr>
                <w:sz w:val="20"/>
                <w:szCs w:val="20"/>
                <w:color w:val="auto"/>
              </w:rPr>
            </w:pPr>
            <w:r>
              <w:rPr>
                <w:rFonts w:ascii="Times New Roman" w:cs="Times New Roman" w:eastAsia="Times New Roman" w:hAnsi="Times New Roman"/>
                <w:sz w:val="16"/>
                <w:szCs w:val="16"/>
                <w:color w:val="auto"/>
                <w:w w:val="97"/>
              </w:rPr>
              <w:t>(1.3)</w:t>
            </w:r>
          </w:p>
        </w:tc>
      </w:tr>
      <w:tr>
        <w:trPr>
          <w:trHeight w:val="410"/>
        </w:trPr>
        <w:tc>
          <w:tcPr>
            <w:tcW w:w="84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 unrealized gains (losses) on variable annuity &amp; Shield hedges, net of reinsurance, and other equity risk management</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30"/>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strategies</w:t>
            </w:r>
          </w:p>
        </w:tc>
        <w:tc>
          <w:tcPr>
            <w:tcW w:w="900" w:type="dxa"/>
            <w:vAlign w:val="bottom"/>
          </w:tcPr>
          <w:p>
            <w:pPr>
              <w:spacing w:after="0"/>
              <w:rPr>
                <w:sz w:val="20"/>
                <w:szCs w:val="20"/>
                <w:color w:val="auto"/>
              </w:rPr>
            </w:pPr>
          </w:p>
        </w:tc>
        <w:tc>
          <w:tcPr>
            <w:tcW w:w="440" w:type="dxa"/>
            <w:vAlign w:val="bottom"/>
          </w:tcPr>
          <w:p>
            <w:pPr>
              <w:jc w:val="center"/>
              <w:ind w:left="42"/>
              <w:spacing w:after="0"/>
              <w:rPr>
                <w:sz w:val="20"/>
                <w:szCs w:val="20"/>
                <w:color w:val="auto"/>
              </w:rPr>
            </w:pPr>
            <w:r>
              <w:rPr>
                <w:rFonts w:ascii="Times New Roman" w:cs="Times New Roman" w:eastAsia="Times New Roman" w:hAnsi="Times New Roman"/>
                <w:sz w:val="16"/>
                <w:szCs w:val="16"/>
                <w:color w:val="auto"/>
                <w:w w:val="99"/>
              </w:rPr>
              <w:t>2.0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jc w:val="center"/>
              <w:ind w:left="1"/>
              <w:spacing w:after="0"/>
              <w:rPr>
                <w:sz w:val="20"/>
                <w:szCs w:val="20"/>
                <w:color w:val="auto"/>
              </w:rPr>
            </w:pPr>
            <w:r>
              <w:rPr>
                <w:rFonts w:ascii="Times New Roman" w:cs="Times New Roman" w:eastAsia="Times New Roman" w:hAnsi="Times New Roman"/>
                <w:sz w:val="16"/>
                <w:szCs w:val="16"/>
                <w:color w:val="auto"/>
                <w:w w:val="97"/>
              </w:rPr>
              <w:t>(0.1)</w:t>
            </w:r>
          </w:p>
        </w:tc>
      </w:tr>
      <w:tr>
        <w:trPr>
          <w:trHeight w:val="45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impact of actuarial items and other adjustments</w:t>
            </w:r>
          </w:p>
        </w:tc>
        <w:tc>
          <w:tcPr>
            <w:tcW w:w="90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0.8</w:t>
            </w:r>
          </w:p>
        </w:tc>
      </w:tr>
      <w:tr>
        <w:trPr>
          <w:trHeight w:val="450"/>
        </w:trPr>
        <w:tc>
          <w:tcPr>
            <w:tcW w:w="84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Normalized statutory earnings (loss)</w:t>
            </w:r>
          </w:p>
        </w:tc>
        <w:tc>
          <w:tcPr>
            <w:tcW w:w="90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center"/>
              <w:ind w:left="42"/>
              <w:spacing w:after="0"/>
              <w:rPr>
                <w:sz w:val="20"/>
                <w:szCs w:val="20"/>
                <w:color w:val="auto"/>
              </w:rPr>
            </w:pPr>
            <w:r>
              <w:rPr>
                <w:rFonts w:ascii="Times New Roman" w:cs="Times New Roman" w:eastAsia="Times New Roman" w:hAnsi="Times New Roman"/>
                <w:sz w:val="16"/>
                <w:szCs w:val="16"/>
                <w:color w:val="auto"/>
                <w:w w:val="99"/>
              </w:rPr>
              <w:t>1.0</w:t>
            </w:r>
          </w:p>
        </w:tc>
        <w:tc>
          <w:tcPr>
            <w:tcW w:w="100" w:type="dxa"/>
            <w:vAlign w:val="bottom"/>
          </w:tcPr>
          <w:p>
            <w:pPr>
              <w:spacing w:after="0"/>
              <w:rPr>
                <w:sz w:val="24"/>
                <w:szCs w:val="24"/>
                <w:color w:val="auto"/>
              </w:rPr>
            </w:pPr>
          </w:p>
        </w:tc>
        <w:tc>
          <w:tcPr>
            <w:tcW w:w="920" w:type="dxa"/>
            <w:vAlign w:val="bottom"/>
            <w:tcBorders>
              <w:bottom w:val="single" w:sz="8" w:color="auto"/>
            </w:tcBorders>
          </w:tcPr>
          <w:p>
            <w:pPr>
              <w:jc w:val="right"/>
              <w:ind w:right="7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center"/>
              <w:ind w:left="1"/>
              <w:spacing w:after="0"/>
              <w:rPr>
                <w:sz w:val="20"/>
                <w:szCs w:val="20"/>
                <w:color w:val="auto"/>
              </w:rPr>
            </w:pPr>
            <w:r>
              <w:rPr>
                <w:rFonts w:ascii="Times New Roman" w:cs="Times New Roman" w:eastAsia="Times New Roman" w:hAnsi="Times New Roman"/>
                <w:sz w:val="16"/>
                <w:szCs w:val="16"/>
                <w:color w:val="auto"/>
                <w:w w:val="97"/>
              </w:rPr>
              <w:t>(1.3)</w:t>
            </w:r>
          </w:p>
        </w:tc>
      </w:tr>
      <w:tr>
        <w:trPr>
          <w:trHeight w:val="20"/>
        </w:trPr>
        <w:tc>
          <w:tcPr>
            <w:tcW w:w="84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and Uses of Liquidity and Capital</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principal sources of funds available to BHF include distributions from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primary uses of liquidity of BHF include debt-service obligations (including interest expense and debt repayments), preferred stock dividends, capital contributions to subsidiaries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pay all general operating expenses and meet its cash needs.</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a tax receivables agreement (the “Tax Receivables Agreement”) with MetLife. In connection with the Tax Receivables Agreement, the Company has a payable to MetLife of $328 million at both December 31, 2025 and 2024 reported in other liabilities, which would be accelerated upon closing of the Merger. See Note 15 of the Notes to the Consolidated Financial Statements.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addition to the liquidity and capital sources discussed in “— The Company — Primary Sources of Liquidity and Capital” and “— The Company —</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Primary Uses of Liquidity and Capital,” the following additional information is provided regarding BHF’s primary sources and uses of liquidity and capital:</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Distributions from and Capital Contributions to BH Holdings</w:t>
      </w:r>
    </w:p>
    <w:p>
      <w:pPr>
        <w:spacing w:after="0" w:line="113" w:lineRule="exact"/>
        <w:rPr>
          <w:sz w:val="20"/>
          <w:szCs w:val="20"/>
          <w:color w:val="auto"/>
        </w:rPr>
      </w:pPr>
    </w:p>
    <w:p>
      <w:pPr>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2 of Schedule II — Condensed Financial Information (Parent Company Only) for information relating to distributions from and capital contributions to BH Holdings.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Intercompany Loans and Intercompany Liquidity Facilities</w:t>
      </w:r>
    </w:p>
    <w:p>
      <w:pPr>
        <w:spacing w:after="0" w:line="113" w:lineRule="exact"/>
        <w:rPr>
          <w:sz w:val="20"/>
          <w:szCs w:val="20"/>
          <w:color w:val="auto"/>
        </w:rPr>
      </w:pPr>
    </w:p>
    <w:p>
      <w:pPr>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3 of Schedule II — Condensed Financial Information (Parent Company Only) for information relating to short-term intercompany loans and our intercompany liquidity facilities including obligations outstanding, issuances and repayments.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have an integrated process for managing risk exposures, which is coordinated among our Risk Management, Finance and Investment Departments. The process is designed to assess and manage exposures on a consolidated, company-wide basis. The Brighthouse Financial Balance Sheet Committee (“BSC”) is responsible for periodically reviewing all material financial risks and, in the event risks exceed desired tolerances, informs the Finance and Risk Committee of the Board of Directors, considers possible courses of action and determines how best to resolve or mitigate such risks. In taking such actions, the BSC considers industry best practices and the current economic environment. The BSC also reviews and approves target investment portfolios in order to align them with our liability profile and establishes guidelines and limits for various risk-taking departments, such as the Investment Department. Our Finance Department and our Investment Department, together with Risk Management, are responsible for coordinating our ALM strategies throughout the enterprise. The voting membership of the BSC is comprised of the following members of senior management: Chief Executive Officer, Chief Risk Officer, Chief Financial Officer, Chief Investment Officer and Head of Product Strategy and Underwriting.</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significant market risk management practices include, but are not limited to, the following:</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Interest Rate Risk</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We manage interest rate risk as part of our asset and liability management strategies, which include (i) maintaining an investment portfolio that has a weighted average duration approximately equal to the duration of our estimated liability cash flow profile, and (ii) maintaining hedging programs. For certain of our liability portfolios, it is not possible to invest assets to the full liability duration, thereby creating some asset/liability mismatch. Where a liability cash flow may exceed the maturity of available assets, as is the case with certain life insurance and annuity products, we may support such liabilities with equity investments, derivatives or other mismatch mitigation strategies. Although we take measures to manage the economic risks of investing in a changing interest rate environment, we may not be able to mitigate completely the interest rate or other mismatch risk of our fixed income investments relative to our interest rate sensitive liabilities. The level of interest rates also affects our liabilities for benefits under our annuity contracts. If interest rates continue to decline, we may need to increase our reserves for future benefits under our annuity contracts, which would adversely affect our financial condition and results of operations.</w:t>
      </w:r>
    </w:p>
    <w:p>
      <w:pPr>
        <w:spacing w:after="0" w:line="8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We also employ product design and pricing strategies to mitigate the potential effects of interest rate movements. These strategies include the use of surrender charges, market value adjustment features or restrictions on withdrawals, and for certain products, the ability to reset crediting rates.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We analyze interest rate risk using various models, including multi-scenario cash flow projection models that forecast cash flows of the liabilities and their supporting investments, including derivatives. These projections involve evaluating the potential gain or loss on most of our in-force business under various increasing and decreasing interest rate environments. State insurance department regulations require that we perform some of these analyses annually as part of our review of the sufficiency of our regulatory reserves. We measure relative sensitivities of the value of our assets and liabilities to changes in key assumptions using internal models. These models reflect specific product characteristics and include assumptions based on current and anticipated experience regarding lapse, mortality and interest crediting rates. In addition, these models include asset cash flow projections reflecting interest payments, sinking fund payments, principal payments, bond calls, prepayments and defaults.</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also use common industry metrics, such as duration and convexity, to measure the relative sensitivity of asset and liability values to changes in interest rates. In computing the duration of liabilities, we consider all policyholder guarantees and how indeterminate policy elements such as interest credits or dividends are set. Each asset portfolio has a duration target based on the liability duration and the investment objectives of that portfolio.</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Managing Equity Market and Foreign Currency Risks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manage equity market risk in a coordinated process across our Risk Management, Investment and Finance Departments primarily by (i) holding sufficient capital to permit us to absorb modest losses, which may be temporary, from changes in equity markets and interest rates, and (ii) through the use of derivatives.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We also employ product design strategies to mitigate the effect of changes in equity markets such as prioritizing products that provide a risk offset and diversification to our variable annuity products.</w:t>
      </w:r>
    </w:p>
    <w:p>
      <w:pPr>
        <w:spacing w:after="0" w:line="57"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Key management objectives include limiting losses, minimizing exposures to significant risks and providing additional capital capacity for future growth. The Investment and Finance Departments are also responsible for managing the exposure to foreign currency denominated investments. We use foreign currency swaps and forwards to mitigate the exposure, risk of loss and financial statement volatility associated with foreign currency denominated fixed income investments.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 Fair Value Exposures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See “Risk Factors” for additional disclosure regarding our market risk and related sensitivities.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Our fair value exposure to changes in interest rates arises most significantly from our interest rate sensitive liabilities and our holdings of fixed maturity securities, mortgage loans and derivatives that are used to support our policyholder liabilities. Our interest rate sensitive liabilities include long-term debt, policyholder account balances related to certain investment contracts and variable annuity guarantees accounted for as MRBs. Our fixed maturity securities including U.S. and foreign government bonds, securities issued by government agencies, corporate bonds, mortgage-backed and other ABS, and our commercial, agricultural and residential mortgage loans, are exposed to changes in interest rates. We also use interest rate derivatives to mitigate the exposure related to interest rate risks from our policyholder liabilities.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Market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Our fair value exposure to equity market risk primarily arises from policyholder liabilities with long-term guarantees on equity performance, including crediting rates on index-linked annuities accounted for as embedded derivatives and variable annuity guarantees. In addition, we have exposure to equity markets through equity derivatives that we enter into to mitigate potential equity market exposure from our policyholder liabilities.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Rates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Our fair value exposure to fluctuations in foreign currency exchange rates against the U.S. dollar results from our holdings in non-U.S. dollar denominated fixed maturity securities, mortgage loans and certain liabilities. The principal currencies that create foreign currency exchange rate risk in our investment portfolios and liabilities are the Euro and the British pound. We economically hedge substantially all of our foreign currency exposure.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Measurement: Sensitivity Analysis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following discussion and analysis, we measure market risk related to our market sensitive assets and liabilities based on changes in interest rates, equity market prices and foreign currency exchange rates using a sensitivity analysis. This analysis estimates the potential changes in estimated fair value based on a hypothetical 100 basis point change (increase or decrease) in interest rates, or a 10% change in equity market prices or foreign currency exchange rates. We believe that these changes in market rates and prices are reasonably possible in the near-term. In performing the analysis summarized below, we used market rates as of December 31, 2025. We modeled the impact of changes in market rates and prices on the estimated fair values of our market sensitive assets and liabilities as follows:</w:t>
      </w:r>
    </w:p>
    <w:p>
      <w:pPr>
        <w:spacing w:after="0" w:line="79" w:lineRule="exact"/>
        <w:rPr>
          <w:sz w:val="20"/>
          <w:szCs w:val="20"/>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our interest rate sensitive exposures resulting from a 100 basis point change (increase or decrease) in interest rates;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our equity positions due to a 10% change (increase or decrease) in equity market prices;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dollar equivalent of estimated fair values of our foreign currency exposures due to a 10% change (increase or decrease) in foreign currency exchange rates.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sensitivity analysis is an estimate and should not be viewed as predictive of our future financial performance. Our actual losses in any particular period may vary from the amounts indicated in the table below. Limitations related to this sensitivity analysis include:</w:t>
      </w:r>
    </w:p>
    <w:p>
      <w:pPr>
        <w:spacing w:after="0" w:line="57" w:lineRule="exact"/>
        <w:rPr>
          <w:sz w:val="20"/>
          <w:szCs w:val="20"/>
          <w:color w:val="auto"/>
        </w:rPr>
      </w:pPr>
    </w:p>
    <w:p>
      <w:pPr>
        <w:jc w:val="both"/>
        <w:ind w:left="640" w:hanging="316"/>
        <w:spacing w:after="0" w:line="304" w:lineRule="auto"/>
        <w:tabs>
          <w:tab w:leader="none" w:pos="635"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sensitive liabilities do not include a significant portion of our insurance contract liabilities. Management believes that the changes in the economic value of those contracts under changing interest rates would offset a significant portion of the fair value changes of interest sensitive assets;</w:t>
      </w:r>
    </w:p>
    <w:p>
      <w:pPr>
        <w:spacing w:after="0" w:line="34"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risk information is limited by the assumptions and parameters established in creating the related sensitivity analysis, including the impact of prepayment rates on mortgage loans;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derivatives that qualify for hedge accounting, the impact on reported earnings may be materially different from the change in market values;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analysis excludes limited partnership interests;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model assumes that the composition of assets and liabilities remains unchanged throughout the period.</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Accordingly, we use such models as tools and not as substitutes for the experience and judgment of our management.</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potential loss in the estimated fair value of our interest rate sensitive financial instruments due to a 100 basis point increase in the yield curve by type of asset and liability was as follows at: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67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vMerge w:val="restart"/>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4"/>
                <w:szCs w:val="14"/>
                <w:color w:val="auto"/>
              </w:rPr>
            </w:pPr>
          </w:p>
        </w:tc>
        <w:tc>
          <w:tcPr>
            <w:tcW w:w="1400" w:type="dxa"/>
            <w:vAlign w:val="bottom"/>
            <w:vMerge w:val="restart"/>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4"/>
                <w:szCs w:val="14"/>
                <w:color w:val="auto"/>
              </w:rPr>
            </w:pPr>
          </w:p>
        </w:tc>
        <w:tc>
          <w:tcPr>
            <w:tcW w:w="12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100 Basis</w:t>
            </w:r>
          </w:p>
        </w:tc>
        <w:tc>
          <w:tcPr>
            <w:tcW w:w="0" w:type="dxa"/>
            <w:vAlign w:val="bottom"/>
          </w:tcPr>
          <w:p>
            <w:pPr>
              <w:spacing w:after="0"/>
              <w:rPr>
                <w:sz w:val="1"/>
                <w:szCs w:val="1"/>
                <w:color w:val="auto"/>
              </w:rPr>
            </w:pPr>
          </w:p>
        </w:tc>
      </w:tr>
      <w:tr>
        <w:trPr>
          <w:trHeight w:val="159"/>
        </w:trPr>
        <w:tc>
          <w:tcPr>
            <w:tcW w:w="6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42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Point Increase in the</w:t>
            </w:r>
          </w:p>
        </w:tc>
        <w:tc>
          <w:tcPr>
            <w:tcW w:w="0" w:type="dxa"/>
            <w:vAlign w:val="bottom"/>
          </w:tcPr>
          <w:p>
            <w:pPr>
              <w:spacing w:after="0"/>
              <w:rPr>
                <w:sz w:val="1"/>
                <w:szCs w:val="1"/>
                <w:color w:val="auto"/>
              </w:rPr>
            </w:pPr>
          </w:p>
        </w:tc>
      </w:tr>
      <w:tr>
        <w:trPr>
          <w:trHeight w:val="199"/>
        </w:trPr>
        <w:tc>
          <w:tcPr>
            <w:tcW w:w="6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4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7"/>
              </w:rPr>
              <w:t>Fair Value (1)</w:t>
            </w:r>
          </w:p>
        </w:tc>
        <w:tc>
          <w:tcPr>
            <w:tcW w:w="22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Yield Curve</w:t>
            </w:r>
          </w:p>
        </w:tc>
        <w:tc>
          <w:tcPr>
            <w:tcW w:w="0" w:type="dxa"/>
            <w:vAlign w:val="bottom"/>
          </w:tcPr>
          <w:p>
            <w:pPr>
              <w:spacing w:after="0"/>
              <w:rPr>
                <w:sz w:val="1"/>
                <w:szCs w:val="1"/>
                <w:color w:val="auto"/>
              </w:rPr>
            </w:pPr>
          </w:p>
        </w:tc>
      </w:tr>
      <w:tr>
        <w:trPr>
          <w:trHeight w:val="24"/>
        </w:trPr>
        <w:tc>
          <w:tcPr>
            <w:tcW w:w="6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6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assets with interest rate risk</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82,014</w:t>
            </w:r>
          </w:p>
        </w:tc>
        <w:tc>
          <w:tcPr>
            <w:tcW w:w="2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(4,619)</w:t>
            </w:r>
          </w:p>
        </w:tc>
        <w:tc>
          <w:tcPr>
            <w:tcW w:w="0" w:type="dxa"/>
            <w:vAlign w:val="bottom"/>
          </w:tcPr>
          <w:p>
            <w:pPr>
              <w:spacing w:after="0"/>
              <w:rPr>
                <w:sz w:val="1"/>
                <w:szCs w:val="1"/>
                <w:color w:val="auto"/>
              </w:rPr>
            </w:pPr>
          </w:p>
        </w:tc>
      </w:tr>
      <w:tr>
        <w:trPr>
          <w:trHeight w:val="46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21,732</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0" w:type="dxa"/>
            <w:vAlign w:val="bottom"/>
          </w:tcPr>
          <w:p>
            <w:pPr>
              <w:spacing w:after="0"/>
              <w:rPr>
                <w:sz w:val="1"/>
                <w:szCs w:val="1"/>
                <w:color w:val="auto"/>
              </w:rPr>
            </w:pPr>
          </w:p>
        </w:tc>
      </w:tr>
      <w:tr>
        <w:trPr>
          <w:trHeight w:val="441"/>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1,551</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0" w:type="dxa"/>
            <w:vAlign w:val="bottom"/>
          </w:tcPr>
          <w:p>
            <w:pPr>
              <w:spacing w:after="0"/>
              <w:rPr>
                <w:sz w:val="1"/>
                <w:szCs w:val="1"/>
                <w:color w:val="auto"/>
              </w:rPr>
            </w:pPr>
          </w:p>
        </w:tc>
      </w:tr>
      <w:tr>
        <w:trPr>
          <w:trHeight w:val="46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8,197</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444"/>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Reinsurance of index-linked annuities and market risk benefits</w:t>
            </w:r>
          </w:p>
        </w:tc>
        <w:tc>
          <w:tcPr>
            <w:tcW w:w="2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tcPr>
          <w:p>
            <w:pPr>
              <w:jc w:val="right"/>
              <w:ind w:right="83"/>
              <w:spacing w:after="0"/>
              <w:rPr>
                <w:sz w:val="20"/>
                <w:szCs w:val="20"/>
                <w:color w:val="auto"/>
              </w:rPr>
            </w:pPr>
            <w:r>
              <w:rPr>
                <w:rFonts w:ascii="Times New Roman" w:cs="Times New Roman" w:eastAsia="Times New Roman" w:hAnsi="Times New Roman"/>
                <w:sz w:val="16"/>
                <w:szCs w:val="16"/>
                <w:color w:val="auto"/>
              </w:rPr>
              <w:t>87</w:t>
            </w: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444"/>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Increase (decrease) in estimated fair value of assets</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0" w:type="dxa"/>
            <w:vAlign w:val="bottom"/>
          </w:tcPr>
          <w:p>
            <w:pPr>
              <w:spacing w:after="0"/>
              <w:rPr>
                <w:sz w:val="1"/>
                <w:szCs w:val="1"/>
                <w:color w:val="auto"/>
              </w:rPr>
            </w:pPr>
          </w:p>
        </w:tc>
      </w:tr>
      <w:tr>
        <w:trPr>
          <w:trHeight w:val="252"/>
        </w:trPr>
        <w:tc>
          <w:tcPr>
            <w:tcW w:w="6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liabilities with interest rate risk (2)</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28,728</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46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2,633</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441"/>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1,291</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46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(3)</w:t>
            </w:r>
          </w:p>
        </w:tc>
        <w:tc>
          <w:tcPr>
            <w:tcW w:w="2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12,406</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437"/>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(Increase) decrease in estimated fair value of liabilities</w:t>
            </w:r>
          </w:p>
        </w:tc>
        <w:tc>
          <w:tcPr>
            <w:tcW w:w="2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199"/>
        </w:trPr>
        <w:tc>
          <w:tcPr>
            <w:tcW w:w="6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41"/>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benefits associated with variable annuities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7,001</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0" w:type="dxa"/>
            <w:vAlign w:val="bottom"/>
          </w:tcPr>
          <w:p>
            <w:pPr>
              <w:spacing w:after="0"/>
              <w:rPr>
                <w:sz w:val="1"/>
                <w:szCs w:val="1"/>
                <w:color w:val="auto"/>
              </w:rPr>
            </w:pPr>
          </w:p>
        </w:tc>
      </w:tr>
      <w:tr>
        <w:trPr>
          <w:trHeight w:val="221"/>
        </w:trPr>
        <w:tc>
          <w:tcPr>
            <w:tcW w:w="6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 with interest rate risk</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contracts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83,364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(1,785)</w:t>
            </w:r>
          </w:p>
        </w:tc>
        <w:tc>
          <w:tcPr>
            <w:tcW w:w="22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w:t>
            </w:r>
          </w:p>
        </w:tc>
        <w:tc>
          <w:tcPr>
            <w:tcW w:w="0" w:type="dxa"/>
            <w:vAlign w:val="bottom"/>
          </w:tcPr>
          <w:p>
            <w:pPr>
              <w:spacing w:after="0"/>
              <w:rPr>
                <w:sz w:val="1"/>
                <w:szCs w:val="1"/>
                <w:color w:val="auto"/>
              </w:rPr>
            </w:pPr>
          </w:p>
        </w:tc>
      </w:tr>
      <w:tr>
        <w:trPr>
          <w:trHeight w:val="441"/>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contracts</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4,783</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262</w:t>
            </w:r>
          </w:p>
        </w:tc>
        <w:tc>
          <w:tcPr>
            <w:tcW w:w="2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46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contracts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216,118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3,057</w:t>
            </w:r>
          </w:p>
        </w:tc>
        <w:tc>
          <w:tcPr>
            <w:tcW w:w="22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437"/>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Increase (decrease) in estimated fair value of derivative instruments</w:t>
            </w:r>
          </w:p>
        </w:tc>
        <w:tc>
          <w:tcPr>
            <w:tcW w:w="2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475"/>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w:t>
            </w:r>
          </w:p>
        </w:tc>
        <w:tc>
          <w:tcPr>
            <w:tcW w:w="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78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account assets and liabilities, which are interest rate sensitive, are not included herein as any interest rate risk is borne by the contract holder.</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$35.9 billion of liabilities at carrying value pursuant to insurance contracts reported within future policy benefits and other policy-related balances on the consolidated balance sheet at December 31, 2025. Management believes that the changes in the economic value of those contracts under changing interest rates would offset a significant portion of the fair value changes of interest rate sensitive assets.</w:t>
      </w:r>
    </w:p>
    <w:p>
      <w:pPr>
        <w:spacing w:after="0" w:line="7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derivatives on index-linked annuities are recognized on the consolidated balance sheet in Policyholder account balances.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Sensitivity Summary</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Sensitivity to a 100 basis point rise in interest rates increased by $474 million, or 11% to $4.9 billion at December 31, 2025 from $4.4 billion at December 31, 2024, primarily as a result of an increase in derivatives used to mitigate interest rate exposures from our policyholder liabilities.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Sensitivity to a 10% decrease in equity prices increased by $403 million, or 125% to $725 million at December 31, 2025 from $322 million at December 31, 2024, primarily due to differences between the fair value methodologies of our equity-sensitive liabilities compared to the methodologies used to value the related derivative instruments.</w:t>
      </w:r>
    </w:p>
    <w:p>
      <w:pPr>
        <w:sectPr>
          <w:pgSz w:w="11900" w:h="16838" w:orient="portrait"/>
          <w:cols w:equalWidth="0" w:num="1">
            <w:col w:w="11240"/>
          </w:cols>
          <w:pgMar w:left="320" w:top="278" w:right="339" w:bottom="0" w:gutter="0" w:footer="0" w:header="0"/>
        </w:sectPr>
      </w:pPr>
    </w:p>
    <w:bookmarkStart w:id="119" w:name="page120"/>
    <w:bookmarkEnd w:id="119"/>
    <w:p>
      <w:pPr>
        <w:ind w:firstLine="318"/>
        <w:spacing w:after="0" w:line="274" w:lineRule="auto"/>
        <w:rPr>
          <w:sz w:val="20"/>
          <w:szCs w:val="20"/>
          <w:color w:val="auto"/>
        </w:rPr>
      </w:pPr>
      <w:r>
        <w:rPr>
          <w:rFonts w:ascii="Times New Roman" w:cs="Times New Roman" w:eastAsia="Times New Roman" w:hAnsi="Times New Roman"/>
          <w:sz w:val="18"/>
          <w:szCs w:val="18"/>
          <w:color w:val="auto"/>
        </w:rPr>
        <w:t>As discussed above, we economically hedge substantially all of our foreign currency exposure such that sensitivity to changes in foreign currencies is minimal.</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10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8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Notes and Schedules</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43"/>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79"/>
        </w:trPr>
        <w:tc>
          <w:tcPr>
            <w:tcW w:w="20" w:type="dxa"/>
            <w:vAlign w:val="bottom"/>
          </w:tcPr>
          <w:p>
            <w:pPr>
              <w:spacing w:after="0"/>
              <w:rPr>
                <w:sz w:val="15"/>
                <w:szCs w:val="15"/>
                <w:color w:val="auto"/>
              </w:rPr>
            </w:pPr>
          </w:p>
        </w:tc>
        <w:tc>
          <w:tcPr>
            <w:tcW w:w="10080" w:type="dxa"/>
            <w:vAlign w:val="bottom"/>
            <w:gridSpan w:val="27"/>
          </w:tcPr>
          <w:p>
            <w:pPr>
              <w:spacing w:after="0" w:line="17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700" w:type="dxa"/>
            <w:vAlign w:val="bottom"/>
            <w:gridSpan w:val="2"/>
          </w:tcPr>
          <w:p>
            <w:pPr>
              <w:jc w:val="center"/>
              <w:ind w:left="352"/>
              <w:spacing w:after="0" w:line="179" w:lineRule="exact"/>
              <w:rPr>
                <w:sz w:val="20"/>
                <w:szCs w:val="20"/>
                <w:color w:val="auto"/>
              </w:rPr>
            </w:pPr>
            <w:r>
              <w:rPr>
                <w:rFonts w:ascii="Times New Roman" w:cs="Times New Roman" w:eastAsia="Times New Roman" w:hAnsi="Times New Roman"/>
                <w:sz w:val="18"/>
                <w:szCs w:val="18"/>
                <w:color w:val="0000FF"/>
                <w:w w:val="96"/>
              </w:rPr>
              <w:t>111</w:t>
            </w:r>
          </w:p>
        </w:tc>
        <w:tc>
          <w:tcPr>
            <w:tcW w:w="4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Financial Statements at December 31, 2025 and 2024 and for the Years Ended December 31, 2025, 2024 and 2023:</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060" w:type="dxa"/>
            <w:vAlign w:val="bottom"/>
            <w:tcBorders>
              <w:bottom w:val="single" w:sz="8" w:color="0000FF"/>
            </w:tcBorders>
            <w:gridSpan w:val="7"/>
          </w:tcPr>
          <w:p>
            <w:pPr>
              <w:spacing w:after="0" w:line="191"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8020" w:type="dxa"/>
            <w:vAlign w:val="bottom"/>
            <w:gridSpan w:val="20"/>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Borders>
              <w:bottom w:val="single" w:sz="8" w:color="0000FF"/>
            </w:tcBorders>
          </w:tcPr>
          <w:p>
            <w:pPr>
              <w:jc w:val="center"/>
              <w:spacing w:after="0" w:line="191" w:lineRule="exact"/>
              <w:rPr>
                <w:sz w:val="20"/>
                <w:szCs w:val="20"/>
                <w:color w:val="auto"/>
              </w:rPr>
            </w:pPr>
            <w:r>
              <w:rPr>
                <w:rFonts w:ascii="Times New Roman" w:cs="Times New Roman" w:eastAsia="Times New Roman" w:hAnsi="Times New Roman"/>
                <w:sz w:val="18"/>
                <w:szCs w:val="18"/>
                <w:color w:val="0000FF"/>
                <w:w w:val="96"/>
              </w:rPr>
              <w:t>114</w:t>
            </w:r>
          </w:p>
        </w:tc>
        <w:tc>
          <w:tcPr>
            <w:tcW w:w="44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100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700" w:type="dxa"/>
            <w:vAlign w:val="bottom"/>
            <w:gridSpan w:val="2"/>
          </w:tcPr>
          <w:p>
            <w:pPr>
              <w:jc w:val="center"/>
              <w:ind w:left="352"/>
              <w:spacing w:after="0" w:line="205" w:lineRule="exact"/>
              <w:rPr>
                <w:sz w:val="20"/>
                <w:szCs w:val="20"/>
                <w:color w:val="auto"/>
              </w:rPr>
            </w:pPr>
            <w:r>
              <w:rPr>
                <w:rFonts w:ascii="Times New Roman" w:cs="Times New Roman" w:eastAsia="Times New Roman" w:hAnsi="Times New Roman"/>
                <w:sz w:val="18"/>
                <w:szCs w:val="18"/>
                <w:color w:val="0000FF"/>
                <w:w w:val="96"/>
              </w:rPr>
              <w:t>115</w:t>
            </w: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(Loss)</w:t>
            </w:r>
          </w:p>
        </w:tc>
        <w:tc>
          <w:tcPr>
            <w:tcW w:w="700" w:type="dxa"/>
            <w:vAlign w:val="bottom"/>
            <w:gridSpan w:val="2"/>
          </w:tcPr>
          <w:p>
            <w:pPr>
              <w:jc w:val="center"/>
              <w:ind w:left="352"/>
              <w:spacing w:after="0" w:line="205" w:lineRule="exact"/>
              <w:rPr>
                <w:sz w:val="20"/>
                <w:szCs w:val="20"/>
                <w:color w:val="auto"/>
              </w:rPr>
            </w:pPr>
            <w:r>
              <w:rPr>
                <w:rFonts w:ascii="Times New Roman" w:cs="Times New Roman" w:eastAsia="Times New Roman" w:hAnsi="Times New Roman"/>
                <w:sz w:val="18"/>
                <w:szCs w:val="18"/>
                <w:color w:val="0000FF"/>
                <w:w w:val="96"/>
              </w:rPr>
              <w:t>116</w:t>
            </w:r>
          </w:p>
        </w:tc>
        <w:tc>
          <w:tcPr>
            <w:tcW w:w="4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160" w:type="dxa"/>
            <w:vAlign w:val="bottom"/>
            <w:tcBorders>
              <w:top w:val="single" w:sz="8" w:color="0000FF"/>
            </w:tcBorders>
            <w:gridSpan w:val="21"/>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5920" w:type="dxa"/>
            <w:vAlign w:val="bottom"/>
            <w:gridSpan w:val="6"/>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top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117</w:t>
            </w:r>
          </w:p>
        </w:tc>
        <w:tc>
          <w:tcPr>
            <w:tcW w:w="4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82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7260" w:type="dxa"/>
            <w:vAlign w:val="bottom"/>
            <w:gridSpan w:val="13"/>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118</w:t>
            </w:r>
          </w:p>
        </w:tc>
        <w:tc>
          <w:tcPr>
            <w:tcW w:w="4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360" w:type="dxa"/>
            <w:vAlign w:val="bottom"/>
            <w:tcBorders>
              <w:bottom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the Consolidated Financial Statements</w:t>
            </w:r>
          </w:p>
        </w:tc>
        <w:tc>
          <w:tcPr>
            <w:tcW w:w="6720" w:type="dxa"/>
            <w:vAlign w:val="bottom"/>
            <w:gridSpan w:val="10"/>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00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 — Business, Basis of Presentation and Summary of Significant Accounting Policies</w:t>
            </w: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120</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6460" w:type="dxa"/>
            <w:vAlign w:val="bottom"/>
            <w:gridSpan w:val="24"/>
          </w:tcPr>
          <w:p>
            <w:pPr>
              <w:spacing w:after="0" w:line="205" w:lineRule="exact"/>
              <w:rPr>
                <w:sz w:val="20"/>
                <w:szCs w:val="20"/>
                <w:color w:val="auto"/>
              </w:rPr>
            </w:pPr>
            <w:r>
              <w:rPr>
                <w:rFonts w:ascii="Times New Roman" w:cs="Times New Roman" w:eastAsia="Times New Roman" w:hAnsi="Times New Roman"/>
                <w:sz w:val="18"/>
                <w:szCs w:val="18"/>
                <w:color w:val="0000FF"/>
              </w:rPr>
              <w:t>Note 2 — Segment Information</w:t>
            </w:r>
          </w:p>
        </w:tc>
        <w:tc>
          <w:tcPr>
            <w:tcW w:w="3620" w:type="dxa"/>
            <w:vAlign w:val="bottom"/>
            <w:gridSpan w:val="3"/>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129</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0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6"/>
              </w:rPr>
              <w:t>Note 3 — Insurance Liabilities</w:t>
            </w:r>
          </w:p>
        </w:tc>
        <w:tc>
          <w:tcPr>
            <w:tcW w:w="7880" w:type="dxa"/>
            <w:vAlign w:val="bottom"/>
            <w:gridSpan w:val="18"/>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135</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6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Note 4 — Market Risk Benefits</w:t>
            </w:r>
          </w:p>
        </w:tc>
        <w:tc>
          <w:tcPr>
            <w:tcW w:w="7820" w:type="dxa"/>
            <w:vAlign w:val="bottom"/>
            <w:gridSpan w:val="17"/>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141</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260" w:type="dxa"/>
            <w:vAlign w:val="bottom"/>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Note 5 — Separate Accounts</w:t>
            </w:r>
          </w:p>
        </w:tc>
        <w:tc>
          <w:tcPr>
            <w:tcW w:w="7820" w:type="dxa"/>
            <w:vAlign w:val="bottom"/>
            <w:gridSpan w:val="17"/>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142</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6 — Deferred Policy Acquisition Costs, Value of Business Acquired and Other Intangibles</w:t>
            </w: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144</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20" w:type="dxa"/>
            <w:vAlign w:val="bottom"/>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Note 7 — Reinsurance</w:t>
            </w:r>
          </w:p>
        </w:tc>
        <w:tc>
          <w:tcPr>
            <w:tcW w:w="5180" w:type="dxa"/>
            <w:vAlign w:val="bottom"/>
            <w:gridSpan w:val="21"/>
          </w:tcPr>
          <w:p>
            <w:pPr>
              <w:spacing w:after="0"/>
              <w:rPr>
                <w:sz w:val="17"/>
                <w:szCs w:val="17"/>
                <w:color w:val="auto"/>
              </w:rPr>
            </w:pPr>
          </w:p>
        </w:tc>
        <w:tc>
          <w:tcPr>
            <w:tcW w:w="3280" w:type="dxa"/>
            <w:vAlign w:val="bottom"/>
            <w:gridSpan w:val="2"/>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145</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Note 8 — Investments</w:t>
            </w:r>
          </w:p>
        </w:tc>
        <w:tc>
          <w:tcPr>
            <w:tcW w:w="20" w:type="dxa"/>
            <w:vAlign w:val="bottom"/>
          </w:tcPr>
          <w:p>
            <w:pPr>
              <w:spacing w:after="0"/>
              <w:rPr>
                <w:sz w:val="17"/>
                <w:szCs w:val="17"/>
                <w:color w:val="auto"/>
              </w:rPr>
            </w:pPr>
          </w:p>
        </w:tc>
        <w:tc>
          <w:tcPr>
            <w:tcW w:w="8460" w:type="dxa"/>
            <w:vAlign w:val="bottom"/>
            <w:gridSpan w:val="23"/>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148</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7"/>
              </w:rPr>
              <w:t>Note 9 — Derivatives</w:t>
            </w:r>
          </w:p>
        </w:tc>
        <w:tc>
          <w:tcPr>
            <w:tcW w:w="40" w:type="dxa"/>
            <w:vAlign w:val="bottom"/>
          </w:tcPr>
          <w:p>
            <w:pPr>
              <w:spacing w:after="0"/>
              <w:rPr>
                <w:sz w:val="17"/>
                <w:szCs w:val="17"/>
                <w:color w:val="auto"/>
              </w:rPr>
            </w:pPr>
          </w:p>
        </w:tc>
        <w:tc>
          <w:tcPr>
            <w:tcW w:w="8480" w:type="dxa"/>
            <w:vAlign w:val="bottom"/>
            <w:gridSpan w:val="24"/>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160</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10 — Fair Value</w:t>
            </w: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166</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10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Note 11 — Long-term Debt</w:t>
            </w:r>
          </w:p>
        </w:tc>
        <w:tc>
          <w:tcPr>
            <w:tcW w:w="7980" w:type="dxa"/>
            <w:vAlign w:val="bottom"/>
            <w:gridSpan w:val="19"/>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176</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360" w:type="dxa"/>
            <w:vAlign w:val="bottom"/>
            <w:gridSpan w:val="4"/>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60" w:type="dxa"/>
            <w:vAlign w:val="bottom"/>
            <w:gridSpan w:val="5"/>
          </w:tcPr>
          <w:p>
            <w:pPr>
              <w:spacing w:after="0" w:line="205" w:lineRule="exact"/>
              <w:rPr>
                <w:sz w:val="20"/>
                <w:szCs w:val="20"/>
                <w:color w:val="auto"/>
              </w:rPr>
            </w:pPr>
            <w:r>
              <w:rPr>
                <w:rFonts w:ascii="Times New Roman" w:cs="Times New Roman" w:eastAsia="Times New Roman" w:hAnsi="Times New Roman"/>
                <w:sz w:val="18"/>
                <w:szCs w:val="18"/>
                <w:color w:val="0000FF"/>
              </w:rPr>
              <w:t>Note 12 — Equity</w:t>
            </w:r>
          </w:p>
        </w:tc>
        <w:tc>
          <w:tcPr>
            <w:tcW w:w="440" w:type="dxa"/>
            <w:vAlign w:val="bottom"/>
            <w:gridSpan w:val="3"/>
          </w:tcPr>
          <w:p>
            <w:pPr>
              <w:spacing w:after="0"/>
              <w:rPr>
                <w:sz w:val="17"/>
                <w:szCs w:val="17"/>
                <w:color w:val="auto"/>
              </w:rPr>
            </w:pPr>
          </w:p>
        </w:tc>
        <w:tc>
          <w:tcPr>
            <w:tcW w:w="7980" w:type="dxa"/>
            <w:vAlign w:val="bottom"/>
            <w:gridSpan w:val="19"/>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177</w:t>
            </w:r>
          </w:p>
        </w:tc>
      </w:tr>
      <w:tr>
        <w:trPr>
          <w:trHeight w:val="20"/>
        </w:trPr>
        <w:tc>
          <w:tcPr>
            <w:tcW w:w="2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0080" w:type="dxa"/>
            <w:vAlign w:val="bottom"/>
            <w:gridSpan w:val="27"/>
          </w:tcPr>
          <w:p>
            <w:pPr>
              <w:spacing w:after="0" w:line="205" w:lineRule="exact"/>
              <w:rPr>
                <w:sz w:val="20"/>
                <w:szCs w:val="20"/>
                <w:color w:val="auto"/>
              </w:rPr>
            </w:pPr>
            <w:r>
              <w:rPr>
                <w:rFonts w:ascii="Times New Roman" w:cs="Times New Roman" w:eastAsia="Times New Roman" w:hAnsi="Times New Roman"/>
                <w:sz w:val="18"/>
                <w:szCs w:val="18"/>
                <w:color w:val="0000FF"/>
              </w:rPr>
              <w:t>Note 13 — Other Revenues and Other Expenses</w:t>
            </w: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187</w:t>
            </w:r>
          </w:p>
        </w:tc>
      </w:tr>
      <w:tr>
        <w:trPr>
          <w:trHeight w:val="20"/>
        </w:trPr>
        <w:tc>
          <w:tcPr>
            <w:tcW w:w="2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5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Note 14 — Employee Benefit Plans</w:t>
            </w:r>
          </w:p>
        </w:tc>
        <w:tc>
          <w:tcPr>
            <w:tcW w:w="880" w:type="dxa"/>
            <w:vAlign w:val="bottom"/>
            <w:gridSpan w:val="6"/>
          </w:tcPr>
          <w:p>
            <w:pPr>
              <w:spacing w:after="0"/>
              <w:rPr>
                <w:sz w:val="17"/>
                <w:szCs w:val="17"/>
                <w:color w:val="auto"/>
              </w:rPr>
            </w:pPr>
          </w:p>
        </w:tc>
        <w:tc>
          <w:tcPr>
            <w:tcW w:w="6660" w:type="dxa"/>
            <w:vAlign w:val="bottom"/>
            <w:gridSpan w:val="9"/>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188</w:t>
            </w:r>
          </w:p>
        </w:tc>
      </w:tr>
      <w:tr>
        <w:trPr>
          <w:trHeight w:val="20"/>
        </w:trPr>
        <w:tc>
          <w:tcPr>
            <w:tcW w:w="2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2540" w:type="dxa"/>
            <w:vAlign w:val="bottom"/>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Note 15 — Income Tax</w:t>
            </w:r>
          </w:p>
        </w:tc>
        <w:tc>
          <w:tcPr>
            <w:tcW w:w="7540" w:type="dxa"/>
            <w:vAlign w:val="bottom"/>
            <w:gridSpan w:val="15"/>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188</w:t>
            </w:r>
          </w:p>
        </w:tc>
      </w:tr>
      <w:tr>
        <w:trPr>
          <w:trHeight w:val="20"/>
        </w:trPr>
        <w:tc>
          <w:tcPr>
            <w:tcW w:w="20" w:type="dxa"/>
            <w:vAlign w:val="bottom"/>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00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 16 — Earnings Per Common Share</w:t>
            </w:r>
          </w:p>
        </w:tc>
        <w:tc>
          <w:tcPr>
            <w:tcW w:w="7080" w:type="dxa"/>
            <w:vAlign w:val="bottom"/>
            <w:gridSpan w:val="11"/>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193</w:t>
            </w:r>
          </w:p>
        </w:tc>
      </w:tr>
      <w:tr>
        <w:trPr>
          <w:trHeight w:val="20"/>
        </w:trPr>
        <w:tc>
          <w:tcPr>
            <w:tcW w:w="20" w:type="dxa"/>
            <w:vAlign w:val="bottom"/>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900" w:type="dxa"/>
            <w:vAlign w:val="bottom"/>
            <w:gridSpan w:val="8"/>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Note 17 — Contingencies, Commitments and Guarantees</w:t>
            </w:r>
          </w:p>
        </w:tc>
        <w:tc>
          <w:tcPr>
            <w:tcW w:w="5280" w:type="dxa"/>
            <w:vAlign w:val="bottom"/>
            <w:gridSpan w:val="5"/>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193</w:t>
            </w:r>
          </w:p>
        </w:tc>
      </w:tr>
      <w:tr>
        <w:trPr>
          <w:trHeight w:val="20"/>
        </w:trPr>
        <w:tc>
          <w:tcPr>
            <w:tcW w:w="20" w:type="dxa"/>
            <w:vAlign w:val="bottom"/>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900" w:type="dxa"/>
            <w:vAlign w:val="bottom"/>
            <w:gridSpan w:val="8"/>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rPr>
              <w:t>Note 18 — Subsequent Event</w:t>
            </w:r>
          </w:p>
        </w:tc>
        <w:tc>
          <w:tcPr>
            <w:tcW w:w="5280" w:type="dxa"/>
            <w:vAlign w:val="bottom"/>
            <w:gridSpan w:val="5"/>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197</w:t>
            </w:r>
          </w:p>
        </w:tc>
      </w:tr>
      <w:tr>
        <w:trPr>
          <w:trHeight w:val="20"/>
        </w:trPr>
        <w:tc>
          <w:tcPr>
            <w:tcW w:w="20" w:type="dxa"/>
            <w:vAlign w:val="bottom"/>
          </w:tcPr>
          <w:p>
            <w:pPr>
              <w:spacing w:after="0" w:line="20" w:lineRule="exact"/>
              <w:rPr>
                <w:sz w:val="1"/>
                <w:szCs w:val="1"/>
                <w:color w:val="auto"/>
              </w:rPr>
            </w:pPr>
          </w:p>
        </w:tc>
        <w:tc>
          <w:tcPr>
            <w:tcW w:w="2100" w:type="dxa"/>
            <w:vAlign w:val="bottom"/>
            <w:gridSpan w:val="8"/>
            <w:shd w:val="clear" w:color="auto" w:fill="0000FF"/>
          </w:tcPr>
          <w:p>
            <w:pPr>
              <w:spacing w:after="0" w:line="20" w:lineRule="exact"/>
              <w:rPr>
                <w:sz w:val="1"/>
                <w:szCs w:val="1"/>
                <w:color w:val="auto"/>
              </w:rPr>
            </w:pPr>
          </w:p>
        </w:tc>
        <w:tc>
          <w:tcPr>
            <w:tcW w:w="900" w:type="dxa"/>
            <w:vAlign w:val="bottom"/>
            <w:gridSpan w:val="8"/>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80" w:type="dxa"/>
            <w:vAlign w:val="bottom"/>
            <w:gridSpan w:val="27"/>
          </w:tcPr>
          <w:p>
            <w:pPr>
              <w:spacing w:after="0"/>
              <w:rPr>
                <w:sz w:val="20"/>
                <w:szCs w:val="20"/>
                <w:color w:val="auto"/>
              </w:rPr>
            </w:pPr>
            <w:r>
              <w:rPr>
                <w:rFonts w:ascii="Times New Roman" w:cs="Times New Roman" w:eastAsia="Times New Roman" w:hAnsi="Times New Roman"/>
                <w:sz w:val="18"/>
                <w:szCs w:val="18"/>
                <w:color w:val="auto"/>
              </w:rPr>
              <w:t>Financial Statement Schedules at December 31, 2025 and 2024 and for the Years Ended December 31, 2025, 2024 and 2023:</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7040" w:type="dxa"/>
            <w:vAlign w:val="bottom"/>
            <w:gridSpan w:val="26"/>
          </w:tcPr>
          <w:p>
            <w:pPr>
              <w:spacing w:after="0" w:line="191" w:lineRule="exact"/>
              <w:rPr>
                <w:sz w:val="20"/>
                <w:szCs w:val="20"/>
                <w:color w:val="auto"/>
              </w:rPr>
            </w:pPr>
            <w:r>
              <w:rPr>
                <w:rFonts w:ascii="Times New Roman" w:cs="Times New Roman" w:eastAsia="Times New Roman" w:hAnsi="Times New Roman"/>
                <w:sz w:val="18"/>
                <w:szCs w:val="18"/>
                <w:color w:val="0000FF"/>
                <w:w w:val="97"/>
              </w:rPr>
              <w:t>Schedule I — Consolidated Summary of Investments — Other Than Investments in Related Parties</w:t>
            </w:r>
          </w:p>
        </w:tc>
        <w:tc>
          <w:tcPr>
            <w:tcW w:w="3040" w:type="dxa"/>
            <w:vAlign w:val="bottom"/>
          </w:tcPr>
          <w:p>
            <w:pPr>
              <w:spacing w:after="0"/>
              <w:rPr>
                <w:sz w:val="16"/>
                <w:szCs w:val="16"/>
                <w:color w:val="auto"/>
              </w:rPr>
            </w:pPr>
          </w:p>
        </w:tc>
        <w:tc>
          <w:tcPr>
            <w:tcW w:w="114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0000FF"/>
                <w:w w:val="96"/>
              </w:rPr>
              <w:t>198</w:t>
            </w:r>
          </w:p>
        </w:tc>
      </w:tr>
      <w:tr>
        <w:trPr>
          <w:trHeight w:val="20"/>
        </w:trPr>
        <w:tc>
          <w:tcPr>
            <w:tcW w:w="20" w:type="dxa"/>
            <w:vAlign w:val="bottom"/>
          </w:tcPr>
          <w:p>
            <w:pPr>
              <w:spacing w:after="0" w:line="20" w:lineRule="exact"/>
              <w:rPr>
                <w:sz w:val="1"/>
                <w:szCs w:val="1"/>
                <w:color w:val="auto"/>
              </w:rPr>
            </w:pPr>
          </w:p>
        </w:tc>
        <w:tc>
          <w:tcPr>
            <w:tcW w:w="3000" w:type="dxa"/>
            <w:vAlign w:val="bottom"/>
            <w:gridSpan w:val="16"/>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040" w:type="dxa"/>
            <w:vAlign w:val="bottom"/>
            <w:gridSpan w:val="26"/>
          </w:tcPr>
          <w:p>
            <w:pPr>
              <w:spacing w:after="0" w:line="205" w:lineRule="exact"/>
              <w:rPr>
                <w:sz w:val="20"/>
                <w:szCs w:val="20"/>
                <w:color w:val="auto"/>
              </w:rPr>
            </w:pPr>
            <w:r>
              <w:rPr>
                <w:rFonts w:ascii="Times New Roman" w:cs="Times New Roman" w:eastAsia="Times New Roman" w:hAnsi="Times New Roman"/>
                <w:sz w:val="18"/>
                <w:szCs w:val="18"/>
                <w:color w:val="0000FF"/>
              </w:rPr>
              <w:t>Schedule II — Condensed Financial Information (Parent Company Only)</w:t>
            </w:r>
          </w:p>
        </w:tc>
        <w:tc>
          <w:tcPr>
            <w:tcW w:w="3040" w:type="dxa"/>
            <w:vAlign w:val="bottom"/>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199</w:t>
            </w:r>
          </w:p>
        </w:tc>
      </w:tr>
      <w:tr>
        <w:trPr>
          <w:trHeight w:val="20"/>
        </w:trPr>
        <w:tc>
          <w:tcPr>
            <w:tcW w:w="20" w:type="dxa"/>
            <w:vAlign w:val="bottom"/>
          </w:tcPr>
          <w:p>
            <w:pPr>
              <w:spacing w:after="0" w:line="20" w:lineRule="exact"/>
              <w:rPr>
                <w:sz w:val="1"/>
                <w:szCs w:val="1"/>
                <w:color w:val="auto"/>
              </w:rPr>
            </w:pPr>
          </w:p>
        </w:tc>
        <w:tc>
          <w:tcPr>
            <w:tcW w:w="3000" w:type="dxa"/>
            <w:vAlign w:val="bottom"/>
            <w:gridSpan w:val="16"/>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5280" w:type="dxa"/>
            <w:vAlign w:val="bottom"/>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4800" w:type="dxa"/>
            <w:vAlign w:val="bottom"/>
            <w:gridSpan w:val="22"/>
          </w:tcPr>
          <w:p>
            <w:pPr>
              <w:spacing w:after="0" w:line="205" w:lineRule="exact"/>
              <w:rPr>
                <w:sz w:val="20"/>
                <w:szCs w:val="20"/>
                <w:color w:val="auto"/>
              </w:rPr>
            </w:pPr>
            <w:r>
              <w:rPr>
                <w:rFonts w:ascii="Times New Roman" w:cs="Times New Roman" w:eastAsia="Times New Roman" w:hAnsi="Times New Roman"/>
                <w:sz w:val="18"/>
                <w:szCs w:val="18"/>
                <w:color w:val="0000FF"/>
                <w:w w:val="97"/>
              </w:rPr>
              <w:t>Schedule III — Consolidated Supplementary Insurance Information</w:t>
            </w:r>
          </w:p>
        </w:tc>
        <w:tc>
          <w:tcPr>
            <w:tcW w:w="5280" w:type="dxa"/>
            <w:vAlign w:val="bottom"/>
            <w:gridSpan w:val="5"/>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204</w:t>
            </w:r>
          </w:p>
        </w:tc>
      </w:tr>
      <w:tr>
        <w:trPr>
          <w:trHeight w:val="20"/>
        </w:trPr>
        <w:tc>
          <w:tcPr>
            <w:tcW w:w="20" w:type="dxa"/>
            <w:vAlign w:val="bottom"/>
          </w:tcPr>
          <w:p>
            <w:pPr>
              <w:spacing w:after="0" w:line="20" w:lineRule="exact"/>
              <w:rPr>
                <w:sz w:val="1"/>
                <w:szCs w:val="1"/>
                <w:color w:val="auto"/>
              </w:rPr>
            </w:pPr>
          </w:p>
        </w:tc>
        <w:tc>
          <w:tcPr>
            <w:tcW w:w="3000" w:type="dxa"/>
            <w:vAlign w:val="bottom"/>
            <w:gridSpan w:val="16"/>
            <w:shd w:val="clear" w:color="auto" w:fill="0000FF"/>
          </w:tcPr>
          <w:p>
            <w:pPr>
              <w:spacing w:after="0" w:line="20" w:lineRule="exact"/>
              <w:rPr>
                <w:sz w:val="1"/>
                <w:szCs w:val="1"/>
                <w:color w:val="auto"/>
              </w:rPr>
            </w:pPr>
          </w:p>
        </w:tc>
        <w:tc>
          <w:tcPr>
            <w:tcW w:w="1800" w:type="dxa"/>
            <w:vAlign w:val="bottom"/>
            <w:gridSpan w:val="6"/>
            <w:shd w:val="clear" w:color="auto" w:fill="0000FF"/>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00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Schedule IV — Consolidated Reinsurance</w:t>
            </w:r>
          </w:p>
        </w:tc>
        <w:tc>
          <w:tcPr>
            <w:tcW w:w="1800" w:type="dxa"/>
            <w:vAlign w:val="bottom"/>
            <w:gridSpan w:val="6"/>
          </w:tcPr>
          <w:p>
            <w:pPr>
              <w:spacing w:after="0"/>
              <w:rPr>
                <w:sz w:val="17"/>
                <w:szCs w:val="17"/>
                <w:color w:val="auto"/>
              </w:rPr>
            </w:pPr>
          </w:p>
        </w:tc>
        <w:tc>
          <w:tcPr>
            <w:tcW w:w="5280" w:type="dxa"/>
            <w:vAlign w:val="bottom"/>
            <w:gridSpan w:val="5"/>
          </w:tcPr>
          <w:p>
            <w:pPr>
              <w:spacing w:after="0"/>
              <w:rPr>
                <w:sz w:val="17"/>
                <w:szCs w:val="17"/>
                <w:color w:val="auto"/>
              </w:rPr>
            </w:pPr>
          </w:p>
        </w:tc>
        <w:tc>
          <w:tcPr>
            <w:tcW w:w="1140" w:type="dxa"/>
            <w:vAlign w:val="bottom"/>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96"/>
              </w:rPr>
              <w:t>206</w:t>
            </w:r>
          </w:p>
        </w:tc>
      </w:tr>
      <w:tr>
        <w:trPr>
          <w:trHeight w:val="20"/>
        </w:trPr>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Brighthouse Financial,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Brighthouse Financial, Inc. and subsidiaries (the “Company”) as of December 31, 2025 and 2024, the related consolidated statements of operations, comprehensive income (loss), equity, and cash flows for each of the three years in the period ended December 31, 2025, and the related notes and the schedules listed in the Index to Consolidated Financial Statements, Notes and Schedules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Integrated Framework (2013)</w:t>
      </w:r>
      <w:r>
        <w:rPr>
          <w:rFonts w:ascii="Times New Roman" w:cs="Times New Roman" w:eastAsia="Times New Roman" w:hAnsi="Times New Roman"/>
          <w:sz w:val="17"/>
          <w:szCs w:val="17"/>
          <w:color w:val="auto"/>
        </w:rPr>
        <w:t xml:space="preserve"> issued by</w:t>
      </w:r>
    </w:p>
    <w:p>
      <w:pPr>
        <w:jc w:val="both"/>
        <w:ind w:right="20"/>
        <w:spacing w:after="0"/>
        <w:rPr>
          <w:sz w:val="20"/>
          <w:szCs w:val="20"/>
          <w:color w:val="auto"/>
        </w:rPr>
      </w:pPr>
      <w:r>
        <w:rPr>
          <w:rFonts w:ascii="Times New Roman" w:cs="Times New Roman" w:eastAsia="Times New Roman" w:hAnsi="Times New Roman"/>
          <w:sz w:val="18"/>
          <w:szCs w:val="18"/>
          <w:color w:val="auto"/>
        </w:rPr>
        <w:t>the Committee of Sponsoring Organizations of the Treadway Commission and our report dated February 24, 2026, expressed an unqualified opinion on the Company’s internal control over financial reporting.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Certain Assumptions Used in the Valuation of Liability for Future Policy Benefits </w:t>
      </w:r>
      <w:r>
        <w:rPr>
          <w:rFonts w:ascii="Times New Roman" w:cs="Times New Roman" w:eastAsia="Times New Roman" w:hAnsi="Times New Roman"/>
          <w:sz w:val="21"/>
          <w:szCs w:val="21"/>
          <w:b w:val="1"/>
          <w:bCs w:val="1"/>
          <w:i w:val="1"/>
          <w:iCs w:val="1"/>
          <w:color w:val="auto"/>
        </w:rPr>
        <w:t>–</w:t>
      </w:r>
      <w:r>
        <w:rPr>
          <w:rFonts w:ascii="Times New Roman" w:cs="Times New Roman" w:eastAsia="Times New Roman" w:hAnsi="Times New Roman"/>
          <w:sz w:val="18"/>
          <w:szCs w:val="18"/>
          <w:b w:val="1"/>
          <w:bCs w:val="1"/>
          <w:i w:val="1"/>
          <w:iCs w:val="1"/>
          <w:color w:val="auto"/>
        </w:rPr>
        <w:t xml:space="preserve"> Refer to Notes 1 and 3 to the financial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has obligations under insurance contracts to pay benefits over an extended period of time. The Company establishes a liability for future policy benefits (“LFPB”) for nonparticipating traditional and limited-payment contracts and the additional insurance liabilities for universal life-type contracts with secondary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Management regularly reviews its cash flow assumptions supporting the estimates of these actuarial liabilities and, if such assumptions change significantly, the associated liability is adjusted. The measurement of LFPBs can be significantly impacted by changes in economic assumptions related to market interest rates and the general account rate of return and changes in assumptions for policyholder behavior including premium persistency, mortality, lapses and withdrawals.</w:t>
      </w:r>
    </w:p>
    <w:p>
      <w:pPr>
        <w:spacing w:after="0" w:line="20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Given the future policy benefit obligation for certain contracts is sensitive to changes in these economic and policyholder behavior assumptions and the significant uncertainty inherent in estimating these actuarial liabilities, we identified management’s evaluation of these assumptions in the valuation of certain LFPBs as a critical audit matter. This required a high degree of auditor judgment and an increased extent of effort, including the involvement of our actuarial specialists.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these assumptions in the valuation of certain LFPBs included the following, among others:</w:t>
      </w:r>
    </w:p>
    <w:p>
      <w:pPr>
        <w:spacing w:after="0" w:line="111" w:lineRule="exact"/>
        <w:rPr>
          <w:sz w:val="20"/>
          <w:szCs w:val="20"/>
          <w:color w:val="auto"/>
        </w:rPr>
      </w:pPr>
    </w:p>
    <w:p>
      <w:pPr>
        <w:ind w:left="640" w:hanging="316"/>
        <w:spacing w:after="0" w:line="274"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management’s controls over the assumption review process, including those over the selection of the significant economic and policyholder behavior assumptions.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actuarial specialists, we evaluated the appropriateness of the significant assumptions used, developed an independent estimate of the LFPBs for a sample of policies and cohorts, and compared our estimates to management’s estimates.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completeness and accuracy of the underlying data that served as the basis for the actuarial analysis to test that the inputs to the actuarial estimate were reasonable.</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methods and significant assumptions used by management to identify potential bias.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significant assumptions used were consistent with evidence obtained in other areas of the audit.</w:t>
      </w:r>
    </w:p>
    <w:p>
      <w:pPr>
        <w:spacing w:after="0" w:line="240" w:lineRule="exact"/>
        <w:rPr>
          <w:sz w:val="20"/>
          <w:szCs w:val="20"/>
          <w:color w:val="auto"/>
        </w:rPr>
      </w:pPr>
    </w:p>
    <w:p>
      <w:pPr>
        <w:ind w:right="224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Assumptions Used in the Valuation of Market Risk Benefits – Refer to Notes 1, 4, and 10 to the financial statements </w:t>
      </w:r>
      <w:r>
        <w:rPr>
          <w:rFonts w:ascii="Times New Roman" w:cs="Times New Roman" w:eastAsia="Times New Roman" w:hAnsi="Times New Roman"/>
          <w:sz w:val="18"/>
          <w:szCs w:val="18"/>
          <w:i w:val="1"/>
          <w:iCs w:val="1"/>
          <w:color w:val="auto"/>
        </w:rPr>
        <w:t>Critical Audit Matter Description</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Market risk benefits are measured at fair value and separately presented on the consolidated balance sheet. The Company estimates market risk benefit assets and liabilities using significant judgment including discount rate assumptions, nonperformance risk, and actuarially determined assumptions including policyholder behavior, mortality and risk margins.</w:t>
      </w:r>
    </w:p>
    <w:p>
      <w:pPr>
        <w:spacing w:after="0" w:line="2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Given the sensitivity of certain market risk benefits to changes in these assumptions and the significant uncertainty inherent in estimating the market risk benefits, we identified management’s evaluation of these assumptions in the valuation of certain market risk benefits as a critical audit matter. This required a high degree of auditor judgment and an increased extent of effort, including the involvement of our actuarial and fair value specialists.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these assumptions in the valuation of certain market risk benefits included the following, among others:</w:t>
      </w:r>
    </w:p>
    <w:p>
      <w:pPr>
        <w:spacing w:after="0" w:line="217" w:lineRule="exact"/>
        <w:rPr>
          <w:sz w:val="20"/>
          <w:szCs w:val="20"/>
          <w:color w:val="auto"/>
        </w:rPr>
      </w:pPr>
    </w:p>
    <w:p>
      <w:pPr>
        <w:ind w:left="640" w:hanging="316"/>
        <w:spacing w:after="0" w:line="257" w:lineRule="auto"/>
        <w:tabs>
          <w:tab w:leader="none" w:pos="635" w:val="left"/>
        </w:tabs>
        <w:numPr>
          <w:ilvl w:val="0"/>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effectiveness of management’s controls over the assumption review process, including those over the selection of the significant assumptions related to policyholder behavior, mortality and risk margins, as well as changes in nonperformance risk.</w:t>
      </w:r>
    </w:p>
    <w:p>
      <w:pPr>
        <w:spacing w:after="0" w:line="191" w:lineRule="exact"/>
        <w:rPr>
          <w:rFonts w:ascii="Arial" w:cs="Arial" w:eastAsia="Arial" w:hAnsi="Arial"/>
          <w:sz w:val="18"/>
          <w:szCs w:val="18"/>
          <w:color w:val="auto"/>
        </w:rPr>
      </w:pPr>
    </w:p>
    <w:p>
      <w:pPr>
        <w:ind w:left="640" w:hanging="316"/>
        <w:spacing w:after="0" w:line="257" w:lineRule="auto"/>
        <w:tabs>
          <w:tab w:leader="none" w:pos="635" w:val="left"/>
        </w:tabs>
        <w:numPr>
          <w:ilvl w:val="0"/>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With the assistance of our actuarial specialists, we evaluated the appropriateness of the significant assumptions used, developed an independent estimate of the market risk benefits for a sample of policies, and compared our estimates to management’s estimates.</w:t>
      </w:r>
    </w:p>
    <w:p>
      <w:pPr>
        <w:spacing w:after="0" w:line="191" w:lineRule="exact"/>
        <w:rPr>
          <w:rFonts w:ascii="Arial" w:cs="Arial" w:eastAsia="Arial" w:hAnsi="Arial"/>
          <w:sz w:val="18"/>
          <w:szCs w:val="18"/>
          <w:color w:val="auto"/>
        </w:rPr>
      </w:pPr>
    </w:p>
    <w:p>
      <w:pPr>
        <w:ind w:left="640" w:hanging="316"/>
        <w:spacing w:after="0" w:line="257" w:lineRule="auto"/>
        <w:tabs>
          <w:tab w:leader="none" w:pos="635" w:val="left"/>
        </w:tabs>
        <w:numPr>
          <w:ilvl w:val="0"/>
          <w:numId w:val="59"/>
        </w:numPr>
        <w:rPr>
          <w:rFonts w:ascii="Arial" w:cs="Arial" w:eastAsia="Arial" w:hAnsi="Arial"/>
          <w:sz w:val="18"/>
          <w:szCs w:val="18"/>
          <w:color w:val="auto"/>
        </w:rPr>
      </w:pPr>
      <w:r>
        <w:rPr>
          <w:rFonts w:ascii="Times New Roman" w:cs="Times New Roman" w:eastAsia="Times New Roman" w:hAnsi="Times New Roman"/>
          <w:sz w:val="18"/>
          <w:szCs w:val="18"/>
          <w:color w:val="auto"/>
        </w:rPr>
        <w:t>We tested the completeness and accuracy of the underlying data that served as the basis for the actuarial analysis to test that the inputs to the actuarial estimate were reasonable.</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640" w:hanging="316"/>
        <w:spacing w:after="0" w:line="257" w:lineRule="auto"/>
        <w:tabs>
          <w:tab w:leader="none" w:pos="635" w:val="left"/>
        </w:tabs>
        <w:numPr>
          <w:ilvl w:val="0"/>
          <w:numId w:val="60"/>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the reasonableness of the Company’s assumptions by comparing those selected by management to those independently derived by our fair value and actuarial specialists, drawing upon standard actuarial and industry practice.</w:t>
      </w:r>
    </w:p>
    <w:p>
      <w:pPr>
        <w:spacing w:after="0" w:line="191"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the methods and assumptions used by management to identify potential bias in the determination of the market risk benefits.</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Times New Roman" w:cs="Times New Roman" w:eastAsia="Times New Roman" w:hAnsi="Times New Roman"/>
          <w:sz w:val="18"/>
          <w:szCs w:val="18"/>
          <w:color w:val="auto"/>
        </w:rPr>
        <w:t>We evaluated whether the assumptions used were consistent with evidence obtained in other areas of the audit.</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4" w:name="page125"/>
    <w:bookmarkEnd w:id="12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8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 available-for-sale, at estimated fair value (amortized cost: $87,046 and $87,603, respectively; allowance for credit losses of</w:t>
            </w: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$64 and $81, respectively)</w:t>
            </w:r>
          </w:p>
        </w:tc>
        <w:tc>
          <w:tcPr>
            <w:tcW w:w="3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82,014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80,055</w:t>
            </w:r>
          </w:p>
        </w:tc>
        <w:tc>
          <w:tcPr>
            <w:tcW w:w="0" w:type="dxa"/>
            <w:vAlign w:val="bottom"/>
          </w:tcPr>
          <w:p>
            <w:pPr>
              <w:spacing w:after="0"/>
              <w:rPr>
                <w:sz w:val="1"/>
                <w:szCs w:val="1"/>
                <w:color w:val="auto"/>
              </w:rPr>
            </w:pPr>
          </w:p>
        </w:tc>
      </w:tr>
      <w:tr>
        <w:trPr>
          <w:trHeight w:val="191"/>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 at estimated fair value</w:t>
            </w:r>
          </w:p>
        </w:tc>
        <w:tc>
          <w:tcPr>
            <w:tcW w:w="3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25"/>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at estimated fair value</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413"/>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 (net of allowance for credit losses of $200 and $178, respectively)</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22,755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23,286</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1,450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0" w:type="dxa"/>
            <w:vAlign w:val="bottom"/>
          </w:tcPr>
          <w:p>
            <w:pPr>
              <w:spacing w:after="0"/>
              <w:rPr>
                <w:sz w:val="1"/>
                <w:szCs w:val="1"/>
                <w:color w:val="auto"/>
              </w:rPr>
            </w:pPr>
          </w:p>
        </w:tc>
      </w:tr>
      <w:tr>
        <w:trPr>
          <w:trHeight w:val="40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4,696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principally at estimated fair value</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0" w:type="dxa"/>
            <w:vAlign w:val="bottom"/>
          </w:tcPr>
          <w:p>
            <w:pPr>
              <w:spacing w:after="0"/>
              <w:rPr>
                <w:sz w:val="1"/>
                <w:szCs w:val="1"/>
                <w:color w:val="auto"/>
              </w:rPr>
            </w:pPr>
          </w:p>
        </w:tc>
      </w:tr>
      <w:tr>
        <w:trPr>
          <w:trHeight w:val="40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invested assets, principally at estimated fair value (net of allowance for credit losses of $0 and $0, respectively)</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7,932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5,250</w:t>
            </w:r>
          </w:p>
        </w:tc>
        <w:tc>
          <w:tcPr>
            <w:tcW w:w="0" w:type="dxa"/>
            <w:vAlign w:val="bottom"/>
          </w:tcPr>
          <w:p>
            <w:pPr>
              <w:spacing w:after="0"/>
              <w:rPr>
                <w:sz w:val="1"/>
                <w:szCs w:val="1"/>
                <w:color w:val="auto"/>
              </w:rPr>
            </w:pPr>
          </w:p>
        </w:tc>
      </w:tr>
      <w:tr>
        <w:trPr>
          <w:trHeight w:val="38"/>
        </w:trPr>
        <w:tc>
          <w:tcPr>
            <w:tcW w:w="8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0"/>
        </w:trPr>
        <w:tc>
          <w:tcPr>
            <w:tcW w:w="8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investments</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120,629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117,387</w:t>
            </w:r>
          </w:p>
        </w:tc>
        <w:tc>
          <w:tcPr>
            <w:tcW w:w="0" w:type="dxa"/>
            <w:vAlign w:val="bottom"/>
          </w:tcPr>
          <w:p>
            <w:pPr>
              <w:spacing w:after="0"/>
              <w:rPr>
                <w:sz w:val="1"/>
                <w:szCs w:val="1"/>
                <w:color w:val="auto"/>
              </w:rPr>
            </w:pPr>
          </w:p>
        </w:tc>
      </w:tr>
      <w:tr>
        <w:trPr>
          <w:trHeight w:val="413"/>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5,387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5,045</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1,260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0" w:type="dxa"/>
            <w:vAlign w:val="bottom"/>
          </w:tcPr>
          <w:p>
            <w:pPr>
              <w:spacing w:after="0"/>
              <w:rPr>
                <w:sz w:val="1"/>
                <w:szCs w:val="1"/>
                <w:color w:val="auto"/>
              </w:rPr>
            </w:pPr>
          </w:p>
        </w:tc>
      </w:tr>
      <w:tr>
        <w:trPr>
          <w:trHeight w:val="413"/>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reinsurance and other receivables (net of allowance for credit losses of $3 and $3, respectively)</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21,579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21,126</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policy acquisition costs and value of business acquired</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4,567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4,710</w:t>
            </w:r>
          </w:p>
        </w:tc>
        <w:tc>
          <w:tcPr>
            <w:tcW w:w="0" w:type="dxa"/>
            <w:vAlign w:val="bottom"/>
          </w:tcPr>
          <w:p>
            <w:pPr>
              <w:spacing w:after="0"/>
              <w:rPr>
                <w:sz w:val="1"/>
                <w:szCs w:val="1"/>
                <w:color w:val="auto"/>
              </w:rPr>
            </w:pPr>
          </w:p>
        </w:tc>
      </w:tr>
      <w:tr>
        <w:trPr>
          <w:trHeight w:val="413"/>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 recoverable</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1,442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w:t>
            </w:r>
          </w:p>
        </w:tc>
        <w:tc>
          <w:tcPr>
            <w:tcW w:w="0" w:type="dxa"/>
            <w:vAlign w:val="bottom"/>
          </w:tcPr>
          <w:p>
            <w:pPr>
              <w:spacing w:after="0"/>
              <w:rPr>
                <w:sz w:val="1"/>
                <w:szCs w:val="1"/>
                <w:color w:val="auto"/>
              </w:rPr>
            </w:pPr>
          </w:p>
        </w:tc>
      </w:tr>
      <w:tr>
        <w:trPr>
          <w:trHeight w:val="413"/>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40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85,528</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85,636</w:t>
            </w:r>
          </w:p>
        </w:tc>
        <w:tc>
          <w:tcPr>
            <w:tcW w:w="0" w:type="dxa"/>
            <w:vAlign w:val="bottom"/>
          </w:tcPr>
          <w:p>
            <w:pPr>
              <w:spacing w:after="0"/>
              <w:rPr>
                <w:sz w:val="1"/>
                <w:szCs w:val="1"/>
                <w:color w:val="auto"/>
              </w:rPr>
            </w:pPr>
          </w:p>
        </w:tc>
      </w:tr>
      <w:tr>
        <w:trPr>
          <w:trHeight w:val="38"/>
        </w:trPr>
        <w:tc>
          <w:tcPr>
            <w:tcW w:w="8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0"/>
        </w:trPr>
        <w:tc>
          <w:tcPr>
            <w:tcW w:w="8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assets</w:t>
            </w:r>
          </w:p>
        </w:tc>
        <w:tc>
          <w:tcPr>
            <w:tcW w:w="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241,800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238,537</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8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32,025</w:t>
            </w:r>
          </w:p>
        </w:tc>
        <w:tc>
          <w:tcPr>
            <w:tcW w:w="100" w:type="dxa"/>
            <w:vAlign w:val="bottom"/>
          </w:tcPr>
          <w:p>
            <w:pPr>
              <w:spacing w:after="0"/>
              <w:rPr>
                <w:sz w:val="24"/>
                <w:szCs w:val="24"/>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31,475</w:t>
            </w:r>
          </w:p>
        </w:tc>
        <w:tc>
          <w:tcPr>
            <w:tcW w:w="0" w:type="dxa"/>
            <w:vAlign w:val="bottom"/>
          </w:tcPr>
          <w:p>
            <w:pPr>
              <w:spacing w:after="0"/>
              <w:rPr>
                <w:sz w:val="1"/>
                <w:szCs w:val="1"/>
                <w:color w:val="auto"/>
              </w:rPr>
            </w:pPr>
          </w:p>
        </w:tc>
      </w:tr>
      <w:tr>
        <w:trPr>
          <w:trHeight w:val="37"/>
        </w:trPr>
        <w:tc>
          <w:tcPr>
            <w:tcW w:w="8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87,952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87,989</w:t>
            </w:r>
          </w:p>
        </w:tc>
        <w:tc>
          <w:tcPr>
            <w:tcW w:w="0" w:type="dxa"/>
            <w:vAlign w:val="bottom"/>
          </w:tcPr>
          <w:p>
            <w:pPr>
              <w:spacing w:after="0"/>
              <w:rPr>
                <w:sz w:val="1"/>
                <w:szCs w:val="1"/>
                <w:color w:val="auto"/>
              </w:rPr>
            </w:pPr>
          </w:p>
        </w:tc>
      </w:tr>
      <w:tr>
        <w:trPr>
          <w:trHeight w:val="413"/>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8,063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8,329</w:t>
            </w:r>
          </w:p>
        </w:tc>
        <w:tc>
          <w:tcPr>
            <w:tcW w:w="0" w:type="dxa"/>
            <w:vAlign w:val="bottom"/>
          </w:tcPr>
          <w:p>
            <w:pPr>
              <w:spacing w:after="0"/>
              <w:rPr>
                <w:sz w:val="1"/>
                <w:szCs w:val="1"/>
                <w:color w:val="auto"/>
              </w:rPr>
            </w:pPr>
          </w:p>
        </w:tc>
      </w:tr>
      <w:tr>
        <w:trPr>
          <w:trHeight w:val="24"/>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policy-related balances</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3,893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0" w:type="dxa"/>
            <w:vAlign w:val="bottom"/>
          </w:tcPr>
          <w:p>
            <w:pPr>
              <w:spacing w:after="0"/>
              <w:rPr>
                <w:sz w:val="1"/>
                <w:szCs w:val="1"/>
                <w:color w:val="auto"/>
              </w:rPr>
            </w:pPr>
          </w:p>
        </w:tc>
      </w:tr>
      <w:tr>
        <w:trPr>
          <w:trHeight w:val="40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for collateral under securities loaned and other transactions</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4,705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3,891</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3,155</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0" w:type="dxa"/>
            <w:vAlign w:val="bottom"/>
          </w:tcPr>
          <w:p>
            <w:pPr>
              <w:spacing w:after="0"/>
              <w:rPr>
                <w:sz w:val="1"/>
                <w:szCs w:val="1"/>
                <w:color w:val="auto"/>
              </w:rPr>
            </w:pPr>
          </w:p>
        </w:tc>
      </w:tr>
      <w:tr>
        <w:trPr>
          <w:trHeight w:val="40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00" w:type="dxa"/>
            <w:vAlign w:val="bottom"/>
          </w:tcPr>
          <w:p>
            <w:pPr>
              <w:spacing w:after="0"/>
              <w:rPr>
                <w:sz w:val="24"/>
                <w:szCs w:val="24"/>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9,646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9,160</w:t>
            </w:r>
          </w:p>
        </w:tc>
        <w:tc>
          <w:tcPr>
            <w:tcW w:w="0" w:type="dxa"/>
            <w:vAlign w:val="bottom"/>
          </w:tcPr>
          <w:p>
            <w:pPr>
              <w:spacing w:after="0"/>
              <w:rPr>
                <w:sz w:val="1"/>
                <w:szCs w:val="1"/>
                <w:color w:val="auto"/>
              </w:rPr>
            </w:pPr>
          </w:p>
        </w:tc>
      </w:tr>
      <w:tr>
        <w:trPr>
          <w:trHeight w:val="38"/>
        </w:trPr>
        <w:tc>
          <w:tcPr>
            <w:tcW w:w="8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liabilities</w:t>
            </w: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85,528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85,636</w:t>
            </w:r>
          </w:p>
        </w:tc>
        <w:tc>
          <w:tcPr>
            <w:tcW w:w="0" w:type="dxa"/>
            <w:vAlign w:val="bottom"/>
          </w:tcPr>
          <w:p>
            <w:pPr>
              <w:spacing w:after="0"/>
              <w:rPr>
                <w:sz w:val="1"/>
                <w:szCs w:val="1"/>
                <w:color w:val="auto"/>
              </w:rPr>
            </w:pPr>
          </w:p>
        </w:tc>
      </w:tr>
      <w:tr>
        <w:trPr>
          <w:trHeight w:val="393"/>
        </w:trPr>
        <w:tc>
          <w:tcPr>
            <w:tcW w:w="8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liabilities</w:t>
            </w: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234,967</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233,513</w:t>
            </w:r>
          </w:p>
        </w:tc>
        <w:tc>
          <w:tcPr>
            <w:tcW w:w="0" w:type="dxa"/>
            <w:vAlign w:val="bottom"/>
          </w:tcPr>
          <w:p>
            <w:pPr>
              <w:spacing w:after="0"/>
              <w:rPr>
                <w:sz w:val="1"/>
                <w:szCs w:val="1"/>
                <w:color w:val="auto"/>
              </w:rPr>
            </w:pPr>
          </w:p>
        </w:tc>
      </w:tr>
      <w:tr>
        <w:trPr>
          <w:trHeight w:val="38"/>
        </w:trPr>
        <w:tc>
          <w:tcPr>
            <w:tcW w:w="8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86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278" w:right="339" w:bottom="0" w:gutter="0" w:footer="0" w:header="0"/>
        </w:sectPr>
      </w:pPr>
    </w:p>
    <w:bookmarkStart w:id="125" w:name="page126"/>
    <w:bookmarkEnd w:id="125"/>
    <w:p>
      <w:pPr>
        <w:ind w:left="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1936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193675"/>
                    </a:xfrm>
                    <a:prstGeom prst="rect">
                      <a:avLst/>
                    </a:prstGeom>
                    <a:noFill/>
                  </pic:spPr>
                </pic:pic>
              </a:graphicData>
            </a:graphic>
          </wp:anchor>
        </w:drawing>
        <w:t>Contingencies, Commitments and Guarantees (Note 17)</w:t>
      </w:r>
    </w:p>
    <w:p>
      <w:pPr>
        <w:spacing w:after="0" w:line="2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7134860" cy="277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Brighthouse Financial, Inc.’s stockholders’ equity:</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par value $0.01 per share; $1,753 aggregate liquidation preference</w:t>
            </w:r>
          </w:p>
        </w:tc>
        <w:tc>
          <w:tcPr>
            <w:tcW w:w="42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8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38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par value $0.01 per share; 1,000,000,000 shares authorized; 124,081,967 and 123,480,326 shares issued, respectively; 57,171,217 and</w:t>
            </w: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r>
      <w:tr>
        <w:trPr>
          <w:trHeight w:val="201"/>
        </w:trPr>
        <w:tc>
          <w:tcPr>
            <w:tcW w:w="8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58,629,049 shares outstanding, respectively</w:t>
            </w:r>
          </w:p>
        </w:tc>
        <w:tc>
          <w:tcPr>
            <w:tcW w:w="4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400"/>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420" w:type="dxa"/>
            <w:vAlign w:val="bottom"/>
          </w:tcPr>
          <w:p>
            <w:pPr>
              <w:spacing w:after="0"/>
              <w:rPr>
                <w:sz w:val="24"/>
                <w:szCs w:val="24"/>
                <w:color w:val="auto"/>
              </w:rPr>
            </w:pPr>
          </w:p>
        </w:tc>
        <w:tc>
          <w:tcPr>
            <w:tcW w:w="8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13,870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13,927</w:t>
            </w:r>
          </w:p>
        </w:tc>
      </w:tr>
      <w:tr>
        <w:trPr>
          <w:trHeight w:val="38"/>
        </w:trPr>
        <w:tc>
          <w:tcPr>
            <w:tcW w:w="8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41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 (deficit)</w:t>
            </w: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r>
      <w:tr>
        <w:trPr>
          <w:trHeight w:val="413"/>
        </w:trPr>
        <w:tc>
          <w:tcPr>
            <w:tcW w:w="8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at cost; 66,910,750 and 64,851,277 shares, respectively</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(2,572)</w:t>
            </w:r>
          </w:p>
        </w:tc>
      </w:tr>
      <w:tr>
        <w:trPr>
          <w:trHeight w:val="24"/>
        </w:trPr>
        <w:tc>
          <w:tcPr>
            <w:tcW w:w="8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43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w:t>
            </w:r>
          </w:p>
        </w:tc>
      </w:tr>
      <w:tr>
        <w:trPr>
          <w:trHeight w:val="393"/>
        </w:trPr>
        <w:tc>
          <w:tcPr>
            <w:tcW w:w="8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Brighthouse Financial, Inc.’s stockholders’ equity</w:t>
            </w: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6,768</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4,959</w:t>
            </w:r>
          </w:p>
        </w:tc>
      </w:tr>
      <w:tr>
        <w:trPr>
          <w:trHeight w:val="38"/>
        </w:trPr>
        <w:tc>
          <w:tcPr>
            <w:tcW w:w="8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43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4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393"/>
        </w:trPr>
        <w:tc>
          <w:tcPr>
            <w:tcW w:w="86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equity</w:t>
            </w:r>
          </w:p>
        </w:tc>
        <w:tc>
          <w:tcPr>
            <w:tcW w:w="4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6,833</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5,024</w:t>
            </w:r>
          </w:p>
        </w:tc>
      </w:tr>
      <w:tr>
        <w:trPr>
          <w:trHeight w:val="38"/>
        </w:trPr>
        <w:tc>
          <w:tcPr>
            <w:tcW w:w="864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450"/>
        </w:trPr>
        <w:tc>
          <w:tcPr>
            <w:tcW w:w="8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42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241,800</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238,537</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1" w:right="339" w:bottom="1440" w:gutter="0" w:footer="0" w:header="0"/>
        </w:sectPr>
      </w:pPr>
    </w:p>
    <w:bookmarkStart w:id="126" w:name="page127"/>
    <w:bookmarkEnd w:id="126"/>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43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2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5,244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4,664</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4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(3,907)</w:t>
            </w:r>
          </w:p>
        </w:tc>
      </w:tr>
      <w:tr>
        <w:trPr>
          <w:trHeight w:val="444"/>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6,766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4,117</w:t>
            </w:r>
          </w:p>
        </w:tc>
      </w:tr>
      <w:tr>
        <w:trPr>
          <w:trHeight w:val="43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($273), ($978), ($234), respectively)</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w:t>
            </w: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policy acquisition costs and value of business acquired</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r>
      <w:tr>
        <w:trPr>
          <w:trHeight w:val="44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r>
      <w:tr>
        <w:trPr>
          <w:trHeight w:val="45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6,292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5,591</w:t>
            </w:r>
          </w:p>
        </w:tc>
      </w:tr>
      <w:tr>
        <w:trPr>
          <w:trHeight w:val="435"/>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(1,474)</w:t>
            </w:r>
          </w:p>
        </w:tc>
      </w:tr>
      <w:tr>
        <w:trPr>
          <w:trHeight w:val="4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4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45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450"/>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0"/>
        </w:trPr>
        <w:tc>
          <w:tcPr>
            <w:tcW w:w="8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1"/>
        </w:trPr>
        <w:tc>
          <w:tcPr>
            <w:tcW w:w="8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5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8"/>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64"/>
        </w:trPr>
        <w:tc>
          <w:tcPr>
            <w:tcW w:w="8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ectPr>
          <w:pgSz w:w="11900" w:h="16841" w:orient="portrait"/>
          <w:cols w:equalWidth="0" w:num="1">
            <w:col w:w="11240"/>
          </w:cols>
          <w:pgMar w:left="320" w:top="27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115</w:t>
      </w:r>
    </w:p>
    <w:p>
      <w:pPr>
        <w:sectPr>
          <w:pgSz w:w="11900" w:h="16841" w:orient="portrait"/>
          <w:cols w:equalWidth="0" w:num="1">
            <w:col w:w="11240"/>
          </w:cols>
          <w:pgMar w:left="320" w:top="278" w:right="339" w:bottom="0" w:gutter="0" w:footer="0" w:header="0"/>
          <w:type w:val="continuous"/>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92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2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444"/>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net of related offsets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2,050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gains (losses) on derivatives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instrument-specific credit risk on market risk benefits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discount rates on the liability for future policy benefits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44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Defined benefit plans adjustment</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5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before income tax</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w:t>
            </w:r>
          </w:p>
        </w:tc>
      </w:tr>
      <w:tr>
        <w:trPr>
          <w:trHeight w:val="44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 benefit related to items of other comprehensive income (loss)</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r>
      <w:tr>
        <w:trPr>
          <w:trHeight w:val="451"/>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 net of income tax</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w:t>
            </w:r>
          </w:p>
        </w:tc>
      </w:tr>
      <w:tr>
        <w:trPr>
          <w:trHeight w:val="435"/>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1,987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 net of income tax</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37"/>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Comprehensive income (loss) attributable to Brighthouse Financial, Inc.</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7"/>
        </w:trPr>
        <w:tc>
          <w:tcPr>
            <w:tcW w:w="80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Brighthouse</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46"/>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Retained</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2"/>
                <w:szCs w:val="12"/>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Financial, Inc.’s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3"/>
        </w:trPr>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20" w:type="dxa"/>
            <w:vAlign w:val="bottom"/>
          </w:tcPr>
          <w:p>
            <w:pPr>
              <w:spacing w:after="0"/>
              <w:rPr>
                <w:sz w:val="11"/>
                <w:szCs w:val="11"/>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Common</w:t>
            </w: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40" w:type="dxa"/>
            <w:vAlign w:val="bottom"/>
          </w:tcPr>
          <w:p>
            <w:pPr>
              <w:spacing w:after="0"/>
              <w:rPr>
                <w:sz w:val="11"/>
                <w:szCs w:val="11"/>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60" w:type="dxa"/>
            <w:vAlign w:val="bottom"/>
          </w:tcPr>
          <w:p>
            <w:pPr>
              <w:spacing w:after="0"/>
              <w:rPr>
                <w:sz w:val="11"/>
                <w:szCs w:val="11"/>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1"/>
                <w:szCs w:val="11"/>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1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Noncontrolling</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76"/>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1"/>
                <w:szCs w:val="11"/>
                <w:b w:val="1"/>
                <w:bCs w:val="1"/>
                <w:color w:val="auto"/>
              </w:rPr>
              <w:t>Stock</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1"/>
                <w:szCs w:val="11"/>
                <w:b w:val="1"/>
                <w:bCs w:val="1"/>
                <w:color w:val="auto"/>
              </w:rPr>
              <w:t>at Cost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1"/>
                <w:szCs w:val="11"/>
                <w:b w:val="1"/>
                <w:bCs w:val="1"/>
                <w:color w:val="auto"/>
              </w:rPr>
              <w:t>Income (Loss)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 Equity</w:t>
            </w:r>
          </w:p>
        </w:tc>
      </w:tr>
      <w:tr>
        <w:trPr>
          <w:trHeight w:val="41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(6,106)</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5,598</w:t>
            </w:r>
          </w:p>
        </w:tc>
      </w:tr>
      <w:tr>
        <w:trPr>
          <w:trHeight w:val="388"/>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Treasury stock acquired in</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4"/>
        </w:trPr>
        <w:tc>
          <w:tcPr>
            <w:tcW w:w="2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connection with share repurchases</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38"/>
        </w:trPr>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37"/>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40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38"/>
        </w:trPr>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17"/>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40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r>
      <w:tr>
        <w:trPr>
          <w:trHeight w:val="38"/>
        </w:trPr>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388"/>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21"/>
        </w:trPr>
        <w:tc>
          <w:tcPr>
            <w:tcW w:w="2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of income tax</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r>
      <w:tr>
        <w:trPr>
          <w:trHeight w:val="393"/>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14,004</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5,008</w:t>
            </w:r>
          </w:p>
        </w:tc>
      </w:tr>
      <w:tr>
        <w:trPr>
          <w:trHeight w:val="38"/>
        </w:trPr>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388"/>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Treasury stock acquired in</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01"/>
        </w:trPr>
        <w:tc>
          <w:tcPr>
            <w:tcW w:w="2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connection with share repurchases</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r>
      <w:tr>
        <w:trPr>
          <w:trHeight w:val="437"/>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41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400"/>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37"/>
        </w:trPr>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1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w:t>
            </w:r>
          </w:p>
        </w:tc>
      </w:tr>
      <w:tr>
        <w:trPr>
          <w:trHeight w:val="388"/>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84"/>
        </w:trPr>
        <w:tc>
          <w:tcPr>
            <w:tcW w:w="2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of income tax</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37"/>
        </w:trPr>
        <w:tc>
          <w:tcPr>
            <w:tcW w:w="24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411"/>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5,024</w:t>
            </w:r>
          </w:p>
        </w:tc>
      </w:tr>
      <w:tr>
        <w:trPr>
          <w:trHeight w:val="388"/>
        </w:trPr>
        <w:tc>
          <w:tcPr>
            <w:tcW w:w="2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Treasury stock acquired in</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97"/>
        </w:trPr>
        <w:tc>
          <w:tcPr>
            <w:tcW w:w="24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connection with share repurchases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4"/>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417"/>
        </w:trPr>
        <w:tc>
          <w:tcPr>
            <w:tcW w:w="2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40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38"/>
        </w:trPr>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417"/>
        </w:trPr>
        <w:tc>
          <w:tcPr>
            <w:tcW w:w="2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 in noncontrolling interests</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400"/>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w:t>
            </w:r>
          </w:p>
        </w:tc>
      </w:tr>
      <w:tr>
        <w:trPr>
          <w:trHeight w:val="38"/>
        </w:trPr>
        <w:tc>
          <w:tcPr>
            <w:tcW w:w="2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388"/>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21"/>
        </w:trPr>
        <w:tc>
          <w:tcPr>
            <w:tcW w:w="2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of income tax</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w:t>
            </w:r>
          </w:p>
        </w:tc>
      </w:tr>
      <w:tr>
        <w:trPr>
          <w:trHeight w:val="425"/>
        </w:trPr>
        <w:tc>
          <w:tcPr>
            <w:tcW w:w="2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6,768</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6,833</w:t>
            </w:r>
          </w:p>
        </w:tc>
      </w:tr>
      <w:tr>
        <w:trPr>
          <w:trHeight w:val="25"/>
        </w:trPr>
        <w:tc>
          <w:tcPr>
            <w:tcW w:w="2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ectPr>
          <w:pgSz w:w="11900" w:h="16838" w:orient="portrait"/>
          <w:cols w:equalWidth="0" w:num="1">
            <w:col w:w="11240"/>
          </w:cols>
          <w:pgMar w:left="320" w:top="278" w:right="339" w:bottom="70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706" w:gutter="0" w:footer="0" w:header="0"/>
          <w:type w:val="continuous"/>
        </w:sectPr>
      </w:pPr>
    </w:p>
    <w:bookmarkStart w:id="130" w:name="page131"/>
    <w:bookmarkEnd w:id="130"/>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4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43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premiums and accretion of discounts associated with investments, net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46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(Gains) losses on investments, net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(Gains) losses on derivatives, net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46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(Income) loss from equity method investments, net of dividends and distributions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2,188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1,825</w:t>
            </w:r>
          </w:p>
        </w:tc>
      </w:tr>
      <w:tr>
        <w:trPr>
          <w:trHeight w:val="46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(2,295)</w:t>
            </w:r>
          </w:p>
        </w:tc>
      </w:tr>
      <w:tr>
        <w:trPr>
          <w:trHeight w:val="441"/>
        </w:trPr>
        <w:tc>
          <w:tcPr>
            <w:tcW w:w="8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market risk benefits, net</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46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accrued investment income</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premiums, reinsurance and other receivables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46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deferred policy acquisition costs and value of business acquired, net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income tax</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46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other assets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 in future policy benefits and other policy-related balances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46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 in other liabilities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444"/>
        </w:trPr>
        <w:tc>
          <w:tcPr>
            <w:tcW w:w="80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45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42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maturities and repayments of:</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12,722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6,028</w:t>
            </w:r>
          </w:p>
        </w:tc>
      </w:tr>
      <w:tr>
        <w:trPr>
          <w:trHeight w:val="46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Trading securities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46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Mortgage loans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2,544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Limited partnerships and limited liability companies</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(12,355)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(8,866)</w:t>
            </w:r>
          </w:p>
        </w:tc>
      </w:tr>
      <w:tr>
        <w:trPr>
          <w:trHeight w:val="46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Trading securities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192"/>
        </w:trPr>
        <w:tc>
          <w:tcPr>
            <w:tcW w:w="8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bl>
    <w:p>
      <w:pPr>
        <w:sectPr>
          <w:pgSz w:w="11900" w:h="16900" w:orient="portrait"/>
          <w:cols w:equalWidth="0" w:num="1">
            <w:col w:w="11240"/>
          </w:cols>
          <w:pgMar w:left="320" w:top="225" w:right="339" w:bottom="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Mortgage loans</w:t>
            </w:r>
          </w:p>
        </w:tc>
        <w:tc>
          <w:tcPr>
            <w:tcW w:w="2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Limited partnerships and limited liability companies</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in connection with freestanding derivatives</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16,810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5,079</w:t>
            </w: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freestanding derivatives</w:t>
            </w:r>
          </w:p>
        </w:tc>
        <w:tc>
          <w:tcPr>
            <w:tcW w:w="2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(5,428)</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policy loans</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280" w:type="dxa"/>
            <w:vAlign w:val="bottom"/>
          </w:tcPr>
          <w:p>
            <w:pPr>
              <w:spacing w:after="0"/>
              <w:rPr>
                <w:sz w:val="24"/>
                <w:szCs w:val="24"/>
                <w:color w:val="auto"/>
              </w:rPr>
            </w:pPr>
          </w:p>
        </w:tc>
        <w:tc>
          <w:tcPr>
            <w:tcW w:w="7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other invested assets</w:t>
            </w: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444"/>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8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4"/>
        </w:trPr>
        <w:tc>
          <w:tcPr>
            <w:tcW w:w="8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8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w:t>
            </w: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4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80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431"/>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Deposits</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20,187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30,410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21,989</w:t>
            </w:r>
          </w:p>
        </w:tc>
      </w:tr>
      <w:tr>
        <w:trPr>
          <w:trHeight w:val="441"/>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Withdrawals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(26,378)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(17,747)</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payables for collateral under securities loaned and other transactions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w:t>
            </w: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repaid</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46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r>
      <w:tr>
        <w:trPr>
          <w:trHeight w:val="444"/>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45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3,069</w:t>
            </w:r>
          </w:p>
        </w:tc>
      </w:tr>
      <w:tr>
        <w:trPr>
          <w:trHeight w:val="428"/>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4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r>
      <w:tr>
        <w:trPr>
          <w:trHeight w:val="446"/>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year</w:t>
            </w: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5,045</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3,851</w:t>
            </w:r>
          </w:p>
        </w:tc>
        <w:tc>
          <w:tcPr>
            <w:tcW w:w="12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4,115</w:t>
            </w:r>
          </w:p>
        </w:tc>
      </w:tr>
      <w:tr>
        <w:trPr>
          <w:trHeight w:val="450"/>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year</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5,387</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5,045</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3,851</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8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paid (received) for:</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85"/>
        </w:trPr>
        <w:tc>
          <w:tcPr>
            <w:tcW w:w="80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424"/>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w:t>
            </w: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7"/>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transactions:</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50"/>
        </w:trPr>
        <w:tc>
          <w:tcPr>
            <w:tcW w:w="8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Transfer of mortgage loans to affiliates</w:t>
            </w: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463"/>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Transfer of limited partnerships and limited liability companies from affiliates</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consolidated financial statements.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506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Brighthouse Financial, Inc. (“BHF” and, together with its subsidiaries, “Brighthouse Financial” or the “Company”) is one of the largest providers of annuity and life insurance products in the U.S. through multiple independent distribution channels and marketing arrangements with a diverse network of distribution partners. The Company is organized into the following reportable segments: Annuities; Life; Run-off; and Corporate &amp; Other.</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with BHF surviving as a wholly-owned subsidiary of Aquarian Parent (the “Merger”).</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“Effective Time”), each share of our common stock issued and outstanding immediately prior to the Effective Time will be converted into the right to receive $70.00 per share, net in cash, without interest and less any amounts that are required to be deducted or withheld under applicable law (the “Merger Consideration”).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Consolidation</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Brighthouse Financial, as well as partnerships and limited liability companies (“LLC”) that the Company controls. Intercompany accounts and transactions have been eliminated.</w:t>
      </w:r>
    </w:p>
    <w:p>
      <w:pPr>
        <w:spacing w:after="0" w:line="57"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Contract Obligations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has obligations under insurance contracts to pay benefits over an extended period of time. The Company establishes liabilities for future obligations under long-duration insurance contracts based on the accounting model appropriate for each type of contract or contract feature. Liabilities for insurance contract benefits are generally accrued over time as revenue is recognized, or established based on the balance that accrues to the contract holder. In addition, certain insurance contracts may contain features that are required to be measured at fair value separately from the base contracts, either as a market risk benefit (“MRB”) or embedded derivative.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discussion below provides an overview of the different accounting models for insurance contract obligations and the applicability of such models to the Company’s insurance products.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Liability for Future Policy Benefits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establishes a liability for future policy benefits (“LFPB”) for non-participating term and whole life insurance and income annuities. LFPBs are accrued over time as revenue is recognized based on a net premium ratio. The net premium ratio is the portion of gross premiums required to provide for all future benefits. LFPBs are established using the Company’s current assumptions of future cash flows, discounted at a rate that approximates a single A corporate bond curve. The Company generally aggregates insurance contracts into groupings by issue year, product and segment for determining the net premium ratio and related LFPBs.</w:t>
      </w:r>
    </w:p>
    <w:p>
      <w:pPr>
        <w:spacing w:after="0" w:line="79"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reviews cash flow assumptions regularly, and if they change significantly, LFPBs are adjusted by determining a revised net premium ratio. The revised net premium ratio is calculated as of contract inception using both actual historical experience and updated future cash flow assumptions. The recalculated net premium ratio is applied to derive a remeasurement gain or loss recognized in the current period net income. For insurance policies in-force as of December 31, 2020, January 1, 2021 is considered the contract inception date. The net premium ratio is also updated quarterly for the difference between actual and expected experience.</w:t>
      </w:r>
    </w:p>
    <w:p>
      <w:pPr>
        <w:spacing w:after="0" w:line="79"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net premium ratio is not updated for changes in discount rate assumptions, as changes in the discount rate are updated quarterly and the impacts are reflected in other comprehensive income (loss) (“OCI”). The discount rate assumption is determined by developing a yield curve based on market observable yields for upper-medium grade fixed income instruments derived from an external index. The yield curve is applied to the expected future cash flows used in the measurement of LFPBs based on the duration characteristics of those liabilities.</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most significant cash flow assumptions used in the establishment of LFPBs are mortality, policy lapses and market interest rates. See Note 3 for more information on the effect of changes in assumptions on the measurement of LFPBs.</w:t>
      </w:r>
    </w:p>
    <w:p>
      <w:pPr>
        <w:spacing w:after="0" w:line="57"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Company also establishes an LFPB for participating term and whole life insurance using a net premium ratio and the Company’s current assumptions of future cash flows. Assumptions are determined at issuance of the policy and are not updated unless a premium deficiency exists. A premium deficiency exists when the LFPB plus the present value of expected future gross premiums are less than expected future benefits and expenses (based on current assumptions). When a premium deficiency exists, the Company will reduce any deferred acquisition costs and may also establish an additional liability to eliminate the deficiency. See Note 3 for more information on assumptions used in establishing LFPBs related to participating term and whole life insurance.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Policyholder Account Balances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establishes a policyholder account balance liability for customer deposits on universal life insurance, universal life insurance with secondary guarantees (“ULSG”) and deferred annuity contracts. The policyholder account balance liability is equal to the sum of deposits, plus interest credited, less charges and withdrawals, excluding the impact of any applicable charge that may be incurred upon surrender. The Company also holds additional liabilities for certain product features including secondary guarantees on universal life insurance contracts and the crediting rates associated with index-linked annuities.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Additional Liabilities for ULSG</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establishes a liability in addition to the account balance for ULSG. These liabilities are determined by estimating the expected value of death benefits payable when the account balance is projected to be zero and recognizing those benefits ratably over the contract period based on total expected assessments. The benefits used in calculating the liabilities are based on the average benefits payable over a range of scenarios. The Company also maintains a liability for profits followed by losses on ULSG determined by projecting future earnings and establishing a liability to offset losses that are expected to occur in later years. Both ULSG liabilities are adjusted for the effects of unrealized investment gains and losses.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Company reviews cash flow assumptions regularly, and, if they change significantly, the liability for secondary guarantees is adjusted by a cumulative charge or credit to net income. Liabilities for secondary guarantees are presented within future policy benefits with changes in the liabilities reported in policyholder benefits and claims, except for the effects of unrealized investment gains and losses, which are reported in OCI.</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most significant assumptions used in estimating liabilities for secondary guarantees are the general account rate of return, mortality, premium persistency, lapses and withdrawals. See Note 3 for more information on the effect of changes in assumptions on the measurement of liabilities for secondary guarantees.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 Benefits on Annuity Guarantees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MRBs are contracts or contract features that provide protection to the policyholder from capital markets risks by transferring such risks to the Company. MRBs are required to be separated from the deferred annuity host contract and measured at fair value. The Company establishes MRB assets and liabilities for guaranteed minimum benefits on variable annuity contracts including guaranteed minimum death benefits, guaranteed minimum income benefits (“GMIB”), guaranteed minimum accumulation benefits (“GMAB”) and guaranteed minimum withdrawal benefits (“GMWB”). MRB assets are also established for reinsured benefits related to these guarantees. Certain index-linked annuity products may also have guaranteed minimum benefits classified as MRBs.</w:t>
      </w:r>
    </w:p>
    <w:p>
      <w:pPr>
        <w:spacing w:after="0" w:line="79"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measurement of fair value includes an adjustment for the risk that the Company fails to satisfy its obligations, which is referred to as nonperformance risk, as well as risk margin to capture the non-capital markets risks of the instrument, which represents the additional compensation a market participant would require to assume the risks related to the uncertainties in certain actuarial assumptions. MRBs are measured at estimated fair value, with changes reported in change in MRBs, except for the change due to nonperformance risk, which is reported in OCI.</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4 for more information on the effect of changes in inputs and assumptions on the measurement of MRBs and Note 10 for more information on the determination of fair value of MRBs.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 on Index-Linked Annuities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Company issues, and assumes through reinsurance, index-linked annuities which allow the policyholder to participate in returns from certain specified equity indices. The crediting rates associated with these features are classified as embedded derivatives and measured at estimated fair value, with changes in estimated fair value reported in net derivative gains (losses). These embedded derivatives are classified within policyholder account balances on the consolidated balance sheets.</w:t>
      </w:r>
    </w:p>
    <w:p>
      <w:pPr>
        <w:spacing w:after="0" w:line="74"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Embedded derivative liabilities are required to be separated from the deferred annuity host contract and measured at fair value. The estimated fair value is determined using a combination of an option pricing model and an option-budget approach. Under this approach, the Company estimates the cost of funding the crediting rate using option pricing and establishes that cost on the balance sheet as a reduction to the initial deposit amount. The estimate of fair value includes an adjustment for nonperformance risk, as well as a risk margin.</w:t>
      </w:r>
    </w:p>
    <w:p>
      <w:pPr>
        <w:spacing w:after="0" w:line="74"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7"/>
          <w:szCs w:val="17"/>
          <w:color w:val="auto"/>
        </w:rPr>
        <w:t>Actuarial assumptions are reviewed at least annually, and if they change significantly, the estimated fair value is adjusted through net income. Capital market inputs used in the measurement of index-linked crediting rate embedded derivatives are updated quarterly through net income. The reduction to the initial deposit is accreted back up to the initial deposit over the estimated life of the contract. Embedded derivatives related to index-linked annuities are presented within policyholder account balances while changes in the estimated fair value are reported in net derivative gains (losses).</w:t>
      </w:r>
    </w:p>
    <w:p>
      <w:pPr>
        <w:spacing w:after="0" w:line="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more information on the determination of estimated fair value of embedded derivatives, see Note 10.</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Recognition of Revenues and Deposits on Insurance Contracts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Premiums related to traditional long-duration contracts are recognized as revenues when due from policyholders. When premiums for income annuities are due over a significantly shorter period than the period over which policyholder benefits are incurred, the Company establishes a deferred profit liability (“DPL”) for the excess of the gross premium over the net premium. DPLs are amortized into net income in proportion to the amount of expected future benefit payments. Assumptions used in the measurement of the DPL are updated at the same time as the related LFPBs, with the updated estimates used to recalculate the DPL as of contract inception. The remeasurement gain or loss from updating DPLs is recognized in current period net income along with the related change in LFPBs.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Deposits related to universal life insurance, deferred annuity contracts and investment contracts are credited to policyholder account balances. Revenues from such contracts consist of asset-based investment management fees, cost of insurance (“COI”) charges, risk charges, policy administration fees and surrender charges. These fees, which are included in universal life and investment-type product policy fees, are recognized when assessed to the contract holder, except for non-level insurance charges which are deferred by the establishment of an unearned revenue liability and amortized over the expected life of the contracts.</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Premiums and policy fees are presented net of reinsurance.</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Deferred Policy Acquisition Costs, Value of Business Acquired and Other Intangibles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incurs significant costs in connection with acquiring new and renewal insurance business. Costs that are directly related to the successful acquisition or renewal of insurance contracts are capitalized as deferred policy acquisition costs (“DAC”). These costs mainly consist of commissions and include the portion of employees’ compensation and benefits related to time spent selling, underwriting or processing the issuance of new insurance contracts. All other acquisition-related costs are expensed as incurred.</w:t>
      </w:r>
    </w:p>
    <w:p>
      <w:pPr>
        <w:spacing w:after="0" w:line="74"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Value of business acquired (“VOBA”) is an intangible asset resulting from a business combination that represents the excess of book value over the estimated fair value of acquired insurance, annuity and investment-type contracts in-force as of the acquisition date.</w:t>
      </w:r>
    </w:p>
    <w:p>
      <w:pPr>
        <w:spacing w:after="0" w:line="57"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Company amortizes DAC and VOBA in a manner that approximates a straight-line basis over the expected life of the related contracts. For life insurance contracts, amortization is based on projections of amounts of insurance in-force, while projections of policy counts are used for deferred annuity contracts and expected future benefits payments for income annuities. These assumptions are reviewed at least annually, and if they change significantly, updates are recognized through changes to future amortization. VOBA balances are tested annually to determine if the balance is deemed unrecoverable from expected future profits. All changes in DAC and VOBA balances are recorded to net income.</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Periodically, the Company modifies product benefits, features, rights or coverages that occur by the exchange of an existing contract for a new contract, or by amendment, endorsement, or rider to a contract, or by election or coverage within a contract. If a modification is considered to have substantially changed the contract, the associated DAC or VOBA is written off immediately through net income and any new acquisition costs associated with the replacement contract are deferred. If the modification does not substantially change the contract, the DAC or VOBA amortization on the original contract will continue and any acquisition costs associated with the related modification are expensed.</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also has intangible assets representing deferred sales inducements (“DSI”), which are included in other assets, and unearned revenue liabilities, which are included in other policy-related balances. The Company defers sales inducements and unearned revenue and amortizes the balances using the same methodology and assumptions used to amortize DAC and VOBA.</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Reinsurance</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reinsurance arrangements pursuant to which it cedes certain insurance risks to unaffiliated reinsurers. Cessions under reinsurance agreements do not discharge the Company’s obligations as the primary insurer. The accounting for reinsurance arrangements depends on whether the arrangement provides indemnification against loss or liability relating to insurance risk in accordance with GAAP.</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For ceded reinsurance of existing in-force blocks of insurance contracts that transfer significant insurance risk, premiums, benefits and the amortization of DAC are reported net of reinsurance ceded. Amounts recoverable from reinsurers related to incurred claims and ceded reserves are included in premiums, reinsurance and other receivables and amounts payable to reinsurers included in other liabilities.</w:t>
      </w:r>
    </w:p>
    <w:p>
      <w:pPr>
        <w:spacing w:after="0" w:line="72"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If the Company determines that a reinsurance agreement does not expose the reinsurer to a reasonable possibility of a significant loss from insurance risk, the Company records the agreement using the deposit method of accounting. Deposits received are included in other liabilities and deposits made are included in premiums, reinsurance and other receivables. As amounts are paid or received, consistent with the underlying contracts, the deposit assets or liabilities are adjusted. Interest on such deposits is recorded as other revenues or other expenses, as appropriate.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37"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funds withheld liability represents amounts withheld by the Company in accordance with the terms of the reinsurance agreements. Under certain reinsurance agreements, the Company withholds the funds rather than transferring the underlying investments and, as a result, records a funds withheld liability in other liabilities. The Company recognizes interest on funds withheld, included in other expenses, at rates defined by the terms of the agreement which may be contractually specified or directly related to the investment portfolio.</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Certain funds withheld arrangements may also contain embedded derivatives measured at fair value that are related to the investment return on the assets withheld. Embedded derivatives related to funds withheld arrangements are presented within policyholder account balances on the consolidated balance sheets, with changes in the estimated fair value reported in net derivative gains (losses).</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Reinsurance arrangements may also contain features classified as MRBs, including reinsurance of guaranteed minimum benefits associated with variable annuity contracts.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accounts for assumed reinsurance similar to directly written business.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Net Investment Income and Net Investment Gains (Losses)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Income from investments is reported in net investment income, unless otherwise stated herein. Gains and losses on sales of investments, impairment losses and changes in valuation allowances are reported in net investment gains (losses), unless otherwise stated herein.</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 Available-For-Sale</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Fixed maturity securities classified as available-for-sale are reported at their estimated fair value. Unrealized investment gains and losses on these securities are recorded as a separate component of OCI, net of policy-related amounts and deferred income taxes. Publicly-traded security transactions are recorded on a trade date basis, while privately-placed and bank loan security transactions are recorded on a settlement date basis. Investment gains and losses on sales are determined on a specific identification basis.</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Interest income and prepayment fees are recognized when earned. Interest income is recognized using an effective yield method giving effect to amortization of premiums and accretion of discounts and is based on the estimated economic life of the securities, which for residential mortgage-backed securities (“RMBS”), commercial mortgage-backed securities (“CMBS”) and asset-backed securities (“ABS”) (collectively, “Structured Securities”) considers the estimated timing and amount of prepayments of the underlying loans. The amortization of premium and accretion of discount of fixed maturity securities also takes into consideration call and maturity dates.</w:t>
      </w:r>
    </w:p>
    <w:p>
      <w:pPr>
        <w:spacing w:after="0" w:line="79"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Amortization of premium and accretion of discount on Structured Securities considers the estimated timing and amount of prepayments of the underlying loans. Actual prepayment experience is periodically reviewed, and effective yields are recalculated when differences arise between the originally anticipated and the actual prepayments received and currently anticipated. Prepayment assumptions for Structured Securities are estimated using inputs obtained from third-party specialists and based on management’s knowledge of the current market. For credit-sensitive Structured Securities and certain prepayment-sensitive securities, the effective yield is recalculated on a prospective basis. For all other Structured Securities, the effective yield is recalculated on a retrospective basis.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Company regularly evaluates fixed maturity securities for declines in fair value to determine if a credit loss exists. This evaluation is based on management’s case-by-case evaluation of the underlying reasons for the decline in fair value including, but not limited to, an analysis of the gross unrealized losses by severity and financial condition of the issuer.</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fixed maturity securities in an unrealized loss position, when the Company has the intent to sell the security, or it is more likely than not that the Company will be required to sell the security before recovery, the amortized cost basis of the security is written down to fair value through net investment gains (losses).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For fixed maturity securities that do not meet the aforementioned criteria, management evaluates whether the decline in estimated fair value has resulted from credit losses or other factors. If the Company determines the decline in estimated fair value is due to credit losses, the difference between the amortized cost of the security and the present value of projected future cash flows expected to be collected is recognized as an allowance through net investment gains (losses). If the estimated fair value is less than the present value of projected future cash flows expected to be collected, this portion of the allowance related to other-than-credit factors is recorded in OCI.</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Trading Securities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classified as trading securities are reported at their estimated fair value. The recognition and measurement of trading securities and related interest income is consistent with the accounting for fixed maturity securities available-for-sale. Realized and unrealized investment gains (losses) are recorded in net investment income.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Mortgage Loans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Mortgage loans are stated at unpaid principal balance, adjusted for any unamortized premium or discount, and any deferred fees or expenses, and net of an allowance for credit losses. Interest income and prepayment fees are recognized when earned. Interest income is recognized using an effective yield method giving effect to amortization of premiums and accretion of discounts. The allowance for credit losses for mortgage loans represents the Company’s best estimate of expected credit losses over the remaining life of the loans and is determined using relevant available information from internal and external sources, relating to past events, current conditions, and a reasonable and supportable forecast.</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Policy Loans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Policy loans are stated at unpaid principal balances. Interest income is recorded as earned using the contractual interest rate. Generally, accrued interest is capitalized on the policy’s anniversary date. Any unpaid principal and accrued interest is deducted from the cash surrender value or the death benefit prior to settlement of the insurance policy.</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Limited Partnerships and LLCs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when it has more than a minor ownership interest or more than a minor influence over the investee’s operations; when the Company has virtually no influence over the investee’s operations the investment is carried at estimated fair value. The Company generally recognizes its share of the equity method investee’s earnings on a three-month lag in instances where the investee’s financial information is not sufficiently timely or when the investee’s reporting period differs from the Company’s reporting period; while distributions on investments carried at estimated fair value are recognized as earned or received.</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Investments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Short-term investments include securities and other investments with remaining maturities of one year or less, but greater than three months, at the time of purchase and are stated at estimated fair value or amortized cost, which approximates estimated fair value. The Company’s short-term investments generally involve large dollar amounts that turn over quickly and have short maturities.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the years ended December 31, 2025, 2024 and 2023, cash proceeds from sales, maturities and repayments of short-term investments were $3.6 billion, $3.3 billion and $4.2 billion, respectively. For the years ended December 31, 2025, 2024 and 2023, cash payments on purchases of short-term investments were $2.9 billion, $4.0 billion and $4.2 billion, respectively.</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Other Invested Assets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Other invested assets consist principally of freestanding derivatives with positive estimated fair values which are described in “— Derivatives” below.</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Securities Lending Program</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Securities lending transactions whereby blocks of securities are loaned to third parties, primarily brokerage firms and commercial banks, are treated as financing arrangements and the associated liability is recorded at the amount of cash received. Income and expenses associated with securities lending transactions are reported as investment income and investment expense, respectively, in net investment income.</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Company obtains collateral at the inception of the loan, usually cash, in an amount generally equal to 102% of the estimated fair value of the securities loaned and maintains it at a level greater than or equal to 100% for the duration of the loan. The Company monitors the estimated fair value of the securities loaned on a daily basis and additional collateral is obtained as necessary throughout the duration of the loan. Securities loaned under such transactions may be sold or re-pledged by the transferee. The Company is liable to return to the counterparties the cash collateral received.</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Agreements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Company established liabilities for funding agreements associated with the Company’s institutional spread margin business, which are equal to the unpaid principal balance, adjusted for any unamortized premium or discount. Liabilities related to funding agreements are reported in policyholder account balances.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Freestanding Derivatives</w:t>
      </w:r>
    </w:p>
    <w:p>
      <w:pPr>
        <w:spacing w:after="0" w:line="113"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Freestanding derivatives are carried at estimated fair value on the Company’s balance sheet either as assets in other invested assets or as liabilities in other liabilities. The Company does not offset the estimated fair value amounts recognized for derivatives executed with the same counterparty under the same master netting agreement.</w:t>
      </w:r>
    </w:p>
    <w:p>
      <w:pPr>
        <w:spacing w:after="0" w:line="72"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If a derivative is not designated or did not qualify as an accounting hedge, changes in the estimated fair value of the derivative are reported in net derivative gains (losses).</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generally reports cash received or paid for a derivative in the investing activity section of the statement of cash flows except for cash flows of certain derivative options with deferred premiums, which are reported in the financing activity section of the statement of cash flows.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Hedge Accounting</w:t>
      </w:r>
    </w:p>
    <w:p>
      <w:pPr>
        <w:spacing w:after="0" w:line="113"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primarily designates derivatives as a hedge of a forecasted transaction or a variability of cash flows to be received or paid related to a recognized asset or liability (cash flow hedge). When a derivative is designated as a cash flow hedge and is determined to be highly effective, changes in fair value are recorded in OCI and subsequently reclassified into the statement of operations when the Company’s earnings are affected by the variability in cash flows of the hedged item.</w:t>
      </w:r>
    </w:p>
    <w:p>
      <w:pPr>
        <w:spacing w:after="0" w:line="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To qualify for hedge accounting, at the inception of the hedging relationship, the Company formally documents its risk management objective and strategy for undertaking the hedging transaction, as well as its designation of the hedge. In its hedge documentation, the Company sets forth how the hedging instrument is expected to hedge the designated risks related to the hedged item and sets forth the method that will be used to retrospectively and prospectively assess the hedging instrument’s effectiveness. A derivative designated as a hedging instrument must be assessed as being highly effective in offsetting the designated risk of the hedged item. Hedge effectiveness is formally assessed at inception and at least quarterly throughout the life of the designated hedging relationship.</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discontinues hedge accounting prospectively when: (i) it is determined that the derivative is no longer highly effective in offsetting changes in the estimated fair value or cash flows of a hedged item; (ii) the derivative or hedged item expires, is sold, terminated, or exercised; (iii) it is no longer probable that the hedged forecasted transaction will occur; or (iv) the derivative is de-designated as a hedging instrument.</w:t>
      </w:r>
    </w:p>
    <w:p>
      <w:pPr>
        <w:spacing w:after="0" w:line="72"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When hedge accounting is discontinued the derivative is carried at its estimated fair value on the balance sheet, with changes in its estimated fair value recognized in the current period as net derivative gains (losses). The changes in estimated fair value of derivatives previously recorded in OCI related to discontinued cash flow hedges are released into the statement of operations when the Company’s earnings are affected by the variability in cash flows of the hedged item. When the hedged item matures or is sold, or the forecasted transaction is not probable of occurring, the Company immediately reclassifies any remaining balances in OCI to net derivative gains (losses).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3"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has index-linked annuities that are directly written or assumed through reinsurance contracts that contain embedded derivatives which are required to be separated from their host contracts and reported as derivatives. Certain funds withheld arrangements associated with reinsurance may also contain embedded derivatives. See “— Insurance Contract Obligations” and “— Reinsurance” for additional information on the accounting policies for embedded derivatives.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In most cases, the exit price and the transaction (or entry) price will be the same at initial recognition.</w:t>
      </w:r>
    </w:p>
    <w:p>
      <w:pPr>
        <w:spacing w:after="0" w:line="72"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In determining the estimated fair value of the Company’s investments, fair values are based on unadjusted quoted prices for identical investments in active markets that are readily and regularly obtainable. When such quoted prices are not available, fair values are based on quoted prices in markets that are not active, quoted prices for similar but not identical investments, or other observable inputs. If these inputs are not available, or observable inputs are not determinable, unobservable inputs and/or adjustments to observable inputs requiring management judgment are used to determine the estimated fair value of investments.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Separate Accounts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Separate accounts underlying the Company’s variable life and annuity contracts are reported at fair value. Assets in separate accounts supporting the contract liabilities are legally insulated from the Company’s general account liabilities. Investments in these separate accounts are directed by the contract holder and all investment performance, net of contract fees and assessments, is passed through to the contract holder. Investment performance and the corresponding amounts credited to contract holders of such separate accounts are offset in the same line on the statements of operations.</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Separate accounts that do not pass all investment performance to the contract holder, including those underlying certain index-linked annuities, are combined on a line-by-line basis with the Company’s general account assets, liabilities, revenues and expenses. The accounting for investments in these separate accounts is consistent with the methodologies described herein for similar financial instruments held in the general account.</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receives asset-based distribution and service fees from mutual funds available to the variable life and annuity contract holders as investment options in its separate accounts. These fees are recognized in the period in which the related services are performed and are included in other revenues.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Company’s income tax provision was prepared following the modified separate return method. The modified separate return method applies the Accounting Standards Codification 740 — Income Taxes (“ASC 740”) to the standalone financial statements of each member of the consolidated group as if the member were a separate taxpayer and a standalone enterprise, after providing benefits for losses. The Company’s accounting for income taxes represents management’s best estimate of various events and transactions. Current and deferred income taxes included herein and attributable to periods up until the Company’s separation from MetLife, Inc. (together with its subsidiaries and affiliates, “MetLife”) (“Separation”) have been allocated to the Company in a manner that is systematic, rational and consistent with the asset and liability method prescribed by ASC 740.</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Deferred tax assets and liabilities resulting from temporary differences between the financial reporting and tax bases of assets and liabilities are measured at the balance sheet date using enacted tax rates expected to apply to taxable income in the years the temporary differences are expected to reverse.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37" w:lineRule="exact"/>
        <w:rPr>
          <w:sz w:val="20"/>
          <w:szCs w:val="20"/>
          <w:color w:val="auto"/>
        </w:rPr>
      </w:pPr>
    </w:p>
    <w:p>
      <w:pPr>
        <w:jc w:val="both"/>
        <w:ind w:left="160" w:firstLine="318"/>
        <w:spacing w:after="0" w:line="267" w:lineRule="auto"/>
        <w:rPr>
          <w:sz w:val="20"/>
          <w:szCs w:val="20"/>
          <w:color w:val="auto"/>
        </w:rPr>
      </w:pPr>
      <w:r>
        <w:rPr>
          <w:rFonts w:ascii="Times New Roman" w:cs="Times New Roman" w:eastAsia="Times New Roman" w:hAnsi="Times New Roman"/>
          <w:sz w:val="17"/>
          <w:szCs w:val="17"/>
          <w:color w:val="auto"/>
        </w:rPr>
        <w:t>The realization of deferred tax assets depends upon the existence of sufficient taxable income within the carryback or carryforward periods under the tax law in the applicable tax jurisdiction. Valuation allowances are established when management determines, based on available information, that it is more likely than not that deferred income tax assets will not be realized. Significant judgment is required in determining whether valuation allowances should be established, as well as the amount of such allowances. When making such determination, the Company considers many factors, including the jurisdiction in which the deferred tax asset was generated, the length of time that carryforward can be utilized in the various taxing jurisdictions, future taxable income exclusive of reversing temporary differences and carryforwards, future reversals of existing taxable temporary differences, taxable income in prior carryback years, tax planning strategies and the nature, frequency, and amount of cumulative financial reporting income and losses in recent years.</w:t>
      </w:r>
    </w:p>
    <w:p>
      <w:pPr>
        <w:spacing w:after="0" w:line="68" w:lineRule="exact"/>
        <w:rPr>
          <w:sz w:val="20"/>
          <w:szCs w:val="20"/>
          <w:color w:val="auto"/>
        </w:rPr>
      </w:pPr>
    </w:p>
    <w:p>
      <w:pPr>
        <w:jc w:val="both"/>
        <w:ind w:left="160" w:firstLine="318"/>
        <w:spacing w:after="0" w:line="284" w:lineRule="auto"/>
        <w:rPr>
          <w:sz w:val="20"/>
          <w:szCs w:val="20"/>
          <w:color w:val="auto"/>
        </w:rPr>
      </w:pPr>
      <w:r>
        <w:rPr>
          <w:rFonts w:ascii="Times New Roman" w:cs="Times New Roman" w:eastAsia="Times New Roman" w:hAnsi="Times New Roman"/>
          <w:sz w:val="17"/>
          <w:szCs w:val="17"/>
          <w:color w:val="auto"/>
        </w:rPr>
        <w:t>The Inflation Reduction Act, which was enacted in 2022, established a 15% corporate alternative minimum tax (“CAMT”) for corporations whose average annual adjusted financial statement income for any consecutive three–tax year period ending after December 31, 2021, and preceding the tax year</w:t>
      </w:r>
    </w:p>
    <w:p>
      <w:pPr>
        <w:spacing w:after="0" w:line="1"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8"/>
          <w:szCs w:val="18"/>
          <w:color w:val="auto"/>
        </w:rPr>
        <w:t>exceeds $1.0 billion. The Company elects not to consider any future effects resulting from applicability of the CAMT when assessing the valuation allowance for regular deferred tax assets.</w:t>
      </w:r>
    </w:p>
    <w:p>
      <w:pPr>
        <w:spacing w:after="0" w:line="57"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Company may be required to change its provision for income taxes when estimates used in determining valuation allowances on deferred tax assets significantly change or when receipt of new information indicates the need for adjustment in valuation allowances. Additionally, the effect of changes in tax laws, tax regulations, or interpretations of such laws or regulations, is recognized in net income tax expense (benefit) in the period of change.</w:t>
      </w:r>
    </w:p>
    <w:p>
      <w:pPr>
        <w:spacing w:after="0" w:line="53"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by the appropriate taxing authorities before any part of the benefit can be recorded on the financial statements. A tax position is measured at the largest amount of benefit that is greater than 50% likely of being realized upon settlement. Unrecognized tax benefits due to tax uncertainties that do not meet the threshold are included in other liabilities and are charged to earnings in the period that such determination is made.</w:t>
      </w:r>
    </w:p>
    <w:p>
      <w:pPr>
        <w:spacing w:after="0" w:line="74" w:lineRule="exact"/>
        <w:rPr>
          <w:sz w:val="20"/>
          <w:szCs w:val="20"/>
          <w:color w:val="auto"/>
        </w:rPr>
      </w:pPr>
    </w:p>
    <w:p>
      <w:pPr>
        <w:ind w:left="160" w:right="1700" w:firstLine="318"/>
        <w:spacing w:after="0" w:line="368" w:lineRule="auto"/>
        <w:rPr>
          <w:sz w:val="20"/>
          <w:szCs w:val="20"/>
          <w:color w:val="auto"/>
        </w:rPr>
      </w:pPr>
      <w:r>
        <w:rPr>
          <w:rFonts w:ascii="Times New Roman" w:cs="Times New Roman" w:eastAsia="Times New Roman" w:hAnsi="Times New Roman"/>
          <w:sz w:val="18"/>
          <w:szCs w:val="18"/>
          <w:color w:val="auto"/>
        </w:rPr>
        <w:t xml:space="preserve">The Company classifies interest recognized as interest expense and penalties recognized as a component of income tax expense. </w:t>
      </w:r>
      <w:r>
        <w:rPr>
          <w:rFonts w:ascii="Times New Roman" w:cs="Times New Roman" w:eastAsia="Times New Roman" w:hAnsi="Times New Roman"/>
          <w:sz w:val="18"/>
          <w:szCs w:val="18"/>
          <w:b w:val="1"/>
          <w:bCs w:val="1"/>
          <w:i w:val="1"/>
          <w:iCs w:val="1"/>
          <w:u w:val="single" w:color="auto"/>
          <w:color w:val="auto"/>
        </w:rPr>
        <w:t>Litigation and Other Loss Contingencies</w:t>
      </w:r>
    </w:p>
    <w:p>
      <w:pPr>
        <w:spacing w:after="0" w:line="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is a party to or involved in a number of legal disputes, including litigation matters, as well as disputes or other matters involving third parties (e.g., vendors, reinsurers or tax or other authorities), and are subject in the ordinary course to a number of regulatory examinations and investigations. The Company reviews relevant information with respect to litigation and other loss contingencies related to these matters and establishes liabilities when it is probable that a loss has been incurred and the amount of the loss can be reasonably estimated. Legal costs are recognized as incurred.</w:t>
      </w:r>
    </w:p>
    <w:p>
      <w:pPr>
        <w:spacing w:after="0" w:line="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matters where it is not probable, but it is reasonably possible that a loss will be incurred and the amount of loss can be reasonably estimated, such losses or range of losses are disclosed, and no accrual is made. In the absence of sufficient information to support an assessment of a reasonably possible loss or range of loss, no accrual is made and no loss or range of loss is disclosed.</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Accounting Policies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113" w:lineRule="exact"/>
        <w:rPr>
          <w:sz w:val="20"/>
          <w:szCs w:val="20"/>
          <w:color w:val="auto"/>
        </w:rPr>
      </w:pPr>
    </w:p>
    <w:p>
      <w:pPr>
        <w:jc w:val="both"/>
        <w:ind w:left="320" w:right="20" w:firstLine="318"/>
        <w:spacing w:after="0" w:line="304" w:lineRule="auto"/>
        <w:rPr>
          <w:sz w:val="20"/>
          <w:szCs w:val="20"/>
          <w:color w:val="auto"/>
        </w:rPr>
      </w:pPr>
      <w:r>
        <w:rPr>
          <w:rFonts w:ascii="Times New Roman" w:cs="Times New Roman" w:eastAsia="Times New Roman" w:hAnsi="Times New Roman"/>
          <w:sz w:val="17"/>
          <w:szCs w:val="17"/>
          <w:color w:val="auto"/>
        </w:rPr>
        <w:t>The Company considers all highly liquid securities and other investments purchased with an original or remaining maturity of three months or less at the date of purchase to be cash equivalents. Cash equivalents are stated at estimated fair value or amortized cost, which approximates estimated fair value.</w:t>
      </w: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Employee Benefit Plans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Brighthouse Services, LLC (“Brighthouse Services”) sponsors qualified and non-qualified defined contribution plans, and New England Life Insurance Company (“NELICO”) sponsors certain frozen defined benefit pension and postretirement plans. NELICO recognizes the funded status of each of its pension plans, measured as the difference between the fair value of plan assets and the benefit obligation, which is the projected benefit obligation (“PBO”) for pension benefits in other assets or other liabilities. Brighthouse Services and NELICO are both indirect wholly-owned subsidiaries.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Actuarial gains and losses result from differences between the actual experience and the assumed experience on plan assets or PBO during a particular period and are recorded in accumulated other comprehensive income (loss) (“AOCI”). To the extent such gains and losses exceed 10% of the greater of the PBO or the estimated fair value of plan assets, the excess is amortized into net periodic benefit costs over the average projected future lifetime of all plan participants or projected future working lifetime, as appropriate. Prior service costs (credit) are recognized in AOCI at the time of the amendment and then amortized into net periodic benefit costs over the average projected future lifetime of all plan participants or projected future working lifetime, as appropriate.</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Net periodic benefit costs are determined using management estimates and actuarial assumptions; and are comprised of service cost, interest cost, expected return on plan assets, amortization of net actuarial (gains) losses, settlement and curtailment costs, and amortization of prior service costs (credit).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Except as noted below, there were no significant ASUs adopted during the year ended December 31, 2025.</w:t>
      </w:r>
    </w:p>
    <w:p>
      <w:pPr>
        <w:spacing w:after="0" w:line="70" w:lineRule="exact"/>
        <w:rPr>
          <w:sz w:val="20"/>
          <w:szCs w:val="20"/>
          <w:color w:val="auto"/>
        </w:rPr>
      </w:pPr>
    </w:p>
    <w:p>
      <w:pPr>
        <w:jc w:val="both"/>
        <w:ind w:firstLine="318"/>
        <w:spacing w:after="0" w:line="283" w:lineRule="auto"/>
        <w:rPr>
          <w:sz w:val="20"/>
          <w:szCs w:val="20"/>
          <w:color w:val="auto"/>
        </w:rPr>
      </w:pPr>
      <w:r>
        <w:rPr>
          <w:rFonts w:ascii="Times New Roman" w:cs="Times New Roman" w:eastAsia="Times New Roman" w:hAnsi="Times New Roman"/>
          <w:sz w:val="17"/>
          <w:szCs w:val="17"/>
          <w:color w:val="auto"/>
        </w:rPr>
        <w:t xml:space="preserve">In December 2023, the FASB issued new guidance on Income Tax Disclosures (ASU 2023-09, </w:t>
      </w:r>
      <w:r>
        <w:rPr>
          <w:rFonts w:ascii="Times New Roman" w:cs="Times New Roman" w:eastAsia="Times New Roman" w:hAnsi="Times New Roman"/>
          <w:sz w:val="17"/>
          <w:szCs w:val="17"/>
          <w:i w:val="1"/>
          <w:iCs w:val="1"/>
          <w:color w:val="auto"/>
        </w:rPr>
        <w:t>Income Taxes (Topic 740): Improvements to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Disclosures</w:t>
      </w:r>
      <w:r>
        <w:rPr>
          <w:rFonts w:ascii="Times New Roman" w:cs="Times New Roman" w:eastAsia="Times New Roman" w:hAnsi="Times New Roman"/>
          <w:sz w:val="17"/>
          <w:szCs w:val="17"/>
          <w:color w:val="auto"/>
        </w:rPr>
        <w:t>). This ASU updates the required income tax disclosures to include disclosure of income taxes paid disaggregated by jurisdiction and greater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disaggregation of information in the required rate reconciliation. The Company adopted this guidance during fiscal year 2025 on a retrospective basis.</w:t>
      </w:r>
    </w:p>
    <w:p>
      <w:pPr>
        <w:spacing w:after="0" w:line="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Adoption of New Accounting Pronouncements</w:t>
      </w:r>
    </w:p>
    <w:p>
      <w:pPr>
        <w:spacing w:after="0" w:line="113" w:lineRule="exact"/>
        <w:rPr>
          <w:sz w:val="20"/>
          <w:szCs w:val="20"/>
          <w:color w:val="auto"/>
        </w:rPr>
      </w:pPr>
    </w:p>
    <w:p>
      <w:pPr>
        <w:jc w:val="both"/>
        <w:ind w:left="160" w:firstLine="318"/>
        <w:spacing w:after="0" w:line="269" w:lineRule="auto"/>
        <w:rPr>
          <w:sz w:val="20"/>
          <w:szCs w:val="20"/>
          <w:color w:val="auto"/>
        </w:rPr>
      </w:pPr>
      <w:r>
        <w:rPr>
          <w:rFonts w:ascii="Times New Roman" w:cs="Times New Roman" w:eastAsia="Times New Roman" w:hAnsi="Times New Roman"/>
          <w:sz w:val="17"/>
          <w:szCs w:val="17"/>
          <w:color w:val="auto"/>
        </w:rPr>
        <w:t xml:space="preserve">In November 2025, the FASB issued new guidance on financial instrument credit losses (ASU 2025-08, </w:t>
      </w:r>
      <w:r>
        <w:rPr>
          <w:rFonts w:ascii="Times New Roman" w:cs="Times New Roman" w:eastAsia="Times New Roman" w:hAnsi="Times New Roman"/>
          <w:sz w:val="17"/>
          <w:szCs w:val="17"/>
          <w:i w:val="1"/>
          <w:iCs w:val="1"/>
          <w:color w:val="auto"/>
        </w:rPr>
        <w:t>Financial Instruments – Credit Losses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326): Purchased Loans). </w:t>
      </w:r>
      <w:r>
        <w:rPr>
          <w:rFonts w:ascii="Times New Roman" w:cs="Times New Roman" w:eastAsia="Times New Roman" w:hAnsi="Times New Roman"/>
          <w:sz w:val="17"/>
          <w:szCs w:val="17"/>
          <w:color w:val="auto"/>
        </w:rPr>
        <w:t>Under current GAAP, an allowance for credit losses for assets purchased with credit deterioration is established by grossing up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amortized cost basis of the asset, while the allowance for all other loans is recognized separately as an expense. The ASU expands the population of purchased financial instruments subject to the gross-up approach for determining the allowance for credit losses to include all purchased loans that meet certain criteria. The ASU is effective for annual and interim periods starting with fiscal year 2027. This ASU is required to be adopted prospectively for all loans acquired on or after the effective date. The Company is currently evaluating the impact of this guidance on its financial statements.</w:t>
      </w:r>
    </w:p>
    <w:p>
      <w:pPr>
        <w:spacing w:after="0" w:line="63"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 xml:space="preserve">In November 2024, the FASB issued new guidance on income statement expense disclosures (ASU 2024-03, </w:t>
      </w:r>
      <w:r>
        <w:rPr>
          <w:rFonts w:ascii="Times New Roman" w:cs="Times New Roman" w:eastAsia="Times New Roman" w:hAnsi="Times New Roman"/>
          <w:sz w:val="17"/>
          <w:szCs w:val="17"/>
          <w:i w:val="1"/>
          <w:iCs w:val="1"/>
          <w:color w:val="auto"/>
        </w:rPr>
        <w:t>Income Statement—Reporting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Comprehensive Income—Expense Disaggregation Disclosures (Subtopic 220-40</w:t>
      </w:r>
      <w:r>
        <w:rPr>
          <w:rFonts w:ascii="Times New Roman" w:cs="Times New Roman" w:eastAsia="Times New Roman" w:hAnsi="Times New Roman"/>
          <w:sz w:val="17"/>
          <w:szCs w:val="17"/>
          <w:color w:val="auto"/>
        </w:rPr>
        <w:t>): Disaggregation of Income Statement Expenses).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Life segment consists of insurance products, including term, universal, whole and variable life products designed to address policyholders’ needs for financial security and protected wealth transfer, which may be on a tax-advantaged basis.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Run-off segment consists primarily of products that are no longer actively sold and are separately managed, including ULSG, structured settlements, pension risk transfer contracts, certain company-owned life insurance policies and certain funding agreements.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Corporate &amp; Other segment consists of activities related to funding agreements associated with the Company’s institutional spread margin business, excess capital not allocated to the other segments, interest expense related to the Company’s outstanding debt, and preferred stock dividends, as well as expenses associated with certain legal proceedings and income tax audit issues. The Corporate &amp; Other segment also includes long-term care business reinsured through 100% quota share reinsurance agreements.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 and Segment Accounting Policies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74"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Adjusted earnings, which may be positive or negative, focuses on the Company’s primary businesses by excluding the impact of market volatility, which could distort trends. Adjusted earnings was updated during the first quarter of 2025 in connection with the establishment of a trading portfolio comprised of certain fixed income securities (classified as “trading securities” under GAAP). The Company did not have trading securities prior to the first quarter of 2025.</w:t>
      </w: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MRBs;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segment accounting policies are the same as those used to prepare the Company’s consolidated financial statements, except for the adjustments to calculate adjusted earnings described above. In addition, segment accounting policies include the methods of capital allocation described below.</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Segment investment and capitalization targets are based on statutory oriented risk principles and metrics. Segment invested assets backing liabilities are based on net statutory liabilities plus excess capital, with excess capital determined based on statutory risk-based capital (“RBC”) metrics. Assets in excess of those allocated to the Annuities, Life and Run-off segments, if any, are held in the Corporate &amp; Other segment. Segment net investment income reflects the performance of each segment’s respective invested assets.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provide information about the Company’s segments, including significant segment expenses, and reconciliations to Net income (loss) available to common shareholders.</w:t>
      </w:r>
    </w:p>
    <w:p>
      <w:pPr>
        <w:spacing w:after="0" w:line="200" w:lineRule="exact"/>
        <w:rPr>
          <w:sz w:val="20"/>
          <w:szCs w:val="20"/>
          <w:color w:val="auto"/>
        </w:rPr>
      </w:pPr>
    </w:p>
    <w:p>
      <w:pPr>
        <w:spacing w:after="0" w:line="22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39370</wp:posOffset>
            </wp:positionV>
            <wp:extent cx="34664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66465" cy="8255"/>
                    </a:xfrm>
                    <a:prstGeom prst="rect">
                      <a:avLst/>
                    </a:prstGeom>
                    <a:noFill/>
                  </pic:spPr>
                </pic:pic>
              </a:graphicData>
            </a:graphic>
          </wp:anchor>
        </w:drawing>
      </w:r>
    </w:p>
    <w:p>
      <w:pPr>
        <w:spacing w:after="0" w:line="270" w:lineRule="exact"/>
        <w:rPr>
          <w:sz w:val="20"/>
          <w:szCs w:val="20"/>
          <w:color w:val="auto"/>
        </w:rPr>
      </w:pPr>
    </w:p>
    <w:tbl>
      <w:tblPr>
        <w:tblLayout w:type="fixed"/>
        <w:tblInd w:w="578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tcPr>
          <w:p>
            <w:pPr>
              <w:spacing w:after="0"/>
              <w:rPr>
                <w:sz w:val="14"/>
                <w:szCs w:val="14"/>
                <w:color w:val="auto"/>
              </w:rPr>
            </w:pPr>
          </w:p>
        </w:tc>
      </w:tr>
      <w:tr>
        <w:trPr>
          <w:trHeight w:val="186"/>
        </w:trPr>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393"/>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286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286385"/>
                    </a:xfrm>
                    <a:prstGeom prst="rect">
                      <a:avLst/>
                    </a:prstGeom>
                    <a:noFill/>
                  </pic:spPr>
                </pic:pic>
              </a:graphicData>
            </a:graphic>
          </wp:anchor>
        </w:drawing>
      </w:r>
    </w:p>
    <w:p>
      <w:pPr>
        <w:sectPr>
          <w:pgSz w:w="11900" w:h="16838" w:orient="portrait"/>
          <w:cols w:equalWidth="0" w:num="1">
            <w:col w:w="11240"/>
          </w:cols>
          <w:pgMar w:left="320" w:top="225" w:right="339" w:bottom="984" w:gutter="0" w:footer="0" w:header="0"/>
        </w:sect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3,638</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tcPr>
          <w:p>
            <w:pPr>
              <w:spacing w:after="0"/>
              <w:rPr>
                <w:sz w:val="18"/>
                <w:szCs w:val="18"/>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1,274</w:t>
            </w:r>
          </w:p>
        </w:tc>
        <w:tc>
          <w:tcPr>
            <w:tcW w:w="10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1"/>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2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adjustments</w:t>
            </w:r>
          </w:p>
        </w:tc>
        <w:tc>
          <w:tcPr>
            <w:tcW w:w="3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expenses (2)</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Adjusted earnings (loss)</w:t>
            </w: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436</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1"/>
        </w:trPr>
        <w:tc>
          <w:tcPr>
            <w:tcW w:w="5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$0</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7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7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shareholders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-5414645</wp:posOffset>
            </wp:positionV>
            <wp:extent cx="7134860" cy="2857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-4842510</wp:posOffset>
            </wp:positionV>
            <wp:extent cx="7134860" cy="2857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-4270375</wp:posOffset>
            </wp:positionV>
            <wp:extent cx="7134860" cy="2857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-3698240</wp:posOffset>
            </wp:positionV>
            <wp:extent cx="7134860" cy="2857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-3126105</wp:posOffset>
            </wp:positionV>
            <wp:extent cx="7134860" cy="2857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-2528570</wp:posOffset>
            </wp:positionV>
            <wp:extent cx="7134860" cy="134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-2108200</wp:posOffset>
            </wp:positionV>
            <wp:extent cx="7134860" cy="2857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-1536065</wp:posOffset>
            </wp:positionV>
            <wp:extent cx="7134860" cy="2857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-963930</wp:posOffset>
            </wp:positionV>
            <wp:extent cx="7134860" cy="2857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179705</wp:posOffset>
            </wp:positionV>
            <wp:extent cx="7134860" cy="2857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-391795</wp:posOffset>
            </wp:positionV>
            <wp:extent cx="7134860" cy="4121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860" cy="412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6,766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1,617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(97)</w:t>
      </w:r>
    </w:p>
    <w:p>
      <w:pPr>
        <w:spacing w:after="0" w:line="2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(1,792)</w:t>
      </w:r>
    </w:p>
    <w:p>
      <w:pPr>
        <w:spacing w:after="0" w:line="2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268</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(8)</w:t>
      </w: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343</w:t>
      </w: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52070</wp:posOffset>
            </wp:positionV>
            <wp:extent cx="6394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10340" w:space="420"/>
            <w:col w:w="480"/>
          </w:cols>
          <w:pgMar w:left="320" w:top="225" w:right="339" w:bottom="984" w:gutter="0" w:footer="0" w:header="0"/>
          <w:type w:val="continuous"/>
        </w:sectPr>
      </w:pPr>
    </w:p>
    <w:p>
      <w:pPr>
        <w:spacing w:after="0" w:line="308" w:lineRule="exact"/>
        <w:rPr>
          <w:sz w:val="20"/>
          <w:szCs w:val="20"/>
          <w:color w:val="auto"/>
        </w:rPr>
      </w:pPr>
    </w:p>
    <w:p>
      <w:pPr>
        <w:ind w:left="20"/>
        <w:spacing w:after="0"/>
        <w:tabs>
          <w:tab w:leader="none" w:pos="5780" w:val="left"/>
          <w:tab w:leader="none" w:pos="6340" w:val="left"/>
          <w:tab w:leader="none" w:pos="6900" w:val="left"/>
          <w:tab w:leader="none" w:pos="7580" w:val="left"/>
          <w:tab w:leader="none" w:pos="8020" w:val="left"/>
          <w:tab w:leader="none" w:pos="858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3,056</w:t>
        <w:tab/>
        <w:t>$</w:t>
      </w:r>
      <w:r>
        <w:rPr>
          <w:sz w:val="20"/>
          <w:szCs w:val="20"/>
          <w:color w:val="auto"/>
        </w:rPr>
        <w:tab/>
      </w:r>
      <w:r>
        <w:rPr>
          <w:rFonts w:ascii="Times New Roman" w:cs="Times New Roman" w:eastAsia="Times New Roman" w:hAnsi="Times New Roman"/>
          <w:sz w:val="16"/>
          <w:szCs w:val="16"/>
          <w:color w:val="auto"/>
        </w:rPr>
        <w:t>432</w:t>
        <w:tab/>
        <w:t>$</w:t>
      </w:r>
      <w:r>
        <w:rPr>
          <w:sz w:val="20"/>
          <w:szCs w:val="20"/>
          <w:color w:val="auto"/>
        </w:rPr>
        <w:tab/>
      </w:r>
      <w:r>
        <w:rPr>
          <w:rFonts w:ascii="Times New Roman" w:cs="Times New Roman" w:eastAsia="Times New Roman" w:hAnsi="Times New Roman"/>
          <w:sz w:val="16"/>
          <w:szCs w:val="16"/>
          <w:color w:val="auto"/>
        </w:rPr>
        <w:t>1,152</w:t>
        <w:tab/>
        <w:t>$</w:t>
      </w:r>
      <w:r>
        <w:rPr>
          <w:sz w:val="20"/>
          <w:szCs w:val="20"/>
          <w:color w:val="auto"/>
        </w:rPr>
        <w:tab/>
      </w:r>
      <w:r>
        <w:rPr>
          <w:rFonts w:ascii="Times New Roman" w:cs="Times New Roman" w:eastAsia="Times New Roman" w:hAnsi="Times New Roman"/>
          <w:sz w:val="16"/>
          <w:szCs w:val="16"/>
          <w:color w:val="auto"/>
        </w:rPr>
        <w:t>604</w:t>
      </w:r>
    </w:p>
    <w:p>
      <w:pPr>
        <w:sectPr>
          <w:pgSz w:w="11900" w:h="16838" w:orient="portrait"/>
          <w:cols w:equalWidth="0" w:num="1">
            <w:col w:w="11240"/>
          </w:cols>
          <w:pgMar w:left="320" w:top="225" w:right="339" w:bottom="98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984"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39370</wp:posOffset>
            </wp:positionV>
            <wp:extent cx="34664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66465" cy="8255"/>
                    </a:xfrm>
                    <a:prstGeom prst="rect">
                      <a:avLst/>
                    </a:prstGeom>
                    <a:noFill/>
                  </pic:spPr>
                </pic:pic>
              </a:graphicData>
            </a:graphic>
          </wp:anchor>
        </w:drawing>
      </w:r>
    </w:p>
    <w:p>
      <w:pPr>
        <w:spacing w:after="0" w:line="270" w:lineRule="exact"/>
        <w:rPr>
          <w:sz w:val="20"/>
          <w:szCs w:val="20"/>
          <w:color w:val="auto"/>
        </w:rPr>
      </w:pPr>
    </w:p>
    <w:tbl>
      <w:tblPr>
        <w:tblLayout w:type="fixed"/>
        <w:tblInd w:w="578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tcPr>
          <w:p>
            <w:pPr>
              <w:spacing w:after="0"/>
              <w:rPr>
                <w:sz w:val="14"/>
                <w:szCs w:val="14"/>
                <w:color w:val="auto"/>
              </w:rPr>
            </w:pPr>
          </w:p>
        </w:tc>
      </w:tr>
      <w:tr>
        <w:trPr>
          <w:trHeight w:val="186"/>
        </w:trPr>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393"/>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2857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28575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1,113</w:t>
            </w:r>
          </w:p>
        </w:tc>
        <w:tc>
          <w:tcPr>
            <w:tcW w:w="100" w:type="dxa"/>
            <w:vAlign w:val="bottom"/>
          </w:tcPr>
          <w:p>
            <w:pPr>
              <w:spacing w:after="0"/>
              <w:rPr>
                <w:sz w:val="18"/>
                <w:szCs w:val="18"/>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996</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1"/>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2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7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adjustments</w:t>
            </w:r>
          </w:p>
        </w:tc>
        <w:tc>
          <w:tcPr>
            <w:tcW w:w="3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expenses (2)</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57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$31</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76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7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shareholders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-5448300</wp:posOffset>
            </wp:positionV>
            <wp:extent cx="7134860" cy="2857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-4876165</wp:posOffset>
            </wp:positionV>
            <wp:extent cx="7134860" cy="2857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-4304030</wp:posOffset>
            </wp:positionV>
            <wp:extent cx="7134860" cy="2857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-3731895</wp:posOffset>
            </wp:positionV>
            <wp:extent cx="7134860" cy="2857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-3159760</wp:posOffset>
            </wp:positionV>
            <wp:extent cx="7134860" cy="2857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-2562225</wp:posOffset>
            </wp:positionV>
            <wp:extent cx="7134860" cy="168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-2108200</wp:posOffset>
            </wp:positionV>
            <wp:extent cx="7134860" cy="2857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-1536065</wp:posOffset>
            </wp:positionV>
            <wp:extent cx="7134860" cy="2857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-963930</wp:posOffset>
            </wp:positionV>
            <wp:extent cx="7134860" cy="2857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188595</wp:posOffset>
            </wp:positionV>
            <wp:extent cx="7134860" cy="2857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-391795</wp:posOffset>
            </wp:positionV>
            <wp:extent cx="7134860" cy="4121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4860" cy="412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4,724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1,319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(295)</w:t>
      </w:r>
    </w:p>
    <w:p>
      <w:pPr>
        <w:spacing w:after="0" w:line="2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(3,699)</w:t>
      </w: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2,673</w:t>
      </w:r>
    </w:p>
    <w:p>
      <w:pPr>
        <w:spacing w:after="0" w:line="2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13</w:t>
      </w: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275</w:t>
      </w: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52070</wp:posOffset>
            </wp:positionV>
            <wp:extent cx="6394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10340" w:space="420"/>
            <w:col w:w="480"/>
          </w:cols>
          <w:pgMar w:left="320" w:top="225" w:right="339" w:bottom="1440" w:gutter="0" w:footer="0" w:header="0"/>
          <w:type w:val="continuous"/>
        </w:sectPr>
      </w:pPr>
    </w:p>
    <w:p>
      <w:pPr>
        <w:spacing w:after="0" w:line="321" w:lineRule="exact"/>
        <w:rPr>
          <w:sz w:val="20"/>
          <w:szCs w:val="20"/>
          <w:color w:val="auto"/>
        </w:rPr>
      </w:pPr>
    </w:p>
    <w:p>
      <w:pPr>
        <w:ind w:left="20"/>
        <w:spacing w:after="0"/>
        <w:tabs>
          <w:tab w:leader="none" w:pos="5780" w:val="left"/>
          <w:tab w:leader="none" w:pos="6340" w:val="left"/>
          <w:tab w:leader="none" w:pos="6900" w:val="left"/>
          <w:tab w:leader="none" w:pos="7580" w:val="left"/>
          <w:tab w:leader="none" w:pos="8020" w:val="left"/>
          <w:tab w:leader="none" w:pos="858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2,859</w:t>
        <w:tab/>
        <w:t>$</w:t>
      </w:r>
      <w:r>
        <w:rPr>
          <w:sz w:val="20"/>
          <w:szCs w:val="20"/>
          <w:color w:val="auto"/>
        </w:rPr>
        <w:tab/>
      </w:r>
      <w:r>
        <w:rPr>
          <w:rFonts w:ascii="Times New Roman" w:cs="Times New Roman" w:eastAsia="Times New Roman" w:hAnsi="Times New Roman"/>
          <w:sz w:val="16"/>
          <w:szCs w:val="16"/>
          <w:color w:val="auto"/>
        </w:rPr>
        <w:t>466</w:t>
        <w:tab/>
        <w:t>$</w:t>
      </w:r>
      <w:r>
        <w:rPr>
          <w:sz w:val="20"/>
          <w:szCs w:val="20"/>
          <w:color w:val="auto"/>
        </w:rPr>
        <w:tab/>
      </w:r>
      <w:r>
        <w:rPr>
          <w:rFonts w:ascii="Times New Roman" w:cs="Times New Roman" w:eastAsia="Times New Roman" w:hAnsi="Times New Roman"/>
          <w:sz w:val="16"/>
          <w:szCs w:val="16"/>
          <w:color w:val="auto"/>
        </w:rPr>
        <w:t>1,234</w:t>
        <w:tab/>
        <w:t>$</w:t>
      </w:r>
      <w:r>
        <w:rPr>
          <w:sz w:val="20"/>
          <w:szCs w:val="20"/>
          <w:color w:val="auto"/>
        </w:rPr>
        <w:tab/>
      </w:r>
      <w:r>
        <w:rPr>
          <w:rFonts w:ascii="Times New Roman" w:cs="Times New Roman" w:eastAsia="Times New Roman" w:hAnsi="Times New Roman"/>
          <w:sz w:val="16"/>
          <w:szCs w:val="16"/>
          <w:color w:val="auto"/>
        </w:rPr>
        <w:t>694</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ind w:right="17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3672205</wp:posOffset>
            </wp:positionH>
            <wp:positionV relativeFrom="paragraph">
              <wp:posOffset>39370</wp:posOffset>
            </wp:positionV>
            <wp:extent cx="34664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66465" cy="8255"/>
                    </a:xfrm>
                    <a:prstGeom prst="rect">
                      <a:avLst/>
                    </a:prstGeom>
                    <a:noFill/>
                  </pic:spPr>
                </pic:pic>
              </a:graphicData>
            </a:graphic>
          </wp:anchor>
        </w:drawing>
      </w:r>
    </w:p>
    <w:p>
      <w:pPr>
        <w:spacing w:after="0" w:line="270" w:lineRule="exact"/>
        <w:rPr>
          <w:sz w:val="20"/>
          <w:szCs w:val="20"/>
          <w:color w:val="auto"/>
        </w:rPr>
      </w:pPr>
    </w:p>
    <w:tbl>
      <w:tblPr>
        <w:tblLayout w:type="fixed"/>
        <w:tblInd w:w="5780" w:type="dxa"/>
        <w:tblCellMar>
          <w:top w:w="0" w:type="dxa"/>
          <w:left w:w="0" w:type="dxa"/>
          <w:bottom w:w="0" w:type="dxa"/>
          <w:right w:w="0" w:type="dxa"/>
        </w:tblCellMar>
      </w:tblPr>
      <w:tr>
        <w:trPr>
          <w:trHeight w:val="172"/>
        </w:trPr>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tcPr>
          <w:p>
            <w:pPr>
              <w:spacing w:after="0"/>
              <w:rPr>
                <w:sz w:val="14"/>
                <w:szCs w:val="14"/>
                <w:color w:val="auto"/>
              </w:rPr>
            </w:pPr>
          </w:p>
        </w:tc>
      </w:tr>
      <w:tr>
        <w:trPr>
          <w:trHeight w:val="186"/>
        </w:trPr>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1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393"/>
        </w:trPr>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134860" cy="286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860" cy="286385"/>
                    </a:xfrm>
                    <a:prstGeom prst="rect">
                      <a:avLst/>
                    </a:prstGeom>
                    <a:noFill/>
                  </pic:spPr>
                </pic:pic>
              </a:graphicData>
            </a:graphic>
          </wp:anchor>
        </w:drawing>
      </w:r>
    </w:p>
    <w:p>
      <w:pPr>
        <w:sectPr>
          <w:pgSz w:w="11900" w:h="16838" w:orient="portrait"/>
          <w:cols w:equalWidth="0" w:num="1">
            <w:col w:w="11240"/>
          </w:cols>
          <w:pgMar w:left="320" w:top="225" w:right="339" w:bottom="441" w:gutter="0" w:footer="0" w:header="0"/>
        </w:sect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tcPr>
          <w:p>
            <w:pPr>
              <w:spacing w:after="0"/>
              <w:rPr>
                <w:sz w:val="18"/>
                <w:szCs w:val="18"/>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1,405</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(3,934)</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Segment expenses: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20" w:type="dxa"/>
            <w:vAlign w:val="bottom"/>
          </w:tcPr>
          <w:p>
            <w:pPr>
              <w:spacing w:after="0"/>
              <w:rPr>
                <w:sz w:val="22"/>
                <w:szCs w:val="2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adjustments</w:t>
            </w:r>
          </w:p>
        </w:tc>
        <w:tc>
          <w:tcPr>
            <w:tcW w:w="3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expenses (2)</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5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4"/>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$105</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78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5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shareholders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5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20" w:type="dxa"/>
            <w:vAlign w:val="bottom"/>
          </w:tcPr>
          <w:p>
            <w:pPr>
              <w:spacing w:after="0"/>
              <w:rPr>
                <w:sz w:val="24"/>
                <w:szCs w:val="24"/>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tcPr>
          <w:p>
            <w:pPr>
              <w:spacing w:after="0"/>
              <w:rPr>
                <w:sz w:val="24"/>
                <w:szCs w:val="24"/>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1,141</w:t>
            </w:r>
          </w:p>
        </w:tc>
        <w:tc>
          <w:tcPr>
            <w:tcW w:w="100" w:type="dxa"/>
            <w:vAlign w:val="bottom"/>
          </w:tcPr>
          <w:p>
            <w:pPr>
              <w:spacing w:after="0"/>
              <w:rPr>
                <w:sz w:val="24"/>
                <w:szCs w:val="24"/>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-6083935</wp:posOffset>
            </wp:positionV>
            <wp:extent cx="7134860" cy="2863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4860" cy="2863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-5511800</wp:posOffset>
            </wp:positionV>
            <wp:extent cx="7134860" cy="2857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-4939665</wp:posOffset>
            </wp:positionV>
            <wp:extent cx="7134860" cy="2857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-4367530</wp:posOffset>
            </wp:positionV>
            <wp:extent cx="7134860" cy="2857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-3795395</wp:posOffset>
            </wp:positionV>
            <wp:extent cx="7134860" cy="2857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-3197860</wp:posOffset>
            </wp:positionV>
            <wp:extent cx="7134860" cy="168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-2743835</wp:posOffset>
            </wp:positionV>
            <wp:extent cx="7134860" cy="2857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-2171700</wp:posOffset>
            </wp:positionV>
            <wp:extent cx="7134860" cy="2857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-1599565</wp:posOffset>
            </wp:positionV>
            <wp:extent cx="7134860" cy="2857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-447040</wp:posOffset>
            </wp:positionV>
            <wp:extent cx="7134860" cy="2857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-1027430</wp:posOffset>
            </wp:positionV>
            <wp:extent cx="7134860" cy="4121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4860" cy="4121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4,117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969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(246)</w:t>
      </w:r>
    </w:p>
    <w:p>
      <w:pPr>
        <w:spacing w:after="0" w:line="2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(4,012)</w:t>
      </w:r>
    </w:p>
    <w:p>
      <w:pPr>
        <w:spacing w:after="0" w:line="2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1,507</w:t>
      </w:r>
    </w:p>
    <w:p>
      <w:pPr>
        <w:spacing w:after="0" w:line="26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(12)</w:t>
      </w: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580</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59055</wp:posOffset>
            </wp:positionV>
            <wp:extent cx="6394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1134" w:lineRule="exact"/>
        <w:rPr>
          <w:sz w:val="20"/>
          <w:szCs w:val="20"/>
          <w:color w:val="auto"/>
        </w:rPr>
      </w:pPr>
    </w:p>
    <w:p>
      <w:pPr>
        <w:sectPr>
          <w:pgSz w:w="11900" w:h="16838" w:orient="portrait"/>
          <w:cols w:equalWidth="0" w:num="2">
            <w:col w:w="10340" w:space="420"/>
            <w:col w:w="480"/>
          </w:cols>
          <w:pgMar w:left="320" w:top="225" w:right="339" w:bottom="441" w:gutter="0" w:footer="0" w:header="0"/>
          <w:type w:val="continuous"/>
        </w:sectPr>
      </w:pPr>
    </w:p>
    <w:p>
      <w:pPr>
        <w:ind w:left="320" w:hanging="314"/>
        <w:spacing w:after="0" w:line="274" w:lineRule="auto"/>
        <w:tabs>
          <w:tab w:leader="none" w:pos="31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certain revenues are excluded from adjusted earnings (loss), including net investment gains (losses), investment gains (losses) on trading securities and net derivative gains (losses), excluding Investment Hedge Adjustments.</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corporate expense allocations directly attributable to each of the segments.</w:t>
      </w:r>
    </w:p>
    <w:p>
      <w:pPr>
        <w:sectPr>
          <w:pgSz w:w="11900" w:h="16838" w:orient="portrait"/>
          <w:cols w:equalWidth="0" w:num="1">
            <w:col w:w="11240"/>
          </w:cols>
          <w:pgMar w:left="320" w:top="225" w:right="339" w:bottom="44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441"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assets by segment were as follows at: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2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6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45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166,867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163,830</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8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27,494</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26,261</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88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24,873</w:t>
            </w:r>
          </w:p>
        </w:tc>
      </w:tr>
      <w:tr>
        <w:trPr>
          <w:trHeight w:val="444"/>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8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21,984</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23,573</w:t>
            </w:r>
          </w:p>
        </w:tc>
      </w:tr>
      <w:tr>
        <w:trPr>
          <w:trHeight w:val="476"/>
        </w:trPr>
        <w:tc>
          <w:tcPr>
            <w:tcW w:w="8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880" w:type="dxa"/>
            <w:vAlign w:val="bottom"/>
            <w:tcBorders>
              <w:bottom w:val="single" w:sz="8" w:color="auto"/>
            </w:tcBorders>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241,800</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238,537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premiums, universal life and investment-type product policy fees and other revenues by major product group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
        </w:trPr>
        <w:tc>
          <w:tcPr>
            <w:tcW w:w="66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393"/>
        </w:trPr>
        <w:tc>
          <w:tcPr>
            <w:tcW w:w="666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666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393"/>
        </w:trPr>
        <w:tc>
          <w:tcPr>
            <w:tcW w:w="6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
        </w:trPr>
        <w:tc>
          <w:tcPr>
            <w:tcW w:w="6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45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products</w:t>
            </w: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2,291</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2,319</w:t>
            </w:r>
          </w:p>
        </w:tc>
      </w:tr>
      <w:tr>
        <w:trPr>
          <w:trHeight w:val="441"/>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products</w:t>
            </w:r>
          </w:p>
        </w:tc>
        <w:tc>
          <w:tcPr>
            <w:tcW w:w="940" w:type="dxa"/>
            <w:vAlign w:val="bottom"/>
          </w:tcPr>
          <w:p>
            <w:pPr>
              <w:spacing w:after="0"/>
              <w:rPr>
                <w:sz w:val="24"/>
                <w:szCs w:val="24"/>
                <w:color w:val="auto"/>
              </w:rPr>
            </w:pP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r>
      <w:tr>
        <w:trPr>
          <w:trHeight w:val="453"/>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products</w:t>
            </w:r>
          </w:p>
        </w:tc>
        <w:tc>
          <w:tcPr>
            <w:tcW w:w="94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450"/>
        </w:trPr>
        <w:tc>
          <w:tcPr>
            <w:tcW w:w="6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3,411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w:t>
            </w:r>
          </w:p>
        </w:tc>
        <w:tc>
          <w:tcPr>
            <w:tcW w:w="100" w:type="dxa"/>
            <w:vAlign w:val="bottom"/>
          </w:tcPr>
          <w:p>
            <w:pPr>
              <w:spacing w:after="0"/>
              <w:rPr>
                <w:sz w:val="24"/>
                <w:szCs w:val="24"/>
                <w:color w:val="auto"/>
              </w:rPr>
            </w:pPr>
          </w:p>
        </w:tc>
        <w:tc>
          <w:tcPr>
            <w:tcW w:w="36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w:t>
            </w:r>
          </w:p>
        </w:tc>
      </w:tr>
      <w:tr>
        <w:trPr>
          <w:trHeight w:val="20"/>
        </w:trPr>
        <w:tc>
          <w:tcPr>
            <w:tcW w:w="6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Substantially all of the Company’s premiums, universal life and investment-type product policy fees and other revenues originated in the U.S.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derived from any individual customer did not exceed 10% of premiums, universal life and investment-type product policy fees and other revenues for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LFPBs for non-participating traditional and limited-payment contracts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8"/>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w w:val="99"/>
              </w:rPr>
              <w:t>2025</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2"/>
                <w:szCs w:val="12"/>
                <w:b w:val="1"/>
                <w:bCs w:val="1"/>
                <w:color w:val="auto"/>
              </w:rPr>
              <w:t>Structured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38"/>
              <w:spacing w:after="0" w:line="118" w:lineRule="exact"/>
              <w:rPr>
                <w:sz w:val="20"/>
                <w:szCs w:val="20"/>
                <w:color w:val="auto"/>
              </w:rPr>
            </w:pPr>
            <w:r>
              <w:rPr>
                <w:rFonts w:ascii="Times New Roman" w:cs="Times New Roman" w:eastAsia="Times New Roman" w:hAnsi="Times New Roman"/>
                <w:sz w:val="12"/>
                <w:szCs w:val="12"/>
                <w:b w:val="1"/>
                <w:bCs w:val="1"/>
                <w:color w:val="auto"/>
              </w:rPr>
              <w:t>Structured</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8"/>
              <w:spacing w:after="0" w:line="118" w:lineRule="exact"/>
              <w:rPr>
                <w:sz w:val="20"/>
                <w:szCs w:val="20"/>
                <w:color w:val="auto"/>
              </w:rPr>
            </w:pPr>
            <w:r>
              <w:rPr>
                <w:rFonts w:ascii="Times New Roman" w:cs="Times New Roman" w:eastAsia="Times New Roman" w:hAnsi="Times New Roman"/>
                <w:sz w:val="12"/>
                <w:szCs w:val="12"/>
                <w:b w:val="1"/>
                <w:bCs w:val="1"/>
                <w:color w:val="auto"/>
              </w:rPr>
              <w:t>Structured</w:t>
            </w:r>
          </w:p>
        </w:tc>
        <w:tc>
          <w:tcPr>
            <w:tcW w:w="0" w:type="dxa"/>
            <w:vAlign w:val="bottom"/>
          </w:tcPr>
          <w:p>
            <w:pPr>
              <w:spacing w:after="0"/>
              <w:rPr>
                <w:sz w:val="1"/>
                <w:szCs w:val="1"/>
                <w:color w:val="auto"/>
              </w:rPr>
            </w:pPr>
          </w:p>
        </w:tc>
      </w:tr>
      <w:tr>
        <w:trPr>
          <w:trHeight w:val="126"/>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80"/>
              <w:spacing w:after="0" w:line="126" w:lineRule="exact"/>
              <w:rPr>
                <w:sz w:val="20"/>
                <w:szCs w:val="20"/>
                <w:color w:val="auto"/>
              </w:rPr>
            </w:pPr>
            <w:r>
              <w:rPr>
                <w:rFonts w:ascii="Times New Roman" w:cs="Times New Roman" w:eastAsia="Times New Roman" w:hAnsi="Times New Roman"/>
                <w:sz w:val="12"/>
                <w:szCs w:val="12"/>
                <w:b w:val="1"/>
                <w:bCs w:val="1"/>
                <w:color w:val="auto"/>
              </w:rPr>
              <w:t>Settlement and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100"/>
              <w:spacing w:after="0" w:line="126" w:lineRule="exact"/>
              <w:rPr>
                <w:sz w:val="20"/>
                <w:szCs w:val="20"/>
                <w:color w:val="auto"/>
              </w:rPr>
            </w:pPr>
            <w:r>
              <w:rPr>
                <w:rFonts w:ascii="Times New Roman" w:cs="Times New Roman" w:eastAsia="Times New Roman" w:hAnsi="Times New Roman"/>
                <w:sz w:val="12"/>
                <w:szCs w:val="12"/>
                <w:b w:val="1"/>
                <w:bCs w:val="1"/>
                <w:color w:val="auto"/>
              </w:rPr>
              <w:t>Settlement and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Settlement and</w:t>
            </w:r>
          </w:p>
        </w:tc>
        <w:tc>
          <w:tcPr>
            <w:tcW w:w="0" w:type="dxa"/>
            <w:vAlign w:val="bottom"/>
          </w:tcPr>
          <w:p>
            <w:pPr>
              <w:spacing w:after="0"/>
              <w:rPr>
                <w:sz w:val="1"/>
                <w:szCs w:val="1"/>
                <w:color w:val="auto"/>
              </w:rPr>
            </w:pPr>
          </w:p>
        </w:tc>
      </w:tr>
      <w:tr>
        <w:trPr>
          <w:trHeight w:val="126"/>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rPr>
              <w:t>Term and</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00" w:type="dxa"/>
            <w:vAlign w:val="bottom"/>
          </w:tcPr>
          <w:p>
            <w:pPr>
              <w:spacing w:after="0"/>
              <w:rPr>
                <w:sz w:val="10"/>
                <w:szCs w:val="10"/>
                <w:color w:val="auto"/>
              </w:rPr>
            </w:pPr>
          </w:p>
        </w:tc>
        <w:tc>
          <w:tcPr>
            <w:tcW w:w="90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2"/>
                <w:szCs w:val="12"/>
                <w:b w:val="1"/>
                <w:bCs w:val="1"/>
                <w:color w:val="auto"/>
              </w:rPr>
              <w:t>Pension Risk</w:t>
            </w:r>
          </w:p>
        </w:tc>
        <w:tc>
          <w:tcPr>
            <w:tcW w:w="120" w:type="dxa"/>
            <w:vAlign w:val="bottom"/>
          </w:tcPr>
          <w:p>
            <w:pPr>
              <w:spacing w:after="0"/>
              <w:rPr>
                <w:sz w:val="10"/>
                <w:szCs w:val="10"/>
                <w:color w:val="auto"/>
              </w:rPr>
            </w:pPr>
          </w:p>
        </w:tc>
        <w:tc>
          <w:tcPr>
            <w:tcW w:w="780" w:type="dxa"/>
            <w:vAlign w:val="bottom"/>
          </w:tcPr>
          <w:p>
            <w:pPr>
              <w:jc w:val="center"/>
              <w:ind w:right="38"/>
              <w:spacing w:after="0" w:line="126" w:lineRule="exact"/>
              <w:rPr>
                <w:sz w:val="20"/>
                <w:szCs w:val="20"/>
                <w:color w:val="auto"/>
              </w:rPr>
            </w:pPr>
            <w:r>
              <w:rPr>
                <w:rFonts w:ascii="Times New Roman" w:cs="Times New Roman" w:eastAsia="Times New Roman" w:hAnsi="Times New Roman"/>
                <w:sz w:val="12"/>
                <w:szCs w:val="12"/>
                <w:b w:val="1"/>
                <w:bCs w:val="1"/>
                <w:color w:val="auto"/>
              </w:rPr>
              <w:t>Term and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2"/>
                <w:szCs w:val="12"/>
                <w:b w:val="1"/>
                <w:bCs w:val="1"/>
                <w:color w:val="auto"/>
              </w:rPr>
              <w:t>Pension Risk</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6" w:lineRule="exact"/>
              <w:rPr>
                <w:sz w:val="20"/>
                <w:szCs w:val="20"/>
                <w:color w:val="auto"/>
              </w:rPr>
            </w:pPr>
            <w:r>
              <w:rPr>
                <w:rFonts w:ascii="Times New Roman" w:cs="Times New Roman" w:eastAsia="Times New Roman" w:hAnsi="Times New Roman"/>
                <w:sz w:val="12"/>
                <w:szCs w:val="12"/>
                <w:b w:val="1"/>
                <w:bCs w:val="1"/>
                <w:color w:val="auto"/>
                <w:w w:val="97"/>
              </w:rPr>
              <w:t>Term and</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Income</w:t>
            </w:r>
          </w:p>
        </w:tc>
        <w:tc>
          <w:tcPr>
            <w:tcW w:w="100" w:type="dxa"/>
            <w:vAlign w:val="bottom"/>
          </w:tcPr>
          <w:p>
            <w:pPr>
              <w:spacing w:after="0"/>
              <w:rPr>
                <w:sz w:val="10"/>
                <w:szCs w:val="10"/>
                <w:color w:val="auto"/>
              </w:rPr>
            </w:pPr>
          </w:p>
        </w:tc>
        <w:tc>
          <w:tcPr>
            <w:tcW w:w="820" w:type="dxa"/>
            <w:vAlign w:val="bottom"/>
          </w:tcPr>
          <w:p>
            <w:pPr>
              <w:jc w:val="center"/>
              <w:ind w:right="38"/>
              <w:spacing w:after="0" w:line="126" w:lineRule="exact"/>
              <w:rPr>
                <w:sz w:val="20"/>
                <w:szCs w:val="20"/>
                <w:color w:val="auto"/>
              </w:rPr>
            </w:pPr>
            <w:r>
              <w:rPr>
                <w:rFonts w:ascii="Times New Roman" w:cs="Times New Roman" w:eastAsia="Times New Roman" w:hAnsi="Times New Roman"/>
                <w:sz w:val="12"/>
                <w:szCs w:val="12"/>
                <w:b w:val="1"/>
                <w:bCs w:val="1"/>
                <w:color w:val="auto"/>
              </w:rPr>
              <w:t>Pension Risk</w:t>
            </w: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Whole Life</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Transfer</w:t>
            </w:r>
          </w:p>
        </w:tc>
        <w:tc>
          <w:tcPr>
            <w:tcW w:w="120" w:type="dxa"/>
            <w:vAlign w:val="bottom"/>
          </w:tcPr>
          <w:p>
            <w:pPr>
              <w:spacing w:after="0"/>
              <w:rPr>
                <w:sz w:val="10"/>
                <w:szCs w:val="10"/>
                <w:color w:val="auto"/>
              </w:rPr>
            </w:pPr>
          </w:p>
        </w:tc>
        <w:tc>
          <w:tcPr>
            <w:tcW w:w="780" w:type="dxa"/>
            <w:vAlign w:val="bottom"/>
          </w:tcPr>
          <w:p>
            <w:pPr>
              <w:jc w:val="center"/>
              <w:ind w:right="58"/>
              <w:spacing w:after="0" w:line="120" w:lineRule="exact"/>
              <w:rPr>
                <w:sz w:val="20"/>
                <w:szCs w:val="20"/>
                <w:color w:val="auto"/>
              </w:rPr>
            </w:pPr>
            <w:r>
              <w:rPr>
                <w:rFonts w:ascii="Times New Roman" w:cs="Times New Roman" w:eastAsia="Times New Roman" w:hAnsi="Times New Roman"/>
                <w:sz w:val="12"/>
                <w:szCs w:val="12"/>
                <w:b w:val="1"/>
                <w:bCs w:val="1"/>
                <w:color w:val="auto"/>
              </w:rPr>
              <w:t>Whole Life</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Transfer</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Whole Life</w:t>
            </w:r>
          </w:p>
        </w:tc>
        <w:tc>
          <w:tcPr>
            <w:tcW w:w="1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18"/>
              <w:spacing w:after="0" w:line="120" w:lineRule="exact"/>
              <w:rPr>
                <w:sz w:val="20"/>
                <w:szCs w:val="20"/>
                <w:color w:val="auto"/>
              </w:rPr>
            </w:pPr>
            <w:r>
              <w:rPr>
                <w:rFonts w:ascii="Times New Roman" w:cs="Times New Roman" w:eastAsia="Times New Roman" w:hAnsi="Times New Roman"/>
                <w:sz w:val="12"/>
                <w:szCs w:val="12"/>
                <w:b w:val="1"/>
                <w:bCs w:val="1"/>
                <w:color w:val="auto"/>
              </w:rPr>
              <w:t>Transfer</w:t>
            </w:r>
          </w:p>
        </w:tc>
        <w:tc>
          <w:tcPr>
            <w:tcW w:w="0" w:type="dxa"/>
            <w:vAlign w:val="bottom"/>
          </w:tcPr>
          <w:p>
            <w:pPr>
              <w:spacing w:after="0"/>
              <w:rPr>
                <w:sz w:val="1"/>
                <w:szCs w:val="1"/>
                <w:color w:val="auto"/>
              </w:rPr>
            </w:pPr>
          </w:p>
        </w:tc>
      </w:tr>
      <w:tr>
        <w:trPr>
          <w:trHeight w:val="179"/>
        </w:trPr>
        <w:tc>
          <w:tcPr>
            <w:tcW w:w="23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67"/>
        </w:trPr>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Present value of expected net premiums: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year</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2,808</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2,974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2,871</w:t>
            </w:r>
          </w:p>
        </w:tc>
        <w:tc>
          <w:tcPr>
            <w:tcW w:w="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Beginning balance at original discount rate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3,161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3,234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3,212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Effect of model refinements</w:t>
            </w:r>
          </w:p>
        </w:tc>
        <w:tc>
          <w:tcPr>
            <w:tcW w:w="12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changes in cash flow assumptions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(116)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128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238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Effect of actual variances from expected</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experience</w:t>
            </w:r>
          </w:p>
        </w:tc>
        <w:tc>
          <w:tcPr>
            <w:tcW w:w="120" w:type="dxa"/>
            <w:vAlign w:val="bottom"/>
          </w:tcPr>
          <w:p>
            <w:pPr>
              <w:spacing w:after="0"/>
              <w:rPr>
                <w:sz w:val="15"/>
                <w:szCs w:val="15"/>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2"/>
        </w:trPr>
        <w:tc>
          <w:tcPr>
            <w:tcW w:w="23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Adjusted beginning of year balance</w:t>
            </w: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2,995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3,373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3,413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w:t>
            </w:r>
          </w:p>
        </w:tc>
        <w:tc>
          <w:tcPr>
            <w:tcW w:w="12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accrual</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104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premiums collected</w:t>
            </w:r>
          </w:p>
        </w:tc>
        <w:tc>
          <w:tcPr>
            <w:tcW w:w="12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(366)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(392)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(384)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2"/>
        </w:trPr>
        <w:tc>
          <w:tcPr>
            <w:tcW w:w="238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Ending balance at original discount rate</w:t>
            </w:r>
          </w:p>
        </w:tc>
        <w:tc>
          <w:tcPr>
            <w:tcW w:w="1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2,747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3,161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3,234</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238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Effect of changes in discount rate</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assumptions</w:t>
            </w:r>
          </w:p>
        </w:tc>
        <w:tc>
          <w:tcPr>
            <w:tcW w:w="120" w:type="dxa"/>
            <w:vAlign w:val="bottom"/>
          </w:tcPr>
          <w:p>
            <w:pPr>
              <w:spacing w:after="0"/>
              <w:rPr>
                <w:sz w:val="15"/>
                <w:szCs w:val="15"/>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(243)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(353)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8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(260)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23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Balance,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2,504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2,808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2,974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b w:val="1"/>
                <w:bCs w:val="1"/>
                <w:color w:val="auto"/>
              </w:rPr>
              <w:t>Present value of expected future policy</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3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8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5,325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3,763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6,118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5,507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3,754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6,697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5,279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3,512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6,793</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Beginning balance at original discount rate</w:t>
            </w:r>
          </w:p>
        </w:tc>
        <w:tc>
          <w:tcPr>
            <w:tcW w:w="12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5,989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4,161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6,876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6,023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4,031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7,085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5,922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3,897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7,410</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model refinements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Effect of changes in cash flow assumptions</w:t>
            </w:r>
          </w:p>
        </w:tc>
        <w:tc>
          <w:tcPr>
            <w:tcW w:w="120" w:type="dxa"/>
            <w:vAlign w:val="bottom"/>
          </w:tcPr>
          <w:p>
            <w:pPr>
              <w:spacing w:after="0"/>
              <w:rPr>
                <w:sz w:val="14"/>
                <w:szCs w:val="14"/>
                <w:color w:val="auto"/>
              </w:rPr>
            </w:pPr>
          </w:p>
        </w:tc>
        <w:tc>
          <w:tcPr>
            <w:tcW w:w="76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208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25"/>
        </w:trPr>
        <w:tc>
          <w:tcPr>
            <w:tcW w:w="23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Effect of actual variances from expected</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experience</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(38)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(47)</w:t>
            </w:r>
          </w:p>
        </w:tc>
        <w:tc>
          <w:tcPr>
            <w:tcW w:w="0" w:type="dxa"/>
            <w:vAlign w:val="bottom"/>
          </w:tcPr>
          <w:p>
            <w:pPr>
              <w:spacing w:after="0"/>
              <w:rPr>
                <w:sz w:val="1"/>
                <w:szCs w:val="1"/>
                <w:color w:val="auto"/>
              </w:rPr>
            </w:pPr>
          </w:p>
        </w:tc>
      </w:tr>
      <w:tr>
        <w:trPr>
          <w:trHeight w:val="159"/>
        </w:trPr>
        <w:tc>
          <w:tcPr>
            <w:tcW w:w="2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Adjusted beginning of year balance</w:t>
            </w: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5,784</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4,141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rPr>
              <w:t>6,873</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6,232</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4,008</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7,157</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6,216</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3,863</w:t>
            </w: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7,363</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72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99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accrual</w:t>
            </w:r>
          </w:p>
        </w:tc>
        <w:tc>
          <w:tcPr>
            <w:tcW w:w="12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157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293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217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140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314</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 payments</w:t>
            </w: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(494)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(413)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(531)</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(534)</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(400)</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(586)</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(509)</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(346)</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(592)</w:t>
            </w:r>
          </w:p>
        </w:tc>
        <w:tc>
          <w:tcPr>
            <w:tcW w:w="0" w:type="dxa"/>
            <w:vAlign w:val="bottom"/>
          </w:tcPr>
          <w:p>
            <w:pPr>
              <w:spacing w:after="0"/>
              <w:rPr>
                <w:sz w:val="1"/>
                <w:szCs w:val="1"/>
                <w:color w:val="auto"/>
              </w:rPr>
            </w:pPr>
          </w:p>
        </w:tc>
      </w:tr>
      <w:tr>
        <w:trPr>
          <w:trHeight w:val="159"/>
        </w:trPr>
        <w:tc>
          <w:tcPr>
            <w:tcW w:w="2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Ending balance at original discount rate</w:t>
            </w:r>
          </w:p>
        </w:tc>
        <w:tc>
          <w:tcPr>
            <w:tcW w:w="12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5,513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4,272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6,635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5,989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4,161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6,876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4,031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7,085</w:t>
            </w:r>
          </w:p>
        </w:tc>
        <w:tc>
          <w:tcPr>
            <w:tcW w:w="0" w:type="dxa"/>
            <w:vAlign w:val="bottom"/>
          </w:tcPr>
          <w:p>
            <w:pPr>
              <w:spacing w:after="0"/>
              <w:rPr>
                <w:sz w:val="1"/>
                <w:szCs w:val="1"/>
                <w:color w:val="auto"/>
              </w:rPr>
            </w:pPr>
          </w:p>
        </w:tc>
      </w:tr>
      <w:tr>
        <w:trPr>
          <w:trHeight w:val="125"/>
        </w:trPr>
        <w:tc>
          <w:tcPr>
            <w:tcW w:w="23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Effect of changes in discount rate</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assumptions</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(460)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(287)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(626)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(664)</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(398)</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(758)</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(516)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(277)</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(388)</w:t>
            </w:r>
          </w:p>
        </w:tc>
        <w:tc>
          <w:tcPr>
            <w:tcW w:w="0" w:type="dxa"/>
            <w:vAlign w:val="bottom"/>
          </w:tcPr>
          <w:p>
            <w:pPr>
              <w:spacing w:after="0"/>
              <w:rPr>
                <w:sz w:val="1"/>
                <w:szCs w:val="1"/>
                <w:color w:val="auto"/>
              </w:rPr>
            </w:pPr>
          </w:p>
        </w:tc>
      </w:tr>
      <w:tr>
        <w:trPr>
          <w:trHeight w:val="165"/>
        </w:trPr>
        <w:tc>
          <w:tcPr>
            <w:tcW w:w="2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Balance, end of year</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5,053</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3,985</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rPr>
              <w:t>6,009</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5,325</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3,763</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6,118</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5,507</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3,754</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6,697</w:t>
            </w:r>
          </w:p>
        </w:tc>
        <w:tc>
          <w:tcPr>
            <w:tcW w:w="0" w:type="dxa"/>
            <w:vAlign w:val="bottom"/>
          </w:tcPr>
          <w:p>
            <w:pPr>
              <w:spacing w:after="0"/>
              <w:rPr>
                <w:sz w:val="1"/>
                <w:szCs w:val="1"/>
                <w:color w:val="auto"/>
              </w:rPr>
            </w:pPr>
          </w:p>
        </w:tc>
      </w:tr>
      <w:tr>
        <w:trPr>
          <w:trHeight w:val="20"/>
        </w:trPr>
        <w:tc>
          <w:tcPr>
            <w:tcW w:w="2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38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Net liability for future policy benefits, end of</w:t>
            </w:r>
          </w:p>
        </w:tc>
        <w:tc>
          <w:tcPr>
            <w:tcW w:w="1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2,549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3,985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6,009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2,517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3,763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6,118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2,533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3,754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6,697</w:t>
            </w:r>
          </w:p>
        </w:tc>
        <w:tc>
          <w:tcPr>
            <w:tcW w:w="0" w:type="dxa"/>
            <w:vAlign w:val="bottom"/>
          </w:tcPr>
          <w:p>
            <w:pPr>
              <w:spacing w:after="0"/>
              <w:rPr>
                <w:sz w:val="1"/>
                <w:szCs w:val="1"/>
                <w:color w:val="auto"/>
              </w:rPr>
            </w:pPr>
          </w:p>
        </w:tc>
      </w:tr>
      <w:tr>
        <w:trPr>
          <w:trHeight w:val="166"/>
        </w:trPr>
        <w:tc>
          <w:tcPr>
            <w:tcW w:w="2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Less: Reinsurance recoverable, end of year</w:t>
            </w: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2"/>
                <w:szCs w:val="12"/>
                <w:color w:val="auto"/>
              </w:rPr>
              <w:t>56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31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31</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2"/>
                <w:szCs w:val="12"/>
                <w:color w:val="auto"/>
              </w:rPr>
              <w:t>65</w:t>
            </w:r>
          </w:p>
        </w:tc>
        <w:tc>
          <w:tcPr>
            <w:tcW w:w="0" w:type="dxa"/>
            <w:vAlign w:val="bottom"/>
          </w:tcPr>
          <w:p>
            <w:pPr>
              <w:spacing w:after="0"/>
              <w:rPr>
                <w:sz w:val="1"/>
                <w:szCs w:val="1"/>
                <w:color w:val="auto"/>
              </w:rPr>
            </w:pPr>
          </w:p>
        </w:tc>
      </w:tr>
      <w:tr>
        <w:trPr>
          <w:trHeight w:val="105"/>
        </w:trPr>
        <w:tc>
          <w:tcPr>
            <w:tcW w:w="2380" w:type="dxa"/>
            <w:vAlign w:val="bottom"/>
            <w:shd w:val="clear" w:color="auto" w:fill="CCEEFF"/>
          </w:tcPr>
          <w:p>
            <w:pPr>
              <w:ind w:left="20"/>
              <w:spacing w:after="0" w:line="106" w:lineRule="exact"/>
              <w:rPr>
                <w:sz w:val="20"/>
                <w:szCs w:val="20"/>
                <w:color w:val="auto"/>
              </w:rPr>
            </w:pPr>
            <w:r>
              <w:rPr>
                <w:rFonts w:ascii="Times New Roman" w:cs="Times New Roman" w:eastAsia="Times New Roman" w:hAnsi="Times New Roman"/>
                <w:sz w:val="12"/>
                <w:szCs w:val="12"/>
                <w:color w:val="auto"/>
              </w:rPr>
              <w:t>Net liability for future policy benefits, after</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2,523</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3,953</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vMerge w:val="restart"/>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5,953</w:t>
            </w:r>
          </w:p>
        </w:tc>
        <w:tc>
          <w:tcPr>
            <w:tcW w:w="8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2,488</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3,732</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6,059</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2,491</w:t>
            </w:r>
          </w:p>
        </w:tc>
        <w:tc>
          <w:tcPr>
            <w:tcW w:w="10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3,723</w:t>
            </w:r>
          </w:p>
        </w:tc>
        <w:tc>
          <w:tcPr>
            <w:tcW w:w="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vMerge w:val="restart"/>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6,632</w:t>
            </w:r>
          </w:p>
        </w:tc>
        <w:tc>
          <w:tcPr>
            <w:tcW w:w="0" w:type="dxa"/>
            <w:vAlign w:val="bottom"/>
          </w:tcPr>
          <w:p>
            <w:pPr>
              <w:spacing w:after="0"/>
              <w:rPr>
                <w:sz w:val="1"/>
                <w:szCs w:val="1"/>
                <w:color w:val="auto"/>
              </w:rPr>
            </w:pPr>
          </w:p>
        </w:tc>
      </w:tr>
      <w:tr>
        <w:trPr>
          <w:trHeight w:val="179"/>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reinsurance recoverable</w:t>
            </w: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240" w:type="dxa"/>
            <w:vAlign w:val="bottom"/>
            <w:gridSpan w:val="2"/>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Weighted-average duration of liability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 years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 years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 years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 years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 years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 years</w:t>
            </w:r>
          </w:p>
        </w:tc>
        <w:tc>
          <w:tcPr>
            <w:tcW w:w="0" w:type="dxa"/>
            <w:vAlign w:val="bottom"/>
          </w:tcPr>
          <w:p>
            <w:pPr>
              <w:spacing w:after="0"/>
              <w:rPr>
                <w:sz w:val="1"/>
                <w:szCs w:val="1"/>
                <w:color w:val="auto"/>
              </w:rPr>
            </w:pPr>
          </w:p>
        </w:tc>
      </w:tr>
      <w:tr>
        <w:trPr>
          <w:trHeight w:val="178"/>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Weighted-average interest accretion rate</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4.13 %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4.47 %</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4.03 %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3.94 %</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3.97 %</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4.46 %</w:t>
            </w:r>
          </w:p>
        </w:tc>
        <w:tc>
          <w:tcPr>
            <w:tcW w:w="0" w:type="dxa"/>
            <w:vAlign w:val="bottom"/>
          </w:tcPr>
          <w:p>
            <w:pPr>
              <w:spacing w:after="0"/>
              <w:rPr>
                <w:sz w:val="1"/>
                <w:szCs w:val="1"/>
                <w:color w:val="auto"/>
              </w:rPr>
            </w:pPr>
          </w:p>
        </w:tc>
      </w:tr>
      <w:tr>
        <w:trPr>
          <w:trHeight w:val="166"/>
        </w:trPr>
        <w:tc>
          <w:tcPr>
            <w:tcW w:w="2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Current discount rate</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5.13 %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5.42 %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5.47 %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5.64 %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4.94 %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4.95 %</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5.03 %</w:t>
            </w:r>
          </w:p>
        </w:tc>
        <w:tc>
          <w:tcPr>
            <w:tcW w:w="0" w:type="dxa"/>
            <w:vAlign w:val="bottom"/>
          </w:tcPr>
          <w:p>
            <w:pPr>
              <w:spacing w:after="0"/>
              <w:rPr>
                <w:sz w:val="1"/>
                <w:szCs w:val="1"/>
                <w:color w:val="auto"/>
              </w:rPr>
            </w:pPr>
          </w:p>
        </w:tc>
      </w:tr>
      <w:tr>
        <w:trPr>
          <w:trHeight w:val="125"/>
        </w:trPr>
        <w:tc>
          <w:tcPr>
            <w:tcW w:w="238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Gross premiums or assessments recognized</w:t>
            </w: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during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511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499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238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Expected future gross premiums,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undiscounted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5,121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5,909</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6,172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1"/>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Expected future gross premiums, discounted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3,826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4,352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4,642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9"/>
        </w:trPr>
        <w:tc>
          <w:tcPr>
            <w:tcW w:w="238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Expected future benefit payments,</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undiscounted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7,395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6,013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118"/>
              <w:spacing w:after="0"/>
              <w:rPr>
                <w:sz w:val="20"/>
                <w:szCs w:val="20"/>
                <w:color w:val="auto"/>
              </w:rPr>
            </w:pPr>
            <w:r>
              <w:rPr>
                <w:rFonts w:ascii="Times New Roman" w:cs="Times New Roman" w:eastAsia="Times New Roman" w:hAnsi="Times New Roman"/>
                <w:sz w:val="12"/>
                <w:szCs w:val="12"/>
                <w:color w:val="auto"/>
              </w:rPr>
              <w:t>12,820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8,164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5,863</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13,336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8,332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5,710</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13,767</w:t>
            </w:r>
          </w:p>
        </w:tc>
        <w:tc>
          <w:tcPr>
            <w:tcW w:w="0" w:type="dxa"/>
            <w:vAlign w:val="bottom"/>
          </w:tcPr>
          <w:p>
            <w:pPr>
              <w:spacing w:after="0"/>
              <w:rPr>
                <w:sz w:val="1"/>
                <w:szCs w:val="1"/>
                <w:color w:val="auto"/>
              </w:rPr>
            </w:pPr>
          </w:p>
        </w:tc>
      </w:tr>
      <w:tr>
        <w:trPr>
          <w:trHeight w:val="128"/>
        </w:trPr>
        <w:tc>
          <w:tcPr>
            <w:tcW w:w="23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2"/>
                <w:szCs w:val="12"/>
                <w:color w:val="auto"/>
              </w:rPr>
              <w:t>Expected future benefit payments,</w:t>
            </w: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discounted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5,513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4,272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2"/>
                <w:szCs w:val="12"/>
                <w:color w:val="auto"/>
              </w:rPr>
              <w:t>6,635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5,989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4,161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6,876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6,023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4,031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7,085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measurement of LFPBs can be significantly impacted by changes in assumptions for policyholder behavior. As part of the 2025 and 2024 annual actuarial reviews (“AAR”), the Company updated assumptions regarding mortality and lapses for term participating and non-participating whole life insurance. The impact from changes in assumptions is presented in effect of changes in cash flow assumptions in the table above.</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additional insurance liabilities for universal life-type contracts with secondary guarantees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40" w:type="dxa"/>
            <w:vAlign w:val="bottom"/>
            <w:gridSpan w:val="6"/>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0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06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7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7,607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6,935</w:t>
            </w:r>
          </w:p>
        </w:tc>
        <w:tc>
          <w:tcPr>
            <w:tcW w:w="0" w:type="dxa"/>
            <w:vAlign w:val="bottom"/>
          </w:tcPr>
          <w:p>
            <w:pPr>
              <w:spacing w:after="0"/>
              <w:rPr>
                <w:sz w:val="1"/>
                <w:szCs w:val="1"/>
                <w:color w:val="auto"/>
              </w:rPr>
            </w:pPr>
          </w:p>
        </w:tc>
      </w:tr>
      <w:tr>
        <w:trPr>
          <w:trHeight w:val="210"/>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 before the effect of unrealized gains and losses</w:t>
            </w:r>
          </w:p>
        </w:tc>
        <w:tc>
          <w:tcPr>
            <w:tcW w:w="32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9,277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7,784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7,175</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cash flow assumptions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beginning of year balance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9,890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8,846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7,372</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accrual</w:t>
            </w:r>
          </w:p>
        </w:tc>
        <w:tc>
          <w:tcPr>
            <w:tcW w:w="320" w:type="dxa"/>
            <w:vAlign w:val="bottom"/>
          </w:tcPr>
          <w:p>
            <w:pPr>
              <w:spacing w:after="0"/>
              <w:rPr>
                <w:sz w:val="18"/>
                <w:szCs w:val="18"/>
                <w:color w:val="auto"/>
              </w:rPr>
            </w:pP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assessments collected</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414</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Benefit payments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before the effect of unrealized gains and losses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10,298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9,277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7,784</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unrealized gains and losses</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(177)</w:t>
            </w:r>
          </w:p>
        </w:tc>
        <w:tc>
          <w:tcPr>
            <w:tcW w:w="0" w:type="dxa"/>
            <w:vAlign w:val="bottom"/>
          </w:tcPr>
          <w:p>
            <w:pPr>
              <w:spacing w:after="0"/>
              <w:rPr>
                <w:sz w:val="1"/>
                <w:szCs w:val="1"/>
                <w:color w:val="auto"/>
              </w:rPr>
            </w:pPr>
          </w:p>
        </w:tc>
      </w:tr>
      <w:tr>
        <w:trPr>
          <w:trHeight w:val="20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8,986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7,607</w:t>
            </w:r>
          </w:p>
        </w:tc>
        <w:tc>
          <w:tcPr>
            <w:tcW w:w="0" w:type="dxa"/>
            <w:vAlign w:val="bottom"/>
          </w:tcPr>
          <w:p>
            <w:pPr>
              <w:spacing w:after="0"/>
              <w:rPr>
                <w:sz w:val="1"/>
                <w:szCs w:val="1"/>
                <w:color w:val="auto"/>
              </w:rPr>
            </w:pPr>
          </w:p>
        </w:tc>
      </w:tr>
      <w:tr>
        <w:trPr>
          <w:trHeight w:val="210"/>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Reinsurance recoverable, end of year</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1,801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1,535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1,438</w:t>
            </w:r>
          </w:p>
        </w:tc>
        <w:tc>
          <w:tcPr>
            <w:tcW w:w="0" w:type="dxa"/>
            <w:vAlign w:val="bottom"/>
          </w:tcPr>
          <w:p>
            <w:pPr>
              <w:spacing w:after="0"/>
              <w:rPr>
                <w:sz w:val="1"/>
                <w:szCs w:val="1"/>
                <w:color w:val="auto"/>
              </w:rPr>
            </w:pPr>
          </w:p>
        </w:tc>
      </w:tr>
      <w:tr>
        <w:trPr>
          <w:trHeight w:val="232"/>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additional liability, after reinsurance recoverable</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8,276</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7,451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6,169</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Weighted-average duration of liability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0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6.6 years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6.6 years</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6.7 years</w:t>
            </w:r>
          </w:p>
        </w:tc>
        <w:tc>
          <w:tcPr>
            <w:tcW w:w="0" w:type="dxa"/>
            <w:vAlign w:val="bottom"/>
          </w:tcPr>
          <w:p>
            <w:pPr>
              <w:spacing w:after="0"/>
              <w:rPr>
                <w:sz w:val="1"/>
                <w:szCs w:val="1"/>
                <w:color w:val="auto"/>
              </w:rPr>
            </w:pP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interest accretion rate</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4.92 %</w:t>
            </w:r>
          </w:p>
        </w:tc>
        <w:tc>
          <w:tcPr>
            <w:tcW w:w="0" w:type="dxa"/>
            <w:vAlign w:val="bottom"/>
          </w:tcPr>
          <w:p>
            <w:pPr>
              <w:spacing w:after="0"/>
              <w:rPr>
                <w:sz w:val="1"/>
                <w:szCs w:val="1"/>
                <w:color w:val="auto"/>
              </w:rPr>
            </w:pPr>
          </w:p>
        </w:tc>
      </w:tr>
      <w:tr>
        <w:trPr>
          <w:trHeight w:val="208"/>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assessments recognized during period</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1,076</w:t>
            </w:r>
          </w:p>
        </w:tc>
        <w:tc>
          <w:tcPr>
            <w:tcW w:w="100" w:type="dxa"/>
            <w:vAlign w:val="bottom"/>
          </w:tcPr>
          <w:p>
            <w:pPr>
              <w:spacing w:after="0"/>
              <w:rPr>
                <w:sz w:val="18"/>
                <w:szCs w:val="18"/>
                <w:color w:val="auto"/>
              </w:rPr>
            </w:pPr>
          </w:p>
        </w:tc>
        <w:tc>
          <w:tcPr>
            <w:tcW w:w="32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1,064</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measurement of liabilities for secondary guarantees can be significantly impacted by changes in assumptions for policyholder behavior, as well as the expected general account rate of return, which is driven by the Company’s assumption for long-term treasury yields. The Company’s practice of projecting treasury yields uses a mean reversion approach that assumes that long-term interest rates are less influenced by short-term fluctuations and are only changed when sustained interim deviations are expected. As part of the 2025 and 2024 AARs, the Company updated assumptions regarding policyholder behavior, including mortality, premium persistency, lapses and withdrawals. In 2025, the Company also increased the long-term general account earned rate, driven by an increase in the mean reversion rate, from 4.00% to 4.50%. The impact from changes in assumptions, excluding the effects on the ULSG liability for profits followed by losses, is presented in effect of changes in cash flow assumptions in the table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38"/>
        </w:trPr>
        <w:tc>
          <w:tcPr>
            <w:tcW w:w="8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7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r>
      <w:tr>
        <w:trPr>
          <w:trHeight w:val="38"/>
        </w:trPr>
        <w:tc>
          <w:tcPr>
            <w:tcW w:w="8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2"/>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reported in the preceding rollforward tables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21,384</w:t>
            </w:r>
          </w:p>
        </w:tc>
      </w:tr>
      <w:tr>
        <w:trPr>
          <w:trHeight w:val="210"/>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care insurance (1)</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5,190</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ULSG liabilities, including liability for profits followed by losses (2)</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10"/>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Participating whole life insurance (3)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3,217</w:t>
            </w:r>
          </w:p>
        </w:tc>
      </w:tr>
      <w:tr>
        <w:trPr>
          <w:trHeight w:val="21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profit liabilities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r>
      <w:tr>
        <w:trPr>
          <w:trHeight w:val="210"/>
        </w:trPr>
        <w:tc>
          <w:tcPr>
            <w:tcW w:w="8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32"/>
        </w:trPr>
        <w:tc>
          <w:tcPr>
            <w:tcW w:w="8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liability for future policy benefits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31,475</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fully reinsured individual long-term care insurance. See Notes 2 and 7.</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assumptions for ULSG liabilities, including the liability for profits followed by losses was ($1.2) billion for the year ended December 31, 2025.</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December 31, 2025 and 2024, and 38% and 39% of gross traditional life insurance premiums for the years ended December 31,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policyholder account balances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Variable Annuities</w:t>
            </w:r>
          </w:p>
        </w:tc>
        <w:tc>
          <w:tcPr>
            <w:tcW w:w="160" w:type="dxa"/>
            <w:vAlign w:val="bottom"/>
          </w:tcPr>
          <w:p>
            <w:pPr>
              <w:spacing w:after="0"/>
              <w:rPr>
                <w:sz w:val="12"/>
                <w:szCs w:val="12"/>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Fixed Rate</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right"/>
              <w:ind w:right="9"/>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9"/>
        </w:trPr>
        <w:tc>
          <w:tcPr>
            <w:tcW w:w="4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Life Insurance (1)</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2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48,605</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14,665</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4,779</w:t>
            </w:r>
          </w:p>
        </w:tc>
        <w:tc>
          <w:tcPr>
            <w:tcW w:w="120" w:type="dxa"/>
            <w:vAlign w:val="bottom"/>
          </w:tcPr>
          <w:p>
            <w:pPr>
              <w:spacing w:after="0"/>
              <w:rPr>
                <w:sz w:val="16"/>
                <w:szCs w:val="16"/>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8,396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1,225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604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(605)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(7,861)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(2,835)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4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(524)</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(960)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3,102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9"/>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3,403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52,594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13,252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4,461</w:t>
            </w: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3.33 %</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2.78 %</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4,307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41,627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14,672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5,052</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4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8,228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1,127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(5,532)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(1,356)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500</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4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(988)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4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3,956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4"/>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48,605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14,665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2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3.58 %</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3.84 %</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3.32 %</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3.63 %</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2,658</w:t>
            </w:r>
          </w:p>
        </w:tc>
        <w:tc>
          <w:tcPr>
            <w:tcW w:w="10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4,908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33,897</w:t>
            </w:r>
          </w:p>
        </w:tc>
        <w:tc>
          <w:tcPr>
            <w:tcW w:w="1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14,274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5,307</w:t>
            </w:r>
          </w:p>
        </w:tc>
        <w:tc>
          <w:tcPr>
            <w:tcW w:w="120" w:type="dxa"/>
            <w:vAlign w:val="bottom"/>
          </w:tcPr>
          <w:p>
            <w:pPr>
              <w:spacing w:after="0"/>
              <w:rPr>
                <w:sz w:val="16"/>
                <w:szCs w:val="16"/>
                <w:color w:val="auto"/>
              </w:rPr>
            </w:pPr>
          </w:p>
        </w:tc>
        <w:tc>
          <w:tcPr>
            <w:tcW w:w="34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641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7,183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(3,732)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(2,405)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(377)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40" w:type="dxa"/>
            <w:vAlign w:val="bottom"/>
          </w:tcPr>
          <w:p>
            <w:pPr>
              <w:spacing w:after="0"/>
              <w:rPr>
                <w:sz w:val="16"/>
                <w:szCs w:val="16"/>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486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208</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1"/>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40" w:type="dxa"/>
            <w:vAlign w:val="bottom"/>
          </w:tcPr>
          <w:p>
            <w:pPr>
              <w:spacing w:after="0"/>
              <w:rPr>
                <w:sz w:val="16"/>
                <w:szCs w:val="16"/>
                <w:color w:val="auto"/>
              </w:rPr>
            </w:pPr>
          </w:p>
        </w:tc>
        <w:tc>
          <w:tcPr>
            <w:tcW w:w="9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(1,015)</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06"/>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4,085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4,307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41,627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14,672</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5,052</w:t>
            </w:r>
          </w:p>
        </w:tc>
        <w:tc>
          <w:tcPr>
            <w:tcW w:w="12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653</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3.31 %</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4.33 %</w:t>
            </w:r>
          </w:p>
        </w:tc>
        <w:tc>
          <w:tcPr>
            <w:tcW w:w="0" w:type="dxa"/>
            <w:vAlign w:val="bottom"/>
          </w:tcPr>
          <w:p>
            <w:pPr>
              <w:spacing w:after="0"/>
              <w:rPr>
                <w:sz w:val="1"/>
                <w:szCs w:val="1"/>
                <w:color w:val="auto"/>
              </w:rPr>
            </w:pPr>
          </w:p>
        </w:tc>
      </w:tr>
      <w:tr>
        <w:trPr>
          <w:trHeight w:val="254"/>
        </w:trPr>
        <w:tc>
          <w:tcPr>
            <w:tcW w:w="42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separate account products where the contract holder elected a general account investment option.</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effects of embedded derivatives related to index-linked crediting rates.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policyholder account balances reported in the preceding rollforward table to the liability for policyholder account balances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38"/>
        </w:trPr>
        <w:tc>
          <w:tcPr>
            <w:tcW w:w="8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r>
      <w:tr>
        <w:trPr>
          <w:trHeight w:val="38"/>
        </w:trPr>
        <w:tc>
          <w:tcPr>
            <w:tcW w:w="8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 reported in the preceding rollforward table</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76,983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75,638</w:t>
            </w: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agreements classified as investment contracts</w:t>
            </w:r>
          </w:p>
        </w:tc>
        <w:tc>
          <w:tcPr>
            <w:tcW w:w="2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9,502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11,002</w:t>
            </w:r>
          </w:p>
        </w:tc>
      </w:tr>
      <w:tr>
        <w:trPr>
          <w:trHeight w:val="214"/>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Institutional group annuities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10"/>
        </w:trPr>
        <w:tc>
          <w:tcPr>
            <w:tcW w:w="8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investment contract liabilities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979</w:t>
            </w:r>
          </w:p>
        </w:tc>
      </w:tr>
      <w:tr>
        <w:trPr>
          <w:trHeight w:val="232"/>
        </w:trPr>
        <w:tc>
          <w:tcPr>
            <w:tcW w:w="8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policyholder account balances</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87,952</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87,989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Guaranteed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 to 50 Basis Points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51 to 150 Basis</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Above</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Pr>
          <w:p>
            <w:pPr>
              <w:spacing w:after="0"/>
              <w:rPr>
                <w:sz w:val="16"/>
                <w:szCs w:val="16"/>
                <w:color w:val="auto"/>
              </w:rPr>
            </w:pPr>
          </w:p>
        </w:tc>
        <w:tc>
          <w:tcPr>
            <w:tcW w:w="104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Annuities (1):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8,842</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7,417</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17,207</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Life insurance (2) (3):</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0" w:type="dxa"/>
            <w:vAlign w:val="bottom"/>
          </w:tcPr>
          <w:p>
            <w:pPr>
              <w:spacing w:after="0"/>
              <w:rPr>
                <w:sz w:val="1"/>
                <w:szCs w:val="1"/>
                <w:color w:val="auto"/>
              </w:rPr>
            </w:pPr>
          </w:p>
        </w:tc>
      </w:tr>
      <w:tr>
        <w:trPr>
          <w:trHeight w:val="232"/>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3,962</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4,446</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December 31, 2024</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Annuities (1):</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9,697</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8,499</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8,505</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9,154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18,979</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Life insurance (2) (3):</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14"/>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32"/>
        </w:trPr>
        <w:tc>
          <w:tcPr>
            <w:tcW w:w="416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1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2.00%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2.00% to 3.99%</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4,278</w:t>
            </w:r>
          </w:p>
        </w:tc>
        <w:tc>
          <w:tcPr>
            <w:tcW w:w="0" w:type="dxa"/>
            <w:vAlign w:val="bottom"/>
          </w:tcPr>
          <w:p>
            <w:pPr>
              <w:spacing w:after="0"/>
              <w:rPr>
                <w:sz w:val="1"/>
                <w:szCs w:val="1"/>
                <w:color w:val="auto"/>
              </w:rPr>
            </w:pPr>
          </w:p>
        </w:tc>
      </w:tr>
      <w:tr>
        <w:trPr>
          <w:trHeight w:val="212"/>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3.99%</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0" w:type="dxa"/>
            <w:vAlign w:val="bottom"/>
          </w:tcPr>
          <w:p>
            <w:pPr>
              <w:spacing w:after="0"/>
              <w:rPr>
                <w:sz w:val="1"/>
                <w:szCs w:val="1"/>
                <w:color w:val="auto"/>
              </w:rPr>
            </w:pPr>
          </w:p>
        </w:tc>
      </w:tr>
      <w:tr>
        <w:trPr>
          <w:trHeight w:val="207"/>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1,386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4,762</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fixed rate annuities and the fixed account portion of variable annuities.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retained asset accounts, universal life policies and the fixed account portion of universal variable life insurance policies.</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gross of policy loans.</w:t>
      </w:r>
    </w:p>
    <w:p>
      <w:pPr>
        <w:spacing w:after="0" w:line="164"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for information regarding net amount at risk and cash surrender values.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86" w:lineRule="exact"/>
        <w:rPr>
          <w:sz w:val="20"/>
          <w:szCs w:val="20"/>
          <w:color w:val="auto"/>
        </w:rPr>
      </w:pPr>
    </w:p>
    <w:p>
      <w:pPr>
        <w:jc w:val="right"/>
        <w:ind w:right="8300"/>
        <w:spacing w:after="0"/>
        <w:rPr>
          <w:sz w:val="20"/>
          <w:szCs w:val="20"/>
          <w:color w:val="auto"/>
        </w:rPr>
      </w:pPr>
      <w:r>
        <w:rPr>
          <w:rFonts w:ascii="Times New Roman" w:cs="Times New Roman" w:eastAsia="Times New Roman" w:hAnsi="Times New Roman"/>
          <w:sz w:val="17"/>
          <w:szCs w:val="17"/>
          <w:b w:val="1"/>
          <w:bCs w:val="1"/>
          <w:i w:val="1"/>
          <w:iCs w:val="1"/>
          <w:color w:val="auto"/>
        </w:rPr>
        <w:t>Obligations Under Funding Agreements</w:t>
      </w:r>
    </w:p>
    <w:p>
      <w:pPr>
        <w:spacing w:after="0" w:line="123" w:lineRule="exact"/>
        <w:rPr>
          <w:sz w:val="20"/>
          <w:szCs w:val="20"/>
          <w:color w:val="auto"/>
        </w:rPr>
      </w:pPr>
    </w:p>
    <w:p>
      <w:pPr>
        <w:jc w:val="right"/>
        <w:ind w:right="834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Institutional Spread Margin Business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Brighthouse Life Insurance Company has issued unsecured fixed and floating rate funding agreements to certain special purpose entities that have issued either debt securities or commercial paper for which payment of interest and principal is secured by such funding agreements. The Company had obligations outstanding under these funding agreements of $4.3 billion and $5.5 billion at December 31, 2025 and 2024, respectively.</w:t>
      </w:r>
    </w:p>
    <w:p>
      <w:pPr>
        <w:spacing w:after="0" w:line="72"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Brighthouse Life Insurance Company established a secured funding agreement-backed repurchase agreement program in January 2024. Brighthouse Life Insurance Company may enter into repurchase agreements with bank counterparties and the proceeds of the repurchase agreements are then used by a special purpose entity to purchase funding agreements from Brighthouse Life Insurance Company. The Company had obligations under this program of $500 million at both December 31, 2025 and 2024.</w:t>
      </w:r>
    </w:p>
    <w:p>
      <w:pPr>
        <w:spacing w:after="0" w:line="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Home Loan Bank (“FHLB”) of Atlanta and the Federal Agricultural Mortgage Corporation and its affiliate Farmer Mac Mortgage Securities Corporation (“Farmer Mac”). Funding agreements are issued to FHLB and Farmer Mac in exchange for cash, for which these programs have been granted liens on certain assets, some of which are in their custody to collateralize the Company’s obligations under the funding agreements. Upon any event of default by the Company, the program recovery on the collateral is limited to the amount of the Company’s liabilities to FHLB and Farmer Mac, respectively. The Company had obligations outstanding under these programs of $4.7 billion and $5.0 billion at December 31, 2025 and 2024, respectively.</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8 for information on invested assets pledged as collateral in connection with funding agreements.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 Risk Benefits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MRB assets and liabilities associated with variable annuities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668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7"/>
        </w:trPr>
        <w:tc>
          <w:tcPr>
            <w:tcW w:w="6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6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9,701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9,974</w:t>
            </w:r>
          </w:p>
        </w:tc>
      </w:tr>
      <w:tr>
        <w:trPr>
          <w:trHeight w:val="210"/>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year, before effect of changes in nonperformance risk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7,326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8,230</w:t>
            </w: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Decrements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0"/>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future expected assumptions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actual different from expected experience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0"/>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interest rates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fund returns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(2,203)</w:t>
            </w:r>
          </w:p>
        </w:tc>
      </w:tr>
      <w:tr>
        <w:trPr>
          <w:trHeight w:val="210"/>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equity index volatility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6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risk margin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Aging of the block and 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1,604</w:t>
            </w:r>
          </w:p>
        </w:tc>
      </w:tr>
      <w:tr>
        <w:trPr>
          <w:trHeight w:val="20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year, before effect of changes in nonperformance risk</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5,219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7,326</w:t>
            </w: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nonperformance risk</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r>
      <w:tr>
        <w:trPr>
          <w:trHeight w:val="203"/>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7,233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9,701</w:t>
            </w:r>
          </w:p>
        </w:tc>
      </w:tr>
      <w:tr>
        <w:trPr>
          <w:trHeight w:val="214"/>
        </w:trPr>
        <w:tc>
          <w:tcPr>
            <w:tcW w:w="6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Reinsurance recoverable, end of year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05"/>
        </w:trPr>
        <w:tc>
          <w:tcPr>
            <w:tcW w:w="6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year, net of reinsurance (1)</w:t>
            </w:r>
          </w:p>
        </w:tc>
        <w:tc>
          <w:tcPr>
            <w:tcW w:w="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6,993</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7,216</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9,658</w:t>
            </w:r>
          </w:p>
        </w:tc>
      </w:tr>
      <w:tr>
        <w:trPr>
          <w:trHeight w:val="20"/>
        </w:trPr>
        <w:tc>
          <w:tcPr>
            <w:tcW w:w="66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attained age of contract holder</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 years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 years</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 years</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sum of MRB assets and MRB liabilities presented on the consolidated balance sheets at December 31, 2025, 2024 and 2023, with the exception of $10 million, $21 million and $9 million, respectively, of index-linked annuity MRBs not included in this table.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5" w:name="page156"/>
    <w:bookmarkEnd w:id="155"/>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 Risk Benefits (continued)</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As part of the 2025 and 2024 AARs, the Company updated assumptions regarding policyholder behavior, mortality and separate account fund allocations. The impact from changes in assumptions is presented in effect of changes in future expected assumptions in the table above.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separate account liabilities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8"/>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Universal</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Company-</w:t>
            </w:r>
          </w:p>
        </w:tc>
        <w:tc>
          <w:tcPr>
            <w:tcW w:w="120" w:type="dxa"/>
            <w:vAlign w:val="bottom"/>
          </w:tcPr>
          <w:p>
            <w:pPr>
              <w:spacing w:after="0"/>
              <w:rPr>
                <w:sz w:val="14"/>
                <w:szCs w:val="14"/>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w:t>
            </w:r>
          </w:p>
        </w:tc>
        <w:tc>
          <w:tcPr>
            <w:tcW w:w="12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0" w:type="dxa"/>
            <w:vAlign w:val="bottom"/>
          </w:tcPr>
          <w:p>
            <w:pPr>
              <w:spacing w:after="0"/>
              <w:rPr>
                <w:sz w:val="14"/>
                <w:szCs w:val="14"/>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Universal</w:t>
            </w:r>
          </w:p>
        </w:tc>
        <w:tc>
          <w:tcPr>
            <w:tcW w:w="100" w:type="dxa"/>
            <w:vAlign w:val="bottom"/>
          </w:tcPr>
          <w:p>
            <w:pPr>
              <w:spacing w:after="0"/>
              <w:rPr>
                <w:sz w:val="14"/>
                <w:szCs w:val="14"/>
                <w:color w:val="auto"/>
              </w:rPr>
            </w:pPr>
          </w:p>
        </w:tc>
        <w:tc>
          <w:tcPr>
            <w:tcW w:w="8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59"/>
        </w:trPr>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Life</w:t>
            </w:r>
          </w:p>
        </w:tc>
        <w:tc>
          <w:tcPr>
            <w:tcW w:w="100" w:type="dxa"/>
            <w:vAlign w:val="bottom"/>
          </w:tcPr>
          <w:p>
            <w:pPr>
              <w:spacing w:after="0"/>
              <w:rPr>
                <w:sz w:val="13"/>
                <w:szCs w:val="13"/>
                <w:color w:val="auto"/>
              </w:rPr>
            </w:pPr>
          </w:p>
        </w:tc>
        <w:tc>
          <w:tcPr>
            <w:tcW w:w="9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Owned Life</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20" w:type="dxa"/>
            <w:vAlign w:val="bottom"/>
          </w:tcPr>
          <w:p>
            <w:pPr>
              <w:spacing w:after="0"/>
              <w:rPr>
                <w:sz w:val="13"/>
                <w:szCs w:val="13"/>
                <w:color w:val="auto"/>
              </w:rPr>
            </w:pPr>
          </w:p>
        </w:tc>
        <w:tc>
          <w:tcPr>
            <w:tcW w:w="92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Owned Life</w:t>
            </w:r>
          </w:p>
        </w:tc>
        <w:tc>
          <w:tcPr>
            <w:tcW w:w="12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Life</w:t>
            </w:r>
          </w:p>
        </w:tc>
        <w:tc>
          <w:tcPr>
            <w:tcW w:w="100" w:type="dxa"/>
            <w:vAlign w:val="bottom"/>
          </w:tcPr>
          <w:p>
            <w:pPr>
              <w:spacing w:after="0"/>
              <w:rPr>
                <w:sz w:val="13"/>
                <w:szCs w:val="13"/>
                <w:color w:val="auto"/>
              </w:rPr>
            </w:pPr>
          </w:p>
        </w:tc>
        <w:tc>
          <w:tcPr>
            <w:tcW w:w="820" w:type="dxa"/>
            <w:vAlign w:val="bottom"/>
          </w:tcPr>
          <w:p>
            <w:pPr>
              <w:jc w:val="center"/>
              <w:ind w:right="23"/>
              <w:spacing w:after="0" w:line="159" w:lineRule="exact"/>
              <w:rPr>
                <w:sz w:val="20"/>
                <w:szCs w:val="20"/>
                <w:color w:val="auto"/>
              </w:rPr>
            </w:pPr>
            <w:r>
              <w:rPr>
                <w:rFonts w:ascii="Times New Roman" w:cs="Times New Roman" w:eastAsia="Times New Roman" w:hAnsi="Times New Roman"/>
                <w:sz w:val="14"/>
                <w:szCs w:val="14"/>
                <w:b w:val="1"/>
                <w:bCs w:val="1"/>
                <w:color w:val="auto"/>
              </w:rPr>
              <w:t>Owned Life</w:t>
            </w:r>
          </w:p>
        </w:tc>
        <w:tc>
          <w:tcPr>
            <w:tcW w:w="0" w:type="dxa"/>
            <w:vAlign w:val="bottom"/>
          </w:tcPr>
          <w:p>
            <w:pPr>
              <w:spacing w:after="0"/>
              <w:rPr>
                <w:sz w:val="1"/>
                <w:szCs w:val="1"/>
                <w:color w:val="auto"/>
              </w:rPr>
            </w:pPr>
          </w:p>
        </w:tc>
      </w:tr>
      <w:tr>
        <w:trPr>
          <w:trHeight w:val="199"/>
        </w:trPr>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7"/>
                <w:szCs w:val="17"/>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7"/>
                <w:szCs w:val="17"/>
                <w:color w:val="auto"/>
              </w:rPr>
            </w:pPr>
          </w:p>
        </w:tc>
        <w:tc>
          <w:tcPr>
            <w:tcW w:w="8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24"/>
        </w:trPr>
        <w:tc>
          <w:tcPr>
            <w:tcW w:w="2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2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5,921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77,653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0" w:type="dxa"/>
            <w:vAlign w:val="bottom"/>
          </w:tcPr>
          <w:p>
            <w:pPr>
              <w:spacing w:after="0"/>
              <w:rPr>
                <w:sz w:val="1"/>
                <w:szCs w:val="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(8,291)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performance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0" w:type="dxa"/>
            <w:vAlign w:val="bottom"/>
          </w:tcPr>
          <w:p>
            <w:pPr>
              <w:spacing w:after="0"/>
              <w:rPr>
                <w:sz w:val="1"/>
                <w:szCs w:val="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1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(to) general account</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2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2"/>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6,419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79,990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separate account liabilities reported in the preceding rollforward table to the separate account liabilities balance on the consolidated balance sheets was as follows at:</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38"/>
        </w:trPr>
        <w:tc>
          <w:tcPr>
            <w:tcW w:w="8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7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r>
      <w:tr>
        <w:trPr>
          <w:trHeight w:val="38"/>
        </w:trPr>
        <w:tc>
          <w:tcPr>
            <w:tcW w:w="8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 reported in the preceding rollforward table</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85,235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85,378</w:t>
            </w:r>
          </w:p>
        </w:tc>
      </w:tr>
      <w:tr>
        <w:trPr>
          <w:trHeight w:val="210"/>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income annuities</w:t>
            </w:r>
          </w:p>
        </w:tc>
        <w:tc>
          <w:tcPr>
            <w:tcW w:w="2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267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14"/>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risk transfer annuities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5"/>
        </w:trPr>
        <w:tc>
          <w:tcPr>
            <w:tcW w:w="8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separate account liabilities</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85,528</w:t>
            </w:r>
          </w:p>
        </w:tc>
        <w:tc>
          <w:tcPr>
            <w:tcW w:w="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85,636</w:t>
            </w:r>
          </w:p>
        </w:tc>
      </w:tr>
      <w:tr>
        <w:trPr>
          <w:trHeight w:val="20"/>
        </w:trPr>
        <w:tc>
          <w:tcPr>
            <w:tcW w:w="8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aggregate estimated fair value of assets, by major investment asset category, supporting separate accounts was as follows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r>
      <w:tr>
        <w:trPr>
          <w:trHeight w:val="38"/>
        </w:trPr>
        <w:tc>
          <w:tcPr>
            <w:tcW w:w="86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6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5"/>
                <w:szCs w:val="15"/>
                <w:color w:val="auto"/>
              </w:rPr>
            </w:pPr>
          </w:p>
        </w:tc>
      </w:tr>
      <w:tr>
        <w:trPr>
          <w:trHeight w:val="37"/>
        </w:trPr>
        <w:tc>
          <w:tcPr>
            <w:tcW w:w="8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2"/>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85,314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85,423</w:t>
            </w:r>
          </w:p>
        </w:tc>
      </w:tr>
      <w:tr>
        <w:trPr>
          <w:trHeight w:val="210"/>
        </w:trPr>
        <w:tc>
          <w:tcPr>
            <w:tcW w:w="8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80" w:type="dxa"/>
            <w:vAlign w:val="bottom"/>
          </w:tcPr>
          <w:p>
            <w:pPr>
              <w:spacing w:after="0"/>
              <w:rPr>
                <w:sz w:val="18"/>
                <w:szCs w:val="18"/>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207</w:t>
            </w:r>
          </w:p>
        </w:tc>
      </w:tr>
      <w:tr>
        <w:trPr>
          <w:trHeight w:val="214"/>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r>
      <w:tr>
        <w:trPr>
          <w:trHeight w:val="232"/>
        </w:trPr>
        <w:tc>
          <w:tcPr>
            <w:tcW w:w="8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aggregate estimated fair value of assets</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85,528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85,636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Amount at Risk and Cash Surrender Values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net amount at risk and cash surrender value for insurance products was as follows at: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98"/>
              </w:rPr>
              <w:t>Company-</w:t>
            </w:r>
          </w:p>
        </w:tc>
        <w:tc>
          <w:tcPr>
            <w:tcW w:w="0" w:type="dxa"/>
            <w:vAlign w:val="bottom"/>
          </w:tcPr>
          <w:p>
            <w:pPr>
              <w:spacing w:after="0"/>
              <w:rPr>
                <w:sz w:val="1"/>
                <w:szCs w:val="1"/>
                <w:color w:val="auto"/>
              </w:rPr>
            </w:pPr>
          </w:p>
        </w:tc>
      </w:tr>
      <w:tr>
        <w:trPr>
          <w:trHeight w:val="159"/>
        </w:trPr>
        <w:tc>
          <w:tcPr>
            <w:tcW w:w="4660" w:type="dxa"/>
            <w:vAlign w:val="bottom"/>
          </w:tcPr>
          <w:p>
            <w:pPr>
              <w:spacing w:after="0"/>
              <w:rPr>
                <w:sz w:val="13"/>
                <w:szCs w:val="13"/>
                <w:color w:val="auto"/>
              </w:rPr>
            </w:pPr>
          </w:p>
        </w:tc>
        <w:tc>
          <w:tcPr>
            <w:tcW w:w="1100" w:type="dxa"/>
            <w:vAlign w:val="bottom"/>
            <w:gridSpan w:val="3"/>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Universal Life</w:t>
            </w:r>
          </w:p>
        </w:tc>
        <w:tc>
          <w:tcPr>
            <w:tcW w:w="160" w:type="dxa"/>
            <w:vAlign w:val="bottom"/>
          </w:tcPr>
          <w:p>
            <w:pPr>
              <w:spacing w:after="0"/>
              <w:rPr>
                <w:sz w:val="13"/>
                <w:szCs w:val="13"/>
                <w:color w:val="auto"/>
              </w:rPr>
            </w:pPr>
          </w:p>
        </w:tc>
        <w:tc>
          <w:tcPr>
            <w:tcW w:w="96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w w:val="99"/>
              </w:rPr>
              <w:t>Variable</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Index-linked</w:t>
            </w:r>
          </w:p>
        </w:tc>
        <w:tc>
          <w:tcPr>
            <w:tcW w:w="140" w:type="dxa"/>
            <w:vAlign w:val="bottom"/>
          </w:tcPr>
          <w:p>
            <w:pPr>
              <w:spacing w:after="0"/>
              <w:rPr>
                <w:sz w:val="13"/>
                <w:szCs w:val="13"/>
                <w:color w:val="auto"/>
              </w:rPr>
            </w:pPr>
          </w:p>
        </w:tc>
        <w:tc>
          <w:tcPr>
            <w:tcW w:w="9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42"/>
              <w:spacing w:after="0" w:line="159" w:lineRule="exact"/>
              <w:rPr>
                <w:sz w:val="20"/>
                <w:szCs w:val="20"/>
                <w:color w:val="auto"/>
              </w:rPr>
            </w:pPr>
            <w:r>
              <w:rPr>
                <w:rFonts w:ascii="Times New Roman" w:cs="Times New Roman" w:eastAsia="Times New Roman" w:hAnsi="Times New Roman"/>
                <w:sz w:val="14"/>
                <w:szCs w:val="14"/>
                <w:b w:val="1"/>
                <w:bCs w:val="1"/>
                <w:color w:val="auto"/>
                <w:w w:val="99"/>
              </w:rPr>
              <w:t>Owned Life</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6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4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2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20" w:type="dxa"/>
            <w:vAlign w:val="bottom"/>
          </w:tcPr>
          <w:p>
            <w:pPr>
              <w:spacing w:after="0"/>
              <w:rPr>
                <w:sz w:val="16"/>
                <w:szCs w:val="16"/>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24"/>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13,252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8"/>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13,252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tcBorders>
              <w:top w:val="single" w:sz="8" w:color="CCEEFF"/>
            </w:tcBorders>
            <w:vMerge w:val="continue"/>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31,400</w:t>
            </w:r>
          </w:p>
        </w:tc>
        <w:tc>
          <w:tcPr>
            <w:tcW w:w="80" w:type="dxa"/>
            <w:vAlign w:val="bottom"/>
          </w:tcPr>
          <w:p>
            <w:pPr>
              <w:spacing w:after="0"/>
              <w:rPr>
                <w:sz w:val="16"/>
                <w:szCs w:val="16"/>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11,915</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61,647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78,985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52,999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13,275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14,665</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w:t>
            </w:r>
          </w:p>
        </w:tc>
        <w:tc>
          <w:tcPr>
            <w:tcW w:w="0" w:type="dxa"/>
            <w:vAlign w:val="bottom"/>
          </w:tcPr>
          <w:p>
            <w:pPr>
              <w:spacing w:after="0"/>
              <w:rPr>
                <w:sz w:val="1"/>
                <w:szCs w:val="1"/>
                <w:color w:val="auto"/>
              </w:rPr>
            </w:pPr>
          </w:p>
        </w:tc>
      </w:tr>
      <w:tr>
        <w:trPr>
          <w:trHeight w:val="227"/>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c>
          <w:tcPr>
            <w:tcW w:w="0" w:type="dxa"/>
            <w:vAlign w:val="bottom"/>
          </w:tcPr>
          <w:p>
            <w:pPr>
              <w:spacing w:after="0"/>
              <w:rPr>
                <w:sz w:val="1"/>
                <w:szCs w:val="1"/>
                <w:color w:val="auto"/>
              </w:rPr>
            </w:pPr>
          </w:p>
        </w:tc>
      </w:tr>
      <w:tr>
        <w:trPr>
          <w:trHeight w:val="225"/>
        </w:trPr>
        <w:tc>
          <w:tcPr>
            <w:tcW w:w="4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80,984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48,605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14,665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4,779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80,592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14,361</w:t>
            </w:r>
          </w:p>
        </w:tc>
        <w:tc>
          <w:tcPr>
            <w:tcW w:w="8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2,142</w:t>
            </w: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4,307</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14,672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0" w:type="dxa"/>
            <w:vAlign w:val="bottom"/>
          </w:tcPr>
          <w:p>
            <w:pPr>
              <w:spacing w:after="0"/>
              <w:rPr>
                <w:sz w:val="1"/>
                <w:szCs w:val="1"/>
                <w:color w:val="auto"/>
              </w:rPr>
            </w:pPr>
          </w:p>
        </w:tc>
      </w:tr>
      <w:tr>
        <w:trPr>
          <w:trHeight w:val="218"/>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79,990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0" w:type="dxa"/>
            <w:vAlign w:val="bottom"/>
          </w:tcPr>
          <w:p>
            <w:pPr>
              <w:spacing w:after="0"/>
              <w:rPr>
                <w:sz w:val="1"/>
                <w:szCs w:val="1"/>
                <w:color w:val="auto"/>
              </w:rPr>
            </w:pPr>
          </w:p>
        </w:tc>
      </w:tr>
      <w:tr>
        <w:trPr>
          <w:trHeight w:val="250"/>
        </w:trPr>
        <w:tc>
          <w:tcPr>
            <w:tcW w:w="46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14,672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660" w:type="dxa"/>
            <w:vAlign w:val="bottom"/>
            <w:vMerge w:val="continue"/>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35,583</w:t>
            </w:r>
          </w:p>
        </w:tc>
        <w:tc>
          <w:tcPr>
            <w:tcW w:w="8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80" w:type="dxa"/>
            <w:vAlign w:val="bottom"/>
          </w:tcPr>
          <w:p>
            <w:pPr>
              <w:spacing w:after="0"/>
              <w:rPr>
                <w:sz w:val="16"/>
                <w:szCs w:val="16"/>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65,299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0" w:type="dxa"/>
            <w:vAlign w:val="bottom"/>
          </w:tcPr>
          <w:p>
            <w:pPr>
              <w:spacing w:after="0"/>
              <w:rPr>
                <w:sz w:val="1"/>
                <w:szCs w:val="1"/>
                <w:color w:val="auto"/>
              </w:rPr>
            </w:pPr>
          </w:p>
        </w:tc>
      </w:tr>
      <w:tr>
        <w:trPr>
          <w:trHeight w:val="23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14,068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Products may contain both separate account and general account fund options; accordingly, net amount at risk and cash surrender value reported in the table above relate to the total account balance for each respective product grouping.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 and Value of Business Acquired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 for a description of capitalized acquisition costs.</w:t>
      </w:r>
    </w:p>
    <w:p>
      <w:pPr>
        <w:spacing w:after="0" w:line="1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DAC and VOBA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16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Index-linked</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14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00" w:type="dxa"/>
            <w:vAlign w:val="bottom"/>
          </w:tcPr>
          <w:p>
            <w:pPr>
              <w:spacing w:after="0"/>
              <w:rPr>
                <w:sz w:val="16"/>
                <w:szCs w:val="16"/>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40" w:type="dxa"/>
            <w:vAlign w:val="bottom"/>
          </w:tcPr>
          <w:p>
            <w:pPr>
              <w:spacing w:after="0"/>
              <w:rPr>
                <w:sz w:val="16"/>
                <w:szCs w:val="16"/>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January 1, 2023</w:t>
            </w:r>
          </w:p>
        </w:tc>
        <w:tc>
          <w:tcPr>
            <w:tcW w:w="440" w:type="dxa"/>
            <w:vAlign w:val="bottom"/>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1,213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203"/>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4"/>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3"/>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0"/>
        </w:trPr>
        <w:tc>
          <w:tcPr>
            <w:tcW w:w="4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32"/>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2023</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7"/>
        </w:trPr>
        <w:tc>
          <w:tcPr>
            <w:tcW w:w="4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440" w:type="dxa"/>
            <w:vAlign w:val="bottom"/>
            <w:tcBorders>
              <w:top w:val="single" w:sz="8" w:color="auto"/>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472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440" w:type="dxa"/>
            <w:vAlign w:val="bottom"/>
            <w:tcBorders>
              <w:bottom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Sales Inducements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DSI, included in other assets,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
        </w:trPr>
        <w:tc>
          <w:tcPr>
            <w:tcW w:w="44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1"/>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900" w:type="dxa"/>
            <w:vAlign w:val="bottom"/>
          </w:tcPr>
          <w:p>
            <w:pPr>
              <w:spacing w:after="0"/>
              <w:rPr>
                <w:sz w:val="15"/>
                <w:szCs w:val="15"/>
                <w:color w:val="auto"/>
              </w:rPr>
            </w:pPr>
          </w:p>
        </w:tc>
      </w:tr>
      <w:tr>
        <w:trPr>
          <w:trHeight w:val="38"/>
        </w:trPr>
        <w:tc>
          <w:tcPr>
            <w:tcW w:w="44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54"/>
        </w:trPr>
        <w:tc>
          <w:tcPr>
            <w:tcW w:w="4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103"/>
              <w:spacing w:after="0" w:line="154"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4"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60" w:type="dxa"/>
            <w:vAlign w:val="bottom"/>
          </w:tcPr>
          <w:p>
            <w:pPr>
              <w:spacing w:after="0"/>
              <w:rPr>
                <w:sz w:val="13"/>
                <w:szCs w:val="13"/>
                <w:color w:val="auto"/>
              </w:rPr>
            </w:pPr>
          </w:p>
        </w:tc>
        <w:tc>
          <w:tcPr>
            <w:tcW w:w="780" w:type="dxa"/>
            <w:vAlign w:val="bottom"/>
          </w:tcPr>
          <w:p>
            <w:pPr>
              <w:jc w:val="right"/>
              <w:ind w:right="105"/>
              <w:spacing w:after="0" w:line="154"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80"/>
              <w:spacing w:after="0" w:line="154" w:lineRule="exact"/>
              <w:rPr>
                <w:sz w:val="20"/>
                <w:szCs w:val="20"/>
                <w:color w:val="auto"/>
              </w:rPr>
            </w:pPr>
            <w:r>
              <w:rPr>
                <w:rFonts w:ascii="Times New Roman" w:cs="Times New Roman" w:eastAsia="Times New Roman" w:hAnsi="Times New Roman"/>
                <w:sz w:val="14"/>
                <w:szCs w:val="14"/>
                <w:b w:val="1"/>
                <w:bCs w:val="1"/>
                <w:color w:val="auto"/>
              </w:rPr>
              <w:t>Fixed Rate</w:t>
            </w:r>
          </w:p>
        </w:tc>
        <w:tc>
          <w:tcPr>
            <w:tcW w:w="160" w:type="dxa"/>
            <w:vAlign w:val="bottom"/>
          </w:tcPr>
          <w:p>
            <w:pPr>
              <w:spacing w:after="0"/>
              <w:rPr>
                <w:sz w:val="13"/>
                <w:szCs w:val="13"/>
                <w:color w:val="auto"/>
              </w:rPr>
            </w:pPr>
          </w:p>
        </w:tc>
        <w:tc>
          <w:tcPr>
            <w:tcW w:w="780" w:type="dxa"/>
            <w:vAlign w:val="bottom"/>
          </w:tcPr>
          <w:p>
            <w:pPr>
              <w:jc w:val="right"/>
              <w:ind w:right="103"/>
              <w:spacing w:after="0" w:line="154" w:lineRule="exact"/>
              <w:rPr>
                <w:sz w:val="20"/>
                <w:szCs w:val="20"/>
                <w:color w:val="auto"/>
              </w:rPr>
            </w:pPr>
            <w:r>
              <w:rPr>
                <w:rFonts w:ascii="Times New Roman" w:cs="Times New Roman" w:eastAsia="Times New Roman" w:hAnsi="Times New Roman"/>
                <w:sz w:val="14"/>
                <w:szCs w:val="14"/>
                <w:b w:val="1"/>
                <w:bCs w:val="1"/>
                <w:color w:val="auto"/>
              </w:rPr>
              <w:t>Variable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23"/>
              <w:spacing w:after="0" w:line="154" w:lineRule="exact"/>
              <w:rPr>
                <w:sz w:val="20"/>
                <w:szCs w:val="20"/>
                <w:color w:val="auto"/>
              </w:rPr>
            </w:pPr>
            <w:r>
              <w:rPr>
                <w:rFonts w:ascii="Times New Roman" w:cs="Times New Roman" w:eastAsia="Times New Roman" w:hAnsi="Times New Roman"/>
                <w:sz w:val="14"/>
                <w:szCs w:val="14"/>
                <w:b w:val="1"/>
                <w:bCs w:val="1"/>
                <w:color w:val="auto"/>
              </w:rPr>
              <w:t>Fixed Rate</w:t>
            </w:r>
          </w:p>
        </w:tc>
      </w:tr>
      <w:tr>
        <w:trPr>
          <w:trHeight w:val="186"/>
        </w:trPr>
        <w:tc>
          <w:tcPr>
            <w:tcW w:w="4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78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7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51"/>
        </w:trPr>
        <w:tc>
          <w:tcPr>
            <w:tcW w:w="44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gridSpan w:val="6"/>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181"/>
        </w:trPr>
        <w:tc>
          <w:tcPr>
            <w:tcW w:w="4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4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37"/>
        </w:trPr>
        <w:tc>
          <w:tcPr>
            <w:tcW w:w="4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12"/>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3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0"/>
        </w:trPr>
        <w:tc>
          <w:tcPr>
            <w:tcW w:w="4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58" w:name="page159"/>
    <w:bookmarkEnd w:id="158"/>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unearned revenue, included in other policy-related balances,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8"/>
        </w:trPr>
        <w:tc>
          <w:tcPr>
            <w:tcW w:w="2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8"/>
        </w:trPr>
        <w:tc>
          <w:tcPr>
            <w:tcW w:w="2320" w:type="dxa"/>
            <w:vAlign w:val="bottom"/>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67"/>
        </w:trPr>
        <w:tc>
          <w:tcPr>
            <w:tcW w:w="232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Variable</w:t>
            </w:r>
          </w:p>
        </w:tc>
      </w:tr>
      <w:tr>
        <w:trPr>
          <w:trHeight w:val="186"/>
        </w:trPr>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4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8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ULSG</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6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40" w:type="dxa"/>
            <w:vAlign w:val="bottom"/>
          </w:tcPr>
          <w:p>
            <w:pPr>
              <w:spacing w:after="0"/>
              <w:rPr>
                <w:sz w:val="16"/>
                <w:szCs w:val="16"/>
                <w:color w:val="auto"/>
              </w:rPr>
            </w:pPr>
          </w:p>
        </w:tc>
        <w:tc>
          <w:tcPr>
            <w:tcW w:w="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38"/>
        </w:trPr>
        <w:tc>
          <w:tcPr>
            <w:tcW w:w="23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1"/>
        </w:trPr>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8"/>
        </w:trPr>
        <w:tc>
          <w:tcPr>
            <w:tcW w:w="2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2"/>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74</w:t>
            </w: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6"/>
              </w:rPr>
              <w:t>(7)</w:t>
            </w:r>
          </w:p>
        </w:tc>
      </w:tr>
      <w:tr>
        <w:trPr>
          <w:trHeight w:val="205"/>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year</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67</w:t>
            </w: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Reinsurance</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reinsurance agreements primarily as a purchaser of reinsurance for its various insurance products and also as a provider of reinsurance for some insurance products issued by former affiliated and unaffiliated companies. The Company participates in reinsurance activities in order to limit losses, minimize exposure to significant risks and provide additional capacity for future growth.</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Accounting for reinsurance requires extensive use of assumptions and estimates, particularly related to the future performance of the underlying business and the potential impact of counterparty credit risks. The Company periodically reviews actual and anticipated experience compared to the aforementioned assumptions used to establish assets and liabilities relating to ceded and assumed reinsurance and evaluates the financial strength of counterparties to its reinsurance agreements using criteria similar to that evaluated in the security impairment process discussed in Note 8.</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 and Life</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For annuities, the Company reinsures portions of the living and death benefit guarantees issued in connection with certain variable annuities to unaffiliated reinsurers. Under these reinsurance agreements, the Company pays a reinsurance premium generally based on fees associated with the guarantees collected from policyholders and receives reimbursement for benefits paid or accrued in excess of account values, subject to certain limitations. The value of MRBs on the ceded risk is determined using a methodology consistent with the guarantees directly written by the Company with the exception of the input for nonperformance risk that reflects the credit of the reinsurer. The Company cedes certain fixed rate annuities to unaffiliated third-party reinsurers and assumes certain index-linked annuities from an unaffiliated third-party insurer. These reinsurance arrangements are structured on a coinsurance basis and are reported as deposit accounting.</w:t>
      </w:r>
    </w:p>
    <w:p>
      <w:pPr>
        <w:spacing w:after="0" w:line="8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its life products, the Company has historically reinsured the mortality risk primarily on an excess of retention basis or on a quota share basis. In addition to reinsuring mortality risk as described above, the Company reinsures other risks, as well as specific coverages. Placement of reinsurance is done primarily on an automatic basis and also on a facultative basis for risks with specified characteristics. On a case-by-case basis, the Company may retain up to $20 million per life and reinsure 100% of amounts in excess of the amount the Company retains. The Company also reinsures 90% of the risk associated with participating whole life policies to a former affiliate and assumes certain term life policies and universal life policies with secondary death benefit guarantees issued by a former affiliate. The Company evaluates its reinsurance programs routinely and may increase or decrease its retention at any time.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 reinsures, through 100% quota share reinsurance agreements, certain run-off long-term care and workers’ compensation business written by the Company. At December 31, 2025, the Company had $5.5 billion of reinsurance recoverables associated with its reinsured long-term care business. The reinsurer has established trust accounts for the Company’s benefit to secure their obligations under the reinsurance agreements. Additionally, the Company is indemnified for losses and certain other payment obligations it might incur with respect to such reinsured long-term care insurance business.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Reinsurance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Catastrophe Coverage</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has exposure to catastrophes which could contribute to significant fluctuations in the Company’s results of operations. The Company uses excess of retention and quota share reinsurance agreements to provide greater diversification of risk and minimize exposure to larger risks.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Reinsurance Recoverables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reinsures its business through a diversified group of primarily highly rated reinsurers. The Company analyzes recent trends in arbitration and litigation outcomes in disputes, if any, with its reinsurers and monitors ratings and the financial strength of its reinsurers. In addition, the reinsurance recoverable balance due from each reinsurer and the recoverability of such balance is evaluated as part of this overall monitoring process.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generally secures large reinsurance recoverable balances with various forms of collateral, including secured trusts, funds withheld accounts and irrevocable letters of credit. These reinsurance recoverable balances are stated net of allowances for uncollectible reinsurance, which at both December 31, 2025 and 2024 were not significant. The Company had $6.5 billion and $6.2 billion of unsecured reinsurance recoverable balances with third-party reinsurers at December 31, 2025 and 2024, respectively.</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records an allowance for credit losses which is a valuation account that reduces reinsurance recoverable balances to present the net amount expected to be collected from reinsurers. When assessing the creditworthiness of the Company’s reinsurance recoverable balances, beyond the analysis of individual claims disputes, the Company considers the financial strength of its reinsurers using public ratings and ratings reports, current existing credit enhancements to reinsurance agreements and the statutory and GAAP financial statements of the reinsurers. Impairments are then determined based on probable and estimable defaults. The Company had an allowance for credit losses of $3 million on its reinsurance recoverable balances at both December 31, 2025 and 2024.</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At December 31, 2025, the Company had $19.7 billion of net ceded reinsurance recoverables with third-party reinsurers. Of this total, $16.5 billion, or 84%, were with the Company’s five largest ceded reinsurers, including $3.9 billion of net ceded reinsurance recoverables which were unsecured. At December 31, 2024, the Company had $19.8 billion of net ceded reinsurance recoverables with third-party reinsurers. Of this total, $17.0 billion, or 86%, were with the Company’s five largest ceded reinsurers, including $4.4 billion of net ceded reinsurance recoverables which were unsecured.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Reinsurance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amounts on the consolidated statements of operations include the impact of reinsurance. Information regarding the significant effects of reinsurance was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00" w:type="dxa"/>
            <w:vAlign w:val="bottom"/>
            <w:gridSpan w:val="6"/>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1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7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Premiums</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premiums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0" w:type="dxa"/>
            <w:vAlign w:val="bottom"/>
          </w:tcPr>
          <w:p>
            <w:pPr>
              <w:spacing w:after="0"/>
              <w:rPr>
                <w:sz w:val="1"/>
                <w:szCs w:val="1"/>
                <w:color w:val="auto"/>
              </w:rPr>
            </w:pPr>
          </w:p>
        </w:tc>
      </w:tr>
      <w:tr>
        <w:trPr>
          <w:trHeight w:val="45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assumed</w:t>
            </w:r>
          </w:p>
        </w:tc>
        <w:tc>
          <w:tcPr>
            <w:tcW w:w="7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448"/>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471"/>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premiums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Universal life and investment-type product policy fees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universal life and investment-type product policy fees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w:t>
            </w:r>
          </w:p>
        </w:tc>
        <w:tc>
          <w:tcPr>
            <w:tcW w:w="0" w:type="dxa"/>
            <w:vAlign w:val="bottom"/>
          </w:tcPr>
          <w:p>
            <w:pPr>
              <w:spacing w:after="0"/>
              <w:rPr>
                <w:sz w:val="1"/>
                <w:szCs w:val="1"/>
                <w:color w:val="auto"/>
              </w:rPr>
            </w:pPr>
          </w:p>
        </w:tc>
      </w:tr>
      <w:tr>
        <w:trPr>
          <w:trHeight w:val="448"/>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assumed</w:t>
            </w:r>
          </w:p>
        </w:tc>
        <w:tc>
          <w:tcPr>
            <w:tcW w:w="7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45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7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0" w:type="dxa"/>
            <w:vAlign w:val="bottom"/>
          </w:tcPr>
          <w:p>
            <w:pPr>
              <w:spacing w:after="0"/>
              <w:rPr>
                <w:sz w:val="1"/>
                <w:szCs w:val="1"/>
                <w:color w:val="auto"/>
              </w:rPr>
            </w:pPr>
          </w:p>
        </w:tc>
      </w:tr>
      <w:tr>
        <w:trPr>
          <w:trHeight w:val="44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universal life and investment-type product policy fees</w:t>
            </w:r>
          </w:p>
        </w:tc>
        <w:tc>
          <w:tcPr>
            <w:tcW w:w="7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1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Other revenues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other revenues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45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assumed</w:t>
            </w:r>
          </w:p>
        </w:tc>
        <w:tc>
          <w:tcPr>
            <w:tcW w:w="7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448"/>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471"/>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other revenues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Policyholder benefits and claims</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18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Direct policyholder benefits and claims</w:t>
            </w:r>
          </w:p>
        </w:tc>
        <w:tc>
          <w:tcPr>
            <w:tcW w:w="780" w:type="dxa"/>
            <w:vAlign w:val="bottom"/>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3,946</w:t>
            </w:r>
          </w:p>
        </w:tc>
        <w:tc>
          <w:tcPr>
            <w:tcW w:w="0" w:type="dxa"/>
            <w:vAlign w:val="bottom"/>
          </w:tcPr>
          <w:p>
            <w:pPr>
              <w:spacing w:after="0"/>
              <w:rPr>
                <w:sz w:val="1"/>
                <w:szCs w:val="1"/>
                <w:color w:val="auto"/>
              </w:rPr>
            </w:pPr>
          </w:p>
        </w:tc>
      </w:tr>
      <w:tr>
        <w:trPr>
          <w:trHeight w:val="448"/>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Reinsurance assumed</w:t>
            </w:r>
          </w:p>
        </w:tc>
        <w:tc>
          <w:tcPr>
            <w:tcW w:w="7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45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780" w:type="dxa"/>
            <w:vAlign w:val="bottom"/>
            <w:tcBorders>
              <w:bottom w:val="single" w:sz="8" w:color="auto"/>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8"/>
              </w:rPr>
              <w:t>(2,031)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(1,745)</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w:t>
            </w:r>
          </w:p>
        </w:tc>
        <w:tc>
          <w:tcPr>
            <w:tcW w:w="0" w:type="dxa"/>
            <w:vAlign w:val="bottom"/>
          </w:tcPr>
          <w:p>
            <w:pPr>
              <w:spacing w:after="0"/>
              <w:rPr>
                <w:sz w:val="1"/>
                <w:szCs w:val="1"/>
                <w:color w:val="auto"/>
              </w:rPr>
            </w:pPr>
          </w:p>
        </w:tc>
      </w:tr>
      <w:tr>
        <w:trPr>
          <w:trHeight w:val="44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policyholder benefits and claims</w:t>
            </w:r>
          </w:p>
        </w:tc>
        <w:tc>
          <w:tcPr>
            <w:tcW w:w="7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1,805</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2,294</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180" w:type="dxa"/>
            <w:vAlign w:val="bottom"/>
            <w:shd w:val="clear" w:color="auto" w:fill="CCEEFF"/>
          </w:tcPr>
          <w:p>
            <w:pPr>
              <w:ind w:left="20"/>
              <w:spacing w:after="0" w:line="178" w:lineRule="exact"/>
              <w:rPr>
                <w:sz w:val="20"/>
                <w:szCs w:val="20"/>
                <w:color w:val="auto"/>
              </w:rPr>
            </w:pPr>
            <w:r>
              <w:rPr>
                <w:rFonts w:ascii="Times New Roman" w:cs="Times New Roman" w:eastAsia="Times New Roman" w:hAnsi="Times New Roman"/>
                <w:sz w:val="16"/>
                <w:szCs w:val="16"/>
                <w:b w:val="1"/>
                <w:bCs w:val="1"/>
                <w:color w:val="auto"/>
              </w:rPr>
              <w:t>Change in market risk benefits</w:t>
            </w:r>
          </w:p>
        </w:tc>
        <w:tc>
          <w:tcPr>
            <w:tcW w:w="7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48"/>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 change in market risk benefits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00" w:type="dxa"/>
            <w:vAlign w:val="bottom"/>
          </w:tcPr>
          <w:p>
            <w:pPr>
              <w:spacing w:after="0"/>
              <w:rPr>
                <w:sz w:val="24"/>
                <w:szCs w:val="24"/>
                <w:color w:val="auto"/>
              </w:rPr>
            </w:pP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0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(1,537)</w:t>
            </w:r>
          </w:p>
        </w:tc>
        <w:tc>
          <w:tcPr>
            <w:tcW w:w="0" w:type="dxa"/>
            <w:vAlign w:val="bottom"/>
          </w:tcPr>
          <w:p>
            <w:pPr>
              <w:spacing w:after="0"/>
              <w:rPr>
                <w:sz w:val="1"/>
                <w:szCs w:val="1"/>
                <w:color w:val="auto"/>
              </w:rPr>
            </w:pPr>
          </w:p>
        </w:tc>
      </w:tr>
      <w:tr>
        <w:trPr>
          <w:trHeight w:val="45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Reinsurance assumed</w:t>
            </w:r>
          </w:p>
        </w:tc>
        <w:tc>
          <w:tcPr>
            <w:tcW w:w="78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48"/>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Reinsurance ceded</w:t>
            </w:r>
          </w:p>
        </w:tc>
        <w:tc>
          <w:tcPr>
            <w:tcW w:w="7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471"/>
        </w:trPr>
        <w:tc>
          <w:tcPr>
            <w:tcW w:w="7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change in market risk benefits</w:t>
            </w:r>
          </w:p>
        </w:tc>
        <w:tc>
          <w:tcPr>
            <w:tcW w:w="780" w:type="dxa"/>
            <w:vAlign w:val="bottom"/>
            <w:tcBorders>
              <w:bottom w:val="single" w:sz="8" w:color="auto"/>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1440" w:gutter="0" w:footer="0" w:header="0"/>
        </w:sectPr>
      </w:pPr>
    </w:p>
    <w:p>
      <w:pPr>
        <w:spacing w:after="0" w:line="3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amounts on the consolidated balance sheets include the impact of reinsurance. Information regarding the significant effects of reinsurance was as follows at:</w:t>
      </w:r>
    </w:p>
    <w:p>
      <w:pPr>
        <w:sectPr>
          <w:pgSz w:w="11900" w:h="16838" w:orient="portrait"/>
          <w:cols w:equalWidth="0" w:num="1">
            <w:col w:w="11240"/>
          </w:cols>
          <w:pgMar w:left="320" w:top="278" w:right="339" w:bottom="1440" w:gutter="0" w:footer="0" w:header="0"/>
          <w:type w:val="continuous"/>
        </w:sectPr>
      </w:pPr>
    </w:p>
    <w:bookmarkStart w:id="161" w:name="page162"/>
    <w:bookmarkEnd w:id="161"/>
    <w:p>
      <w:pPr>
        <w:ind w:left="70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2334260</wp:posOffset>
            </wp:positionH>
            <wp:positionV relativeFrom="paragraph">
              <wp:posOffset>39370</wp:posOffset>
            </wp:positionV>
            <wp:extent cx="478726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787265" cy="8255"/>
                    </a:xfrm>
                    <a:prstGeom prst="rect">
                      <a:avLst/>
                    </a:prstGeom>
                    <a:noFill/>
                  </pic:spPr>
                </pic:pic>
              </a:graphicData>
            </a:graphic>
          </wp:anchor>
        </w:drawing>
      </w:r>
    </w:p>
    <w:p>
      <w:pPr>
        <w:spacing w:after="0" w:line="270" w:lineRule="exact"/>
        <w:rPr>
          <w:sz w:val="20"/>
          <w:szCs w:val="20"/>
          <w:color w:val="auto"/>
        </w:rPr>
      </w:pPr>
    </w:p>
    <w:tbl>
      <w:tblPr>
        <w:tblLayout w:type="fixed"/>
        <w:tblInd w:w="3680" w:type="dxa"/>
        <w:tblCellMar>
          <w:top w:w="0" w:type="dxa"/>
          <w:left w:w="0" w:type="dxa"/>
          <w:bottom w:w="0" w:type="dxa"/>
          <w:right w:w="0" w:type="dxa"/>
        </w:tblCellMar>
      </w:tblPr>
      <w:tr>
        <w:trPr>
          <w:trHeight w:val="186"/>
        </w:trPr>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2025</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w w:val="98"/>
              </w:rPr>
              <w:t>Total Balance</w:t>
            </w:r>
          </w:p>
        </w:tc>
        <w:tc>
          <w:tcPr>
            <w:tcW w:w="0" w:type="dxa"/>
            <w:vAlign w:val="bottom"/>
          </w:tcPr>
          <w:p>
            <w:pPr>
              <w:spacing w:after="0"/>
              <w:rPr>
                <w:sz w:val="1"/>
                <w:szCs w:val="1"/>
                <w:color w:val="auto"/>
              </w:rPr>
            </w:pPr>
          </w:p>
        </w:tc>
      </w:tr>
      <w:tr>
        <w:trPr>
          <w:trHeight w:val="159"/>
        </w:trPr>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40" w:type="dxa"/>
            <w:vAlign w:val="bottom"/>
            <w:gridSpan w:val="2"/>
          </w:tcPr>
          <w:p>
            <w:pPr>
              <w:jc w:val="center"/>
              <w:ind w:right="40"/>
              <w:spacing w:after="0" w:line="15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8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100" w:type="dxa"/>
            <w:vAlign w:val="bottom"/>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Ceded</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8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Direct</w:t>
            </w:r>
          </w:p>
        </w:tc>
        <w:tc>
          <w:tcPr>
            <w:tcW w:w="8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Ceded</w:t>
            </w:r>
          </w:p>
        </w:tc>
        <w:tc>
          <w:tcPr>
            <w:tcW w:w="1020" w:type="dxa"/>
            <w:vAlign w:val="bottom"/>
          </w:tcPr>
          <w:p>
            <w:pPr>
              <w:jc w:val="center"/>
              <w:ind w:left="69"/>
              <w:spacing w:after="0"/>
              <w:rPr>
                <w:sz w:val="20"/>
                <w:szCs w:val="20"/>
                <w:color w:val="auto"/>
              </w:rPr>
            </w:pPr>
            <w:r>
              <w:rPr>
                <w:rFonts w:ascii="Times New Roman" w:cs="Times New Roman" w:eastAsia="Times New Roman" w:hAnsi="Times New Roman"/>
                <w:sz w:val="14"/>
                <w:szCs w:val="14"/>
                <w:b w:val="1"/>
                <w:bCs w:val="1"/>
                <w:color w:val="auto"/>
                <w:w w:val="97"/>
              </w:rPr>
              <w:t>Sheet</w:t>
            </w:r>
          </w:p>
        </w:tc>
        <w:tc>
          <w:tcPr>
            <w:tcW w:w="0" w:type="dxa"/>
            <w:vAlign w:val="bottom"/>
          </w:tcPr>
          <w:p>
            <w:pPr>
              <w:spacing w:after="0"/>
              <w:rPr>
                <w:sz w:val="1"/>
                <w:szCs w:val="1"/>
                <w:color w:val="auto"/>
              </w:rPr>
            </w:pPr>
          </w:p>
        </w:tc>
      </w:tr>
      <w:tr>
        <w:trPr>
          <w:trHeight w:val="24"/>
        </w:trPr>
        <w:tc>
          <w:tcPr>
            <w:tcW w:w="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4"/>
          <w:szCs w:val="14"/>
          <w:b w:val="1"/>
          <w:bCs w:val="1"/>
          <w:color w:val="auto"/>
        </w:rPr>
        <w:t>(In millions)</w:t>
      </w:r>
    </w:p>
    <w:p>
      <w:pPr>
        <w:sectPr>
          <w:pgSz w:w="11900" w:h="16838" w:orient="portrait"/>
          <w:cols w:equalWidth="0" w:num="1">
            <w:col w:w="11220"/>
          </w:cols>
          <w:pgMar w:left="320" w:top="380" w:right="35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30" w:lineRule="exact"/>
        <w:rPr>
          <w:sz w:val="20"/>
          <w:szCs w:val="20"/>
          <w:color w:val="auto"/>
        </w:rPr>
      </w:pPr>
    </w:p>
    <w:p>
      <w:pPr>
        <w:ind w:left="180" w:hanging="158"/>
        <w:spacing w:after="0" w:line="239" w:lineRule="auto"/>
        <w:rPr>
          <w:sz w:val="20"/>
          <w:szCs w:val="20"/>
          <w:color w:val="auto"/>
        </w:rPr>
      </w:pPr>
      <w:r>
        <w:rPr>
          <w:rFonts w:ascii="Times New Roman" w:cs="Times New Roman" w:eastAsia="Times New Roman" w:hAnsi="Times New Roman"/>
          <w:sz w:val="16"/>
          <w:szCs w:val="16"/>
          <w:color w:val="auto"/>
        </w:rPr>
        <w:t>Premiums, reinsurance and other receivables (net of allowance for credit losses)</w:t>
      </w:r>
    </w:p>
    <w:p>
      <w:pPr>
        <w:spacing w:after="0" w:line="3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Market risk benefit assets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Future policy benefits</w:t>
      </w: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473</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21,105</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21,579</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507</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20,616</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21,126</w:t>
            </w:r>
          </w:p>
        </w:tc>
      </w:tr>
      <w:tr>
        <w:trPr>
          <w:trHeight w:val="464"/>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1,052</w:t>
            </w: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1,060</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1,075</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r>
      <w:tr>
        <w:trPr>
          <w:trHeight w:val="663"/>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31,913</w:t>
            </w:r>
          </w:p>
        </w:tc>
        <w:tc>
          <w:tcPr>
            <w:tcW w:w="3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112</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32,025</w:t>
            </w:r>
          </w:p>
        </w:tc>
        <w:tc>
          <w:tcPr>
            <w:tcW w:w="3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31,366</w:t>
            </w:r>
          </w:p>
        </w:tc>
        <w:tc>
          <w:tcPr>
            <w:tcW w:w="3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109</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31,475</w:t>
            </w:r>
          </w:p>
        </w:tc>
      </w:tr>
      <w:tr>
        <w:trPr>
          <w:trHeight w:val="437"/>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84,538</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3,414</w:t>
            </w:r>
          </w:p>
        </w:tc>
        <w:tc>
          <w:tcPr>
            <w:tcW w:w="3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87,952</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83,846</w:t>
            </w:r>
          </w:p>
        </w:tc>
        <w:tc>
          <w:tcPr>
            <w:tcW w:w="3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4,143</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-1401445</wp:posOffset>
            </wp:positionV>
            <wp:extent cx="7117715" cy="134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17715" cy="134620"/>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-980440</wp:posOffset>
            </wp:positionV>
            <wp:extent cx="7117715" cy="2863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17715" cy="28638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-560070</wp:posOffset>
            </wp:positionV>
            <wp:extent cx="7117715" cy="2863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17715" cy="286385"/>
                    </a:xfrm>
                    <a:prstGeom prst="rect">
                      <a:avLst/>
                    </a:prstGeom>
                    <a:noFill/>
                  </pic:spPr>
                </pic:pic>
              </a:graphicData>
            </a:graphic>
          </wp:anchor>
        </w:drawing>
      </w:r>
    </w:p>
    <w:p>
      <w:pPr>
        <w:spacing w:after="0" w:line="33" w:lineRule="exact"/>
        <w:rPr>
          <w:sz w:val="20"/>
          <w:szCs w:val="20"/>
          <w:color w:val="auto"/>
        </w:rPr>
      </w:pPr>
    </w:p>
    <w:p>
      <w:pPr>
        <w:sectPr>
          <w:pgSz w:w="11900" w:h="16838" w:orient="portrait"/>
          <w:cols w:equalWidth="0" w:num="2">
            <w:col w:w="3340" w:space="360"/>
            <w:col w:w="7520"/>
          </w:cols>
          <w:pgMar w:left="320" w:top="380" w:right="359" w:bottom="1440" w:gutter="0" w:footer="0" w:header="0"/>
          <w:type w:val="continuous"/>
        </w:sectPr>
      </w:pPr>
    </w:p>
    <w:tbl>
      <w:tblPr>
        <w:tblLayout w:type="fixed"/>
        <w:tblInd w:w="0" w:type="dxa"/>
        <w:tblCellMar>
          <w:top w:w="0" w:type="dxa"/>
          <w:left w:w="0" w:type="dxa"/>
          <w:bottom w:w="0" w:type="dxa"/>
          <w:right w:w="0" w:type="dxa"/>
        </w:tblCellMar>
      </w:tblPr>
      <w:tr>
        <w:trPr>
          <w:trHeight w:val="435"/>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8,049</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14</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8,063</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8,313</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8,329</w:t>
            </w:r>
          </w:p>
        </w:tc>
      </w:tr>
      <w:tr>
        <w:trPr>
          <w:trHeight w:val="448"/>
        </w:trPr>
        <w:tc>
          <w:tcPr>
            <w:tcW w:w="2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policy-related balances</w:t>
            </w:r>
          </w:p>
        </w:tc>
        <w:tc>
          <w:tcPr>
            <w:tcW w:w="11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2,376</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1,517</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3,893</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2,324</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1,554</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3,878</w:t>
            </w:r>
          </w:p>
        </w:tc>
      </w:tr>
      <w:tr>
        <w:trPr>
          <w:trHeight w:val="453"/>
        </w:trPr>
        <w:tc>
          <w:tcPr>
            <w:tcW w:w="2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1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7,419</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2,211</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9,646</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7,422</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1,713</w:t>
            </w:r>
          </w:p>
        </w:tc>
        <w:tc>
          <w:tcPr>
            <w:tcW w:w="34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80" w:right="35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Reinsurance (continued)</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Reinsurance agreements that do not expose the Company to a reasonable possibility of a significant loss from insurance risk are recorded using the deposit method of accounting. The deposit assets on reinsurance were $8.0 billion and $8.5 billion at December 31, 2025 and 2024, respectively. The deposit liabilities on reinsurance were $3.2 billion and $3.8 billion at December 31, 2025 and 2024,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1 for a description of the Company’s accounting policies for investments and Note 10 for information about the fair value hierarchy for investments and the related valuation methodologies.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by Sector</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Fixed maturity securities by sector were as follows at: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20" w:type="dxa"/>
            <w:vAlign w:val="bottom"/>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5"/>
          </w:tcPr>
          <w:p>
            <w:pPr>
              <w:ind w:left="320"/>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vMerge w:val="restart"/>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rPr>
              <w:t>Estimated</w:t>
            </w:r>
          </w:p>
        </w:tc>
        <w:tc>
          <w:tcPr>
            <w:tcW w:w="0" w:type="dxa"/>
            <w:vAlign w:val="bottom"/>
          </w:tcPr>
          <w:p>
            <w:pPr>
              <w:spacing w:after="0"/>
              <w:rPr>
                <w:sz w:val="1"/>
                <w:szCs w:val="1"/>
                <w:color w:val="auto"/>
              </w:rPr>
            </w:pPr>
          </w:p>
        </w:tc>
      </w:tr>
      <w:tr>
        <w:trPr>
          <w:trHeight w:val="212"/>
        </w:trPr>
        <w:tc>
          <w:tcPr>
            <w:tcW w:w="2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2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4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120" w:type="dxa"/>
            <w:vAlign w:val="bottom"/>
          </w:tcPr>
          <w:p>
            <w:pPr>
              <w:spacing w:after="0"/>
              <w:rPr>
                <w:sz w:val="14"/>
                <w:szCs w:val="14"/>
                <w:color w:val="auto"/>
              </w:rPr>
            </w:pPr>
          </w:p>
        </w:tc>
        <w:tc>
          <w:tcPr>
            <w:tcW w:w="700" w:type="dxa"/>
            <w:vAlign w:val="bottom"/>
          </w:tcPr>
          <w:p>
            <w:pPr>
              <w:jc w:val="right"/>
              <w:ind w:right="71"/>
              <w:spacing w:after="0"/>
              <w:rPr>
                <w:sz w:val="20"/>
                <w:szCs w:val="20"/>
                <w:color w:val="auto"/>
              </w:rPr>
            </w:pPr>
            <w:r>
              <w:rPr>
                <w:rFonts w:ascii="Times New Roman" w:cs="Times New Roman" w:eastAsia="Times New Roman" w:hAnsi="Times New Roman"/>
                <w:sz w:val="12"/>
                <w:szCs w:val="12"/>
                <w:b w:val="1"/>
                <w:bCs w:val="1"/>
                <w:color w:val="auto"/>
                <w:w w:val="98"/>
              </w:rPr>
              <w:t>Fair Value</w:t>
            </w: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ind w:left="44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41,590</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37,123</w:t>
            </w:r>
          </w:p>
        </w:tc>
        <w:tc>
          <w:tcPr>
            <w:tcW w:w="0" w:type="dxa"/>
            <w:vAlign w:val="bottom"/>
          </w:tcPr>
          <w:p>
            <w:pPr>
              <w:spacing w:after="0"/>
              <w:rPr>
                <w:sz w:val="1"/>
                <w:szCs w:val="1"/>
                <w:color w:val="auto"/>
              </w:rPr>
            </w:pPr>
          </w:p>
        </w:tc>
      </w:tr>
      <w:tr>
        <w:trPr>
          <w:trHeight w:val="40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13,284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2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9,029</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8,120</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7,287</w:t>
            </w:r>
          </w:p>
        </w:tc>
        <w:tc>
          <w:tcPr>
            <w:tcW w:w="0" w:type="dxa"/>
            <w:vAlign w:val="bottom"/>
          </w:tcPr>
          <w:p>
            <w:pPr>
              <w:spacing w:after="0"/>
              <w:rPr>
                <w:sz w:val="1"/>
                <w:szCs w:val="1"/>
                <w:color w:val="auto"/>
              </w:rPr>
            </w:pPr>
          </w:p>
        </w:tc>
      </w:tr>
      <w:tr>
        <w:trPr>
          <w:trHeight w:val="40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2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6,354</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0" w:type="dxa"/>
            <w:vAlign w:val="bottom"/>
          </w:tcPr>
          <w:p>
            <w:pPr>
              <w:spacing w:after="0"/>
              <w:rPr>
                <w:sz w:val="1"/>
                <w:szCs w:val="1"/>
                <w:color w:val="auto"/>
              </w:rPr>
            </w:pPr>
          </w:p>
        </w:tc>
      </w:tr>
      <w:tr>
        <w:trPr>
          <w:trHeight w:val="40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2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0" w:type="dxa"/>
            <w:vAlign w:val="bottom"/>
          </w:tcPr>
          <w:p>
            <w:pPr>
              <w:spacing w:after="0"/>
              <w:rPr>
                <w:sz w:val="1"/>
                <w:szCs w:val="1"/>
                <w:color w:val="auto"/>
              </w:rPr>
            </w:pPr>
          </w:p>
        </w:tc>
      </w:tr>
      <w:tr>
        <w:trPr>
          <w:trHeight w:val="400"/>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38"/>
        </w:trPr>
        <w:tc>
          <w:tcPr>
            <w:tcW w:w="24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0"/>
        </w:trPr>
        <w:tc>
          <w:tcPr>
            <w:tcW w:w="2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87,046</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82,014</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87,603</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80,055</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$14 million and $30 million at December 31, 2025 and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December 31, 2025:</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rPr>
              <w:t>Due After Five</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159"/>
        </w:trPr>
        <w:tc>
          <w:tcPr>
            <w:tcW w:w="3140" w:type="dxa"/>
            <w:vAlign w:val="bottom"/>
          </w:tcPr>
          <w:p>
            <w:pPr>
              <w:spacing w:after="0"/>
              <w:rPr>
                <w:sz w:val="13"/>
                <w:szCs w:val="13"/>
                <w:color w:val="auto"/>
              </w:rPr>
            </w:pPr>
          </w:p>
        </w:tc>
        <w:tc>
          <w:tcPr>
            <w:tcW w:w="1300" w:type="dxa"/>
            <w:vAlign w:val="bottom"/>
            <w:gridSpan w:val="2"/>
          </w:tcPr>
          <w:p>
            <w:pPr>
              <w:ind w:left="40"/>
              <w:spacing w:after="0" w:line="159" w:lineRule="exact"/>
              <w:rPr>
                <w:sz w:val="20"/>
                <w:szCs w:val="20"/>
                <w:color w:val="auto"/>
              </w:rPr>
            </w:pPr>
            <w:r>
              <w:rPr>
                <w:rFonts w:ascii="Times New Roman" w:cs="Times New Roman" w:eastAsia="Times New Roman" w:hAnsi="Times New Roman"/>
                <w:sz w:val="14"/>
                <w:szCs w:val="14"/>
                <w:b w:val="1"/>
                <w:bCs w:val="1"/>
                <w:color w:val="auto"/>
              </w:rPr>
              <w:t>Due in One Year or</w:t>
            </w:r>
          </w:p>
        </w:tc>
        <w:tc>
          <w:tcPr>
            <w:tcW w:w="1360" w:type="dxa"/>
            <w:vAlign w:val="bottom"/>
            <w:gridSpan w:val="2"/>
          </w:tcPr>
          <w:p>
            <w:pPr>
              <w:ind w:left="80"/>
              <w:spacing w:after="0" w:line="159" w:lineRule="exact"/>
              <w:rPr>
                <w:sz w:val="20"/>
                <w:szCs w:val="20"/>
                <w:color w:val="auto"/>
              </w:rPr>
            </w:pPr>
            <w:r>
              <w:rPr>
                <w:rFonts w:ascii="Times New Roman" w:cs="Times New Roman" w:eastAsia="Times New Roman" w:hAnsi="Times New Roman"/>
                <w:sz w:val="14"/>
                <w:szCs w:val="14"/>
                <w:b w:val="1"/>
                <w:bCs w:val="1"/>
                <w:color w:val="auto"/>
              </w:rPr>
              <w:t>Due After One Year</w:t>
            </w:r>
          </w:p>
        </w:tc>
        <w:tc>
          <w:tcPr>
            <w:tcW w:w="136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Years Through Ten</w:t>
            </w:r>
          </w:p>
        </w:tc>
        <w:tc>
          <w:tcPr>
            <w:tcW w:w="220" w:type="dxa"/>
            <w:vAlign w:val="bottom"/>
          </w:tcPr>
          <w:p>
            <w:pPr>
              <w:spacing w:after="0"/>
              <w:rPr>
                <w:sz w:val="13"/>
                <w:szCs w:val="13"/>
                <w:color w:val="auto"/>
              </w:rPr>
            </w:pPr>
          </w:p>
        </w:tc>
        <w:tc>
          <w:tcPr>
            <w:tcW w:w="1140" w:type="dxa"/>
            <w:vAlign w:val="bottom"/>
          </w:tcPr>
          <w:p>
            <w:pPr>
              <w:jc w:val="right"/>
              <w:ind w:right="165"/>
              <w:spacing w:after="0" w:line="159" w:lineRule="exact"/>
              <w:rPr>
                <w:sz w:val="20"/>
                <w:szCs w:val="20"/>
                <w:color w:val="auto"/>
              </w:rPr>
            </w:pPr>
            <w:r>
              <w:rPr>
                <w:rFonts w:ascii="Times New Roman" w:cs="Times New Roman" w:eastAsia="Times New Roman" w:hAnsi="Times New Roman"/>
                <w:sz w:val="14"/>
                <w:szCs w:val="14"/>
                <w:b w:val="1"/>
                <w:bCs w:val="1"/>
                <w:color w:val="auto"/>
              </w:rPr>
              <w:t>Due After Ten</w:t>
            </w:r>
          </w:p>
        </w:tc>
        <w:tc>
          <w:tcPr>
            <w:tcW w:w="280" w:type="dxa"/>
            <w:vAlign w:val="bottom"/>
          </w:tcPr>
          <w:p>
            <w:pPr>
              <w:spacing w:after="0"/>
              <w:rPr>
                <w:sz w:val="13"/>
                <w:szCs w:val="13"/>
                <w:color w:val="auto"/>
              </w:rPr>
            </w:pPr>
          </w:p>
        </w:tc>
        <w:tc>
          <w:tcPr>
            <w:tcW w:w="1100" w:type="dxa"/>
            <w:vAlign w:val="bottom"/>
          </w:tcPr>
          <w:p>
            <w:pPr>
              <w:jc w:val="right"/>
              <w:ind w:right="265"/>
              <w:spacing w:after="0" w:line="159" w:lineRule="exact"/>
              <w:rPr>
                <w:sz w:val="20"/>
                <w:szCs w:val="20"/>
                <w:color w:val="auto"/>
              </w:rPr>
            </w:pPr>
            <w:r>
              <w:rPr>
                <w:rFonts w:ascii="Times New Roman" w:cs="Times New Roman" w:eastAsia="Times New Roman" w:hAnsi="Times New Roman"/>
                <w:sz w:val="14"/>
                <w:szCs w:val="14"/>
                <w:b w:val="1"/>
                <w:bCs w:val="1"/>
                <w:color w:val="auto"/>
              </w:rPr>
              <w:t>Structured</w:t>
            </w:r>
          </w:p>
        </w:tc>
        <w:tc>
          <w:tcPr>
            <w:tcW w:w="280" w:type="dxa"/>
            <w:vAlign w:val="bottom"/>
          </w:tcPr>
          <w:p>
            <w:pPr>
              <w:spacing w:after="0"/>
              <w:rPr>
                <w:sz w:val="13"/>
                <w:szCs w:val="13"/>
                <w:color w:val="auto"/>
              </w:rPr>
            </w:pPr>
          </w:p>
        </w:tc>
        <w:tc>
          <w:tcPr>
            <w:tcW w:w="1060" w:type="dxa"/>
            <w:vAlign w:val="bottom"/>
          </w:tcPr>
          <w:p>
            <w:pPr>
              <w:jc w:val="right"/>
              <w:ind w:right="223"/>
              <w:spacing w:after="0" w:line="159" w:lineRule="exact"/>
              <w:rPr>
                <w:sz w:val="20"/>
                <w:szCs w:val="20"/>
                <w:color w:val="auto"/>
              </w:rPr>
            </w:pPr>
            <w:r>
              <w:rPr>
                <w:rFonts w:ascii="Times New Roman" w:cs="Times New Roman" w:eastAsia="Times New Roman" w:hAnsi="Times New Roman"/>
                <w:sz w:val="14"/>
                <w:szCs w:val="14"/>
                <w:b w:val="1"/>
                <w:bCs w:val="1"/>
                <w:color w:val="auto"/>
              </w:rPr>
              <w:t>Total Fixed</w:t>
            </w:r>
          </w:p>
        </w:tc>
      </w:tr>
      <w:tr>
        <w:trPr>
          <w:trHeight w:val="199"/>
        </w:trPr>
        <w:tc>
          <w:tcPr>
            <w:tcW w:w="3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Less</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Through Five Years</w:t>
            </w:r>
          </w:p>
        </w:tc>
        <w:tc>
          <w:tcPr>
            <w:tcW w:w="200" w:type="dxa"/>
            <w:vAlign w:val="bottom"/>
          </w:tcPr>
          <w:p>
            <w:pPr>
              <w:spacing w:after="0"/>
              <w:rPr>
                <w:sz w:val="17"/>
                <w:szCs w:val="17"/>
                <w:color w:val="auto"/>
              </w:rPr>
            </w:pPr>
          </w:p>
        </w:tc>
        <w:tc>
          <w:tcPr>
            <w:tcW w:w="1160" w:type="dxa"/>
            <w:vAlign w:val="bottom"/>
          </w:tcPr>
          <w:p>
            <w:pPr>
              <w:jc w:val="center"/>
              <w:ind w:right="106"/>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220" w:type="dxa"/>
            <w:vAlign w:val="bottom"/>
          </w:tcPr>
          <w:p>
            <w:pPr>
              <w:spacing w:after="0"/>
              <w:rPr>
                <w:sz w:val="17"/>
                <w:szCs w:val="17"/>
                <w:color w:val="auto"/>
              </w:rPr>
            </w:pPr>
          </w:p>
        </w:tc>
        <w:tc>
          <w:tcPr>
            <w:tcW w:w="1140" w:type="dxa"/>
            <w:vAlign w:val="bottom"/>
          </w:tcPr>
          <w:p>
            <w:pPr>
              <w:jc w:val="right"/>
              <w:ind w:right="42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7"/>
                <w:szCs w:val="17"/>
                <w:color w:val="auto"/>
              </w:rPr>
            </w:pPr>
          </w:p>
        </w:tc>
        <w:tc>
          <w:tcPr>
            <w:tcW w:w="110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Securities</w:t>
            </w:r>
          </w:p>
        </w:tc>
      </w:tr>
      <w:tr>
        <w:trPr>
          <w:trHeight w:val="38"/>
        </w:trPr>
        <w:tc>
          <w:tcPr>
            <w:tcW w:w="31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520" w:type="dxa"/>
            <w:vAlign w:val="bottom"/>
            <w:tcBorders>
              <w:bottom w:val="single" w:sz="8" w:color="auto"/>
            </w:tcBorders>
            <w:gridSpan w:val="3"/>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93"/>
        </w:trPr>
        <w:tc>
          <w:tcPr>
            <w:tcW w:w="3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3"/>
          </w:tcPr>
          <w:p>
            <w:pPr>
              <w:jc w:val="right"/>
              <w:ind w:right="88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
        </w:trPr>
        <w:tc>
          <w:tcPr>
            <w:tcW w:w="3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450"/>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5,104</w:t>
            </w:r>
          </w:p>
        </w:tc>
        <w:tc>
          <w:tcPr>
            <w:tcW w:w="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19,598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13,148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28,000</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21,196</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87,046</w:t>
            </w:r>
          </w:p>
        </w:tc>
      </w:tr>
      <w:tr>
        <w:trPr>
          <w:trHeight w:val="432"/>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w:t>
            </w:r>
          </w:p>
        </w:tc>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5,075</w:t>
            </w:r>
          </w:p>
        </w:tc>
        <w:tc>
          <w:tcPr>
            <w:tcW w:w="4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19,365</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12,779</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24,334</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20,461</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82,014</w:t>
            </w:r>
          </w:p>
        </w:tc>
      </w:tr>
    </w:tbl>
    <w:p>
      <w:pPr>
        <w:spacing w:after="0" w:line="238"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ectPr>
          <w:pgSz w:w="11900" w:h="16838" w:orient="portrait"/>
          <w:cols w:equalWidth="0" w:num="1">
            <w:col w:w="11240"/>
          </w:cols>
          <w:pgMar w:left="320" w:top="278" w:right="339" w:bottom="44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441" w:gutter="0" w:footer="0" w:header="0"/>
          <w:type w:val="continuous"/>
        </w:sectPr>
      </w:pPr>
    </w:p>
    <w:bookmarkStart w:id="163" w:name="page164"/>
    <w:bookmarkEnd w:id="163"/>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by Sector</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4"/>
          </w:tcPr>
          <w:p>
            <w:pPr>
              <w:jc w:val="right"/>
              <w:ind w:right="431"/>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4"/>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5"/>
          </w:tcPr>
          <w:p>
            <w:pPr>
              <w:ind w:left="240"/>
              <w:spacing w:after="0"/>
              <w:rPr>
                <w:sz w:val="20"/>
                <w:szCs w:val="20"/>
                <w:color w:val="auto"/>
              </w:rPr>
            </w:pPr>
            <w:r>
              <w:rPr>
                <w:rFonts w:ascii="Times New Roman" w:cs="Times New Roman" w:eastAsia="Times New Roman" w:hAnsi="Times New Roman"/>
                <w:sz w:val="12"/>
                <w:szCs w:val="12"/>
                <w:b w:val="1"/>
                <w:bCs w:val="1"/>
                <w:color w:val="auto"/>
              </w:rPr>
              <w:t>Less than 12 Months</w:t>
            </w:r>
          </w:p>
        </w:tc>
        <w:tc>
          <w:tcPr>
            <w:tcW w:w="220" w:type="dxa"/>
            <w:vAlign w:val="bottom"/>
          </w:tcPr>
          <w:p>
            <w:pPr>
              <w:spacing w:after="0"/>
              <w:rPr>
                <w:sz w:val="24"/>
                <w:szCs w:val="24"/>
                <w:color w:val="auto"/>
              </w:rPr>
            </w:pPr>
          </w:p>
        </w:tc>
        <w:tc>
          <w:tcPr>
            <w:tcW w:w="1860" w:type="dxa"/>
            <w:vAlign w:val="bottom"/>
            <w:gridSpan w:val="5"/>
          </w:tcPr>
          <w:p>
            <w:pPr>
              <w:ind w:left="200"/>
              <w:spacing w:after="0"/>
              <w:rPr>
                <w:sz w:val="20"/>
                <w:szCs w:val="20"/>
                <w:color w:val="auto"/>
              </w:rPr>
            </w:pPr>
            <w:r>
              <w:rPr>
                <w:rFonts w:ascii="Times New Roman" w:cs="Times New Roman" w:eastAsia="Times New Roman" w:hAnsi="Times New Roman"/>
                <w:sz w:val="12"/>
                <w:szCs w:val="12"/>
                <w:b w:val="1"/>
                <w:bCs w:val="1"/>
                <w:color w:val="auto"/>
              </w:rPr>
              <w:t>12 Months or Greater</w:t>
            </w:r>
          </w:p>
        </w:tc>
        <w:tc>
          <w:tcPr>
            <w:tcW w:w="220" w:type="dxa"/>
            <w:vAlign w:val="bottom"/>
          </w:tcPr>
          <w:p>
            <w:pPr>
              <w:spacing w:after="0"/>
              <w:rPr>
                <w:sz w:val="24"/>
                <w:szCs w:val="24"/>
                <w:color w:val="auto"/>
              </w:rPr>
            </w:pPr>
          </w:p>
        </w:tc>
        <w:tc>
          <w:tcPr>
            <w:tcW w:w="1880" w:type="dxa"/>
            <w:vAlign w:val="bottom"/>
            <w:gridSpan w:val="5"/>
          </w:tcPr>
          <w:p>
            <w:pPr>
              <w:ind w:left="220"/>
              <w:spacing w:after="0"/>
              <w:rPr>
                <w:sz w:val="20"/>
                <w:szCs w:val="20"/>
                <w:color w:val="auto"/>
              </w:rPr>
            </w:pPr>
            <w:r>
              <w:rPr>
                <w:rFonts w:ascii="Times New Roman" w:cs="Times New Roman" w:eastAsia="Times New Roman" w:hAnsi="Times New Roman"/>
                <w:sz w:val="12"/>
                <w:szCs w:val="12"/>
                <w:b w:val="1"/>
                <w:bCs w:val="1"/>
                <w:color w:val="auto"/>
              </w:rPr>
              <w:t>Less than 12 Months</w:t>
            </w:r>
          </w:p>
        </w:tc>
        <w:tc>
          <w:tcPr>
            <w:tcW w:w="200" w:type="dxa"/>
            <w:vAlign w:val="bottom"/>
          </w:tcPr>
          <w:p>
            <w:pPr>
              <w:spacing w:after="0"/>
              <w:rPr>
                <w:sz w:val="24"/>
                <w:szCs w:val="24"/>
                <w:color w:val="auto"/>
              </w:rPr>
            </w:pPr>
          </w:p>
        </w:tc>
        <w:tc>
          <w:tcPr>
            <w:tcW w:w="1820" w:type="dxa"/>
            <w:vAlign w:val="bottom"/>
            <w:gridSpan w:val="4"/>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12 Months or Greater</w:t>
            </w: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920" w:type="dxa"/>
            <w:vAlign w:val="bottom"/>
          </w:tcPr>
          <w:p>
            <w:pPr>
              <w:spacing w:after="0"/>
              <w:rPr>
                <w:sz w:val="9"/>
                <w:szCs w:val="9"/>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120" w:type="dxa"/>
            <w:vAlign w:val="bottom"/>
          </w:tcPr>
          <w:p>
            <w:pPr>
              <w:spacing w:after="0"/>
              <w:rPr>
                <w:sz w:val="9"/>
                <w:szCs w:val="9"/>
                <w:color w:val="auto"/>
              </w:rPr>
            </w:pP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jc w:val="center"/>
              <w:ind w:right="72"/>
              <w:spacing w:after="0" w:line="113" w:lineRule="exact"/>
              <w:rPr>
                <w:sz w:val="20"/>
                <w:szCs w:val="20"/>
                <w:color w:val="auto"/>
              </w:rPr>
            </w:pPr>
            <w:r>
              <w:rPr>
                <w:rFonts w:ascii="Times New Roman" w:cs="Times New Roman" w:eastAsia="Times New Roman" w:hAnsi="Times New Roman"/>
                <w:sz w:val="12"/>
                <w:szCs w:val="12"/>
                <w:b w:val="1"/>
                <w:bCs w:val="1"/>
                <w:color w:val="auto"/>
                <w:w w:val="99"/>
              </w:rPr>
              <w:t>Gross</w:t>
            </w:r>
          </w:p>
        </w:tc>
        <w:tc>
          <w:tcPr>
            <w:tcW w:w="100" w:type="dxa"/>
            <w:vAlign w:val="bottom"/>
          </w:tcPr>
          <w:p>
            <w:pPr>
              <w:spacing w:after="0"/>
              <w:rPr>
                <w:sz w:val="9"/>
                <w:szCs w:val="9"/>
                <w:color w:val="auto"/>
              </w:rPr>
            </w:pPr>
          </w:p>
        </w:tc>
        <w:tc>
          <w:tcPr>
            <w:tcW w:w="94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jc w:val="center"/>
              <w:ind w:right="72"/>
              <w:spacing w:after="0" w:line="113" w:lineRule="exact"/>
              <w:rPr>
                <w:sz w:val="20"/>
                <w:szCs w:val="20"/>
                <w:color w:val="auto"/>
              </w:rPr>
            </w:pPr>
            <w:r>
              <w:rPr>
                <w:rFonts w:ascii="Times New Roman" w:cs="Times New Roman" w:eastAsia="Times New Roman" w:hAnsi="Times New Roman"/>
                <w:sz w:val="12"/>
                <w:szCs w:val="12"/>
                <w:b w:val="1"/>
                <w:bCs w:val="1"/>
                <w:color w:val="auto"/>
              </w:rPr>
              <w:t>Gross</w:t>
            </w:r>
          </w:p>
        </w:tc>
        <w:tc>
          <w:tcPr>
            <w:tcW w:w="120" w:type="dxa"/>
            <w:vAlign w:val="bottom"/>
          </w:tcPr>
          <w:p>
            <w:pPr>
              <w:spacing w:after="0"/>
              <w:rPr>
                <w:sz w:val="9"/>
                <w:szCs w:val="9"/>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100" w:type="dxa"/>
            <w:vAlign w:val="bottom"/>
          </w:tcPr>
          <w:p>
            <w:pPr>
              <w:spacing w:after="0"/>
              <w:rPr>
                <w:sz w:val="9"/>
                <w:szCs w:val="9"/>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0" w:type="dxa"/>
            <w:vAlign w:val="bottom"/>
          </w:tcPr>
          <w:p>
            <w:pPr>
              <w:spacing w:after="0"/>
              <w:rPr>
                <w:sz w:val="1"/>
                <w:szCs w:val="1"/>
                <w:color w:val="auto"/>
              </w:rPr>
            </w:pPr>
          </w:p>
        </w:tc>
      </w:tr>
      <w:tr>
        <w:trPr>
          <w:trHeight w:val="119"/>
        </w:trPr>
        <w:tc>
          <w:tcPr>
            <w:tcW w:w="29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gridSpan w:val="2"/>
          </w:tcPr>
          <w:p>
            <w:pPr>
              <w:jc w:val="center"/>
              <w:ind w:right="260"/>
              <w:spacing w:after="0" w:line="120" w:lineRule="exact"/>
              <w:rPr>
                <w:sz w:val="20"/>
                <w:szCs w:val="20"/>
                <w:color w:val="auto"/>
              </w:rPr>
            </w:pPr>
            <w:r>
              <w:rPr>
                <w:rFonts w:ascii="Times New Roman" w:cs="Times New Roman" w:eastAsia="Times New Roman" w:hAnsi="Times New Roman"/>
                <w:sz w:val="12"/>
                <w:szCs w:val="12"/>
                <w:b w:val="1"/>
                <w:bCs w:val="1"/>
                <w:color w:val="auto"/>
                <w:w w:val="99"/>
              </w:rPr>
              <w:t>Unrealized</w:t>
            </w:r>
          </w:p>
        </w:tc>
        <w:tc>
          <w:tcPr>
            <w:tcW w:w="9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9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0" w:type="dxa"/>
            <w:vAlign w:val="bottom"/>
          </w:tcPr>
          <w:p>
            <w:pPr>
              <w:spacing w:after="0"/>
              <w:rPr>
                <w:sz w:val="1"/>
                <w:szCs w:val="1"/>
                <w:color w:val="auto"/>
              </w:rPr>
            </w:pPr>
          </w:p>
        </w:tc>
      </w:tr>
      <w:tr>
        <w:trPr>
          <w:trHeight w:val="380"/>
        </w:trPr>
        <w:tc>
          <w:tcPr>
            <w:tcW w:w="2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4"/>
          </w:tcPr>
          <w:p>
            <w:pPr>
              <w:jc w:val="right"/>
              <w:ind w:right="391"/>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3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10,764</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17,660</w:t>
            </w:r>
          </w:p>
        </w:tc>
        <w:tc>
          <w:tcPr>
            <w:tcW w:w="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0" w:type="dxa"/>
            <w:vAlign w:val="bottom"/>
          </w:tcPr>
          <w:p>
            <w:pPr>
              <w:spacing w:after="0"/>
              <w:rPr>
                <w:sz w:val="1"/>
                <w:szCs w:val="1"/>
                <w:color w:val="auto"/>
              </w:rPr>
            </w:pPr>
          </w:p>
        </w:tc>
      </w:tr>
      <w:tr>
        <w:trPr>
          <w:trHeight w:val="40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5,560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0" w:type="dxa"/>
            <w:vAlign w:val="bottom"/>
          </w:tcPr>
          <w:p>
            <w:pPr>
              <w:spacing w:after="0"/>
              <w:rPr>
                <w:sz w:val="1"/>
                <w:szCs w:val="1"/>
                <w:color w:val="auto"/>
              </w:rPr>
            </w:pPr>
          </w:p>
        </w:tc>
      </w:tr>
      <w:tr>
        <w:trPr>
          <w:trHeight w:val="40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w:t>
            </w: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40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38"/>
        </w:trPr>
        <w:tc>
          <w:tcPr>
            <w:tcW w:w="2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2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400"/>
        </w:trPr>
        <w:tc>
          <w:tcPr>
            <w:tcW w:w="2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38"/>
        </w:trPr>
        <w:tc>
          <w:tcPr>
            <w:tcW w:w="29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5"/>
        </w:trPr>
        <w:tc>
          <w:tcPr>
            <w:tcW w:w="2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8,111</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20,918</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37,112</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4"/>
                <w:szCs w:val="14"/>
                <w:color w:val="auto"/>
              </w:rPr>
              <w:t>Total number of securities in an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5,272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92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unrealized loss position</w:t>
            </w: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Fixed Maturity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w:t>
      </w:r>
    </w:p>
    <w:p>
      <w:pPr>
        <w:spacing w:after="0" w:line="79"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OCI.</w:t>
      </w:r>
    </w:p>
    <w:p>
      <w:pPr>
        <w:spacing w:after="0" w:line="81"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$671 million and $672 million at December 31, 2025 and 2024, respectively, and is included in accrued investment income.</w:t>
      </w:r>
    </w:p>
    <w:p>
      <w:pPr>
        <w:sectPr>
          <w:pgSz w:w="11900" w:h="16838" w:orient="portrait"/>
          <w:cols w:equalWidth="0" w:num="1">
            <w:col w:w="11240"/>
          </w:cols>
          <w:pgMar w:left="320" w:top="27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149</w:t>
      </w:r>
    </w:p>
    <w:p>
      <w:pPr>
        <w:sectPr>
          <w:pgSz w:w="11900" w:h="16838" w:orient="portrait"/>
          <w:cols w:equalWidth="0" w:num="1">
            <w:col w:w="11240"/>
          </w:cols>
          <w:pgMar w:left="320" w:top="278" w:right="339" w:bottom="0" w:gutter="0" w:footer="0" w:header="0"/>
          <w:type w:val="continuous"/>
        </w:sectPr>
      </w:pPr>
    </w:p>
    <w:bookmarkStart w:id="164" w:name="page165"/>
    <w:bookmarkEnd w:id="1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Based on the Company’s current evaluation of its fixed maturity securities in an unrealized loss position and the current intent or requirement to sell, the Company recorded an allowance for credit losses of $64 million, relating to 22 securities, at December 31, 2025.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Rollforward of the Allowance for Credit Losses for Fixed Maturity Securities by Sector</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allowance for credit losses for fixed maturity securities by sector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U.S. Corporate</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Corporate</w:t>
            </w:r>
          </w:p>
        </w:tc>
        <w:tc>
          <w:tcPr>
            <w:tcW w:w="18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RMBS</w:t>
            </w:r>
          </w:p>
        </w:tc>
        <w:tc>
          <w:tcPr>
            <w:tcW w:w="260" w:type="dxa"/>
            <w:vAlign w:val="bottom"/>
          </w:tcPr>
          <w:p>
            <w:pPr>
              <w:spacing w:after="0"/>
              <w:rPr>
                <w:sz w:val="16"/>
                <w:szCs w:val="16"/>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280" w:type="dxa"/>
            <w:vAlign w:val="bottom"/>
          </w:tcPr>
          <w:p>
            <w:pPr>
              <w:spacing w:after="0"/>
              <w:rPr>
                <w:sz w:val="16"/>
                <w:szCs w:val="16"/>
                <w:color w:val="auto"/>
              </w:rPr>
            </w:pP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410"/>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recorded</w:t>
            </w:r>
          </w:p>
        </w:tc>
        <w:tc>
          <w:tcPr>
            <w:tcW w:w="12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45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10"/>
        </w:trPr>
        <w:tc>
          <w:tcPr>
            <w:tcW w:w="4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previous period</w:t>
            </w:r>
          </w:p>
        </w:tc>
        <w:tc>
          <w:tcPr>
            <w:tcW w:w="120" w:type="dxa"/>
            <w:vAlign w:val="bottom"/>
          </w:tcPr>
          <w:p>
            <w:pPr>
              <w:spacing w:after="0"/>
              <w:rPr>
                <w:sz w:val="20"/>
                <w:szCs w:val="20"/>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45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41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recorded</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44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41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previous period</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44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71"/>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560" w:type="dxa"/>
            <w:vAlign w:val="bottom"/>
            <w:tcBorders>
              <w:top w:val="single" w:sz="8" w:color="auto"/>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Company recorded total write-offs of $33 million and $12 million for the years ended December 31, 2025 and 2024, respectively.</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66" w:name="page167"/>
    <w:bookmarkEnd w:id="166"/>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142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6"/>
        </w:trPr>
        <w:tc>
          <w:tcPr>
            <w:tcW w:w="5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142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58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740" w:type="dxa"/>
            <w:vAlign w:val="bottom"/>
            <w:tcBorders>
              <w:bottom w:val="single" w:sz="8" w:color="auto"/>
            </w:tcBorders>
            <w:gridSpan w:val="6"/>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5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6"/>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13,330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57.2 %</w:t>
            </w:r>
          </w:p>
        </w:tc>
        <w:tc>
          <w:tcPr>
            <w:tcW w:w="0" w:type="dxa"/>
            <w:vAlign w:val="bottom"/>
          </w:tcPr>
          <w:p>
            <w:pPr>
              <w:spacing w:after="0"/>
              <w:rPr>
                <w:sz w:val="1"/>
                <w:szCs w:val="1"/>
                <w:color w:val="auto"/>
              </w:rPr>
            </w:pPr>
          </w:p>
        </w:tc>
      </w:tr>
      <w:tr>
        <w:trPr>
          <w:trHeight w:val="441"/>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45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23.8</w:t>
            </w:r>
          </w:p>
        </w:tc>
        <w:tc>
          <w:tcPr>
            <w:tcW w:w="0" w:type="dxa"/>
            <w:vAlign w:val="bottom"/>
          </w:tcPr>
          <w:p>
            <w:pPr>
              <w:spacing w:after="0"/>
              <w:rPr>
                <w:sz w:val="1"/>
                <w:szCs w:val="1"/>
                <w:color w:val="auto"/>
              </w:rPr>
            </w:pPr>
          </w:p>
        </w:tc>
      </w:tr>
      <w:tr>
        <w:trPr>
          <w:trHeight w:val="448"/>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(1)</w:t>
            </w:r>
          </w:p>
        </w:tc>
        <w:tc>
          <w:tcPr>
            <w:tcW w:w="2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22,955</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101.0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23,464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100.7</w:t>
            </w:r>
          </w:p>
        </w:tc>
        <w:tc>
          <w:tcPr>
            <w:tcW w:w="0" w:type="dxa"/>
            <w:vAlign w:val="bottom"/>
          </w:tcPr>
          <w:p>
            <w:pPr>
              <w:spacing w:after="0"/>
              <w:rPr>
                <w:sz w:val="1"/>
                <w:szCs w:val="1"/>
                <w:color w:val="auto"/>
              </w:rPr>
            </w:pPr>
          </w:p>
        </w:tc>
      </w:tr>
      <w:tr>
        <w:trPr>
          <w:trHeight w:val="44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450"/>
        </w:trPr>
        <w:tc>
          <w:tcPr>
            <w:tcW w:w="58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mortgage loans, net</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23,286</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8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mortgage loans from third parties were $1.2 billion and $1.0 billion for the years ended December 31, 2025 and 2024, respectively, and were primarily comprised of residential mortgage loans.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$132 million at both December 31, 2025 and 2024.</w:t>
      </w:r>
    </w:p>
    <w:p>
      <w:pPr>
        <w:spacing w:after="0" w:line="74"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spacing w:after="0" w:line="79"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67" w:name="page168"/>
    <w:bookmarkEnd w:id="167"/>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77" w:lineRule="exact"/>
        <w:rPr>
          <w:sz w:val="20"/>
          <w:szCs w:val="20"/>
          <w:color w:val="auto"/>
        </w:rPr>
      </w:pPr>
    </w:p>
    <w:p>
      <w:pPr>
        <w:jc w:val="right"/>
        <w:ind w:left="320" w:right="4580"/>
        <w:spacing w:after="0" w:line="436" w:lineRule="auto"/>
        <w:rPr>
          <w:sz w:val="20"/>
          <w:szCs w:val="20"/>
          <w:color w:val="auto"/>
        </w:rPr>
      </w:pPr>
      <w:r>
        <w:rPr>
          <w:rFonts w:ascii="Times New Roman" w:cs="Times New Roman" w:eastAsia="Times New Roman" w:hAnsi="Times New Roman"/>
          <w:sz w:val="17"/>
          <w:szCs w:val="17"/>
          <w:i w:val="1"/>
          <w:iCs w:val="1"/>
          <w:u w:val="single" w:color="auto"/>
          <w:color w:val="auto"/>
        </w:rPr>
        <w:t xml:space="preserve">Rollforward of the Allowance for Credit Losses for Mortgage Loans by Portfolio Segment </w:t>
      </w:r>
      <w:r>
        <w:rPr>
          <w:rFonts w:ascii="Times New Roman" w:cs="Times New Roman" w:eastAsia="Times New Roman" w:hAnsi="Times New Roman"/>
          <w:sz w:val="17"/>
          <w:szCs w:val="17"/>
          <w:color w:val="auto"/>
        </w:rPr>
        <w:t>The changes in the allowance for credit losses by portfolio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393"/>
        </w:trPr>
        <w:tc>
          <w:tcPr>
            <w:tcW w:w="5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0" w:type="dxa"/>
            <w:vAlign w:val="bottom"/>
            <w:gridSpan w:val="3"/>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
        </w:trPr>
        <w:tc>
          <w:tcPr>
            <w:tcW w:w="5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45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12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441"/>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120" w:type="dxa"/>
            <w:vAlign w:val="bottom"/>
          </w:tcPr>
          <w:p>
            <w:pPr>
              <w:spacing w:after="0"/>
              <w:rPr>
                <w:sz w:val="24"/>
                <w:szCs w:val="24"/>
                <w:color w:val="auto"/>
              </w:rPr>
            </w:pPr>
          </w:p>
        </w:tc>
        <w:tc>
          <w:tcPr>
            <w:tcW w:w="3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45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441"/>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106</w:t>
            </w:r>
          </w:p>
        </w:tc>
        <w:tc>
          <w:tcPr>
            <w:tcW w:w="10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46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444"/>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475"/>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12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134</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auto"/>
            </w:tcBorders>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60" w:type="dxa"/>
            <w:vAlign w:val="bottom"/>
            <w:tcBorders>
              <w:top w:val="single" w:sz="8" w:color="auto"/>
              <w:bottom w:val="single" w:sz="8" w:color="auto"/>
            </w:tcBorders>
            <w:shd w:val="clear" w:color="auto" w:fill="CCEEFF"/>
          </w:tcPr>
          <w:p>
            <w:pPr>
              <w:jc w:val="right"/>
              <w:ind w:right="983"/>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68" w:name="page169"/>
    <w:bookmarkEnd w:id="168"/>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ind w:left="180" w:hanging="174"/>
        <w:spacing w:after="0"/>
        <w:tabs>
          <w:tab w:leader="none" w:pos="1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86"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Credit Quality of Mortgage Loans by Portfolio Segment</w:t>
      </w:r>
    </w:p>
    <w:p>
      <w:pPr>
        <w:spacing w:after="0" w:line="1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of mortgage loans by year of origination and credit quality indicator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6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393"/>
        </w:trPr>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
        </w:trPr>
        <w:tc>
          <w:tcPr>
            <w:tcW w:w="3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2"/>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44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2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2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2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w:t>
            </w:r>
          </w:p>
        </w:tc>
      </w:tr>
      <w:tr>
        <w:trPr>
          <w:trHeight w:val="46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2,393</w:t>
            </w:r>
          </w:p>
        </w:tc>
      </w:tr>
      <w:tr>
        <w:trPr>
          <w:trHeight w:val="44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r>
      <w:tr>
        <w:trPr>
          <w:trHeight w:val="453"/>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w:t>
            </w:r>
          </w:p>
        </w:tc>
      </w:tr>
      <w:tr>
        <w:trPr>
          <w:trHeight w:val="444"/>
        </w:trPr>
        <w:tc>
          <w:tcPr>
            <w:tcW w:w="3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12,323</w:t>
            </w:r>
          </w:p>
        </w:tc>
      </w:tr>
      <w:tr>
        <w:trPr>
          <w:trHeight w:val="43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w:t>
            </w:r>
          </w:p>
        </w:tc>
      </w:tr>
      <w:tr>
        <w:trPr>
          <w:trHeight w:val="44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20" w:type="dxa"/>
            <w:vAlign w:val="bottom"/>
          </w:tcPr>
          <w:p>
            <w:pPr>
              <w:spacing w:after="0"/>
              <w:rPr>
                <w:sz w:val="24"/>
                <w:szCs w:val="24"/>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r>
      <w:tr>
        <w:trPr>
          <w:trHeight w:val="46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4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50"/>
        </w:trPr>
        <w:tc>
          <w:tcPr>
            <w:tcW w:w="36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4,656</w:t>
            </w:r>
          </w:p>
        </w:tc>
      </w:tr>
      <w:tr>
        <w:trPr>
          <w:trHeight w:val="42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5,868</w:t>
            </w:r>
          </w:p>
        </w:tc>
      </w:tr>
      <w:tr>
        <w:trPr>
          <w:trHeight w:val="44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r>
      <w:tr>
        <w:trPr>
          <w:trHeight w:val="444"/>
        </w:trPr>
        <w:tc>
          <w:tcPr>
            <w:tcW w:w="36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r>
      <w:tr>
        <w:trPr>
          <w:trHeight w:val="450"/>
        </w:trPr>
        <w:tc>
          <w:tcPr>
            <w:tcW w:w="36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5,573</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9,197</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22,955</w:t>
            </w: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278" w:right="339" w:bottom="144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Prior</w:t>
            </w:r>
          </w:p>
        </w:tc>
        <w:tc>
          <w:tcPr>
            <w:tcW w:w="220" w:type="dxa"/>
            <w:vAlign w:val="bottom"/>
          </w:tcPr>
          <w:p>
            <w:pPr>
              <w:spacing w:after="0"/>
              <w:rPr>
                <w:sz w:val="16"/>
                <w:szCs w:val="16"/>
                <w:color w:val="auto"/>
              </w:rPr>
            </w:pPr>
          </w:p>
        </w:tc>
        <w:tc>
          <w:tcPr>
            <w:tcW w:w="78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3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393"/>
        </w:trPr>
        <w:tc>
          <w:tcPr>
            <w:tcW w:w="3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
        </w:trPr>
        <w:tc>
          <w:tcPr>
            <w:tcW w:w="3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12"/>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44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1,850</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2,846</w:t>
            </w:r>
          </w:p>
        </w:tc>
        <w:tc>
          <w:tcPr>
            <w:tcW w:w="12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w:t>
            </w:r>
          </w:p>
        </w:tc>
      </w:tr>
      <w:tr>
        <w:trPr>
          <w:trHeight w:val="4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3,176</w:t>
            </w:r>
          </w:p>
        </w:tc>
      </w:tr>
      <w:tr>
        <w:trPr>
          <w:trHeight w:val="44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r>
      <w:tr>
        <w:trPr>
          <w:trHeight w:val="453"/>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w:t>
            </w:r>
          </w:p>
        </w:tc>
      </w:tr>
      <w:tr>
        <w:trPr>
          <w:trHeight w:val="444"/>
        </w:trPr>
        <w:tc>
          <w:tcPr>
            <w:tcW w:w="36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2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3,152</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6,309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13,330</w:t>
            </w:r>
          </w:p>
        </w:tc>
      </w:tr>
      <w:tr>
        <w:trPr>
          <w:trHeight w:val="43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w:t>
            </w:r>
          </w:p>
        </w:tc>
      </w:tr>
      <w:tr>
        <w:trPr>
          <w:trHeight w:val="44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r>
      <w:tr>
        <w:trPr>
          <w:trHeight w:val="4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44"/>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450"/>
        </w:trPr>
        <w:tc>
          <w:tcPr>
            <w:tcW w:w="3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4,591</w:t>
            </w:r>
          </w:p>
        </w:tc>
      </w:tr>
      <w:tr>
        <w:trPr>
          <w:trHeight w:val="421"/>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w:t>
            </w:r>
          </w:p>
        </w:tc>
      </w:tr>
      <w:tr>
        <w:trPr>
          <w:trHeight w:val="444"/>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r>
      <w:tr>
        <w:trPr>
          <w:trHeight w:val="444"/>
        </w:trPr>
        <w:tc>
          <w:tcPr>
            <w:tcW w:w="3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spacing w:after="0"/>
              <w:rPr>
                <w:sz w:val="24"/>
                <w:szCs w:val="24"/>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1,661</w:t>
            </w:r>
          </w:p>
        </w:tc>
        <w:tc>
          <w:tcPr>
            <w:tcW w:w="10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spacing w:after="0"/>
              <w:rPr>
                <w:sz w:val="24"/>
                <w:szCs w:val="24"/>
                <w:color w:val="auto"/>
              </w:rPr>
            </w:pP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w:t>
            </w: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spacing w:after="0"/>
              <w:rPr>
                <w:sz w:val="24"/>
                <w:szCs w:val="2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5,543</w:t>
            </w:r>
          </w:p>
        </w:tc>
      </w:tr>
      <w:tr>
        <w:trPr>
          <w:trHeight w:val="451"/>
        </w:trPr>
        <w:tc>
          <w:tcPr>
            <w:tcW w:w="3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1,845</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4,376</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9,614</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23,464</w:t>
            </w:r>
          </w:p>
        </w:tc>
      </w:tr>
      <w:tr>
        <w:trPr>
          <w:trHeight w:val="20"/>
        </w:trPr>
        <w:tc>
          <w:tcPr>
            <w:tcW w:w="3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170" w:name="page171"/>
    <w:bookmarkEnd w:id="170"/>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of commercial mortgage loans by debt-service coverage ratio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38"/>
        </w:trPr>
        <w:tc>
          <w:tcPr>
            <w:tcW w:w="64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64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tcBorders>
          </w:tcPr>
          <w:p>
            <w:pPr>
              <w:spacing w:after="0"/>
              <w:rPr>
                <w:sz w:val="16"/>
                <w:szCs w:val="16"/>
                <w:color w:val="auto"/>
              </w:rPr>
            </w:pPr>
          </w:p>
        </w:tc>
      </w:tr>
      <w:tr>
        <w:trPr>
          <w:trHeight w:val="399"/>
        </w:trPr>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24"/>
                <w:szCs w:val="24"/>
                <w:color w:val="auto"/>
              </w:rPr>
            </w:pPr>
          </w:p>
        </w:tc>
        <w:tc>
          <w:tcPr>
            <w:tcW w:w="130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Amortized Cost</w:t>
            </w:r>
          </w:p>
        </w:tc>
        <w:tc>
          <w:tcPr>
            <w:tcW w:w="94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38"/>
        </w:trPr>
        <w:tc>
          <w:tcPr>
            <w:tcW w:w="64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gridSpan w:val="6"/>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393"/>
        </w:trPr>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6"/>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40" w:type="dxa"/>
            <w:vAlign w:val="bottom"/>
          </w:tcPr>
          <w:p>
            <w:pPr>
              <w:spacing w:after="0"/>
              <w:rPr>
                <w:sz w:val="24"/>
                <w:szCs w:val="24"/>
                <w:color w:val="auto"/>
              </w:rPr>
            </w:pPr>
          </w:p>
        </w:tc>
      </w:tr>
      <w:tr>
        <w:trPr>
          <w:trHeight w:val="38"/>
        </w:trPr>
        <w:tc>
          <w:tcPr>
            <w:tcW w:w="6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451"/>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Debt-service coverage ratios:</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441"/>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1.20x</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90.5 %</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90.3 %</w:t>
            </w:r>
          </w:p>
        </w:tc>
      </w:tr>
      <w:tr>
        <w:trPr>
          <w:trHeight w:val="46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1.00x - 1.20x</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6.0</w:t>
            </w:r>
          </w:p>
        </w:tc>
      </w:tr>
      <w:tr>
        <w:trPr>
          <w:trHeight w:val="444"/>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than 1.00x</w:t>
            </w: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3.7</w:t>
            </w:r>
          </w:p>
        </w:tc>
      </w:tr>
      <w:tr>
        <w:trPr>
          <w:trHeight w:val="475"/>
        </w:trPr>
        <w:tc>
          <w:tcPr>
            <w:tcW w:w="6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Due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has a high-quality, well-performing mortgage loan portfolio, with 99% of all mortgage loans classified as performing at both December 31, 2025 and 2024. Delinquency is defined consistent with industry practice, when mortgage loans are past due as follows: commercial and residential mortgage loans — 60 days; and agricultural mortgage loans — 90 days.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aging of the amortized cost of past due mortgage loans by portfolio segment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8"/>
        </w:trPr>
        <w:tc>
          <w:tcPr>
            <w:tcW w:w="2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393"/>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
        </w:trPr>
        <w:tc>
          <w:tcPr>
            <w:tcW w:w="2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393"/>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4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20" w:type="dxa"/>
            <w:vAlign w:val="bottom"/>
          </w:tcPr>
          <w:p>
            <w:pPr>
              <w:spacing w:after="0"/>
              <w:rPr>
                <w:sz w:val="24"/>
                <w:szCs w:val="24"/>
                <w:color w:val="auto"/>
              </w:rPr>
            </w:pPr>
          </w:p>
        </w:tc>
        <w:tc>
          <w:tcPr>
            <w:tcW w:w="9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24"/>
                <w:szCs w:val="24"/>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40" w:type="dxa"/>
            <w:vAlign w:val="bottom"/>
          </w:tcPr>
          <w:p>
            <w:pPr>
              <w:spacing w:after="0"/>
              <w:rPr>
                <w:sz w:val="24"/>
                <w:szCs w:val="24"/>
                <w:color w:val="auto"/>
              </w:rPr>
            </w:pPr>
          </w:p>
        </w:tc>
        <w:tc>
          <w:tcPr>
            <w:tcW w:w="820" w:type="dxa"/>
            <w:vAlign w:val="bottom"/>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2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040" w:type="dxa"/>
            <w:vAlign w:val="bottom"/>
            <w:tcBorders>
              <w:bottom w:val="single" w:sz="8" w:color="auto"/>
            </w:tcBorders>
            <w:gridSpan w:val="5"/>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393"/>
        </w:trPr>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
        </w:trPr>
        <w:tc>
          <w:tcPr>
            <w:tcW w:w="2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45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13,210</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23,199</w:t>
            </w:r>
          </w:p>
        </w:tc>
      </w:tr>
      <w:tr>
        <w:trPr>
          <w:trHeight w:val="441"/>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30-59 days past due</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r>
      <w:tr>
        <w:trPr>
          <w:trHeight w:val="46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60-89 days past due</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r>
      <w:tr>
        <w:trPr>
          <w:trHeight w:val="441"/>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90-179 days past due</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66</w:t>
            </w:r>
          </w:p>
        </w:tc>
      </w:tr>
      <w:tr>
        <w:trPr>
          <w:trHeight w:val="453"/>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180+ days past due</w:t>
            </w: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161</w:t>
            </w:r>
          </w:p>
        </w:tc>
      </w:tr>
      <w:tr>
        <w:trPr>
          <w:trHeight w:val="450"/>
        </w:trPr>
        <w:tc>
          <w:tcPr>
            <w:tcW w:w="2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22,955</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13,330</w:t>
            </w:r>
          </w:p>
        </w:tc>
        <w:tc>
          <w:tcPr>
            <w:tcW w:w="8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5,543</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23,464</w:t>
            </w:r>
          </w:p>
        </w:tc>
      </w:tr>
      <w:tr>
        <w:trPr>
          <w:trHeight w:val="20"/>
        </w:trPr>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6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679" w:gutter="0" w:footer="0" w:header="0"/>
          <w:type w:val="continuous"/>
        </w:sectPr>
      </w:pPr>
    </w:p>
    <w:bookmarkStart w:id="171" w:name="page172"/>
    <w:bookmarkEnd w:id="171"/>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in Nonaccrual Status by Portfolio Segment</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Mortgage loans are placed in a nonaccrual status if there are concerns regarding collectability of future payments or the loan is past due, unless the past due loan is well collateralized.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in a nonaccrual status by portfolio segment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300" w:type="dxa"/>
            <w:vAlign w:val="bottom"/>
          </w:tcPr>
          <w:p>
            <w:pPr>
              <w:spacing w:after="0"/>
              <w:rPr>
                <w:sz w:val="16"/>
                <w:szCs w:val="16"/>
                <w:color w:val="auto"/>
              </w:rPr>
            </w:pPr>
          </w:p>
        </w:tc>
        <w:tc>
          <w:tcPr>
            <w:tcW w:w="1260" w:type="dxa"/>
            <w:vAlign w:val="bottom"/>
          </w:tcPr>
          <w:p>
            <w:pPr>
              <w:jc w:val="right"/>
              <w:ind w:right="305"/>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280" w:type="dxa"/>
            <w:vAlign w:val="bottom"/>
          </w:tcPr>
          <w:p>
            <w:pPr>
              <w:spacing w:after="0"/>
              <w:rPr>
                <w:sz w:val="16"/>
                <w:szCs w:val="16"/>
                <w:color w:val="auto"/>
              </w:rPr>
            </w:pPr>
          </w:p>
        </w:tc>
        <w:tc>
          <w:tcPr>
            <w:tcW w:w="130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Residential (1)</w:t>
            </w:r>
          </w:p>
        </w:tc>
        <w:tc>
          <w:tcPr>
            <w:tcW w:w="400" w:type="dxa"/>
            <w:vAlign w:val="bottom"/>
          </w:tcPr>
          <w:p>
            <w:pPr>
              <w:spacing w:after="0"/>
              <w:rPr>
                <w:sz w:val="16"/>
                <w:szCs w:val="16"/>
                <w:color w:val="auto"/>
              </w:rPr>
            </w:pPr>
          </w:p>
        </w:tc>
        <w:tc>
          <w:tcPr>
            <w:tcW w:w="1120" w:type="dxa"/>
            <w:vAlign w:val="bottom"/>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5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4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393"/>
        </w:trPr>
        <w:tc>
          <w:tcPr>
            <w:tcW w:w="5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40" w:type="dxa"/>
            <w:vAlign w:val="bottom"/>
            <w:gridSpan w:val="3"/>
          </w:tcPr>
          <w:p>
            <w:pPr>
              <w:jc w:val="right"/>
              <w:ind w:right="110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
        </w:trPr>
        <w:tc>
          <w:tcPr>
            <w:tcW w:w="5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451"/>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220</w:t>
            </w:r>
          </w:p>
        </w:tc>
        <w:tc>
          <w:tcPr>
            <w:tcW w:w="3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5</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108</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432"/>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2024</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120</w:t>
            </w:r>
          </w:p>
        </w:tc>
        <w:tc>
          <w:tcPr>
            <w:tcW w:w="3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25</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118</w:t>
            </w: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72"/>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85" w:lineRule="exact"/>
        <w:rPr>
          <w:sz w:val="20"/>
          <w:szCs w:val="20"/>
          <w:color w:val="auto"/>
        </w:rPr>
      </w:pPr>
    </w:p>
    <w:p>
      <w:pPr>
        <w:ind w:left="320" w:right="20" w:hanging="314"/>
        <w:spacing w:after="0" w:line="274" w:lineRule="auto"/>
        <w:tabs>
          <w:tab w:leader="none" w:pos="31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$54 million and $3 million of mortgage loans in nonaccrual status for which there was no related allowance for credit losses at December 31, 2025 and 2024, respectively.</w:t>
      </w:r>
    </w:p>
    <w:p>
      <w:pPr>
        <w:spacing w:after="0" w:line="57"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Current period investment income on mortgage loans in nonaccrual status was $9 million and $6 million for the years ended December 31, 2025 and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Modified Mortgage Loans by Portfolio Segment</w:t>
      </w:r>
    </w:p>
    <w:p>
      <w:pPr>
        <w:spacing w:after="0" w:line="11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Under certain circumstances, modifications are granted to mortgage loans. Generally, the types of concessions may include interest rate reduction, term extension, principal forgiveness, or a combination of all three.</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did not have a significant amount of commercial mortgage loans modified during the year ended December 31, 2025. The Company had $386 million of commercial mortgage loans modified under a term extension which represented 2% of the carrying value of total mortgage loans at December 31, 2024. The Company did not have a significant amount of agricultural and residential mortgage loans modified during both years ended December 31, 2025 and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Over 75% of other invested assets is comprised of freestanding derivatives with positive estimated fair values. See Note 9 for information about freestanding derivatives with positive estimated fair values. Other invested assets also includes the Company’s investment in company-owned life insurance, FHLB stock, leveraged leases and tax credit and renewable energy partnerships.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Leveraged Leases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carrying value of leveraged leases was $60 million at both December 31, 2025 and 2024. The allowance for credit losses was less than $1 million at both December 31, 2025 and 2024. Rental receivables are generally due in periodic installments. The payment periods for leveraged leases generally range from one to seven years. For rental receivables, the primary credit quality indicator is whether the rental receivable is performing or nonperforming, which is assessed monthly. Nonperforming rental receivables are generally defined as those that are 90 days or more past due. At both December 31, 2025 and 2024, all leveraged leases were performing.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72" w:name="page173"/>
    <w:bookmarkEnd w:id="172"/>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future policy benefits that would result from the realization of the unrealized gains (losses), are included in net unrealized investment gains (losses) in AOCI.</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920" w:type="dxa"/>
            <w:vAlign w:val="bottom"/>
          </w:tcPr>
          <w:p>
            <w:pPr>
              <w:spacing w:after="0"/>
              <w:rPr>
                <w:sz w:val="16"/>
                <w:szCs w:val="16"/>
                <w:color w:val="auto"/>
              </w:rPr>
            </w:pP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7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7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
        </w:trPr>
        <w:tc>
          <w:tcPr>
            <w:tcW w:w="7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451"/>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(6,119)</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28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45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44"/>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Subtotal</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(5,766)</w:t>
            </w:r>
          </w:p>
        </w:tc>
      </w:tr>
      <w:tr>
        <w:trPr>
          <w:trHeight w:val="43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allocated from:</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28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45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r>
      <w:tr>
        <w:trPr>
          <w:trHeight w:val="450"/>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0"/>
        </w:trPr>
        <w:tc>
          <w:tcPr>
            <w:tcW w:w="7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6"/>
          </w:tcPr>
          <w:p>
            <w:pPr>
              <w:jc w:val="center"/>
              <w:ind w:left="563"/>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920" w:type="dxa"/>
            <w:vAlign w:val="bottom"/>
          </w:tcPr>
          <w:p>
            <w:pPr>
              <w:spacing w:after="0"/>
              <w:rPr>
                <w:sz w:val="16"/>
                <w:szCs w:val="16"/>
                <w:color w:val="auto"/>
              </w:rPr>
            </w:pP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7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3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393"/>
        </w:trPr>
        <w:tc>
          <w:tcPr>
            <w:tcW w:w="7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8"/>
        </w:trPr>
        <w:tc>
          <w:tcPr>
            <w:tcW w:w="7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45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(5,690)</w:t>
            </w:r>
          </w:p>
        </w:tc>
      </w:tr>
      <w:tr>
        <w:trPr>
          <w:trHeight w:val="441"/>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during the year</w:t>
            </w:r>
          </w:p>
        </w:tc>
        <w:tc>
          <w:tcPr>
            <w:tcW w:w="28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2,257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w:t>
            </w:r>
          </w:p>
        </w:tc>
      </w:tr>
      <w:tr>
        <w:trPr>
          <w:trHeight w:val="46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441"/>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Future policy benefits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453"/>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r>
      <w:tr>
        <w:trPr>
          <w:trHeight w:val="45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2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(4,766)</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9"/>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December 31, 2025 and 2024.</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Elements of the securities lending program are presented below at:</w:t>
      </w:r>
    </w:p>
    <w:p>
      <w:pPr>
        <w:sectPr>
          <w:pgSz w:w="11900" w:h="16838" w:orient="portrait"/>
          <w:cols w:equalWidth="0" w:num="1">
            <w:col w:w="11240"/>
          </w:cols>
          <w:pgMar w:left="320" w:top="278" w:right="339" w:bottom="1052"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5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24"/>
                <w:szCs w:val="24"/>
                <w:color w:val="auto"/>
              </w:rPr>
            </w:pPr>
          </w:p>
        </w:tc>
        <w:tc>
          <w:tcPr>
            <w:tcW w:w="9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393"/>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4"/>
                <w:szCs w:val="24"/>
                <w:color w:val="auto"/>
              </w:rPr>
            </w:pPr>
          </w:p>
        </w:tc>
      </w:tr>
      <w:tr>
        <w:trPr>
          <w:trHeight w:val="38"/>
        </w:trPr>
        <w:tc>
          <w:tcPr>
            <w:tcW w:w="8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451"/>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on loan: (1)</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441"/>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Amortized cost</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3,550</w:t>
            </w:r>
          </w:p>
        </w:tc>
        <w:tc>
          <w:tcPr>
            <w:tcW w:w="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3,582</w:t>
            </w:r>
          </w:p>
        </w:tc>
      </w:tr>
      <w:tr>
        <w:trPr>
          <w:trHeight w:val="460"/>
        </w:trPr>
        <w:tc>
          <w:tcPr>
            <w:tcW w:w="82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Estimated fair value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3,141</w:t>
            </w:r>
          </w:p>
        </w:tc>
        <w:tc>
          <w:tcPr>
            <w:tcW w:w="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3,127</w:t>
            </w:r>
          </w:p>
        </w:tc>
      </w:tr>
      <w:tr>
        <w:trPr>
          <w:trHeight w:val="441"/>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 received from counterparties (2)</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3,225</w:t>
            </w:r>
          </w:p>
        </w:tc>
        <w:tc>
          <w:tcPr>
            <w:tcW w:w="54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3,210</w:t>
            </w:r>
          </w:p>
        </w:tc>
      </w:tr>
      <w:tr>
        <w:trPr>
          <w:trHeight w:val="46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Reinvestment portfolio — estimated fair value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3,352</w:t>
            </w:r>
          </w:p>
        </w:tc>
        <w:tc>
          <w:tcPr>
            <w:tcW w:w="54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w:t>
            </w:r>
          </w:p>
        </w:tc>
      </w:tr>
      <w:tr>
        <w:trPr>
          <w:trHeight w:val="254"/>
        </w:trPr>
        <w:tc>
          <w:tcPr>
            <w:tcW w:w="82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r>
    </w:tbl>
    <w:p>
      <w:pPr>
        <w:spacing w:after="0" w:line="85" w:lineRule="exact"/>
        <w:rPr>
          <w:sz w:val="20"/>
          <w:szCs w:val="20"/>
          <w:color w:val="auto"/>
        </w:rPr>
      </w:pPr>
    </w:p>
    <w:p>
      <w:pPr>
        <w:ind w:left="320" w:hanging="314"/>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fixed maturity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payables for collateral under securities loaned and other transactions.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174" w:name="page175"/>
    <w:bookmarkEnd w:id="174"/>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cash collateral liability by loaned security type and remaining tenor of the agreements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3"/>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200" w:type="dxa"/>
            <w:vAlign w:val="bottom"/>
          </w:tcPr>
          <w:p>
            <w:pPr>
              <w:spacing w:after="0"/>
              <w:rPr>
                <w:sz w:val="16"/>
                <w:szCs w:val="16"/>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Less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6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200" w:type="dxa"/>
            <w:vAlign w:val="bottom"/>
          </w:tcPr>
          <w:p>
            <w:pPr>
              <w:spacing w:after="0"/>
              <w:rPr>
                <w:sz w:val="16"/>
                <w:szCs w:val="16"/>
                <w:color w:val="auto"/>
              </w:rPr>
            </w:pPr>
          </w:p>
        </w:tc>
        <w:tc>
          <w:tcPr>
            <w:tcW w:w="8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80" w:type="dxa"/>
            <w:vAlign w:val="bottom"/>
          </w:tcPr>
          <w:p>
            <w:pPr>
              <w:spacing w:after="0"/>
              <w:rPr>
                <w:sz w:val="16"/>
                <w:szCs w:val="16"/>
                <w:color w:val="auto"/>
              </w:rPr>
            </w:pPr>
          </w:p>
        </w:tc>
        <w:tc>
          <w:tcPr>
            <w:tcW w:w="62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36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5"/>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0" w:type="dxa"/>
            <w:vAlign w:val="bottom"/>
          </w:tcPr>
          <w:p>
            <w:pPr>
              <w:spacing w:after="0"/>
              <w:rPr>
                <w:sz w:val="1"/>
                <w:szCs w:val="1"/>
                <w:color w:val="auto"/>
              </w:rPr>
            </w:pPr>
          </w:p>
        </w:tc>
      </w:tr>
      <w:tr>
        <w:trPr>
          <w:trHeight w:val="441"/>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46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444"/>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tcPr>
          <w:p>
            <w:pPr>
              <w:spacing w:after="0"/>
              <w:rPr>
                <w:sz w:val="24"/>
                <w:szCs w:val="24"/>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475"/>
        </w:trPr>
        <w:tc>
          <w:tcPr>
            <w:tcW w:w="3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3,225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3,210</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6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loaned security could be returned to the Company on the next business day which would require the Company to immediately return the cash collateral.</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December 31, 2025 was $466 million, primarily comprised of U.S. government and agency securities which, if put back to the Company, could be immediately sold to satisfy the cash requirement.</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reinvestment portfolio acquired with the cash collateral consisted principally of fixed maturity securities (including agency RMBS, ABS, U.S. government and agency securities, U.S. and foreign corporate securities, non-agency RMBS and CMBS) with 50% invested in agency RMBS, U.S. government and agency securities and cash and cash equivalents at December 31, 2025.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Held in Trust and Pledged as Collateral</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Invested assets on deposit, held in trust and pledged as collateral at estimated fair value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8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26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8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826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on deposit (regulatory deposits) (1)</w:t>
            </w:r>
          </w:p>
        </w:tc>
        <w:tc>
          <w:tcPr>
            <w:tcW w:w="88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0" w:type="dxa"/>
            <w:vAlign w:val="bottom"/>
          </w:tcPr>
          <w:p>
            <w:pPr>
              <w:spacing w:after="0"/>
              <w:rPr>
                <w:sz w:val="1"/>
                <w:szCs w:val="1"/>
                <w:color w:val="auto"/>
              </w:rPr>
            </w:pPr>
          </w:p>
        </w:tc>
      </w:tr>
      <w:tr>
        <w:trPr>
          <w:trHeight w:val="441"/>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Invested assets held in trust (reinsurance agreements) (2)</w:t>
            </w:r>
          </w:p>
        </w:tc>
        <w:tc>
          <w:tcPr>
            <w:tcW w:w="8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8,274</w:t>
            </w:r>
          </w:p>
        </w:tc>
        <w:tc>
          <w:tcPr>
            <w:tcW w:w="0" w:type="dxa"/>
            <w:vAlign w:val="bottom"/>
          </w:tcPr>
          <w:p>
            <w:pPr>
              <w:spacing w:after="0"/>
              <w:rPr>
                <w:sz w:val="1"/>
                <w:szCs w:val="1"/>
                <w:color w:val="auto"/>
              </w:rPr>
            </w:pPr>
          </w:p>
        </w:tc>
      </w:tr>
      <w:tr>
        <w:trPr>
          <w:trHeight w:val="45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pledged as collateral (3)</w:t>
            </w:r>
          </w:p>
        </w:tc>
        <w:tc>
          <w:tcPr>
            <w:tcW w:w="88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100" w:type="dxa"/>
            <w:vAlign w:val="bottom"/>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12,471</w:t>
            </w:r>
          </w:p>
        </w:tc>
        <w:tc>
          <w:tcPr>
            <w:tcW w:w="0" w:type="dxa"/>
            <w:vAlign w:val="bottom"/>
          </w:tcPr>
          <w:p>
            <w:pPr>
              <w:spacing w:after="0"/>
              <w:rPr>
                <w:sz w:val="1"/>
                <w:szCs w:val="1"/>
                <w:color w:val="auto"/>
              </w:rPr>
            </w:pPr>
          </w:p>
        </w:tc>
      </w:tr>
      <w:tr>
        <w:trPr>
          <w:trHeight w:val="451"/>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invested assets on deposit, held in trust and pledged as collateral</w:t>
            </w:r>
          </w:p>
        </w:tc>
        <w:tc>
          <w:tcPr>
            <w:tcW w:w="880" w:type="dxa"/>
            <w:vAlign w:val="bottom"/>
            <w:tcBorders>
              <w:bottom w:val="single" w:sz="8" w:color="auto"/>
            </w:tcBorders>
          </w:tcPr>
          <w:p>
            <w:pPr>
              <w:jc w:val="right"/>
              <w:ind w:right="703"/>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24,695</w:t>
            </w:r>
          </w:p>
        </w:tc>
        <w:tc>
          <w:tcPr>
            <w:tcW w:w="100" w:type="dxa"/>
            <w:vAlign w:val="bottom"/>
          </w:tcPr>
          <w:p>
            <w:pPr>
              <w:spacing w:after="0"/>
              <w:rPr>
                <w:sz w:val="24"/>
                <w:szCs w:val="24"/>
                <w:color w:val="auto"/>
              </w:rPr>
            </w:pPr>
          </w:p>
        </w:tc>
        <w:tc>
          <w:tcPr>
            <w:tcW w:w="4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26,994</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8260" w:type="dxa"/>
            <w:vAlign w:val="bottom"/>
            <w:vMerge w:val="continue"/>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hanging="314"/>
        <w:spacing w:after="0" w:line="304" w:lineRule="auto"/>
        <w:tabs>
          <w:tab w:leader="none" w:pos="314"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assets, primarily fixed maturity securities, on deposit with governmental authorities relating to certain policyholder liabilities, of which $126 million and $68 million of the assets on deposit represents restricted cash and cash equivalents at December 31, 2025 and 2024, respectively.</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held in trust relating to certain reinsurance transactions, of which $331 million and $334 million of the assets held in trust balance represents restricted cash and cash equivalents at December 31, 2025 and 2024, respectively.</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various agreements and transactions, including funding agreements (see Note 3) and derivative transactions (see Note 9).</w:t>
      </w:r>
    </w:p>
    <w:p>
      <w:pPr>
        <w:spacing w:after="0" w:line="11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See “— Securities Lending” for information regarding securities on loan. In addition, the Company’s investment in FHLB common stock, which is considered restricted until redeemed by the issuer, was $218 million and $222 million at redemption value at December 31, 2025 and 2024, respectively.</w:t>
      </w:r>
    </w:p>
    <w:p>
      <w:pPr>
        <w:sectPr>
          <w:pgSz w:w="11900" w:h="16838" w:orient="portrait"/>
          <w:cols w:equalWidth="0" w:num="1">
            <w:col w:w="11240"/>
          </w:cols>
          <w:pgMar w:left="320" w:top="278" w:right="339" w:bottom="336"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76200</wp:posOffset>
            </wp:positionV>
            <wp:extent cx="716026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56" w:right="1440" w:bottom="1440" w:gutter="0" w:footer="0" w:header="0"/>
        </w:sectPr>
      </w:pPr>
    </w:p>
    <w:bookmarkStart w:id="176" w:name="page177"/>
    <w:bookmarkEnd w:id="176"/>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Collectively Significant Equity Method Investments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holds investments in limited partnerships and LLCs consisting of leveraged buy-out funds, private equity funds, joint ventures and other funds. The portion of these investments accounted for under the equity method had a carrying value of $4.7 billion at December 31, 2025. The Company’s maximum exposure to loss related to these equity method investments is the carrying value of these investments plus unfunded commitments of $1.1 billion at December 31, 2025. The Company’s investments in limited partnerships and LLCs are generally of a passive nature in that the Company does not participate in the management of the entities.</w:t>
      </w:r>
    </w:p>
    <w:p>
      <w:pPr>
        <w:spacing w:after="0" w:line="7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described in Note 1, the Company generally records its share of earnings in its equity method investments using a three-month lag methodology and within net investment income. Aggregate net investment income from these equity method investments exceeded 10% of the Company’s consolidated pre-tax income (loss) for each of the years ended December 31, 2025, 2024 and 2023. This aggregated summarized financial data does not represent the Company’s proportionate share of the assets, liabilities or earnings of such entities.</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aggregated summarized financial data presented below reflects the latest available financial information and is as of and for the years ended December 31, 2025, 2024 and 2023. Aggregate total assets of these entities totaled $822.5 billion and $904.0 billion at December 31, 2025 and 2024, respectively. Aggregate total liabilities of these entities totaled $76.2 billion and $78.5 billion at December 31, 2025 and 2024, respectively. Aggregate net income (loss) of these entities totaled $53.1 billion, $60.1 billion and $24.8 billion for the years ended December 31, 2025, 2024 and 2023, respectively. Aggregate net income (loss) from the underlying entities in which the Company invests is primarily comprised of investment income, including recurring investment income and realized and unrealized investment gains (losses).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VIEs for which the Company has concluded that it is the primary beneficiary at either December 31, 2025 or 2024.</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5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393"/>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3"/>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3"/>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20" w:type="dxa"/>
            <w:vAlign w:val="bottom"/>
          </w:tcPr>
          <w:p>
            <w:pPr>
              <w:spacing w:after="0"/>
              <w:rPr>
                <w:sz w:val="24"/>
                <w:szCs w:val="24"/>
                <w:color w:val="auto"/>
              </w:rPr>
            </w:pPr>
          </w:p>
        </w:tc>
      </w:tr>
      <w:tr>
        <w:trPr>
          <w:trHeight w:val="38"/>
        </w:trPr>
        <w:tc>
          <w:tcPr>
            <w:tcW w:w="5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r>
      <w:tr>
        <w:trPr>
          <w:trHeight w:val="379"/>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Maximum Exposure</w:t>
            </w:r>
          </w:p>
        </w:tc>
      </w:tr>
      <w:tr>
        <w:trPr>
          <w:trHeight w:val="186"/>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0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00" w:type="dxa"/>
            <w:vAlign w:val="bottom"/>
          </w:tcPr>
          <w:p>
            <w:pPr>
              <w:spacing w:after="0"/>
              <w:rPr>
                <w:sz w:val="16"/>
                <w:szCs w:val="16"/>
                <w:color w:val="auto"/>
              </w:rPr>
            </w:pPr>
          </w:p>
        </w:tc>
        <w:tc>
          <w:tcPr>
            <w:tcW w:w="112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to Loss</w:t>
            </w:r>
          </w:p>
        </w:tc>
      </w:tr>
      <w:tr>
        <w:trPr>
          <w:trHeight w:val="38"/>
        </w:trPr>
        <w:tc>
          <w:tcPr>
            <w:tcW w:w="52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720" w:type="dxa"/>
            <w:vAlign w:val="bottom"/>
            <w:tcBorders>
              <w:bottom w:val="single" w:sz="8" w:color="auto"/>
            </w:tcBorders>
            <w:gridSpan w:val="5"/>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393"/>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2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
        </w:trPr>
        <w:tc>
          <w:tcPr>
            <w:tcW w:w="5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451"/>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13,174</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15,474</w:t>
            </w:r>
          </w:p>
        </w:tc>
      </w:tr>
      <w:tr>
        <w:trPr>
          <w:trHeight w:val="444"/>
        </w:trPr>
        <w:tc>
          <w:tcPr>
            <w:tcW w:w="5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5,278</w:t>
            </w:r>
          </w:p>
        </w:tc>
      </w:tr>
      <w:tr>
        <w:trPr>
          <w:trHeight w:val="475"/>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18,611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20,752</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77" w:name="page178"/>
    <w:bookmarkEnd w:id="177"/>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Limited Partnerships and LLCs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17.</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investment income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6"/>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7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3,746</w:t>
            </w:r>
          </w:p>
        </w:tc>
        <w:tc>
          <w:tcPr>
            <w:tcW w:w="10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0" w:type="dxa"/>
            <w:vAlign w:val="bottom"/>
          </w:tcPr>
          <w:p>
            <w:pPr>
              <w:spacing w:after="0"/>
              <w:rPr>
                <w:sz w:val="1"/>
                <w:szCs w:val="1"/>
                <w:color w:val="auto"/>
              </w:rPr>
            </w:pPr>
          </w:p>
        </w:tc>
      </w:tr>
      <w:tr>
        <w:trPr>
          <w:trHeight w:val="46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Trading securities (1)</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46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0" w:type="dxa"/>
            <w:vAlign w:val="bottom"/>
          </w:tcPr>
          <w:p>
            <w:pPr>
              <w:spacing w:after="0"/>
              <w:rPr>
                <w:sz w:val="1"/>
                <w:szCs w:val="1"/>
                <w:color w:val="auto"/>
              </w:rPr>
            </w:pPr>
          </w:p>
        </w:tc>
      </w:tr>
      <w:tr>
        <w:trPr>
          <w:trHeight w:val="44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46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 (2)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44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4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441"/>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investment income</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5,024</w:t>
            </w:r>
          </w:p>
        </w:tc>
        <w:tc>
          <w:tcPr>
            <w:tcW w:w="0" w:type="dxa"/>
            <w:vAlign w:val="bottom"/>
          </w:tcPr>
          <w:p>
            <w:pPr>
              <w:spacing w:after="0"/>
              <w:rPr>
                <w:sz w:val="1"/>
                <w:szCs w:val="1"/>
                <w:color w:val="auto"/>
              </w:rPr>
            </w:pPr>
          </w:p>
        </w:tc>
      </w:tr>
      <w:tr>
        <w:trPr>
          <w:trHeight w:val="4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expenses</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0" w:type="dxa"/>
            <w:vAlign w:val="bottom"/>
          </w:tcPr>
          <w:p>
            <w:pPr>
              <w:spacing w:after="0"/>
              <w:rPr>
                <w:sz w:val="1"/>
                <w:szCs w:val="1"/>
                <w:color w:val="auto"/>
              </w:rPr>
            </w:pPr>
          </w:p>
        </w:tc>
      </w:tr>
      <w:tr>
        <w:trPr>
          <w:trHeight w:val="451"/>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8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were less than ($1) million related to trading securities still held for the year ended December 31, 2025. There were no investment gains (losses) related to trading securities still held for the years ended December 31, 2024 and 2023.</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investment income pertaining to other limited partnership interests of $332 million, $367 million and $187 million for the years ended December 31, 2025, 2024 and 2023, respectively.</w:t>
      </w:r>
    </w:p>
    <w:p>
      <w:pPr>
        <w:sectPr>
          <w:pgSz w:w="11900" w:h="16838" w:orient="portrait"/>
          <w:cols w:equalWidth="0" w:num="1">
            <w:col w:w="11240"/>
          </w:cols>
          <w:pgMar w:left="320" w:top="278" w:right="339" w:bottom="26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269" w:gutter="0" w:footer="0" w:header="0"/>
          <w:type w:val="continuous"/>
        </w:sectPr>
      </w:pPr>
    </w:p>
    <w:bookmarkStart w:id="178" w:name="page179"/>
    <w:bookmarkEnd w:id="178"/>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Investments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9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8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8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8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7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0" w:type="dxa"/>
            <w:vAlign w:val="bottom"/>
          </w:tcPr>
          <w:p>
            <w:pPr>
              <w:spacing w:after="0"/>
              <w:rPr>
                <w:sz w:val="1"/>
                <w:szCs w:val="1"/>
                <w:color w:val="auto"/>
              </w:rPr>
            </w:pPr>
          </w:p>
        </w:tc>
      </w:tr>
      <w:tr>
        <w:trPr>
          <w:trHeight w:val="44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7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46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720" w:type="dxa"/>
            <w:vAlign w:val="bottom"/>
            <w:shd w:val="clear" w:color="auto" w:fill="CCEEFF"/>
          </w:tcPr>
          <w:p>
            <w:pPr>
              <w:spacing w:after="0"/>
              <w:rPr>
                <w:sz w:val="24"/>
                <w:szCs w:val="24"/>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44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7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(1)</w:t>
            </w:r>
          </w:p>
        </w:tc>
        <w:tc>
          <w:tcPr>
            <w:tcW w:w="72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450"/>
        </w:trPr>
        <w:tc>
          <w:tcPr>
            <w:tcW w:w="7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investment gains (losses) (2)</w:t>
            </w:r>
          </w:p>
        </w:tc>
        <w:tc>
          <w:tcPr>
            <w:tcW w:w="7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82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sold a subsidiary which owned certain mineral rights across the U.S. and recognized a gain of $66 million for the year ended December 31, 2025.</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from foreign currency transactions included within net investment gains (losses) were not significant for the year ended December 31, 2025 and were ($3) million and ($2) million for the years ended December 31, 2024 and 2023,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6"/>
          </w:tcPr>
          <w:p>
            <w:pPr>
              <w:jc w:val="center"/>
              <w:ind w:left="463"/>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80" w:type="dxa"/>
            <w:vAlign w:val="bottom"/>
          </w:tcPr>
          <w:p>
            <w:pPr>
              <w:spacing w:after="0"/>
              <w:rPr>
                <w:sz w:val="16"/>
                <w:szCs w:val="16"/>
                <w:color w:val="auto"/>
              </w:rPr>
            </w:pPr>
          </w:p>
        </w:tc>
      </w:tr>
      <w:tr>
        <w:trPr>
          <w:trHeight w:val="37"/>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393"/>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8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393"/>
        </w:trPr>
        <w:tc>
          <w:tcPr>
            <w:tcW w:w="7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8"/>
        </w:trPr>
        <w:tc>
          <w:tcPr>
            <w:tcW w:w="7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475"/>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2,301</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414"/>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investment gains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45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investment losses</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450"/>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1 for a description of the Company’s accounting policies for derivatives and Note 10 for information about the fair value hierarchy for derivatives and the related valuation methodologies.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Strategies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maintains an overall risk management strategy that incorporates the use of derivative instruments to minimize its exposure to various market risks, including interest rate, foreign currency exchange rate, credit and equity market. The Company has historically managed the risks related to its variable annuity and first generation Shield Annuity contracts on a combined basis. In the third quarter of 2025, the Company completed an initiative that established a standalone hedging program for each product allowing the Company to separately manage the risks related to these two products.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w:t>
      </w:r>
    </w:p>
    <w:p>
      <w:pPr>
        <w:sectPr>
          <w:pgSz w:w="11900" w:h="16838" w:orient="portrait"/>
          <w:cols w:equalWidth="0" w:num="1">
            <w:col w:w="11240"/>
          </w:cols>
          <w:pgMar w:left="320" w:top="278" w:right="339" w:bottom="138"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76835</wp:posOffset>
            </wp:positionV>
            <wp:extent cx="716026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80" w:name="page181"/>
    <w:bookmarkEnd w:id="180"/>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(continued)</w:t>
      </w: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Derivatives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uses derivatives to manage its exposure to changes in interest rate risk from its product liabilities and invested assets. The most significant types of derivative instruments used for hedging interest rate risk are as follows:</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Interest rate swaps: The Company uses interest rate swaps to manage interest rate risk in both qualified cash flow and non-qualifying hedging relationships. In an interest rate swap, the Company agrees with another party to exchange, at specified intervals, the difference between fixed rate and floating rate interest amounts as calculated by reference to an agreed notional amount.</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Interest rate swaptions: The Company uses interest rate swaptions to manage interest rate risk in non-qualifying hedging relationships. A swaption is an option to enter into a swap with a forward starting effective date. The Company pays a premium for purchased swaptions and receives a premium for written swaptions. Interest rate swaptions are included in interest rate options.</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Interest rate forwards: The Company uses interest rate forwards to manage interest rate risk in both qualified cash flow and non-qualifying hedging relationships. An interest rate forward is an agreement between parties to exchange a future settlement amount based on a predetermined notional amount and forward interest rate.</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Foreign Currency Exchange Rate Derivatives</w:t>
      </w:r>
    </w:p>
    <w:p>
      <w:pPr>
        <w:spacing w:after="0" w:line="115"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7"/>
          <w:szCs w:val="17"/>
          <w:color w:val="auto"/>
        </w:rPr>
        <w:t>Foreign currency swaps: The Company uses foreign currency swaps to convert foreign currency denominated cash flows to U.S. dollars to reduce cash flow fluctuations due to changes in currency exchange rates. Foreign currency swaps are used in cash flow and non-qualifying hedging relationships.</w:t>
      </w:r>
    </w:p>
    <w:p>
      <w:pPr>
        <w:spacing w:after="0" w:line="3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Foreign currency forwards: The Company uses foreign currency forwards to hedge currency exposure on its invested assets. Foreign currency forwards are used in non-qualifying hedging relationships.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Derivatives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Credit default swaps: The Company uses credit default swaps to create synthetic credit investments to replicate credit exposure that is more economically attractive than what is available in the market or otherwise unavailable (written credit protection). Credit default swaps are used in non-qualifying hedging relationships.</w:t>
      </w:r>
    </w:p>
    <w:p>
      <w:pPr>
        <w:spacing w:after="0" w:line="72"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Credit default swaptions: The Company uses credit default swaptions to synthetically create investments that are either more expensive to acquire or otherwise unavailable in the cash markets. Swaptions are used to create callable bonds from replication synthetic asset transaction (“RSAT”) positions. This enhances the income of the RSAT program through earned premiums while not changing the credit profile of the RSATs. Credit default swaptions are used in non-qualifying hedging relationships.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Market Derivatives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uses derivatives to manage its exposure to equity markets from its product liabilities. The most significant types of derivative instruments used for hedging equity market risk are as follows:</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Equity total return swaps: The Company uses equity total return swaps in non-qualifying hedge relationships to manage equity risks related to variable and index-linked annuities. Total return swaps are swaps whereby the Company agrees with another party to exchange, at specified intervals, the difference between the economic risk and reward of an asset or a market index and a floating rate, calculated by reference to an agreed notional amount.</w:t>
      </w:r>
    </w:p>
    <w:p>
      <w:pPr>
        <w:spacing w:after="0" w:line="72"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Equity index options: The Company uses equity index options to manage equity risks related to variable and index-linked annuities in non-qualifying hedging relationships. In an equity index option transaction, the Company enters into contracts to buy or sell the equity index within a limited time at a contracted price. In certain instances, the Company may enter into a combination of transactions to hedge adverse changes in equity indices within a pre-determined range through the purchase and sale of options.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81" w:name="page182"/>
    <w:bookmarkEnd w:id="181"/>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primary underlying risk exposure, gross notional amount and estimated fair value of derivatives, excluding embedded derivatives, held were as follows at: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3"/>
          </w:tcPr>
          <w:p>
            <w:pPr>
              <w:jc w:val="center"/>
              <w:ind w:left="351"/>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3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ind w:right="191"/>
              <w:spacing w:after="0"/>
              <w:rPr>
                <w:sz w:val="20"/>
                <w:szCs w:val="20"/>
                <w:color w:val="auto"/>
              </w:rPr>
            </w:pPr>
            <w:r>
              <w:rPr>
                <w:rFonts w:ascii="Times New Roman" w:cs="Times New Roman" w:eastAsia="Times New Roman" w:hAnsi="Times New Roman"/>
                <w:sz w:val="12"/>
                <w:szCs w:val="12"/>
                <w:b w:val="1"/>
                <w:bCs w:val="1"/>
                <w:color w:val="auto"/>
              </w:rPr>
              <w:t>2024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3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4"/>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020" w:type="dxa"/>
            <w:vAlign w:val="bottom"/>
          </w:tcPr>
          <w:p>
            <w:pPr>
              <w:spacing w:after="0"/>
              <w:rPr>
                <w:sz w:val="19"/>
                <w:szCs w:val="19"/>
                <w:color w:val="auto"/>
              </w:rPr>
            </w:pPr>
          </w:p>
        </w:tc>
        <w:tc>
          <w:tcPr>
            <w:tcW w:w="26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2"/>
                <w:szCs w:val="12"/>
                <w:b w:val="1"/>
                <w:bCs w:val="1"/>
                <w:color w:val="auto"/>
              </w:rPr>
              <w:t>Primary Underlying Risk Exposure</w:t>
            </w:r>
          </w:p>
        </w:tc>
        <w:tc>
          <w:tcPr>
            <w:tcW w:w="9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40" w:type="dxa"/>
            <w:vAlign w:val="bottom"/>
          </w:tcPr>
          <w:p>
            <w:pPr>
              <w:spacing w:after="0"/>
              <w:rPr>
                <w:sz w:val="19"/>
                <w:szCs w:val="19"/>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9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140" w:type="dxa"/>
            <w:vAlign w:val="bottom"/>
          </w:tcPr>
          <w:p>
            <w:pPr>
              <w:spacing w:after="0"/>
              <w:rPr>
                <w:sz w:val="19"/>
                <w:szCs w:val="19"/>
                <w:color w:val="auto"/>
              </w:rPr>
            </w:pPr>
          </w:p>
        </w:tc>
        <w:tc>
          <w:tcPr>
            <w:tcW w:w="740" w:type="dxa"/>
            <w:vAlign w:val="bottom"/>
            <w:vMerge w:val="restart"/>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0" w:type="dxa"/>
            <w:vAlign w:val="bottom"/>
          </w:tcPr>
          <w:p>
            <w:pPr>
              <w:spacing w:after="0"/>
              <w:rPr>
                <w:sz w:val="1"/>
                <w:szCs w:val="1"/>
                <w:color w:val="auto"/>
              </w:rPr>
            </w:pPr>
          </w:p>
        </w:tc>
      </w:tr>
      <w:tr>
        <w:trPr>
          <w:trHeight w:val="162"/>
        </w:trPr>
        <w:tc>
          <w:tcPr>
            <w:tcW w:w="3020" w:type="dxa"/>
            <w:vAlign w:val="bottom"/>
          </w:tcPr>
          <w:p>
            <w:pPr>
              <w:spacing w:after="0"/>
              <w:rPr>
                <w:sz w:val="14"/>
                <w:szCs w:val="14"/>
                <w:color w:val="auto"/>
              </w:rPr>
            </w:pPr>
          </w:p>
        </w:tc>
        <w:tc>
          <w:tcPr>
            <w:tcW w:w="26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80" w:type="dxa"/>
            <w:vAlign w:val="bottom"/>
            <w:gridSpan w:val="3"/>
          </w:tcPr>
          <w:p>
            <w:pPr>
              <w:ind w:left="2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02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3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3"/>
          </w:tcPr>
          <w:p>
            <w:pPr>
              <w:jc w:val="center"/>
              <w:ind w:left="331"/>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0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38"/>
        </w:trPr>
        <w:tc>
          <w:tcPr>
            <w:tcW w:w="3020" w:type="dxa"/>
            <w:vAlign w:val="bottom"/>
            <w:tcBorders>
              <w:bottom w:val="single" w:sz="8" w:color="CCEEFF"/>
            </w:tcBorders>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0"/>
        </w:trPr>
        <w:tc>
          <w:tcPr>
            <w:tcW w:w="30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qualifying hedges</w:t>
            </w: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380"/>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 Instruments:</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0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69,303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0" w:type="dxa"/>
            <w:vAlign w:val="bottom"/>
          </w:tcPr>
          <w:p>
            <w:pPr>
              <w:spacing w:after="0"/>
              <w:rPr>
                <w:sz w:val="1"/>
                <w:szCs w:val="1"/>
                <w:color w:val="auto"/>
              </w:rPr>
            </w:pPr>
          </w:p>
        </w:tc>
      </w:tr>
      <w:tr>
        <w:trPr>
          <w:trHeight w:val="40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floors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8"/>
        </w:trPr>
        <w:tc>
          <w:tcPr>
            <w:tcW w:w="30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40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futures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0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options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0" w:type="dxa"/>
            <w:vAlign w:val="bottom"/>
          </w:tcPr>
          <w:p>
            <w:pPr>
              <w:spacing w:after="0"/>
              <w:rPr>
                <w:sz w:val="1"/>
                <w:szCs w:val="1"/>
                <w:color w:val="auto"/>
              </w:rPr>
            </w:pPr>
          </w:p>
        </w:tc>
      </w:tr>
      <w:tr>
        <w:trPr>
          <w:trHeight w:val="40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forwards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1,876</w:t>
            </w:r>
          </w:p>
        </w:tc>
        <w:tc>
          <w:tcPr>
            <w:tcW w:w="0" w:type="dxa"/>
            <w:vAlign w:val="bottom"/>
          </w:tcPr>
          <w:p>
            <w:pPr>
              <w:spacing w:after="0"/>
              <w:rPr>
                <w:sz w:val="1"/>
                <w:szCs w:val="1"/>
                <w:color w:val="auto"/>
              </w:rPr>
            </w:pPr>
          </w:p>
        </w:tc>
      </w:tr>
      <w:tr>
        <w:trPr>
          <w:trHeight w:val="38"/>
        </w:trPr>
        <w:tc>
          <w:tcPr>
            <w:tcW w:w="30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0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 default swaps — written</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13"/>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futures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4"/>
        </w:trPr>
        <w:tc>
          <w:tcPr>
            <w:tcW w:w="3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3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index options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69,495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39,897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0" w:type="dxa"/>
            <w:vAlign w:val="bottom"/>
          </w:tcPr>
          <w:p>
            <w:pPr>
              <w:spacing w:after="0"/>
              <w:rPr>
                <w:sz w:val="1"/>
                <w:szCs w:val="1"/>
                <w:color w:val="auto"/>
              </w:rPr>
            </w:pPr>
          </w:p>
        </w:tc>
      </w:tr>
      <w:tr>
        <w:trPr>
          <w:trHeight w:val="400"/>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total return swaps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145,209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106,301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0" w:type="dxa"/>
            <w:vAlign w:val="bottom"/>
          </w:tcPr>
          <w:p>
            <w:pPr>
              <w:spacing w:after="0"/>
              <w:rPr>
                <w:sz w:val="1"/>
                <w:szCs w:val="1"/>
                <w:color w:val="auto"/>
              </w:rPr>
            </w:pPr>
          </w:p>
        </w:tc>
      </w:tr>
      <w:tr>
        <w:trPr>
          <w:trHeight w:val="38"/>
        </w:trPr>
        <w:tc>
          <w:tcPr>
            <w:tcW w:w="552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0"/>
        </w:trPr>
        <w:tc>
          <w:tcPr>
            <w:tcW w:w="5620" w:type="dxa"/>
            <w:vAlign w:val="bottom"/>
            <w:tcBorders>
              <w:bottom w:val="single" w:sz="8" w:color="CCEEFF"/>
            </w:tcBorders>
            <w:gridSpan w:val="3"/>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non-designated or non-qualifying derivatives</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300,459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273,101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5,223</w:t>
            </w:r>
          </w:p>
        </w:tc>
        <w:tc>
          <w:tcPr>
            <w:tcW w:w="0" w:type="dxa"/>
            <w:vAlign w:val="bottom"/>
          </w:tcPr>
          <w:p>
            <w:pPr>
              <w:spacing w:after="0"/>
              <w:rPr>
                <w:sz w:val="1"/>
                <w:szCs w:val="1"/>
                <w:color w:val="auto"/>
              </w:rPr>
            </w:pPr>
          </w:p>
        </w:tc>
      </w:tr>
      <w:tr>
        <w:trPr>
          <w:trHeight w:val="425"/>
        </w:trPr>
        <w:tc>
          <w:tcPr>
            <w:tcW w:w="30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304,733</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6,779</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100" w:type="dxa"/>
            <w:vAlign w:val="bottom"/>
          </w:tcPr>
          <w:p>
            <w:pPr>
              <w:spacing w:after="0"/>
              <w:rPr>
                <w:sz w:val="24"/>
                <w:szCs w:val="24"/>
                <w:color w:val="auto"/>
              </w:rPr>
            </w:pPr>
          </w:p>
        </w:tc>
        <w:tc>
          <w:tcPr>
            <w:tcW w:w="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277,424</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25"/>
        </w:trPr>
        <w:tc>
          <w:tcPr>
            <w:tcW w:w="30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1440" w:gutter="0" w:footer="0" w:header="0"/>
        </w:sectPr>
      </w:pPr>
    </w:p>
    <w:p>
      <w:pPr>
        <w:spacing w:after="0" w:line="3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 and location of gains (losses), including earned income, recognized for derivatives and gains (losses) pertaining to hedged items reported in net derivative gains (losses) were as follows:</w:t>
      </w:r>
    </w:p>
    <w:p>
      <w:pPr>
        <w:sectPr>
          <w:pgSz w:w="11900" w:h="16838" w:orient="portrait"/>
          <w:cols w:equalWidth="0" w:num="1">
            <w:col w:w="11240"/>
          </w:cols>
          <w:pgMar w:left="320" w:top="278" w:right="339" w:bottom="1440" w:gutter="0" w:footer="0" w:header="0"/>
          <w:type w:val="continuous"/>
        </w:sectPr>
      </w:pPr>
    </w:p>
    <w:bookmarkStart w:id="182" w:name="page183"/>
    <w:bookmarkEnd w:id="1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 hedges: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currency exchange rate</w:t>
      </w:r>
    </w:p>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 cash flow hedges</w:t>
      </w: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Hedging Instruments: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currency exchange rate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 market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Embedded</w:t>
      </w:r>
    </w:p>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 non-qualifying hedges</w:t>
      </w:r>
    </w:p>
    <w:p>
      <w:pPr>
        <w:spacing w:after="0" w:line="3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ind w:left="286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39370</wp:posOffset>
            </wp:positionV>
            <wp:extent cx="485457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854575"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2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59"/>
        </w:trPr>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16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9"/>
        </w:trPr>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Hedged Items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and Claims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24"/>
        </w:trPr>
        <w:tc>
          <w:tcPr>
            <w:tcW w:w="14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24130</wp:posOffset>
            </wp:positionV>
            <wp:extent cx="7117715" cy="27749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17715" cy="27749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579120</wp:posOffset>
            </wp:positionV>
            <wp:extent cx="7117715" cy="2774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17715" cy="27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8"/>
                <w:szCs w:val="18"/>
                <w:color w:val="auto"/>
              </w:rPr>
            </w:pP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8"/>
                <w:szCs w:val="18"/>
                <w:color w:val="auto"/>
              </w:rPr>
            </w:pPr>
          </w:p>
        </w:tc>
        <w:tc>
          <w:tcPr>
            <w:tcW w:w="680" w:type="dxa"/>
            <w:vAlign w:val="bottom"/>
          </w:tcPr>
          <w:p>
            <w:pPr>
              <w:jc w:val="right"/>
              <w:ind w:right="5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6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440"/>
        </w:trPr>
        <w:tc>
          <w:tcPr>
            <w:tcW w:w="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w:t>
            </w:r>
          </w:p>
        </w:tc>
      </w:tr>
      <w:tr>
        <w:trPr>
          <w:trHeight w:val="395"/>
        </w:trPr>
        <w:tc>
          <w:tcPr>
            <w:tcW w:w="6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4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38"/>
        </w:trPr>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-294005</wp:posOffset>
            </wp:positionV>
            <wp:extent cx="7117715" cy="286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17715" cy="28638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378460</wp:posOffset>
            </wp:positionV>
            <wp:extent cx="7117715" cy="27749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17715" cy="27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15"/>
                <w:szCs w:val="15"/>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37"/>
        </w:trPr>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37"/>
        </w:trPr>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37"/>
        </w:trPr>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37"/>
        </w:trPr>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(3,090)</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393"/>
        </w:trPr>
        <w:tc>
          <w:tcPr>
            <w:tcW w:w="5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393"/>
        </w:trPr>
        <w:tc>
          <w:tcPr>
            <w:tcW w:w="54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(1,798)</w:t>
            </w:r>
          </w:p>
        </w:tc>
        <w:tc>
          <w:tcPr>
            <w:tcW w:w="100" w:type="dxa"/>
            <w:vAlign w:val="bottom"/>
          </w:tcPr>
          <w:p>
            <w:pPr>
              <w:spacing w:after="0"/>
              <w:rPr>
                <w:sz w:val="24"/>
                <w:szCs w:val="24"/>
                <w:color w:val="auto"/>
              </w:rPr>
            </w:pP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4"/>
                <w:szCs w:val="24"/>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24"/>
                <w:szCs w:val="24"/>
                <w:color w:val="auto"/>
              </w:rPr>
            </w:pPr>
          </w:p>
        </w:tc>
        <w:tc>
          <w:tcPr>
            <w:tcW w:w="68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24"/>
                <w:szCs w:val="24"/>
                <w:color w:val="auto"/>
              </w:rPr>
            </w:pPr>
          </w:p>
        </w:tc>
        <w:tc>
          <w:tcPr>
            <w:tcW w:w="600" w:type="dxa"/>
            <w:vAlign w:val="bottom"/>
          </w:tcPr>
          <w:p>
            <w:pPr>
              <w:jc w:val="right"/>
              <w:ind w:right="42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r>
      <w:tr>
        <w:trPr>
          <w:trHeight w:val="37"/>
        </w:trPr>
        <w:tc>
          <w:tcPr>
            <w:tcW w:w="5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-1438275</wp:posOffset>
            </wp:positionV>
            <wp:extent cx="7117715" cy="27749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17715" cy="27749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-882650</wp:posOffset>
            </wp:positionV>
            <wp:extent cx="7117715" cy="27749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17715" cy="27749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-319405</wp:posOffset>
            </wp:positionV>
            <wp:extent cx="7117715" cy="3028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17715" cy="302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-2281555</wp:posOffset>
            </wp:positionH>
            <wp:positionV relativeFrom="paragraph">
              <wp:posOffset>69215</wp:posOffset>
            </wp:positionV>
            <wp:extent cx="716026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2">
            <w:col w:w="3080" w:space="480"/>
            <w:col w:w="7640"/>
          </w:cols>
          <w:pgMar w:left="340" w:top="380" w:right="359" w:bottom="1440" w:gutter="0" w:footer="0" w:header="0"/>
        </w:sectPr>
      </w:pPr>
    </w:p>
    <w:bookmarkStart w:id="183" w:name="page184"/>
    <w:bookmarkEnd w:id="183"/>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6"/>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9"/>
        </w:trPr>
        <w:tc>
          <w:tcPr>
            <w:tcW w:w="358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00" w:type="dxa"/>
            <w:vAlign w:val="bottom"/>
          </w:tcPr>
          <w:p>
            <w:pPr>
              <w:spacing w:after="0"/>
              <w:rPr>
                <w:sz w:val="24"/>
                <w:szCs w:val="24"/>
                <w:color w:val="auto"/>
              </w:rPr>
            </w:pPr>
          </w:p>
        </w:tc>
        <w:tc>
          <w:tcPr>
            <w:tcW w:w="13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59"/>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00" w:type="dxa"/>
            <w:vAlign w:val="bottom"/>
          </w:tcPr>
          <w:p>
            <w:pPr>
              <w:spacing w:after="0"/>
              <w:rPr>
                <w:sz w:val="13"/>
                <w:szCs w:val="13"/>
                <w:color w:val="auto"/>
              </w:rPr>
            </w:pPr>
          </w:p>
        </w:tc>
        <w:tc>
          <w:tcPr>
            <w:tcW w:w="144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29"/>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Deferred in</w:t>
            </w:r>
          </w:p>
        </w:tc>
        <w:tc>
          <w:tcPr>
            <w:tcW w:w="0" w:type="dxa"/>
            <w:vAlign w:val="bottom"/>
          </w:tcPr>
          <w:p>
            <w:pPr>
              <w:spacing w:after="0"/>
              <w:rPr>
                <w:sz w:val="1"/>
                <w:szCs w:val="1"/>
                <w:color w:val="auto"/>
              </w:rPr>
            </w:pPr>
          </w:p>
        </w:tc>
      </w:tr>
      <w:tr>
        <w:trPr>
          <w:trHeight w:val="199"/>
        </w:trPr>
        <w:tc>
          <w:tcPr>
            <w:tcW w:w="3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0" w:type="dxa"/>
            <w:vAlign w:val="bottom"/>
          </w:tcPr>
          <w:p>
            <w:pPr>
              <w:spacing w:after="0"/>
              <w:rPr>
                <w:sz w:val="17"/>
                <w:szCs w:val="17"/>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for Hedged Items</w:t>
            </w: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240" w:type="dxa"/>
            <w:vAlign w:val="bottom"/>
          </w:tcPr>
          <w:p>
            <w:pPr>
              <w:spacing w:after="0"/>
              <w:rPr>
                <w:sz w:val="17"/>
                <w:szCs w:val="17"/>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and Claims</w:t>
            </w:r>
          </w:p>
        </w:tc>
        <w:tc>
          <w:tcPr>
            <w:tcW w:w="100" w:type="dxa"/>
            <w:vAlign w:val="bottom"/>
          </w:tcPr>
          <w:p>
            <w:pPr>
              <w:spacing w:after="0"/>
              <w:rPr>
                <w:sz w:val="17"/>
                <w:szCs w:val="17"/>
                <w:color w:val="auto"/>
              </w:rPr>
            </w:pPr>
          </w:p>
        </w:tc>
        <w:tc>
          <w:tcPr>
            <w:tcW w:w="134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40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0" w:type="dxa"/>
            <w:vAlign w:val="bottom"/>
          </w:tcPr>
          <w:p>
            <w:pPr>
              <w:spacing w:after="0"/>
              <w:rPr>
                <w:sz w:val="1"/>
                <w:szCs w:val="1"/>
                <w:color w:val="auto"/>
              </w:rPr>
            </w:pPr>
          </w:p>
        </w:tc>
      </w:tr>
      <w:tr>
        <w:trPr>
          <w:trHeight w:val="38"/>
        </w:trPr>
        <w:tc>
          <w:tcPr>
            <w:tcW w:w="35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0"/>
        </w:trPr>
        <w:tc>
          <w:tcPr>
            <w:tcW w:w="3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cash flow hedges</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366"/>
        </w:trPr>
        <w:tc>
          <w:tcPr>
            <w:tcW w:w="35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w:t>
            </w: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58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w:t>
            </w:r>
          </w:p>
        </w:tc>
        <w:tc>
          <w:tcPr>
            <w:tcW w:w="1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ind w:left="1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3"/>
        </w:trPr>
        <w:tc>
          <w:tcPr>
            <w:tcW w:w="3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non-qualifying hedges</w:t>
            </w:r>
          </w:p>
        </w:tc>
        <w:tc>
          <w:tcPr>
            <w:tcW w:w="12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(3,664)</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8"/>
        </w:trPr>
        <w:tc>
          <w:tcPr>
            <w:tcW w:w="35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50"/>
        </w:trPr>
        <w:tc>
          <w:tcPr>
            <w:tcW w:w="35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(3,649)</w:t>
            </w:r>
          </w:p>
        </w:tc>
        <w:tc>
          <w:tcPr>
            <w:tcW w:w="1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78" w:right="339" w:bottom="1440" w:gutter="0" w:footer="0" w:header="0"/>
        </w:sectPr>
      </w:pPr>
    </w:p>
    <w:bookmarkStart w:id="184" w:name="page185"/>
    <w:bookmarkEnd w:id="18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flow hedges: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currency exchange rate</w:t>
      </w:r>
    </w:p>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 cash flow hedges</w:t>
      </w: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Hedging Instruments:</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rate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Foreign currency exchange rate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Equity market</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Embedded</w:t>
      </w:r>
    </w:p>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 non-qualifying hedges</w:t>
      </w:r>
    </w:p>
    <w:p>
      <w:pPr>
        <w:spacing w:after="0" w:line="3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ind w:left="28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39370</wp:posOffset>
            </wp:positionV>
            <wp:extent cx="486283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86283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20" w:type="dxa"/>
            <w:vAlign w:val="bottom"/>
          </w:tcPr>
          <w:p>
            <w:pPr>
              <w:spacing w:after="0"/>
              <w:rPr>
                <w:sz w:val="14"/>
                <w:szCs w:val="14"/>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59"/>
        </w:trPr>
        <w:tc>
          <w:tcPr>
            <w:tcW w:w="15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5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Recognized</w:t>
            </w:r>
          </w:p>
        </w:tc>
        <w:tc>
          <w:tcPr>
            <w:tcW w:w="162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4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9"/>
              </w:rPr>
              <w:t>(Losses) Deferred in</w:t>
            </w:r>
          </w:p>
        </w:tc>
        <w:tc>
          <w:tcPr>
            <w:tcW w:w="0" w:type="dxa"/>
            <w:vAlign w:val="bottom"/>
          </w:tcPr>
          <w:p>
            <w:pPr>
              <w:spacing w:after="0"/>
              <w:rPr>
                <w:sz w:val="1"/>
                <w:szCs w:val="1"/>
                <w:color w:val="auto"/>
              </w:rPr>
            </w:pPr>
          </w:p>
        </w:tc>
      </w:tr>
      <w:tr>
        <w:trPr>
          <w:trHeight w:val="199"/>
        </w:trPr>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for Hedged Items</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 Investment Income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and Claims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AOCI</w:t>
            </w:r>
          </w:p>
        </w:tc>
        <w:tc>
          <w:tcPr>
            <w:tcW w:w="0" w:type="dxa"/>
            <w:vAlign w:val="bottom"/>
          </w:tcPr>
          <w:p>
            <w:pPr>
              <w:spacing w:after="0"/>
              <w:rPr>
                <w:sz w:val="1"/>
                <w:szCs w:val="1"/>
                <w:color w:val="auto"/>
              </w:rPr>
            </w:pPr>
          </w:p>
        </w:tc>
      </w:tr>
      <w:tr>
        <w:trPr>
          <w:trHeight w:val="24"/>
        </w:trPr>
        <w:tc>
          <w:tcPr>
            <w:tcW w:w="15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24130</wp:posOffset>
            </wp:positionV>
            <wp:extent cx="7134860" cy="27749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579120</wp:posOffset>
            </wp:positionV>
            <wp:extent cx="7134860" cy="27749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0" w:type="dxa"/>
            <w:vAlign w:val="bottom"/>
          </w:tcPr>
          <w:p>
            <w:pPr>
              <w:jc w:val="right"/>
              <w:ind w:right="5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66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3"/>
          </w:tcPr>
          <w:p>
            <w:pPr>
              <w:ind w:left="5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437"/>
        </w:trPr>
        <w:tc>
          <w:tcPr>
            <w:tcW w:w="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38"/>
        </w:trPr>
        <w:tc>
          <w:tcPr>
            <w:tcW w:w="7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393"/>
        </w:trPr>
        <w:tc>
          <w:tcPr>
            <w:tcW w:w="7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38"/>
        </w:trPr>
        <w:tc>
          <w:tcPr>
            <w:tcW w:w="7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-294005</wp:posOffset>
            </wp:positionV>
            <wp:extent cx="7134860" cy="2857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4860" cy="285750"/>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378460</wp:posOffset>
            </wp:positionV>
            <wp:extent cx="7134860" cy="277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15"/>
                <w:szCs w:val="15"/>
                <w:color w:val="auto"/>
              </w:rPr>
            </w:pP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37"/>
        </w:trPr>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37"/>
        </w:trPr>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37"/>
        </w:trPr>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37"/>
        </w:trPr>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(4,097)</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393"/>
        </w:trPr>
        <w:tc>
          <w:tcPr>
            <w:tcW w:w="5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(3,894)</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rPr>
                <w:sz w:val="24"/>
                <w:szCs w:val="24"/>
                <w:color w:val="auto"/>
              </w:rPr>
            </w:pP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8"/>
        </w:trPr>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393"/>
        </w:trPr>
        <w:tc>
          <w:tcPr>
            <w:tcW w:w="56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(3,886)</w:t>
            </w:r>
          </w:p>
        </w:tc>
        <w:tc>
          <w:tcPr>
            <w:tcW w:w="120" w:type="dxa"/>
            <w:vAlign w:val="bottom"/>
          </w:tcPr>
          <w:p>
            <w:pPr>
              <w:spacing w:after="0"/>
              <w:rPr>
                <w:sz w:val="24"/>
                <w:szCs w:val="24"/>
                <w:color w:val="auto"/>
              </w:rPr>
            </w:pPr>
          </w:p>
        </w:tc>
        <w:tc>
          <w:tcPr>
            <w:tcW w:w="64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24"/>
                <w:szCs w:val="24"/>
                <w:color w:val="auto"/>
              </w:rPr>
            </w:pPr>
          </w:p>
        </w:tc>
        <w:tc>
          <w:tcPr>
            <w:tcW w:w="680" w:type="dxa"/>
            <w:vAlign w:val="bottom"/>
          </w:tcPr>
          <w:p>
            <w:pPr>
              <w:jc w:val="right"/>
              <w:ind w:right="48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tcPr>
          <w:p>
            <w:pPr>
              <w:spacing w:after="0"/>
              <w:rPr>
                <w:sz w:val="24"/>
                <w:szCs w:val="24"/>
                <w:color w:val="auto"/>
              </w:rPr>
            </w:pPr>
          </w:p>
        </w:tc>
        <w:tc>
          <w:tcPr>
            <w:tcW w:w="680" w:type="dxa"/>
            <w:vAlign w:val="bottom"/>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gridSpan w:val="3"/>
          </w:tcPr>
          <w:p>
            <w:pPr>
              <w:ind w:left="560"/>
              <w:spacing w:after="0"/>
              <w:rPr>
                <w:sz w:val="20"/>
                <w:szCs w:val="20"/>
                <w:color w:val="auto"/>
              </w:rPr>
            </w:pPr>
            <w:r>
              <w:rPr>
                <w:rFonts w:ascii="Times New Roman" w:cs="Times New Roman" w:eastAsia="Times New Roman" w:hAnsi="Times New Roman"/>
                <w:sz w:val="14"/>
                <w:szCs w:val="14"/>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r>
      <w:tr>
        <w:trPr>
          <w:trHeight w:val="38"/>
        </w:trPr>
        <w:tc>
          <w:tcPr>
            <w:tcW w:w="5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-1438275</wp:posOffset>
            </wp:positionV>
            <wp:extent cx="7134860" cy="2774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-882650</wp:posOffset>
            </wp:positionV>
            <wp:extent cx="7134860" cy="2774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-318770</wp:posOffset>
            </wp:positionV>
            <wp:extent cx="7134860" cy="3028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480"/>
            <w:col w:w="7660"/>
          </w:cols>
          <w:pgMar w:left="340" w:top="380" w:right="339" w:bottom="1440" w:gutter="0" w:footer="0" w:header="0"/>
        </w:sectPr>
      </w:pPr>
    </w:p>
    <w:p>
      <w:pPr>
        <w:spacing w:after="0" w:line="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At December 31, 2025 and 2024, the Company held no qualified derivatives hedging exposure to future cash flows for forecasted asset purchases.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At December 31, 2025 and 2024, the balance in AOCI associated with cash flow hedges was $224 million and $469 million, respectively.</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69215</wp:posOffset>
            </wp:positionV>
            <wp:extent cx="716026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40" w:top="380" w:right="339" w:bottom="1440" w:gutter="0" w:footer="0" w:header="0"/>
          <w:type w:val="continuous"/>
        </w:sectPr>
      </w:pPr>
    </w:p>
    <w:bookmarkStart w:id="185" w:name="page186"/>
    <w:bookmarkEnd w:id="185"/>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fair value, maximum amount of future payments and weighted average years to maturity of written credit default swaps were as follows at:</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left="140"/>
        <w:spacing w:after="0" w:line="293" w:lineRule="auto"/>
        <w:rPr>
          <w:sz w:val="20"/>
          <w:szCs w:val="20"/>
          <w:color w:val="auto"/>
        </w:rPr>
      </w:pPr>
      <w:r>
        <w:rPr>
          <w:rFonts w:ascii="Times New Roman" w:cs="Times New Roman" w:eastAsia="Times New Roman" w:hAnsi="Times New Roman"/>
          <w:sz w:val="14"/>
          <w:szCs w:val="14"/>
          <w:b w:val="1"/>
          <w:bCs w:val="1"/>
          <w:color w:val="auto"/>
        </w:rPr>
        <w:t>Rating Agency Designation of Referenced Credit Obligations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20275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0275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50228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022850" cy="8255"/>
                    </a:xfrm>
                    <a:prstGeom prst="rect">
                      <a:avLst/>
                    </a:prstGeom>
                    <a:noFill/>
                  </pic:spPr>
                </pic:pic>
              </a:graphicData>
            </a:graphic>
          </wp:anchor>
        </w:drawing>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140" w:type="dxa"/>
            <w:vAlign w:val="bottom"/>
          </w:tcPr>
          <w:p>
            <w:pPr>
              <w:spacing w:after="0"/>
              <w:rPr>
                <w:sz w:val="16"/>
                <w:szCs w:val="16"/>
                <w:color w:val="auto"/>
              </w:rPr>
            </w:pPr>
          </w:p>
        </w:tc>
      </w:tr>
      <w:tr>
        <w:trPr>
          <w:trHeight w:val="38"/>
        </w:trPr>
        <w:tc>
          <w:tcPr>
            <w:tcW w:w="112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67"/>
        </w:trPr>
        <w:tc>
          <w:tcPr>
            <w:tcW w:w="11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1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2"/>
        </w:trPr>
        <w:tc>
          <w:tcPr>
            <w:tcW w:w="11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Value of Credit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Average Years to</w:t>
            </w:r>
          </w:p>
        </w:tc>
        <w:tc>
          <w:tcPr>
            <w:tcW w:w="11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Value of Credit</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Average Years to</w:t>
            </w:r>
          </w:p>
        </w:tc>
      </w:tr>
      <w:tr>
        <w:trPr>
          <w:trHeight w:val="186"/>
        </w:trPr>
        <w:tc>
          <w:tcPr>
            <w:tcW w:w="11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Default Swaps</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11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Default Swaps</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 (2)</w:t>
            </w:r>
          </w:p>
        </w:tc>
      </w:tr>
      <w:tr>
        <w:trPr>
          <w:trHeight w:val="24"/>
        </w:trPr>
        <w:tc>
          <w:tcPr>
            <w:tcW w:w="1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3060" w:space="240"/>
            <w:col w:w="7940"/>
          </w:cols>
          <w:pgMar w:left="320" w:top="278" w:right="339" w:bottom="1440" w:gutter="0" w:footer="0" w:header="0"/>
          <w:type w:val="continuous"/>
        </w:sectPr>
      </w:pP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20" w:type="dxa"/>
            <w:vAlign w:val="bottom"/>
            <w:gridSpan w:val="2"/>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3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Aaa/Aa/A</w:t>
            </w:r>
          </w:p>
        </w:tc>
        <w:tc>
          <w:tcPr>
            <w:tcW w:w="4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w:t>
            </w:r>
          </w:p>
        </w:tc>
        <w:tc>
          <w:tcPr>
            <w:tcW w:w="720" w:type="dxa"/>
            <w:vAlign w:val="bottom"/>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41"/>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Baa</w:t>
            </w:r>
          </w:p>
        </w:tc>
        <w:tc>
          <w:tcPr>
            <w:tcW w:w="480" w:type="dxa"/>
            <w:vAlign w:val="bottom"/>
          </w:tcPr>
          <w:p>
            <w:pPr>
              <w:spacing w:after="0"/>
              <w:rPr>
                <w:sz w:val="24"/>
                <w:szCs w:val="24"/>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w:t>
            </w:r>
          </w:p>
        </w:tc>
        <w:tc>
          <w:tcPr>
            <w:tcW w:w="7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460"/>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w:t>
            </w:r>
          </w:p>
        </w:tc>
        <w:tc>
          <w:tcPr>
            <w:tcW w:w="4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3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c>
          <w:tcPr>
            <w:tcW w:w="7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444"/>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Caa and Lower</w:t>
            </w:r>
          </w:p>
        </w:tc>
        <w:tc>
          <w:tcPr>
            <w:tcW w:w="4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0.0</w:t>
            </w:r>
          </w:p>
        </w:tc>
        <w:tc>
          <w:tcPr>
            <w:tcW w:w="72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475"/>
        </w:trPr>
        <w:tc>
          <w:tcPr>
            <w:tcW w:w="3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30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4.1</w:t>
            </w:r>
          </w:p>
        </w:tc>
        <w:tc>
          <w:tcPr>
            <w:tcW w:w="720" w:type="dxa"/>
            <w:vAlign w:val="bottom"/>
            <w:tcBorders>
              <w:top w:val="single" w:sz="8" w:color="auto"/>
              <w:bottom w:val="single" w:sz="8" w:color="auto"/>
            </w:tcBorders>
            <w:shd w:val="clear" w:color="auto" w:fill="CCEEFF"/>
          </w:tcPr>
          <w:p>
            <w:pPr>
              <w:jc w:val="right"/>
              <w:ind w:right="521"/>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3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years to maturity of the credit default swaps is calculated based on weighted average gross notional amounts.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manages its credit risk by: (i) entering into derivative transactions with creditworthy counterparties governed by master netting agreements;</w:t>
      </w:r>
    </w:p>
    <w:p>
      <w:pPr>
        <w:spacing w:after="0" w:line="36" w:lineRule="exact"/>
        <w:rPr>
          <w:sz w:val="20"/>
          <w:szCs w:val="20"/>
          <w:color w:val="auto"/>
        </w:rPr>
      </w:pPr>
    </w:p>
    <w:p>
      <w:pPr>
        <w:ind w:firstLine="6"/>
        <w:spacing w:after="0" w:line="251" w:lineRule="auto"/>
        <w:tabs>
          <w:tab w:leader="none" w:pos="27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10 for a description of the impact of credit risk on the valuation of derivatives.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86" w:name="page187"/>
    <w:bookmarkEnd w:id="186"/>
    <w:p>
      <w:pPr>
        <w:ind w:left="8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Derivatives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values of net derivative assets and net derivative liabilities after the application of master netting agreements and collateral were as follows at:</w:t>
      </w:r>
    </w:p>
    <w:p>
      <w:pPr>
        <w:spacing w:after="0" w:line="200" w:lineRule="exact"/>
        <w:rPr>
          <w:sz w:val="20"/>
          <w:szCs w:val="20"/>
          <w:color w:val="auto"/>
        </w:rPr>
      </w:pPr>
    </w:p>
    <w:p>
      <w:pPr>
        <w:spacing w:after="0" w:line="222"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Gross Amounts Not Offset on the Consolidated</w:t>
      </w:r>
    </w:p>
    <w:p>
      <w:pPr>
        <w:spacing w:after="0" w:line="25" w:lineRule="exact"/>
        <w:rPr>
          <w:sz w:val="20"/>
          <w:szCs w:val="20"/>
          <w:color w:val="auto"/>
        </w:rPr>
      </w:pPr>
    </w:p>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2460625</wp:posOffset>
            </wp:positionH>
            <wp:positionV relativeFrom="paragraph">
              <wp:posOffset>31115</wp:posOffset>
            </wp:positionV>
            <wp:extent cx="18338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833880"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320" w:type="dxa"/>
            <w:vAlign w:val="bottom"/>
          </w:tcPr>
          <w:p>
            <w:pPr>
              <w:spacing w:after="0"/>
              <w:rPr>
                <w:sz w:val="14"/>
                <w:szCs w:val="14"/>
                <w:color w:val="auto"/>
              </w:rPr>
            </w:pPr>
          </w:p>
        </w:tc>
        <w:tc>
          <w:tcPr>
            <w:tcW w:w="120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c>
          <w:tcPr>
            <w:tcW w:w="18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Net Amount After</w:t>
            </w:r>
          </w:p>
        </w:tc>
      </w:tr>
      <w:tr>
        <w:trPr>
          <w:trHeight w:val="186"/>
        </w:trPr>
        <w:tc>
          <w:tcPr>
            <w:tcW w:w="2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440" w:type="dxa"/>
            <w:vAlign w:val="bottom"/>
          </w:tcPr>
          <w:p>
            <w:pPr>
              <w:spacing w:after="0"/>
              <w:rPr>
                <w:sz w:val="16"/>
                <w:szCs w:val="16"/>
                <w:color w:val="auto"/>
              </w:rPr>
            </w:pPr>
          </w:p>
        </w:tc>
        <w:tc>
          <w:tcPr>
            <w:tcW w:w="106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(1)</w:t>
            </w:r>
          </w:p>
        </w:tc>
        <w:tc>
          <w:tcPr>
            <w:tcW w:w="1520" w:type="dxa"/>
            <w:vAlign w:val="bottom"/>
            <w:gridSpan w:val="2"/>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Received/Pledged (2)</w:t>
            </w:r>
          </w:p>
        </w:tc>
        <w:tc>
          <w:tcPr>
            <w:tcW w:w="360" w:type="dxa"/>
            <w:vAlign w:val="bottom"/>
          </w:tcPr>
          <w:p>
            <w:pPr>
              <w:spacing w:after="0"/>
              <w:rPr>
                <w:sz w:val="16"/>
                <w:szCs w:val="16"/>
                <w:color w:val="auto"/>
              </w:rPr>
            </w:pPr>
          </w:p>
        </w:tc>
        <w:tc>
          <w:tcPr>
            <w:tcW w:w="108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w w:val="97"/>
              </w:rPr>
              <w:t>Net Amount</w:t>
            </w:r>
          </w:p>
        </w:tc>
        <w:tc>
          <w:tcPr>
            <w:tcW w:w="154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Received/Pledged (3)</w:t>
            </w:r>
          </w:p>
        </w:tc>
        <w:tc>
          <w:tcPr>
            <w:tcW w:w="144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r>
      <w:tr>
        <w:trPr>
          <w:trHeight w:val="38"/>
        </w:trPr>
        <w:tc>
          <w:tcPr>
            <w:tcW w:w="23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393"/>
        </w:trPr>
        <w:tc>
          <w:tcPr>
            <w:tcW w:w="2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
        </w:trPr>
        <w:tc>
          <w:tcPr>
            <w:tcW w:w="2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45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441"/>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6,576</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(3,861)</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(1,382)</w:t>
            </w: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1,333</w:t>
            </w:r>
          </w:p>
        </w:tc>
        <w:tc>
          <w:tcPr>
            <w:tcW w:w="60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6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5,099</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(3,861)</w:t>
            </w: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1,238</w:t>
            </w:r>
          </w:p>
        </w:tc>
        <w:tc>
          <w:tcPr>
            <w:tcW w:w="6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60"/>
        </w:trPr>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4,140</w:t>
            </w:r>
          </w:p>
        </w:tc>
        <w:tc>
          <w:tcPr>
            <w:tcW w:w="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(3,039)</w:t>
            </w:r>
          </w:p>
        </w:tc>
        <w:tc>
          <w:tcPr>
            <w:tcW w:w="32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(540)</w:t>
            </w:r>
          </w:p>
        </w:tc>
        <w:tc>
          <w:tcPr>
            <w:tcW w:w="3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561</w:t>
            </w:r>
          </w:p>
        </w:tc>
        <w:tc>
          <w:tcPr>
            <w:tcW w:w="6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432"/>
        </w:trPr>
        <w:tc>
          <w:tcPr>
            <w:tcW w:w="2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5,353</w:t>
            </w:r>
          </w:p>
        </w:tc>
        <w:tc>
          <w:tcPr>
            <w:tcW w:w="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(3,039)</w:t>
            </w:r>
          </w:p>
        </w:tc>
        <w:tc>
          <w:tcPr>
            <w:tcW w:w="32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2,314</w:t>
            </w:r>
          </w:p>
        </w:tc>
        <w:tc>
          <w:tcPr>
            <w:tcW w:w="60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(2,306)</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72"/>
        </w:trPr>
        <w:tc>
          <w:tcPr>
            <w:tcW w:w="23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r>
    </w:tbl>
    <w:p>
      <w:pPr>
        <w:spacing w:after="0" w:line="85" w:lineRule="exact"/>
        <w:rPr>
          <w:sz w:val="20"/>
          <w:szCs w:val="20"/>
          <w:color w:val="auto"/>
        </w:rPr>
      </w:pPr>
    </w:p>
    <w:p>
      <w:pPr>
        <w:ind w:left="320" w:hanging="314"/>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subject to an enforceable master netting agreement or similar agreement.</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collateral offset in the table above is limited to the net estimated fair value of derivatives after application of netting agreement.</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from counterparties is not reported on the consolidated balance sheets and may not be sold or re-pledged unless the counterparty is in default. Amounts do not include excess of collateral pledged or received.</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00" w:lineRule="exact"/>
        <w:rPr>
          <w:sz w:val="20"/>
          <w:szCs w:val="20"/>
          <w:color w:val="auto"/>
        </w:rPr>
      </w:pPr>
    </w:p>
    <w:p>
      <w:pPr>
        <w:spacing w:after="0" w:line="222" w:lineRule="exact"/>
        <w:rPr>
          <w:sz w:val="20"/>
          <w:szCs w:val="20"/>
          <w:color w:val="auto"/>
        </w:rPr>
      </w:pPr>
    </w:p>
    <w:p>
      <w:pPr>
        <w:ind w:left="93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5203190</wp:posOffset>
            </wp:positionH>
            <wp:positionV relativeFrom="paragraph">
              <wp:posOffset>39370</wp:posOffset>
            </wp:positionV>
            <wp:extent cx="193484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spacing w:after="0" w:line="270" w:lineRule="exact"/>
        <w:rPr>
          <w:sz w:val="20"/>
          <w:szCs w:val="20"/>
          <w:color w:val="auto"/>
        </w:rPr>
      </w:pPr>
    </w:p>
    <w:p>
      <w:pPr>
        <w:ind w:left="8820"/>
        <w:spacing w:after="0"/>
        <w:tabs>
          <w:tab w:leader="none" w:pos="1038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5203190</wp:posOffset>
            </wp:positionH>
            <wp:positionV relativeFrom="paragraph">
              <wp:posOffset>39370</wp:posOffset>
            </wp:positionV>
            <wp:extent cx="193484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934845" cy="8255"/>
                    </a:xfrm>
                    <a:prstGeom prst="rect">
                      <a:avLst/>
                    </a:prstGeom>
                    <a:noFill/>
                  </pic:spPr>
                </pic:pic>
              </a:graphicData>
            </a:graphic>
          </wp:anchor>
        </w:drawing>
      </w:r>
    </w:p>
    <w:p>
      <w:pPr>
        <w:spacing w:after="0" w:line="270"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45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268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1,238</w:t>
            </w:r>
          </w:p>
        </w:tc>
        <w:tc>
          <w:tcPr>
            <w:tcW w:w="6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w:t>
            </w:r>
          </w:p>
        </w:tc>
      </w:tr>
      <w:tr>
        <w:trPr>
          <w:trHeight w:val="441"/>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 (2):</w:t>
            </w:r>
          </w:p>
        </w:tc>
        <w:tc>
          <w:tcPr>
            <w:tcW w:w="2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6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2680" w:type="dxa"/>
            <w:vAlign w:val="bottom"/>
            <w:shd w:val="clear" w:color="auto" w:fill="CCEEFF"/>
          </w:tcPr>
          <w:p>
            <w:pPr>
              <w:jc w:val="right"/>
              <w:ind w:right="4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3,685</w:t>
            </w:r>
          </w:p>
        </w:tc>
        <w:tc>
          <w:tcPr>
            <w:tcW w:w="6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w:t>
            </w:r>
          </w:p>
        </w:tc>
      </w:tr>
      <w:tr>
        <w:trPr>
          <w:trHeight w:val="254"/>
        </w:trPr>
        <w:tc>
          <w:tcPr>
            <w:tcW w:w="61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99" w:lineRule="exact"/>
        <w:rPr>
          <w:sz w:val="20"/>
          <w:szCs w:val="20"/>
          <w:color w:val="auto"/>
        </w:rPr>
      </w:pPr>
    </w:p>
    <w:p>
      <w:pPr>
        <w:ind w:left="320" w:hanging="314"/>
        <w:spacing w:after="0"/>
        <w:tabs>
          <w:tab w:leader="none" w:pos="3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OTC-bilateral derivative transactions to third-party custodians.</w:t>
      </w:r>
    </w:p>
    <w:p>
      <w:pPr>
        <w:sectPr>
          <w:pgSz w:w="11900" w:h="16838" w:orient="portrait"/>
          <w:cols w:equalWidth="0" w:num="1">
            <w:col w:w="11240"/>
          </w:cols>
          <w:pgMar w:left="320" w:top="278" w:right="339" w:bottom="7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732"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When developing estimated fair values, the Company considers three broad valuation techniques: (i) the market approach, (ii) the income approach, and</w:t>
      </w:r>
    </w:p>
    <w:p>
      <w:pPr>
        <w:spacing w:after="0" w:line="36" w:lineRule="exact"/>
        <w:rPr>
          <w:sz w:val="20"/>
          <w:szCs w:val="20"/>
          <w:color w:val="auto"/>
        </w:rPr>
      </w:pPr>
    </w:p>
    <w:p>
      <w:pPr>
        <w:jc w:val="both"/>
        <w:ind w:firstLine="6"/>
        <w:spacing w:after="0" w:line="248" w:lineRule="auto"/>
        <w:tabs>
          <w:tab w:leader="none" w:pos="33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approach. The Company determines the most appropriate valuation technique to use, given what is being measured and the availability of sufficient inputs, giving priority to observable inputs. The Company categorizes its assets and liabilities measured at estimated fair value into a three-level hierarchy, based on the significant input with the lowest level in its valuation. The input levels are as follows:</w:t>
      </w:r>
    </w:p>
    <w:p>
      <w:pPr>
        <w:spacing w:after="0" w:line="227" w:lineRule="exact"/>
        <w:rPr>
          <w:sz w:val="20"/>
          <w:szCs w:val="20"/>
          <w:color w:val="auto"/>
        </w:rPr>
      </w:pPr>
    </w:p>
    <w:p>
      <w:pPr>
        <w:jc w:val="both"/>
        <w:ind w:left="840" w:right="20" w:hanging="807"/>
        <w:spacing w:after="0" w:line="234" w:lineRule="auto"/>
        <w:tabs>
          <w:tab w:leader="none" w:pos="82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for identical assets or liabilities. The Company defines active markets based on average trading volume for equity securities. The size of the bid/ask spread is used as an indicator of market activity for fixed maturity securities.</w:t>
      </w:r>
    </w:p>
    <w:p>
      <w:pPr>
        <w:spacing w:after="0" w:line="126" w:lineRule="exact"/>
        <w:rPr>
          <w:sz w:val="20"/>
          <w:szCs w:val="20"/>
          <w:color w:val="auto"/>
        </w:rPr>
      </w:pPr>
    </w:p>
    <w:p>
      <w:pPr>
        <w:jc w:val="both"/>
        <w:ind w:left="840" w:right="20" w:hanging="807"/>
        <w:spacing w:after="0" w:line="235" w:lineRule="auto"/>
        <w:tabs>
          <w:tab w:leader="none" w:pos="82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7"/>
          <w:szCs w:val="17"/>
          <w:color w:val="auto"/>
        </w:rPr>
        <w:t>Quoted prices in markets that are not active or inputs that are observable either directly or indirectly. These inputs can include quoted prices for similar assets or liabilities other than quoted prices in Level 1, quoted prices in markets that are not active, or other significant inputs that are observable or can be derived principally from or corroborated by observable market data for substantially the full term of the assets or liabilities.</w:t>
      </w:r>
    </w:p>
    <w:p>
      <w:pPr>
        <w:spacing w:after="0" w:line="113" w:lineRule="exact"/>
        <w:rPr>
          <w:sz w:val="20"/>
          <w:szCs w:val="20"/>
          <w:color w:val="auto"/>
        </w:rPr>
      </w:pPr>
    </w:p>
    <w:p>
      <w:pPr>
        <w:ind w:left="20"/>
        <w:spacing w:after="0"/>
        <w:tabs>
          <w:tab w:leader="none" w:pos="82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Unobservable inputs that are supported by little or no market activity and are significant to the determination of estimated fair value of the assets</w:t>
      </w:r>
    </w:p>
    <w:p>
      <w:pPr>
        <w:ind w:left="840" w:right="20"/>
        <w:spacing w:after="0" w:line="222" w:lineRule="auto"/>
        <w:rPr>
          <w:sz w:val="20"/>
          <w:szCs w:val="20"/>
          <w:color w:val="auto"/>
        </w:rPr>
      </w:pPr>
      <w:r>
        <w:rPr>
          <w:rFonts w:ascii="Times New Roman" w:cs="Times New Roman" w:eastAsia="Times New Roman" w:hAnsi="Times New Roman"/>
          <w:sz w:val="18"/>
          <w:szCs w:val="18"/>
          <w:color w:val="auto"/>
        </w:rPr>
        <w:t>or liabilities. Unobservable inputs reflect the reporting entity’s own assumptions about the assumptions that market participants would use in pricing the asset or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8"/>
              </w:rPr>
              <w:t>Total Estimated Fair</w:t>
            </w:r>
          </w:p>
        </w:tc>
        <w:tc>
          <w:tcPr>
            <w:tcW w:w="0" w:type="dxa"/>
            <w:vAlign w:val="bottom"/>
          </w:tcPr>
          <w:p>
            <w:pPr>
              <w:spacing w:after="0"/>
              <w:rPr>
                <w:sz w:val="1"/>
                <w:szCs w:val="1"/>
                <w:color w:val="auto"/>
              </w:rPr>
            </w:pPr>
          </w:p>
        </w:tc>
      </w:tr>
      <w:tr>
        <w:trPr>
          <w:trHeight w:val="154"/>
        </w:trPr>
        <w:tc>
          <w:tcPr>
            <w:tcW w:w="5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80" w:type="dxa"/>
            <w:vAlign w:val="bottom"/>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38,267</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38,909</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11,497</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4,261</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78,471</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82,014</w:t>
            </w:r>
          </w:p>
        </w:tc>
        <w:tc>
          <w:tcPr>
            <w:tcW w:w="0" w:type="dxa"/>
            <w:vAlign w:val="bottom"/>
          </w:tcPr>
          <w:p>
            <w:pPr>
              <w:spacing w:after="0"/>
              <w:rPr>
                <w:sz w:val="1"/>
                <w:szCs w:val="1"/>
                <w:color w:val="auto"/>
              </w:rPr>
            </w:pPr>
          </w:p>
        </w:tc>
      </w:tr>
      <w:tr>
        <w:trPr>
          <w:trHeight w:val="185"/>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 (1)</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6,121</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derivative assets</w:t>
            </w:r>
          </w:p>
        </w:tc>
        <w:tc>
          <w:tcPr>
            <w:tcW w:w="8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6,767</w:t>
            </w:r>
          </w:p>
        </w:tc>
        <w:tc>
          <w:tcPr>
            <w:tcW w:w="120" w:type="dxa"/>
            <w:vAlign w:val="bottom"/>
            <w:tcBorders>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6,779</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85,528</w:t>
            </w:r>
          </w:p>
        </w:tc>
        <w:tc>
          <w:tcPr>
            <w:tcW w:w="0" w:type="dxa"/>
            <w:vAlign w:val="bottom"/>
          </w:tcPr>
          <w:p>
            <w:pPr>
              <w:spacing w:after="0"/>
              <w:rPr>
                <w:sz w:val="1"/>
                <w:szCs w:val="1"/>
                <w:color w:val="auto"/>
              </w:rPr>
            </w:pPr>
          </w:p>
        </w:tc>
      </w:tr>
      <w:tr>
        <w:trPr>
          <w:trHeight w:val="19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3,539</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171,453</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center"/>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177,242</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jc w:val="center"/>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8,063</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 (1)</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12,406</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12,406</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5,230</w:t>
            </w:r>
          </w:p>
        </w:tc>
        <w:tc>
          <w:tcPr>
            <w:tcW w:w="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20,469</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 Estimated</w:t>
            </w:r>
          </w:p>
        </w:tc>
        <w:tc>
          <w:tcPr>
            <w:tcW w:w="0" w:type="dxa"/>
            <w:vAlign w:val="bottom"/>
          </w:tcPr>
          <w:p>
            <w:pPr>
              <w:spacing w:after="0"/>
              <w:rPr>
                <w:sz w:val="1"/>
                <w:szCs w:val="1"/>
                <w:color w:val="auto"/>
              </w:rPr>
            </w:pPr>
          </w:p>
        </w:tc>
      </w:tr>
      <w:tr>
        <w:trPr>
          <w:trHeight w:val="154"/>
        </w:trPr>
        <w:tc>
          <w:tcPr>
            <w:tcW w:w="55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6"/>
                <w:szCs w:val="16"/>
                <w:color w:val="auto"/>
              </w:rPr>
            </w:pPr>
          </w:p>
        </w:tc>
        <w:tc>
          <w:tcPr>
            <w:tcW w:w="12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88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37,123</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11,830</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RMBS</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7,270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7,287</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6,747</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ABS</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6,312</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CMBS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6,356</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3,441</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959</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75,846</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80,055</w:t>
            </w:r>
          </w:p>
        </w:tc>
        <w:tc>
          <w:tcPr>
            <w:tcW w:w="0" w:type="dxa"/>
            <w:vAlign w:val="bottom"/>
          </w:tcPr>
          <w:p>
            <w:pPr>
              <w:spacing w:after="0"/>
              <w:rPr>
                <w:sz w:val="1"/>
                <w:szCs w:val="1"/>
                <w:color w:val="auto"/>
              </w:rPr>
            </w:pPr>
          </w:p>
        </w:tc>
      </w:tr>
      <w:tr>
        <w:trPr>
          <w:trHeight w:val="20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w:t>
            </w:r>
          </w:p>
        </w:tc>
        <w:tc>
          <w:tcPr>
            <w:tcW w:w="8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ind w:right="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1,868</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assets: (1)</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3,265</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derivative assets</w:t>
            </w:r>
          </w:p>
        </w:tc>
        <w:tc>
          <w:tcPr>
            <w:tcW w:w="8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4,135</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1,092</w:t>
            </w:r>
          </w:p>
        </w:tc>
        <w:tc>
          <w:tcPr>
            <w:tcW w:w="0" w:type="dxa"/>
            <w:vAlign w:val="bottom"/>
          </w:tcPr>
          <w:p>
            <w:pPr>
              <w:spacing w:after="0"/>
              <w:rPr>
                <w:sz w:val="1"/>
                <w:szCs w:val="1"/>
                <w:color w:val="auto"/>
              </w:rPr>
            </w:pP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85,636</w:t>
            </w:r>
          </w:p>
        </w:tc>
        <w:tc>
          <w:tcPr>
            <w:tcW w:w="0" w:type="dxa"/>
            <w:vAlign w:val="bottom"/>
          </w:tcPr>
          <w:p>
            <w:pPr>
              <w:spacing w:after="0"/>
              <w:rPr>
                <w:sz w:val="1"/>
                <w:szCs w:val="1"/>
                <w:color w:val="auto"/>
              </w:rPr>
            </w:pPr>
          </w:p>
        </w:tc>
      </w:tr>
      <w:tr>
        <w:trPr>
          <w:trHeight w:val="199"/>
        </w:trPr>
        <w:tc>
          <w:tcPr>
            <w:tcW w:w="55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880" w:type="dxa"/>
            <w:vAlign w:val="bottom"/>
            <w:tcBorders>
              <w:top w:val="single" w:sz="8" w:color="auto"/>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4,204</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166,063</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172,910</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880" w:type="dxa"/>
            <w:vAlign w:val="bottom"/>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8,329</w:t>
            </w:r>
          </w:p>
        </w:tc>
        <w:tc>
          <w:tcPr>
            <w:tcW w:w="100" w:type="dxa"/>
            <w:vAlign w:val="bottom"/>
          </w:tcPr>
          <w:p>
            <w:pPr>
              <w:spacing w:after="0"/>
              <w:rPr>
                <w:sz w:val="16"/>
                <w:szCs w:val="16"/>
                <w:color w:val="auto"/>
              </w:rPr>
            </w:pP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8,329</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Derivative liabilities: (1)</w:t>
            </w: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88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0" w:type="dxa"/>
            <w:vAlign w:val="bottom"/>
          </w:tcPr>
          <w:p>
            <w:pPr>
              <w:spacing w:after="0"/>
              <w:rPr>
                <w:sz w:val="1"/>
                <w:szCs w:val="1"/>
                <w:color w:val="auto"/>
              </w:rPr>
            </w:pPr>
          </w:p>
        </w:tc>
      </w:tr>
      <w:tr>
        <w:trPr>
          <w:trHeight w:val="20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8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2"/>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8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w:t>
            </w:r>
          </w:p>
        </w:tc>
        <w:tc>
          <w:tcPr>
            <w:tcW w:w="0" w:type="dxa"/>
            <w:vAlign w:val="bottom"/>
          </w:tcPr>
          <w:p>
            <w:pPr>
              <w:spacing w:after="0"/>
              <w:rPr>
                <w:sz w:val="1"/>
                <w:szCs w:val="1"/>
                <w:color w:val="auto"/>
              </w:rPr>
            </w:pPr>
          </w:p>
        </w:tc>
      </w:tr>
      <w:tr>
        <w:trPr>
          <w:trHeight w:val="199"/>
        </w:trPr>
        <w:tc>
          <w:tcPr>
            <w:tcW w:w="55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derivative liabilities</w:t>
            </w:r>
          </w:p>
        </w:tc>
        <w:tc>
          <w:tcPr>
            <w:tcW w:w="88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5,248</w:t>
            </w:r>
          </w:p>
        </w:tc>
        <w:tc>
          <w:tcPr>
            <w:tcW w:w="0" w:type="dxa"/>
            <w:vAlign w:val="bottom"/>
          </w:tcPr>
          <w:p>
            <w:pPr>
              <w:spacing w:after="0"/>
              <w:rPr>
                <w:sz w:val="1"/>
                <w:szCs w:val="1"/>
                <w:color w:val="auto"/>
              </w:rPr>
            </w:pPr>
          </w:p>
        </w:tc>
      </w:tr>
      <w:tr>
        <w:trPr>
          <w:trHeight w:val="185"/>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Embedded derivatives on index-linked annuities (2)</w:t>
            </w: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11,540</w:t>
            </w:r>
          </w:p>
        </w:tc>
        <w:tc>
          <w:tcPr>
            <w:tcW w:w="0" w:type="dxa"/>
            <w:vAlign w:val="bottom"/>
          </w:tcPr>
          <w:p>
            <w:pPr>
              <w:spacing w:after="0"/>
              <w:rPr>
                <w:sz w:val="1"/>
                <w:szCs w:val="1"/>
                <w:color w:val="auto"/>
              </w:rPr>
            </w:pPr>
          </w:p>
        </w:tc>
      </w:tr>
      <w:tr>
        <w:trPr>
          <w:trHeight w:val="224"/>
        </w:trPr>
        <w:tc>
          <w:tcPr>
            <w:tcW w:w="5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880" w:type="dxa"/>
            <w:vAlign w:val="bottom"/>
            <w:tcBorders>
              <w:bottom w:val="single" w:sz="8" w:color="auto"/>
            </w:tcBorders>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5,247</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25,117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reported in other invested assets and derivative liabilities are reported in other liabilities. The amounts are presented gross in the tables above to reflect the presentation on the consolidated balance sheets.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assets on index-linked annuities are reported in premiums and other receivables. Embedded derivative liabilities on index-linked annuities are reported in policyholder account balances.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(continued)</w:t>
      </w:r>
    </w:p>
    <w:p>
      <w:pPr>
        <w:spacing w:after="0" w:line="200" w:lineRule="exact"/>
        <w:rPr>
          <w:sz w:val="20"/>
          <w:szCs w:val="20"/>
          <w:color w:val="auto"/>
        </w:rPr>
      </w:pPr>
    </w:p>
    <w:p>
      <w:pPr>
        <w:spacing w:after="0" w:line="337"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4"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year ended December 31, 2025.</w:t>
      </w:r>
    </w:p>
    <w:p>
      <w:pPr>
        <w:spacing w:after="0" w:line="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spacing w:after="0" w:line="123"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8" w:lineRule="exact"/>
        <w:rPr>
          <w:sz w:val="20"/>
          <w:szCs w:val="20"/>
          <w:color w:val="auto"/>
        </w:rPr>
      </w:pPr>
    </w:p>
    <w:p>
      <w:pPr>
        <w:jc w:val="both"/>
        <w:ind w:left="3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124"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 and Short-term Investments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23"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short-term investments: </w:t>
      </w:r>
      <w:r>
        <w:rPr>
          <w:rFonts w:ascii="Times New Roman" w:cs="Times New Roman" w:eastAsia="Times New Roman" w:hAnsi="Times New Roman"/>
          <w:sz w:val="18"/>
          <w:szCs w:val="18"/>
          <w:color w:val="auto"/>
        </w:rPr>
        <w:t>Fair value is determined using third-party commercial pricing services, with the primary input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in markets that are not active.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(continued)</w:t>
      </w:r>
    </w:p>
    <w:p>
      <w:pPr>
        <w:spacing w:after="0" w:line="200" w:lineRule="exact"/>
        <w:rPr>
          <w:sz w:val="20"/>
          <w:szCs w:val="20"/>
          <w:color w:val="auto"/>
        </w:rPr>
      </w:pP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2"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MRBs principally include guaranteed minimum benefits on variable annuity contracts including benefits reinsured related to these guarantees.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spacing w:after="0" w:line="81"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Embedded derivatives include crediting rates associated with index-linked annuity contracts. Embedded derivatives are recorded at estimated fair value with changes in estimated fair value reported in net income.</w:t>
      </w:r>
    </w:p>
    <w:p>
      <w:pPr>
        <w:spacing w:after="0" w:line="57"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spacing w:after="0" w:line="5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(continued)</w:t>
      </w: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12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Impact of</w:t>
            </w:r>
          </w:p>
        </w:tc>
        <w:tc>
          <w:tcPr>
            <w:tcW w:w="0" w:type="dxa"/>
            <w:vAlign w:val="bottom"/>
          </w:tcPr>
          <w:p>
            <w:pPr>
              <w:spacing w:after="0"/>
              <w:rPr>
                <w:sz w:val="1"/>
                <w:szCs w:val="1"/>
                <w:color w:val="auto"/>
              </w:rPr>
            </w:pPr>
          </w:p>
        </w:tc>
      </w:tr>
      <w:tr>
        <w:trPr>
          <w:trHeight w:val="57"/>
        </w:trPr>
        <w:tc>
          <w:tcPr>
            <w:tcW w:w="2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Significant</w:t>
            </w:r>
          </w:p>
        </w:tc>
        <w:tc>
          <w:tcPr>
            <w:tcW w:w="6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Increase in Input on</w:t>
            </w:r>
          </w:p>
        </w:tc>
        <w:tc>
          <w:tcPr>
            <w:tcW w:w="0" w:type="dxa"/>
            <w:vAlign w:val="bottom"/>
          </w:tcPr>
          <w:p>
            <w:pPr>
              <w:spacing w:after="0"/>
              <w:rPr>
                <w:sz w:val="1"/>
                <w:szCs w:val="1"/>
                <w:color w:val="auto"/>
              </w:rPr>
            </w:pPr>
          </w:p>
        </w:tc>
      </w:tr>
      <w:tr>
        <w:trPr>
          <w:trHeight w:val="179"/>
        </w:trPr>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Valuation Techniques</w:t>
            </w:r>
          </w:p>
        </w:tc>
        <w:tc>
          <w:tcPr>
            <w:tcW w:w="120" w:type="dxa"/>
            <w:vAlign w:val="bottom"/>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Unobservable Inputs</w:t>
            </w:r>
          </w:p>
        </w:tc>
        <w:tc>
          <w:tcPr>
            <w:tcW w:w="6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r>
        <w:trPr>
          <w:trHeight w:val="159"/>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Market Risk Benefits</w:t>
            </w:r>
          </w:p>
        </w:tc>
        <w:tc>
          <w:tcPr>
            <w:tcW w:w="12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9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Variable annuity guaranteed minimum benefits</w:t>
            </w:r>
          </w:p>
        </w:tc>
        <w:tc>
          <w:tcPr>
            <w:tcW w:w="1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Discounted cash flows</w:t>
            </w: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4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0.04%</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12.90%</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0.04%</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12.90%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78"/>
        </w:trPr>
        <w:tc>
          <w:tcPr>
            <w:tcW w:w="2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15.90%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20.20%</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Utilization rates</w:t>
            </w:r>
          </w:p>
        </w:tc>
        <w:tc>
          <w:tcPr>
            <w:tcW w:w="64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25.00%</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25.00%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(3)</w:t>
            </w:r>
          </w:p>
        </w:tc>
        <w:tc>
          <w:tcPr>
            <w:tcW w:w="0" w:type="dxa"/>
            <w:vAlign w:val="bottom"/>
          </w:tcPr>
          <w:p>
            <w:pPr>
              <w:spacing w:after="0"/>
              <w:rPr>
                <w:sz w:val="1"/>
                <w:szCs w:val="1"/>
                <w:color w:val="auto"/>
              </w:rPr>
            </w:pPr>
          </w:p>
        </w:tc>
      </w:tr>
      <w:tr>
        <w:trPr>
          <w:trHeight w:val="178"/>
        </w:trPr>
        <w:tc>
          <w:tcPr>
            <w:tcW w:w="2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10.00%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10.00%</w:t>
            </w:r>
          </w:p>
        </w:tc>
        <w:tc>
          <w:tcPr>
            <w:tcW w:w="150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3"/>
          </w:tcPr>
          <w:p>
            <w:pPr>
              <w:spacing w:after="0" w:line="120" w:lineRule="exact"/>
              <w:rPr>
                <w:sz w:val="20"/>
                <w:szCs w:val="20"/>
                <w:color w:val="auto"/>
              </w:rPr>
            </w:pPr>
            <w:r>
              <w:rPr>
                <w:rFonts w:ascii="Times New Roman" w:cs="Times New Roman" w:eastAsia="Times New Roman" w:hAnsi="Times New Roman"/>
                <w:sz w:val="12"/>
                <w:szCs w:val="12"/>
                <w:color w:val="auto"/>
              </w:rPr>
              <w:t>•  Long-term equity</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volatilities</w:t>
            </w:r>
          </w:p>
        </w:tc>
        <w:tc>
          <w:tcPr>
            <w:tcW w:w="64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11.56%</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33.62%</w:t>
            </w:r>
          </w:p>
        </w:tc>
        <w:tc>
          <w:tcPr>
            <w:tcW w:w="120" w:type="dxa"/>
            <w:vAlign w:val="bottom"/>
          </w:tcPr>
          <w:p>
            <w:pPr>
              <w:spacing w:after="0"/>
              <w:rPr>
                <w:sz w:val="15"/>
                <w:szCs w:val="15"/>
                <w:color w:val="auto"/>
              </w:rPr>
            </w:pPr>
          </w:p>
        </w:tc>
        <w:tc>
          <w:tcPr>
            <w:tcW w:w="62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12.22%</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37.04%</w:t>
            </w:r>
          </w:p>
        </w:tc>
        <w:tc>
          <w:tcPr>
            <w:tcW w:w="120" w:type="dxa"/>
            <w:vAlign w:val="bottom"/>
          </w:tcPr>
          <w:p>
            <w:pPr>
              <w:spacing w:after="0"/>
              <w:rPr>
                <w:sz w:val="15"/>
                <w:szCs w:val="15"/>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(5)</w:t>
            </w:r>
          </w:p>
        </w:tc>
        <w:tc>
          <w:tcPr>
            <w:tcW w:w="0" w:type="dxa"/>
            <w:vAlign w:val="bottom"/>
          </w:tcPr>
          <w:p>
            <w:pPr>
              <w:spacing w:after="0"/>
              <w:rPr>
                <w:sz w:val="1"/>
                <w:szCs w:val="1"/>
                <w:color w:val="auto"/>
              </w:rPr>
            </w:pPr>
          </w:p>
        </w:tc>
      </w:tr>
      <w:tr>
        <w:trPr>
          <w:trHeight w:val="128"/>
        </w:trPr>
        <w:tc>
          <w:tcPr>
            <w:tcW w:w="2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ind w:left="60"/>
              <w:spacing w:after="0" w:line="128" w:lineRule="exact"/>
              <w:rPr>
                <w:sz w:val="20"/>
                <w:szCs w:val="20"/>
                <w:color w:val="auto"/>
              </w:rPr>
            </w:pPr>
            <w:r>
              <w:rPr>
                <w:rFonts w:ascii="Times New Roman" w:cs="Times New Roman" w:eastAsia="Times New Roman" w:hAnsi="Times New Roman"/>
                <w:sz w:val="12"/>
                <w:szCs w:val="12"/>
                <w:color w:val="auto"/>
              </w:rPr>
              <w:t>Nonperformance risk</w:t>
            </w:r>
          </w:p>
        </w:tc>
        <w:tc>
          <w:tcPr>
            <w:tcW w:w="6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spread</w:t>
            </w:r>
          </w:p>
        </w:tc>
        <w:tc>
          <w:tcPr>
            <w:tcW w:w="6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0.45%</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1.02%</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0.20%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1.19%</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r>
        <w:trPr>
          <w:trHeight w:val="167"/>
        </w:trPr>
        <w:tc>
          <w:tcPr>
            <w:tcW w:w="29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Embedded Derivatives</w:t>
            </w: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Registered index-linked annuity crediting rates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Option pricing techniques</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6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0.03%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0.03%</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(1)</w:t>
            </w: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64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0.40%</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75.00%</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98"/>
              <w:spacing w:after="0"/>
              <w:rPr>
                <w:sz w:val="20"/>
                <w:szCs w:val="20"/>
                <w:color w:val="auto"/>
              </w:rPr>
            </w:pPr>
            <w:r>
              <w:rPr>
                <w:rFonts w:ascii="Times New Roman" w:cs="Times New Roman" w:eastAsia="Times New Roman" w:hAnsi="Times New Roman"/>
                <w:sz w:val="12"/>
                <w:szCs w:val="12"/>
                <w:color w:val="auto"/>
              </w:rPr>
              <w:t>62.30%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(2)</w:t>
            </w:r>
          </w:p>
        </w:tc>
        <w:tc>
          <w:tcPr>
            <w:tcW w:w="0" w:type="dxa"/>
            <w:vAlign w:val="bottom"/>
          </w:tcPr>
          <w:p>
            <w:pPr>
              <w:spacing w:after="0"/>
              <w:rPr>
                <w:sz w:val="1"/>
                <w:szCs w:val="1"/>
                <w:color w:val="auto"/>
              </w:rPr>
            </w:pPr>
          </w:p>
        </w:tc>
      </w:tr>
      <w:tr>
        <w:trPr>
          <w:trHeight w:val="178"/>
        </w:trPr>
        <w:tc>
          <w:tcPr>
            <w:tcW w:w="2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640" w:type="dxa"/>
            <w:vAlign w:val="bottom"/>
            <w:shd w:val="clear" w:color="auto" w:fill="CCEEFF"/>
          </w:tcPr>
          <w:p>
            <w:pPr>
              <w:jc w:val="center"/>
              <w:ind w:left="98"/>
              <w:spacing w:after="0"/>
              <w:rPr>
                <w:sz w:val="20"/>
                <w:szCs w:val="20"/>
                <w:color w:val="auto"/>
              </w:rPr>
            </w:pPr>
            <w:r>
              <w:rPr>
                <w:rFonts w:ascii="Times New Roman" w:cs="Times New Roman" w:eastAsia="Times New Roman" w:hAnsi="Times New Roman"/>
                <w:sz w:val="12"/>
                <w:szCs w:val="12"/>
                <w:color w:val="auto"/>
              </w:rPr>
              <w:t>0.50%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14.90%</w:t>
            </w: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0.50%</w:t>
            </w: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shd w:val="clear" w:color="auto" w:fill="CCEEFF"/>
          </w:tcPr>
          <w:p>
            <w:pPr>
              <w:jc w:val="center"/>
              <w:ind w:right="98"/>
              <w:spacing w:after="0"/>
              <w:rPr>
                <w:sz w:val="20"/>
                <w:szCs w:val="20"/>
                <w:color w:val="auto"/>
              </w:rPr>
            </w:pPr>
            <w:r>
              <w:rPr>
                <w:rFonts w:ascii="Times New Roman" w:cs="Times New Roman" w:eastAsia="Times New Roman" w:hAnsi="Times New Roman"/>
                <w:sz w:val="12"/>
                <w:szCs w:val="12"/>
                <w:color w:val="auto"/>
              </w:rPr>
              <w:t>13.00%</w:t>
            </w:r>
          </w:p>
        </w:tc>
        <w:tc>
          <w:tcPr>
            <w:tcW w:w="1500" w:type="dxa"/>
            <w:vAlign w:val="bottom"/>
            <w:gridSpan w:val="2"/>
            <w:shd w:val="clear" w:color="auto" w:fill="CCEEFF"/>
          </w:tcPr>
          <w:p>
            <w:pPr>
              <w:jc w:val="center"/>
              <w:ind w:left="58"/>
              <w:spacing w:after="0"/>
              <w:rPr>
                <w:sz w:val="20"/>
                <w:szCs w:val="20"/>
                <w:color w:val="auto"/>
              </w:rPr>
            </w:pPr>
            <w:r>
              <w:rPr>
                <w:rFonts w:ascii="Times New Roman" w:cs="Times New Roman" w:eastAsia="Times New Roman" w:hAnsi="Times New Roman"/>
                <w:sz w:val="12"/>
                <w:szCs w:val="12"/>
                <w:color w:val="auto"/>
                <w:w w:val="99"/>
              </w:rPr>
              <w:t>(4)</w:t>
            </w:r>
          </w:p>
        </w:tc>
        <w:tc>
          <w:tcPr>
            <w:tcW w:w="0" w:type="dxa"/>
            <w:vAlign w:val="bottom"/>
          </w:tcPr>
          <w:p>
            <w:pPr>
              <w:spacing w:after="0"/>
              <w:rPr>
                <w:sz w:val="1"/>
                <w:szCs w:val="1"/>
                <w:color w:val="auto"/>
              </w:rPr>
            </w:pPr>
          </w:p>
        </w:tc>
      </w:tr>
      <w:tr>
        <w:trPr>
          <w:trHeight w:val="119"/>
        </w:trPr>
        <w:tc>
          <w:tcPr>
            <w:tcW w:w="2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line="120" w:lineRule="exact"/>
              <w:rPr>
                <w:sz w:val="20"/>
                <w:szCs w:val="20"/>
                <w:color w:val="auto"/>
              </w:rPr>
            </w:pPr>
            <w:r>
              <w:rPr>
                <w:rFonts w:ascii="Times New Roman" w:cs="Times New Roman" w:eastAsia="Times New Roman" w:hAnsi="Times New Roman"/>
                <w:sz w:val="12"/>
                <w:szCs w:val="12"/>
                <w:color w:val="auto"/>
              </w:rPr>
              <w:t>•</w:t>
            </w:r>
          </w:p>
        </w:tc>
        <w:tc>
          <w:tcPr>
            <w:tcW w:w="1520" w:type="dxa"/>
            <w:vAlign w:val="bottom"/>
            <w:gridSpan w:val="2"/>
          </w:tcPr>
          <w:p>
            <w:pPr>
              <w:ind w:left="60"/>
              <w:spacing w:after="0" w:line="120" w:lineRule="exact"/>
              <w:rPr>
                <w:sz w:val="20"/>
                <w:szCs w:val="20"/>
                <w:color w:val="auto"/>
              </w:rPr>
            </w:pPr>
            <w:r>
              <w:rPr>
                <w:rFonts w:ascii="Times New Roman" w:cs="Times New Roman" w:eastAsia="Times New Roman" w:hAnsi="Times New Roman"/>
                <w:sz w:val="12"/>
                <w:szCs w:val="12"/>
                <w:color w:val="auto"/>
              </w:rPr>
              <w:t>Nonperformance risk</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spread</w:t>
            </w:r>
          </w:p>
        </w:tc>
        <w:tc>
          <w:tcPr>
            <w:tcW w:w="640" w:type="dxa"/>
            <w:vAlign w:val="bottom"/>
          </w:tcPr>
          <w:p>
            <w:pPr>
              <w:jc w:val="center"/>
              <w:ind w:left="98"/>
              <w:spacing w:after="0"/>
              <w:rPr>
                <w:sz w:val="20"/>
                <w:szCs w:val="20"/>
                <w:color w:val="auto"/>
              </w:rPr>
            </w:pPr>
            <w:r>
              <w:rPr>
                <w:rFonts w:ascii="Times New Roman" w:cs="Times New Roman" w:eastAsia="Times New Roman" w:hAnsi="Times New Roman"/>
                <w:sz w:val="12"/>
                <w:szCs w:val="12"/>
                <w:color w:val="auto"/>
              </w:rPr>
              <w:t>0.37%</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1.80%</w:t>
            </w:r>
          </w:p>
        </w:tc>
        <w:tc>
          <w:tcPr>
            <w:tcW w:w="120" w:type="dxa"/>
            <w:vAlign w:val="bottom"/>
          </w:tcPr>
          <w:p>
            <w:pPr>
              <w:spacing w:after="0"/>
              <w:rPr>
                <w:sz w:val="14"/>
                <w:szCs w:val="14"/>
                <w:color w:val="auto"/>
              </w:rPr>
            </w:pPr>
          </w:p>
        </w:tc>
        <w:tc>
          <w:tcPr>
            <w:tcW w:w="62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0.30%</w:t>
            </w:r>
          </w:p>
        </w:tc>
        <w:tc>
          <w:tcPr>
            <w:tcW w:w="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1.63%</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(6)</w:t>
            </w:r>
          </w:p>
        </w:tc>
        <w:tc>
          <w:tcPr>
            <w:tcW w:w="0" w:type="dxa"/>
            <w:vAlign w:val="bottom"/>
          </w:tcPr>
          <w:p>
            <w:pPr>
              <w:spacing w:after="0"/>
              <w:rPr>
                <w:sz w:val="1"/>
                <w:szCs w:val="1"/>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for variable annuity guarantees estimates the percentage of contract holders with a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GMWBs, any increase (decrease) in withdrawal rates results in an increase (decrease) in the estimated fair value of the guarantees. For variable annuity GMABs and GMIBs, any increase (decrease) in withdrawal rates results in a decrease (increase) in the estimated fair value.</w:t>
      </w:r>
    </w:p>
    <w:p>
      <w:pPr>
        <w:spacing w:after="0" w:line="79"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(continued)</w:t>
      </w:r>
    </w:p>
    <w:p>
      <w:pPr>
        <w:spacing w:after="0" w:line="200" w:lineRule="exact"/>
        <w:rPr>
          <w:sz w:val="20"/>
          <w:szCs w:val="20"/>
          <w:color w:val="auto"/>
        </w:rPr>
      </w:pPr>
    </w:p>
    <w:p>
      <w:pPr>
        <w:spacing w:after="0" w:line="337" w:lineRule="exact"/>
        <w:rPr>
          <w:sz w:val="20"/>
          <w:szCs w:val="20"/>
          <w:color w:val="auto"/>
        </w:rPr>
      </w:pPr>
    </w:p>
    <w:p>
      <w:pPr>
        <w:ind w:left="320" w:hanging="314"/>
        <w:spacing w:after="0" w:line="274" w:lineRule="auto"/>
        <w:tabs>
          <w:tab w:leader="none" w:pos="31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MRB or embedded derivative.</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(continued)</w:t>
      </w:r>
    </w:p>
    <w:p>
      <w:pPr>
        <w:spacing w:after="0" w:line="200" w:lineRule="exact"/>
        <w:rPr>
          <w:sz w:val="20"/>
          <w:szCs w:val="20"/>
          <w:color w:val="auto"/>
        </w:rPr>
      </w:pPr>
    </w:p>
    <w:p>
      <w:pPr>
        <w:spacing w:after="0" w:line="337"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changes in assets and (liabilities) measured at estimated fair value on a recurring basis using significant unobservable inputs (excluding MRBs disclosed in Note 4) were summarized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340" w:type="dxa"/>
            <w:vAlign w:val="bottom"/>
            <w:tcBorders>
              <w:bottom w:val="single" w:sz="8" w:color="auto"/>
            </w:tcBorders>
            <w:gridSpan w:val="12"/>
          </w:tcPr>
          <w:p>
            <w:pPr>
              <w:jc w:val="center"/>
              <w:ind w:left="278"/>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Foreign</w:t>
            </w:r>
          </w:p>
        </w:tc>
        <w:tc>
          <w:tcPr>
            <w:tcW w:w="80" w:type="dxa"/>
            <w:vAlign w:val="bottom"/>
          </w:tcPr>
          <w:p>
            <w:pPr>
              <w:spacing w:after="0"/>
              <w:rPr>
                <w:sz w:val="9"/>
                <w:szCs w:val="9"/>
                <w:color w:val="auto"/>
              </w:rPr>
            </w:pPr>
          </w:p>
        </w:tc>
        <w:tc>
          <w:tcPr>
            <w:tcW w:w="9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Pr>
          <w:p>
            <w:pPr>
              <w:spacing w:after="0"/>
              <w:rPr>
                <w:sz w:val="9"/>
                <w:szCs w:val="9"/>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Net Derivatives</w:t>
            </w:r>
          </w:p>
        </w:tc>
        <w:tc>
          <w:tcPr>
            <w:tcW w:w="1260" w:type="dxa"/>
            <w:vAlign w:val="bottom"/>
            <w:gridSpan w:val="2"/>
          </w:tcPr>
          <w:p>
            <w:pPr>
              <w:ind w:left="40"/>
              <w:spacing w:after="0" w:line="106" w:lineRule="exact"/>
              <w:rPr>
                <w:sz w:val="20"/>
                <w:szCs w:val="20"/>
                <w:color w:val="auto"/>
              </w:rPr>
            </w:pPr>
            <w:r>
              <w:rPr>
                <w:rFonts w:ascii="Times New Roman" w:cs="Times New Roman" w:eastAsia="Times New Roman" w:hAnsi="Times New Roman"/>
                <w:sz w:val="12"/>
                <w:szCs w:val="12"/>
                <w:b w:val="1"/>
                <w:bCs w:val="1"/>
                <w:color w:val="auto"/>
              </w:rPr>
              <w:t>Embedded Derivatives</w:t>
            </w: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right"/>
              <w:ind w:right="118"/>
              <w:spacing w:after="0" w:line="120" w:lineRule="exact"/>
              <w:rPr>
                <w:sz w:val="20"/>
                <w:szCs w:val="20"/>
                <w:color w:val="auto"/>
              </w:rPr>
            </w:pPr>
            <w:r>
              <w:rPr>
                <w:rFonts w:ascii="Times New Roman" w:cs="Times New Roman" w:eastAsia="Times New Roman" w:hAnsi="Times New Roman"/>
                <w:sz w:val="12"/>
                <w:szCs w:val="12"/>
                <w:b w:val="1"/>
                <w:bCs w:val="1"/>
                <w:color w:val="auto"/>
              </w:rPr>
              <w:t>on Index-Linked</w:t>
            </w:r>
          </w:p>
        </w:tc>
        <w:tc>
          <w:tcPr>
            <w:tcW w:w="0" w:type="dxa"/>
            <w:vAlign w:val="bottom"/>
          </w:tcPr>
          <w:p>
            <w:pPr>
              <w:spacing w:after="0"/>
              <w:rPr>
                <w:sz w:val="1"/>
                <w:szCs w:val="1"/>
                <w:color w:val="auto"/>
              </w:rPr>
            </w:pPr>
          </w:p>
        </w:tc>
      </w:tr>
      <w:tr>
        <w:trPr>
          <w:trHeight w:val="179"/>
        </w:trPr>
        <w:tc>
          <w:tcPr>
            <w:tcW w:w="3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Structured Securities</w:t>
            </w: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38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2"/>
                <w:szCs w:val="12"/>
                <w:b w:val="1"/>
                <w:bCs w:val="1"/>
                <w:color w:val="auto"/>
                <w:w w:val="99"/>
              </w:rPr>
              <w:t>(2)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67"/>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January 1,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1,320</w:t>
            </w:r>
          </w:p>
        </w:tc>
        <w:tc>
          <w:tcPr>
            <w:tcW w:w="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(8,186)</w:t>
            </w:r>
          </w:p>
        </w:tc>
        <w:tc>
          <w:tcPr>
            <w:tcW w:w="0" w:type="dxa"/>
            <w:vAlign w:val="bottom"/>
          </w:tcPr>
          <w:p>
            <w:pPr>
              <w:spacing w:after="0"/>
              <w:rPr>
                <w:sz w:val="1"/>
                <w:szCs w:val="1"/>
                <w:color w:val="auto"/>
              </w:rPr>
            </w:pPr>
          </w:p>
        </w:tc>
      </w:tr>
      <w:tr>
        <w:trPr>
          <w:trHeight w:val="119"/>
        </w:trPr>
        <w:tc>
          <w:tcPr>
            <w:tcW w:w="3400" w:type="dxa"/>
            <w:vAlign w:val="bottom"/>
          </w:tcPr>
          <w:p>
            <w:pPr>
              <w:ind w:left="20"/>
              <w:spacing w:after="0" w:line="120" w:lineRule="exact"/>
              <w:rPr>
                <w:sz w:val="20"/>
                <w:szCs w:val="20"/>
                <w:color w:val="auto"/>
              </w:rPr>
            </w:pPr>
            <w:r>
              <w:rPr>
                <w:rFonts w:ascii="Times New Roman" w:cs="Times New Roman" w:eastAsia="Times New Roman" w:hAnsi="Times New Roman"/>
                <w:sz w:val="12"/>
                <w:szCs w:val="12"/>
                <w:color w:val="auto"/>
              </w:rPr>
              <w:t>Total realized/unrealized gains (losses) included in net income</w:t>
            </w: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(loss) (3) (4)</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(3,951)</w:t>
            </w:r>
          </w:p>
        </w:tc>
        <w:tc>
          <w:tcPr>
            <w:tcW w:w="0" w:type="dxa"/>
            <w:vAlign w:val="bottom"/>
          </w:tcPr>
          <w:p>
            <w:pPr>
              <w:spacing w:after="0"/>
              <w:rPr>
                <w:sz w:val="1"/>
                <w:szCs w:val="1"/>
                <w:color w:val="auto"/>
              </w:rPr>
            </w:pPr>
          </w:p>
        </w:tc>
      </w:tr>
      <w:tr>
        <w:trPr>
          <w:trHeight w:val="181"/>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 included in AOCI</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December 31, 2024</w:t>
            </w: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(11,493)</w:t>
            </w:r>
          </w:p>
        </w:tc>
        <w:tc>
          <w:tcPr>
            <w:tcW w:w="0" w:type="dxa"/>
            <w:vAlign w:val="bottom"/>
          </w:tcPr>
          <w:p>
            <w:pPr>
              <w:spacing w:after="0"/>
              <w:rPr>
                <w:sz w:val="1"/>
                <w:szCs w:val="1"/>
                <w:color w:val="auto"/>
              </w:rPr>
            </w:pPr>
          </w:p>
        </w:tc>
      </w:tr>
      <w:tr>
        <w:trPr>
          <w:trHeight w:val="125"/>
        </w:trPr>
        <w:tc>
          <w:tcPr>
            <w:tcW w:w="34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Total realized/unrealized gains (losses) included in net income</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(loss) (3) (4)</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(3,090)</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 included in AOCI</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2,256</w:t>
            </w:r>
          </w:p>
        </w:tc>
        <w:tc>
          <w:tcPr>
            <w:tcW w:w="0" w:type="dxa"/>
            <w:vAlign w:val="bottom"/>
          </w:tcPr>
          <w:p>
            <w:pPr>
              <w:spacing w:after="0"/>
              <w:rPr>
                <w:sz w:val="1"/>
                <w:szCs w:val="1"/>
                <w:color w:val="auto"/>
              </w:rPr>
            </w:pPr>
          </w:p>
        </w:tc>
      </w:tr>
      <w:tr>
        <w:trPr>
          <w:trHeight w:val="17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6"/>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7"/>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December 31, 2025</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(12,327)</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 in net income</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400" w:type="dxa"/>
            <w:vAlign w:val="bottom"/>
            <w:vMerge w:val="continue"/>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5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5"/>
                <w:szCs w:val="5"/>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5"/>
                <w:szCs w:val="5"/>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(4,513)</w:t>
            </w:r>
          </w:p>
        </w:tc>
        <w:tc>
          <w:tcPr>
            <w:tcW w:w="0" w:type="dxa"/>
            <w:vAlign w:val="bottom"/>
          </w:tcPr>
          <w:p>
            <w:pPr>
              <w:spacing w:after="0"/>
              <w:rPr>
                <w:sz w:val="1"/>
                <w:szCs w:val="1"/>
                <w:color w:val="auto"/>
              </w:rPr>
            </w:pPr>
          </w:p>
        </w:tc>
      </w:tr>
      <w:tr>
        <w:trPr>
          <w:trHeight w:val="159"/>
        </w:trPr>
        <w:tc>
          <w:tcPr>
            <w:tcW w:w="34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(loss) for the instruments still held at December 31, 2023 (7)</w:t>
            </w:r>
          </w:p>
        </w:tc>
        <w:tc>
          <w:tcPr>
            <w:tcW w:w="1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40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 in net income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5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(4,687)</w:t>
            </w:r>
          </w:p>
        </w:tc>
        <w:tc>
          <w:tcPr>
            <w:tcW w:w="0" w:type="dxa"/>
            <w:vAlign w:val="bottom"/>
          </w:tcPr>
          <w:p>
            <w:pPr>
              <w:spacing w:after="0"/>
              <w:rPr>
                <w:sz w:val="1"/>
                <w:szCs w:val="1"/>
                <w:color w:val="auto"/>
              </w:rPr>
            </w:pPr>
          </w:p>
        </w:tc>
      </w:tr>
      <w:tr>
        <w:trPr>
          <w:trHeight w:val="17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(loss) for the instruments still held at December 31, 2024 (7)</w:t>
            </w:r>
          </w:p>
        </w:tc>
        <w:tc>
          <w:tcPr>
            <w:tcW w:w="1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560" w:type="dxa"/>
            <w:vAlign w:val="bottom"/>
            <w:gridSpan w:val="3"/>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 in net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400" w:type="dxa"/>
            <w:vAlign w:val="bottom"/>
            <w:vMerge w:val="continue"/>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5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5"/>
                <w:szCs w:val="5"/>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(4,282)</w:t>
            </w:r>
          </w:p>
        </w:tc>
        <w:tc>
          <w:tcPr>
            <w:tcW w:w="0" w:type="dxa"/>
            <w:vAlign w:val="bottom"/>
          </w:tcPr>
          <w:p>
            <w:pPr>
              <w:spacing w:after="0"/>
              <w:rPr>
                <w:sz w:val="1"/>
                <w:szCs w:val="1"/>
                <w:color w:val="auto"/>
              </w:rPr>
            </w:pPr>
          </w:p>
        </w:tc>
      </w:tr>
      <w:tr>
        <w:trPr>
          <w:trHeight w:val="159"/>
        </w:trPr>
        <w:tc>
          <w:tcPr>
            <w:tcW w:w="34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(loss) for the instruments still held at December 31, 2025 (7)</w:t>
            </w:r>
          </w:p>
        </w:tc>
        <w:tc>
          <w:tcPr>
            <w:tcW w:w="1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40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 in OCI for the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5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0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instruments still held as of December 31, 2023 (7)</w:t>
            </w:r>
          </w:p>
        </w:tc>
        <w:tc>
          <w:tcPr>
            <w:tcW w:w="1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560" w:type="dxa"/>
            <w:vAlign w:val="bottom"/>
            <w:gridSpan w:val="3"/>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5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line="106" w:lineRule="exact"/>
              <w:rPr>
                <w:sz w:val="20"/>
                <w:szCs w:val="20"/>
                <w:color w:val="auto"/>
              </w:rPr>
            </w:pPr>
            <w:r>
              <w:rPr>
                <w:rFonts w:ascii="Times New Roman" w:cs="Times New Roman" w:eastAsia="Times New Roman" w:hAnsi="Times New Roman"/>
                <w:sz w:val="12"/>
                <w:szCs w:val="12"/>
                <w:color w:val="auto"/>
              </w:rPr>
              <w:t>Changes in unrealized gains (losses) included in OCI for the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3400" w:type="dxa"/>
            <w:vAlign w:val="bottom"/>
            <w:vMerge w:val="continue"/>
          </w:tcPr>
          <w:p>
            <w:pPr>
              <w:spacing w:after="0"/>
              <w:rPr>
                <w:sz w:val="5"/>
                <w:szCs w:val="5"/>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5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9"/>
        </w:trPr>
        <w:tc>
          <w:tcPr>
            <w:tcW w:w="34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instruments still held as of December 31, 2024 (7)</w:t>
            </w:r>
          </w:p>
        </w:tc>
        <w:tc>
          <w:tcPr>
            <w:tcW w:w="120" w:type="dxa"/>
            <w:vAlign w:val="bottom"/>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560" w:type="dxa"/>
            <w:vAlign w:val="bottom"/>
            <w:gridSpan w:val="3"/>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3400" w:type="dxa"/>
            <w:vAlign w:val="bottom"/>
            <w:shd w:val="clear" w:color="auto" w:fill="CCEEFF"/>
          </w:tcPr>
          <w:p>
            <w:pPr>
              <w:ind w:left="20"/>
              <w:spacing w:after="0" w:line="86" w:lineRule="exact"/>
              <w:rPr>
                <w:sz w:val="20"/>
                <w:szCs w:val="20"/>
                <w:color w:val="auto"/>
              </w:rPr>
            </w:pPr>
            <w:r>
              <w:rPr>
                <w:rFonts w:ascii="Times New Roman" w:cs="Times New Roman" w:eastAsia="Times New Roman" w:hAnsi="Times New Roman"/>
                <w:sz w:val="9"/>
                <w:szCs w:val="9"/>
                <w:color w:val="auto"/>
              </w:rPr>
              <w:t>Changes in unrealized gains (losses) included in OCI for the</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w:t>
            </w:r>
          </w:p>
        </w:tc>
        <w:tc>
          <w:tcPr>
            <w:tcW w:w="56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vMerge w:val="restart"/>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instruments still held as of December 31, 2025 (7)</w:t>
            </w:r>
          </w:p>
        </w:tc>
        <w:tc>
          <w:tcPr>
            <w:tcW w:w="12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560" w:type="dxa"/>
            <w:vAlign w:val="bottom"/>
            <w:gridSpan w:val="3"/>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380" w:type="dxa"/>
            <w:vAlign w:val="bottom"/>
            <w:vMerge w:val="continue"/>
            <w:shd w:val="clear" w:color="auto" w:fill="CCEEFF"/>
          </w:tcPr>
          <w:p>
            <w:pPr>
              <w:spacing w:after="0"/>
              <w:rPr>
                <w:sz w:val="15"/>
                <w:szCs w:val="15"/>
                <w:color w:val="auto"/>
              </w:rPr>
            </w:pPr>
          </w:p>
        </w:tc>
        <w:tc>
          <w:tcPr>
            <w:tcW w:w="66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1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color w:val="auto"/>
              </w:rPr>
              <w:t>Gains (Losses) Data for the year ended December 31, 2023: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34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2"/>
                <w:szCs w:val="12"/>
                <w:color w:val="auto"/>
              </w:rPr>
              <w:t>Total realized/unrealized gains (losses) included in net</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income (loss) (3) (4)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5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(4,097)</w:t>
            </w:r>
          </w:p>
        </w:tc>
        <w:tc>
          <w:tcPr>
            <w:tcW w:w="0" w:type="dxa"/>
            <w:vAlign w:val="bottom"/>
          </w:tcPr>
          <w:p>
            <w:pPr>
              <w:spacing w:after="0"/>
              <w:rPr>
                <w:sz w:val="1"/>
                <w:szCs w:val="1"/>
                <w:color w:val="auto"/>
              </w:rPr>
            </w:pPr>
          </w:p>
        </w:tc>
      </w:tr>
      <w:tr>
        <w:trPr>
          <w:trHeight w:val="160"/>
        </w:trPr>
        <w:tc>
          <w:tcPr>
            <w:tcW w:w="3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 included in AOCI</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560" w:type="dxa"/>
            <w:vAlign w:val="bottom"/>
            <w:gridSpan w:val="3"/>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jc w:val="right"/>
              <w:ind w:right="238"/>
              <w:spacing w:after="0"/>
              <w:rPr>
                <w:sz w:val="20"/>
                <w:szCs w:val="20"/>
                <w:color w:val="auto"/>
              </w:rPr>
            </w:pPr>
            <w:r>
              <w:rPr>
                <w:rFonts w:ascii="Times New Roman" w:cs="Times New Roman" w:eastAsia="Times New Roman" w:hAnsi="Times New Roman"/>
                <w:sz w:val="12"/>
                <w:szCs w:val="12"/>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derivative assets and liabilities are reported net for purposes of the rollforward.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(continued)</w:t>
      </w:r>
    </w:p>
    <w:p>
      <w:pPr>
        <w:spacing w:after="0" w:line="200" w:lineRule="exact"/>
        <w:rPr>
          <w:sz w:val="20"/>
          <w:szCs w:val="20"/>
          <w:color w:val="auto"/>
        </w:rPr>
      </w:pPr>
    </w:p>
    <w:p>
      <w:pPr>
        <w:spacing w:after="0" w:line="337" w:lineRule="exact"/>
        <w:rPr>
          <w:sz w:val="20"/>
          <w:szCs w:val="20"/>
          <w:color w:val="auto"/>
        </w:rPr>
      </w:pPr>
    </w:p>
    <w:p>
      <w:pPr>
        <w:jc w:val="both"/>
        <w:ind w:left="320" w:hanging="314"/>
        <w:spacing w:after="0" w:line="255" w:lineRule="auto"/>
        <w:tabs>
          <w:tab w:leader="none" w:pos="3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7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dividend accruals, as well as cash interest coupons and dividends received, are excluded from the rollforward.</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out of Level 3 in the same period are excluded from the rollforward.</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Total Estimated</w:t>
            </w:r>
          </w:p>
        </w:tc>
        <w:tc>
          <w:tcPr>
            <w:tcW w:w="0" w:type="dxa"/>
            <w:vAlign w:val="bottom"/>
          </w:tcPr>
          <w:p>
            <w:pPr>
              <w:spacing w:after="0"/>
              <w:rPr>
                <w:sz w:val="1"/>
                <w:szCs w:val="1"/>
                <w:color w:val="auto"/>
              </w:rPr>
            </w:pPr>
          </w:p>
        </w:tc>
      </w:tr>
      <w:tr>
        <w:trPr>
          <w:trHeight w:val="154"/>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220" w:type="dxa"/>
            <w:vAlign w:val="bottom"/>
          </w:tcPr>
          <w:p>
            <w:pPr>
              <w:spacing w:after="0"/>
              <w:rPr>
                <w:sz w:val="16"/>
                <w:szCs w:val="16"/>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9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9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5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22,755</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21,732</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21,732</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1,450</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557</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227</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217</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8,145</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152</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0" w:type="dxa"/>
            <w:vAlign w:val="bottom"/>
          </w:tcPr>
          <w:p>
            <w:pPr>
              <w:spacing w:after="0"/>
              <w:rPr>
                <w:sz w:val="1"/>
                <w:szCs w:val="1"/>
                <w:color w:val="auto"/>
              </w:rPr>
            </w:pPr>
          </w:p>
        </w:tc>
      </w:tr>
      <w:tr>
        <w:trPr>
          <w:trHeight w:val="211"/>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28,788</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28,728</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3,155</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2,633</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1,291</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683</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08"/>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1,263</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1,263</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(continued)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Total Estimated</w:t>
            </w:r>
          </w:p>
        </w:tc>
        <w:tc>
          <w:tcPr>
            <w:tcW w:w="0" w:type="dxa"/>
            <w:vAlign w:val="bottom"/>
          </w:tcPr>
          <w:p>
            <w:pPr>
              <w:spacing w:after="0"/>
              <w:rPr>
                <w:sz w:val="1"/>
                <w:szCs w:val="1"/>
                <w:color w:val="auto"/>
              </w:rPr>
            </w:pPr>
          </w:p>
        </w:tc>
      </w:tr>
      <w:tr>
        <w:trPr>
          <w:trHeight w:val="154"/>
        </w:trPr>
        <w:tc>
          <w:tcPr>
            <w:tcW w:w="5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w w:val="98"/>
              </w:rPr>
              <w:t>Carrying Value</w:t>
            </w:r>
          </w:p>
        </w:tc>
        <w:tc>
          <w:tcPr>
            <w:tcW w:w="220" w:type="dxa"/>
            <w:vAlign w:val="bottom"/>
          </w:tcPr>
          <w:p>
            <w:pPr>
              <w:spacing w:after="0"/>
              <w:rPr>
                <w:sz w:val="16"/>
                <w:szCs w:val="16"/>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06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9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80" w:type="dxa"/>
            <w:vAlign w:val="bottom"/>
          </w:tcPr>
          <w:p>
            <w:pPr>
              <w:spacing w:after="0"/>
              <w:rPr>
                <w:sz w:val="16"/>
                <w:szCs w:val="16"/>
                <w:color w:val="auto"/>
              </w:rPr>
            </w:pPr>
          </w:p>
        </w:tc>
        <w:tc>
          <w:tcPr>
            <w:tcW w:w="960" w:type="dxa"/>
            <w:vAlign w:val="bottom"/>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8"/>
        </w:trPr>
        <w:tc>
          <w:tcPr>
            <w:tcW w:w="52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23,286</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21,373</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1,161</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233</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222</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8,527</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55</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9,277</w:t>
            </w:r>
          </w:p>
        </w:tc>
        <w:tc>
          <w:tcPr>
            <w:tcW w:w="0" w:type="dxa"/>
            <w:vAlign w:val="bottom"/>
          </w:tcPr>
          <w:p>
            <w:pPr>
              <w:spacing w:after="0"/>
              <w:rPr>
                <w:sz w:val="1"/>
                <w:szCs w:val="1"/>
                <w:color w:val="auto"/>
              </w:rPr>
            </w:pPr>
          </w:p>
        </w:tc>
      </w:tr>
      <w:tr>
        <w:trPr>
          <w:trHeight w:val="211"/>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31,928</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31,563</w:t>
            </w:r>
          </w:p>
        </w:tc>
        <w:tc>
          <w:tcPr>
            <w:tcW w:w="0" w:type="dxa"/>
            <w:vAlign w:val="bottom"/>
          </w:tcPr>
          <w:p>
            <w:pPr>
              <w:spacing w:after="0"/>
              <w:rPr>
                <w:sz w:val="1"/>
                <w:szCs w:val="1"/>
                <w:color w:val="auto"/>
              </w:rPr>
            </w:pPr>
          </w:p>
        </w:tc>
      </w:tr>
      <w:tr>
        <w:trPr>
          <w:trHeight w:val="210"/>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3,155</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2,787</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2,787</w:t>
            </w:r>
          </w:p>
        </w:tc>
        <w:tc>
          <w:tcPr>
            <w:tcW w:w="0" w:type="dxa"/>
            <w:vAlign w:val="bottom"/>
          </w:tcPr>
          <w:p>
            <w:pPr>
              <w:spacing w:after="0"/>
              <w:rPr>
                <w:sz w:val="1"/>
                <w:szCs w:val="1"/>
                <w:color w:val="auto"/>
              </w:rPr>
            </w:pPr>
          </w:p>
        </w:tc>
      </w:tr>
      <w:tr>
        <w:trPr>
          <w:trHeight w:val="214"/>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1,338</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691</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0" w:type="dxa"/>
            <w:vAlign w:val="bottom"/>
          </w:tcPr>
          <w:p>
            <w:pPr>
              <w:spacing w:after="0"/>
              <w:rPr>
                <w:sz w:val="1"/>
                <w:szCs w:val="1"/>
                <w:color w:val="auto"/>
              </w:rPr>
            </w:pPr>
          </w:p>
        </w:tc>
      </w:tr>
      <w:tr>
        <w:trPr>
          <w:trHeight w:val="208"/>
        </w:trPr>
        <w:tc>
          <w:tcPr>
            <w:tcW w:w="5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1,246</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1,246</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0" w:type="dxa"/>
            <w:vAlign w:val="bottom"/>
          </w:tcPr>
          <w:p>
            <w:pPr>
              <w:spacing w:after="0"/>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Long-term debt outstanding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3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46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53"/>
        </w:trPr>
        <w:tc>
          <w:tcPr>
            <w:tcW w:w="3460" w:type="dxa"/>
            <w:vAlign w:val="bottom"/>
          </w:tcPr>
          <w:p>
            <w:pPr>
              <w:spacing w:after="0"/>
              <w:rPr>
                <w:sz w:val="24"/>
                <w:szCs w:val="24"/>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Stated Interest</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Face</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9"/>
              </w:rPr>
              <w:t>Face</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17"/>
                <w:szCs w:val="17"/>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260" w:type="dxa"/>
            <w:vAlign w:val="bottom"/>
          </w:tcPr>
          <w:p>
            <w:pPr>
              <w:spacing w:after="0"/>
              <w:rPr>
                <w:sz w:val="17"/>
                <w:szCs w:val="17"/>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4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380" w:type="dxa"/>
            <w:vAlign w:val="bottom"/>
          </w:tcPr>
          <w:p>
            <w:pPr>
              <w:spacing w:after="0"/>
              <w:rPr>
                <w:sz w:val="17"/>
                <w:szCs w:val="17"/>
                <w:color w:val="auto"/>
              </w:rPr>
            </w:pPr>
          </w:p>
        </w:tc>
        <w:tc>
          <w:tcPr>
            <w:tcW w:w="9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0" w:type="dxa"/>
            <w:vAlign w:val="bottom"/>
          </w:tcPr>
          <w:p>
            <w:pPr>
              <w:spacing w:after="0"/>
              <w:rPr>
                <w:sz w:val="17"/>
                <w:szCs w:val="17"/>
                <w:color w:val="auto"/>
              </w:rPr>
            </w:pPr>
          </w:p>
        </w:tc>
        <w:tc>
          <w:tcPr>
            <w:tcW w:w="110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3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3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3.700%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441"/>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5.625%</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46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2047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0" w:type="dxa"/>
            <w:vAlign w:val="bottom"/>
          </w:tcPr>
          <w:p>
            <w:pPr>
              <w:spacing w:after="0"/>
              <w:rPr>
                <w:sz w:val="1"/>
                <w:szCs w:val="1"/>
                <w:color w:val="auto"/>
              </w:rPr>
            </w:pPr>
          </w:p>
        </w:tc>
      </w:tr>
      <w:tr>
        <w:trPr>
          <w:trHeight w:val="448"/>
        </w:trPr>
        <w:tc>
          <w:tcPr>
            <w:tcW w:w="3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(1)</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3.850%</w:t>
            </w:r>
          </w:p>
        </w:tc>
        <w:tc>
          <w:tcPr>
            <w:tcW w:w="1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2051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453"/>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2058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444"/>
        </w:trPr>
        <w:tc>
          <w:tcPr>
            <w:tcW w:w="3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debt (2)</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7.028%</w:t>
            </w:r>
          </w:p>
        </w:tc>
        <w:tc>
          <w:tcPr>
            <w:tcW w:w="10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475"/>
        </w:trPr>
        <w:tc>
          <w:tcPr>
            <w:tcW w:w="34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long-term debt (3)</w:t>
            </w:r>
          </w:p>
        </w:tc>
        <w:tc>
          <w:tcPr>
            <w:tcW w:w="12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3,182</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4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right="20" w:hanging="314"/>
        <w:spacing w:after="0" w:line="274" w:lineRule="auto"/>
        <w:tabs>
          <w:tab w:leader="none" w:pos="31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senior notes is payable semi-annually. Interest on junior subordinated debentures is payable quarterly subject to BHF’s right to defer interest payments in accordance with the terms of the debentures.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non-recourse debt for which creditors have no access, subject to customary exceptions, to the general assets of the Company other than recourse to certain investment companies.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unamortized debt issuance costs, discounts and premiums, as applicable, totaling net $26 million and $27 million for the senior notes and junior subordinated debentures on a combined basis at December 31, 2025 and 2024, respectively.</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maturities of long-term debt at December 31, 2025 were $3 million in 2026, $761 million in 2027, $3 million in 2028, $4 million in 2029, $619 million in 2030, and $1.8 billion thereafter.</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Unsecured senior notes rank highest in priority, followed by subordinated debt consisting of junior subordinated debentures.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related to long-term debt of $152 million, $152 million and $153 million for the years ended December 31, 2025, 2024 and 2023, respectively, is included in other expenses.</w:t>
      </w:r>
    </w:p>
    <w:p>
      <w:pPr>
        <w:sectPr>
          <w:pgSz w:w="11900" w:h="16838" w:orient="portrait"/>
          <w:cols w:equalWidth="0" w:num="1">
            <w:col w:w="11240"/>
          </w:cols>
          <w:pgMar w:left="320" w:top="278" w:right="339" w:bottom="60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600" w:gutter="0" w:footer="0" w:header="0"/>
          <w:type w:val="continuous"/>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Long-term Debt (continued)</w:t>
      </w:r>
    </w:p>
    <w:p>
      <w:pPr>
        <w:spacing w:after="0" w:line="200" w:lineRule="exact"/>
        <w:rPr>
          <w:sz w:val="20"/>
          <w:szCs w:val="20"/>
          <w:color w:val="auto"/>
        </w:rPr>
      </w:pPr>
    </w:p>
    <w:p>
      <w:pPr>
        <w:spacing w:after="0" w:line="3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Company’s debt instruments and credit and committed facilities contain certain administrative, reporting and legal covenants. Additionally, the Revolving Credit Facility (as defined below) contain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the Company’ subsidiaries. At December 31, 2025, the Company was in compliance with these financial covenants.</w:t>
      </w:r>
    </w:p>
    <w:p>
      <w:pPr>
        <w:spacing w:after="0" w:line="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Revolving Credit Facility</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BHF has a $1.0 billion senior unsecured revolving credit facility maturing April 15, 2027, all of which may be used for revolving loans or letters of credit. At December 31, 2025, there were no borrowings or letters of credit outstanding under this facility.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Committed Facilities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Reinsurance Financing Arrangement</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Brighthouse Reinsurance Company of Delaware (“BRCD”) maintains a $15.0 billion financing arrangement with a pool of highly rated third-party reinsurers consisting of credit-linked notes that each mature in 2039. At December 31, 2025, there were no borrowings and there was $15.0 billion of funding available under this financing arrangement. For the years ended December 31, 2025, 2024 and 2023, the Company recognized commitment fees of $22 million, $21 million and $21 million, respectively, in other expenses associated with this financing arrangement.</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Repurchase Facilities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At December 31, 2025, Brighthouse Life Insurance Company maintains secured committed repurchase facilities (the “Repurchase Facilities”) with terms of up to three years under which Brighthouse Life Insurance Company may enter into repurchase transactions in an aggregate amount up to $2.5 billion. Under the Repurchase Facilities, Brighthouse Life Insurance Company may sell certain eligible securities at a purchase price based on the market value of the securities less an applicable margin based on the types of securities sold, with a concurrent agreement to repurchase such securities at a predetermined future date (up to three months) and at a price which represents the original purchase price plus interest. At December 31, 2025, there were no borrowings under the Repurchase Facilities.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Preferred stock shares authorized, issued and outstanding were as follows at: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8"/>
        </w:trPr>
        <w:tc>
          <w:tcPr>
            <w:tcW w:w="5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393"/>
        </w:trPr>
        <w:tc>
          <w:tcPr>
            <w:tcW w:w="5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8"/>
        </w:trPr>
        <w:tc>
          <w:tcPr>
            <w:tcW w:w="54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379"/>
        </w:trPr>
        <w:tc>
          <w:tcPr>
            <w:tcW w:w="5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186"/>
        </w:trPr>
        <w:tc>
          <w:tcPr>
            <w:tcW w:w="5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1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08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38"/>
        </w:trPr>
        <w:tc>
          <w:tcPr>
            <w:tcW w:w="540" w:type="dxa"/>
            <w:vAlign w:val="bottom"/>
            <w:tcBorders>
              <w:bottom w:val="single" w:sz="8" w:color="CCEEFF"/>
            </w:tcBorders>
          </w:tcPr>
          <w:p>
            <w:pPr>
              <w:spacing w:after="0"/>
              <w:rPr>
                <w:sz w:val="3"/>
                <w:szCs w:val="3"/>
                <w:color w:val="auto"/>
              </w:rPr>
            </w:pPr>
          </w:p>
        </w:tc>
        <w:tc>
          <w:tcPr>
            <w:tcW w:w="3740" w:type="dxa"/>
            <w:vAlign w:val="bottom"/>
            <w:tcBorders>
              <w:bottom w:val="single" w:sz="8" w:color="CCEEFF"/>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444"/>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6.600%</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Non-Cumulative Preferred Stock, Series A</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r>
      <w:tr>
        <w:trPr>
          <w:trHeight w:val="441"/>
        </w:trPr>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6.750%</w:t>
            </w: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Non-Cumulative Preferred Stock, Series B</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r>
      <w:tr>
        <w:trPr>
          <w:trHeight w:val="460"/>
        </w:trPr>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5.375%</w:t>
            </w:r>
          </w:p>
        </w:tc>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Non-Cumulative Preferred Stock, Series C</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r>
      <w:tr>
        <w:trPr>
          <w:trHeight w:val="441"/>
        </w:trPr>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4.625%</w:t>
            </w:r>
          </w:p>
        </w:tc>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Non-Cumulative Preferred Stock, Series 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453"/>
        </w:trPr>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 designated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99,929,900</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99,929,900</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50"/>
        </w:trPr>
        <w:tc>
          <w:tcPr>
            <w:tcW w:w="42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20" w:type="dxa"/>
            <w:vAlign w:val="bottom"/>
          </w:tcPr>
          <w:p>
            <w:pPr>
              <w:spacing w:after="0"/>
              <w:rPr>
                <w:sz w:val="24"/>
                <w:szCs w:val="2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c>
          <w:tcPr>
            <w:tcW w:w="120" w:type="dxa"/>
            <w:vAlign w:val="bottom"/>
          </w:tcPr>
          <w:p>
            <w:pPr>
              <w:spacing w:after="0"/>
              <w:rPr>
                <w:sz w:val="24"/>
                <w:szCs w:val="2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c>
          <w:tcPr>
            <w:tcW w:w="120" w:type="dxa"/>
            <w:vAlign w:val="bottom"/>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20" w:type="dxa"/>
            <w:vAlign w:val="bottom"/>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c>
          <w:tcPr>
            <w:tcW w:w="100" w:type="dxa"/>
            <w:vAlign w:val="bottom"/>
          </w:tcPr>
          <w:p>
            <w:pPr>
              <w:spacing w:after="0"/>
              <w:rPr>
                <w:sz w:val="24"/>
                <w:szCs w:val="2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r>
      <w:tr>
        <w:trPr>
          <w:trHeight w:val="20"/>
        </w:trPr>
        <w:tc>
          <w:tcPr>
            <w:tcW w:w="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2021, BHF issued depositary shares (the “Series D Depositary Shares”), each representing a 1/1,000th ownership interest in a share of BHF’s perpetual 4.625% Series D non-cumulative preferred stock (the “Series D Preferred Stock”) and in the aggregate representing 14,000 shares of Series D Preferred Stock, with a stated amount of $25,000 per share, for aggregate net cash proceeds of $339 million. Dividends, if declared, will be payable commencing on March 25, 2022 and will accrue and be payable quarterly, in arrears, at an annual rate of 4.625% on the stated amount per share. In connection with the issuance of the Series D Depositary Shares and the underlying Series D Preferred Stock, BHF incurred $11 million of issuance costs, which have been recorded as a reduction of additional paid-in capital.</w:t>
      </w:r>
    </w:p>
    <w:p>
      <w:pPr>
        <w:sectPr>
          <w:pgSz w:w="11900" w:h="16838" w:orient="portrait"/>
          <w:cols w:equalWidth="0" w:num="1">
            <w:col w:w="11240"/>
          </w:cols>
          <w:pgMar w:left="320" w:top="278" w:right="339" w:bottom="105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05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(continued)</w:t>
      </w:r>
    </w:p>
    <w:p>
      <w:pPr>
        <w:spacing w:after="0" w:line="200" w:lineRule="exact"/>
        <w:rPr>
          <w:sz w:val="20"/>
          <w:szCs w:val="20"/>
          <w:color w:val="auto"/>
        </w:rPr>
      </w:pPr>
    </w:p>
    <w:p>
      <w:pPr>
        <w:spacing w:after="0" w:line="390"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November 2020, BHF issued depositary shares (the “Series C Depositary Shares”), each representing a 1/1,000th ownership interest in a share of BHF’s perpetual 5.375% Series C non-cumulative preferred stock (the “Series C Preferred Stock”) and in the aggregate representing 23,000 shares of Series C Preferred Stock, with a stated amount of $25,000 per share, for aggregate net cash proceeds of $558 million. Dividends, if declared, will accrue and be payable quarterly, in arrears, at an annual rate of 5.375% on the stated amount per share. In connection with the issuance of the Series C Depositary Shares and the underlying Series C Preferred Stock, BHF incurred $17 million of issuance costs, which have been recorded as a reduction of additional paid-in capital.</w:t>
      </w:r>
    </w:p>
    <w:p>
      <w:pPr>
        <w:spacing w:after="0" w:line="62"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May 2020, BHF issued depositary shares (the “Series B Depositary Shares”), each representing a 1/1,000th ownership interest in a share of its perpetual 6.750% non-cumulative preferred stock, Series B (the “Series B Preferred Stock”) and in the aggregate representing 16,100 shares of Series B Preferred Stock, with a stated amount of $25,000 per share, for aggregate net cash proceeds of $390 million. Dividends, if declared, will accrue and be payable quarterly, in arrears, at an annual rate of 6.750% on the stated amount per share. In connection with the issuance of the Series B Depositary Shares and the underlying Series B Preferred Stock, BHF incurred $13 million of issuance costs, which have been recorded as a reduction of additional paid-in capital.</w:t>
      </w:r>
    </w:p>
    <w:p>
      <w:pPr>
        <w:spacing w:after="0" w:line="6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March 2019, BHF issued depositary shares, each representing a 1/1,000th ownership interest in a share of BHF’s perpetual 6.600% Series A non-cumulative preferred stock (the “Series A Preferred Stock”) and in the aggregate representing 17,000 shares of Series A Preferred Stock, with a stated amount of $25,000 per share, for aggregate net cash proceeds of $412 million. Dividends, if declared, will accrue and be payable quarterly, in arrears, at an annual rate of 6.600% on the stated amount per share. In connection with the issuance of the depositary shares and the underlying Series A Preferred Stock, BHF incurred $13 million of issuance costs, which have been recorded as a reduction of additional paid-in capital.</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Series A Preferred Stock, the Series B Preferred Stock, Series C Preferred Stock and the Series D Preferred Stock (together, the “Preferred Stock”) rank equally with each other. The Preferred Stock ranks senior to common stock with respect to the payment of dividends and distributions of assets upon liquidation, dissolution or winding-up of the Company. Holders of the Preferred Stock are not entitled to any other amounts from the Company after they have received their full liquidation preference and do not have voting rights except in certain limited circumstances, including where dividends have not been paid in full for at least six dividend payment periods, whether or not such periods are consecutive. In such circumstances, the holders of the Preferred Stock, and, in turn, the underlying depositary shares, will have certain voting rights with respect to the election of additional directors to the BHF Board of Directors, as provided in the Certificate of Designations for each series of Preferred Stock.</w:t>
      </w:r>
    </w:p>
    <w:p>
      <w:pPr>
        <w:spacing w:after="0" w:line="8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Each series of Preferred Stock has a stated amount of $25,000 per share, is perpetual and has no maturity date. Dividends are payable, if declared, quarterly in arrears on the 25th day of March, June, September and December of each year at a specified annual rate on the stated amount per share applicable to each particular series. Dividends are recorded when declared. No dividends may be paid or declared on BHF’s common stock and BHF may not purchase, redeem, or otherwise acquire its common stock unless the full dividends for the latest completed dividend period on all outstanding Preferred Stock have been declared and either paid or a sum sufficient for the payment thereof has been set aside.</w:t>
      </w:r>
    </w:p>
    <w:p>
      <w:pPr>
        <w:spacing w:after="0" w:line="79"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Preferred Stock is not convertible into, or exchangeable for, shares of any other class or series of stock or other securities of the Company or its subsidiaries and is not subject to any mandatory redemption, sinking fund, retirement fund, purchase fund or similar provisions. Each series of the Preferred Stock is redeemable at the Company’s option in whole or in part on or after a specified optional redemption date applicable to that series (March 25, 2024 for the Series A Preferred Stock, June 25, 2025 for the Series B Preferred Stock, December 25, 2025 for the Series C Preferred Stock and December 25, 2026 for the Series D Preferred Stock) at a redemption price equal to $25,000 per share, plus any accrued but unpaid dividends. Prior to the optional redemption date applicable to each series of Preferred Stock, the Preferred Stock is redeemable at the Company’s option in whole but not in part within 90 days of the occurrence of (i) a specified rating agency event or (ii) a specified regulatory capital event, in each case at a specified redemption price.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(continued)</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per share and aggregate dividends declared for BHF’s preferred stock by series were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4"/>
        </w:trPr>
        <w:tc>
          <w:tcPr>
            <w:tcW w:w="3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5"/>
        </w:trPr>
        <w:tc>
          <w:tcPr>
            <w:tcW w:w="3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Pr>
          <w:p>
            <w:pPr>
              <w:spacing w:after="0"/>
              <w:rPr>
                <w:sz w:val="16"/>
                <w:szCs w:val="16"/>
                <w:color w:val="auto"/>
              </w:rPr>
            </w:pPr>
          </w:p>
        </w:tc>
        <w:tc>
          <w:tcPr>
            <w:tcW w:w="152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Pr>
          <w:p>
            <w:pPr>
              <w:spacing w:after="0"/>
              <w:rPr>
                <w:sz w:val="16"/>
                <w:szCs w:val="16"/>
                <w:color w:val="auto"/>
              </w:rPr>
            </w:pPr>
          </w:p>
        </w:tc>
        <w:tc>
          <w:tcPr>
            <w:tcW w:w="1520" w:type="dxa"/>
            <w:vAlign w:val="bottom"/>
            <w:gridSpan w:val="3"/>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960" w:type="dxa"/>
            <w:vAlign w:val="bottom"/>
          </w:tcPr>
          <w:p>
            <w:pPr>
              <w:spacing w:after="0"/>
              <w:rPr>
                <w:sz w:val="16"/>
                <w:szCs w:val="16"/>
                <w:color w:val="auto"/>
              </w:rPr>
            </w:pPr>
          </w:p>
        </w:tc>
      </w:tr>
      <w:tr>
        <w:trPr>
          <w:trHeight w:val="40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00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24"/>
                <w:szCs w:val="24"/>
                <w:color w:val="auto"/>
              </w:rPr>
            </w:pPr>
          </w:p>
        </w:tc>
        <w:tc>
          <w:tcPr>
            <w:tcW w:w="124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24"/>
                <w:szCs w:val="24"/>
                <w:color w:val="auto"/>
              </w:rPr>
            </w:pPr>
          </w:p>
        </w:tc>
        <w:tc>
          <w:tcPr>
            <w:tcW w:w="1240" w:type="dxa"/>
            <w:vAlign w:val="bottom"/>
            <w:tcBorders>
              <w:top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4"/>
        </w:trPr>
        <w:tc>
          <w:tcPr>
            <w:tcW w:w="3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393"/>
        </w:trPr>
        <w:tc>
          <w:tcPr>
            <w:tcW w:w="3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3"/>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
        </w:trPr>
        <w:tc>
          <w:tcPr>
            <w:tcW w:w="3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417"/>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$1,650.00</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3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$1,650.00</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3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$1,650.00</w:t>
            </w: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40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$1,687.52</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$1,687.52</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$1,687.52</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38"/>
        </w:trPr>
        <w:tc>
          <w:tcPr>
            <w:tcW w:w="3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417"/>
        </w:trPr>
        <w:tc>
          <w:tcPr>
            <w:tcW w:w="3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w:t>
            </w:r>
          </w:p>
        </w:tc>
        <w:tc>
          <w:tcPr>
            <w:tcW w:w="100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$1,343.76</w:t>
            </w:r>
          </w:p>
        </w:tc>
        <w:tc>
          <w:tcPr>
            <w:tcW w:w="2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3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$1,343.76</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340" w:type="dxa"/>
            <w:vAlign w:val="bottom"/>
            <w:tcBorders>
              <w:bottom w:val="single" w:sz="8" w:color="CCEEFF"/>
            </w:tcBorders>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$1,343.76</w:t>
            </w:r>
          </w:p>
        </w:tc>
        <w:tc>
          <w:tcPr>
            <w:tcW w:w="1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40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w:t>
            </w:r>
          </w:p>
        </w:tc>
        <w:tc>
          <w:tcPr>
            <w:tcW w:w="10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$1,156.24</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$1,156.24</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340" w:type="dxa"/>
            <w:vAlign w:val="bottom"/>
            <w:gridSpan w:val="2"/>
          </w:tcPr>
          <w:p>
            <w:pPr>
              <w:jc w:val="right"/>
              <w:ind w:right="89"/>
              <w:spacing w:after="0"/>
              <w:rPr>
                <w:sz w:val="20"/>
                <w:szCs w:val="20"/>
                <w:color w:val="auto"/>
              </w:rPr>
            </w:pPr>
            <w:r>
              <w:rPr>
                <w:rFonts w:ascii="Times New Roman" w:cs="Times New Roman" w:eastAsia="Times New Roman" w:hAnsi="Times New Roman"/>
                <w:sz w:val="14"/>
                <w:szCs w:val="14"/>
                <w:color w:val="auto"/>
              </w:rPr>
              <w:t>$1,156.24</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38"/>
        </w:trPr>
        <w:tc>
          <w:tcPr>
            <w:tcW w:w="35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c>
          <w:tcPr>
            <w:tcW w:w="2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445"/>
        </w:trPr>
        <w:tc>
          <w:tcPr>
            <w:tcW w:w="3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w:t>
            </w:r>
          </w:p>
        </w:tc>
        <w:tc>
          <w:tcPr>
            <w:tcW w:w="100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18 for information relating to preferred dividends declared subsequent to December 31, 2025</w:t>
      </w:r>
      <w:r>
        <w:rPr>
          <w:rFonts w:ascii="Times New Roman" w:cs="Times New Roman" w:eastAsia="Times New Roman" w:hAnsi="Times New Roman"/>
          <w:sz w:val="15"/>
          <w:szCs w:val="15"/>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common shares outstanding were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3160" w:type="dxa"/>
            <w:vAlign w:val="bottom"/>
            <w:gridSpan w:val="5"/>
          </w:tcPr>
          <w:p>
            <w:pPr>
              <w:ind w:left="130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0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020" w:type="dxa"/>
            <w:vAlign w:val="bottom"/>
          </w:tcPr>
          <w:p>
            <w:pPr>
              <w:spacing w:after="0"/>
              <w:rPr>
                <w:sz w:val="24"/>
                <w:szCs w:val="24"/>
                <w:color w:val="auto"/>
              </w:rPr>
            </w:pPr>
          </w:p>
        </w:tc>
        <w:tc>
          <w:tcPr>
            <w:tcW w:w="134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13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02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44"/>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outstanding at beginning of year</w:t>
            </w:r>
          </w:p>
        </w:tc>
        <w:tc>
          <w:tcPr>
            <w:tcW w:w="13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58,629,049</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63,503,355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68,278,068</w:t>
            </w:r>
          </w:p>
        </w:tc>
        <w:tc>
          <w:tcPr>
            <w:tcW w:w="0" w:type="dxa"/>
            <w:vAlign w:val="bottom"/>
          </w:tcPr>
          <w:p>
            <w:pPr>
              <w:spacing w:after="0"/>
              <w:rPr>
                <w:sz w:val="1"/>
                <w:szCs w:val="1"/>
                <w:color w:val="auto"/>
              </w:rPr>
            </w:pPr>
          </w:p>
        </w:tc>
      </w:tr>
      <w:tr>
        <w:trPr>
          <w:trHeight w:val="441"/>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issued</w:t>
            </w:r>
          </w:p>
        </w:tc>
        <w:tc>
          <w:tcPr>
            <w:tcW w:w="13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601,641</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661,758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665,146</w:t>
            </w:r>
          </w:p>
        </w:tc>
        <w:tc>
          <w:tcPr>
            <w:tcW w:w="0" w:type="dxa"/>
            <w:vAlign w:val="bottom"/>
          </w:tcPr>
          <w:p>
            <w:pPr>
              <w:spacing w:after="0"/>
              <w:rPr>
                <w:sz w:val="1"/>
                <w:szCs w:val="1"/>
                <w:color w:val="auto"/>
              </w:rPr>
            </w:pPr>
          </w:p>
        </w:tc>
      </w:tr>
      <w:tr>
        <w:trPr>
          <w:trHeight w:val="45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repurchased (1)</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(2,059,473)</w:t>
            </w:r>
          </w:p>
        </w:tc>
        <w:tc>
          <w:tcPr>
            <w:tcW w:w="100" w:type="dxa"/>
            <w:vAlign w:val="bottom"/>
            <w:shd w:val="clear" w:color="auto" w:fill="CCEEFF"/>
          </w:tcPr>
          <w:p>
            <w:pPr>
              <w:spacing w:after="0"/>
              <w:rPr>
                <w:sz w:val="24"/>
                <w:szCs w:val="2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(5,536,064)</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(5,439,859)</w:t>
            </w:r>
          </w:p>
        </w:tc>
        <w:tc>
          <w:tcPr>
            <w:tcW w:w="0" w:type="dxa"/>
            <w:vAlign w:val="bottom"/>
          </w:tcPr>
          <w:p>
            <w:pPr>
              <w:spacing w:after="0"/>
              <w:rPr>
                <w:sz w:val="1"/>
                <w:szCs w:val="1"/>
                <w:color w:val="auto"/>
              </w:rPr>
            </w:pPr>
          </w:p>
        </w:tc>
      </w:tr>
      <w:tr>
        <w:trPr>
          <w:trHeight w:val="45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Shares outstanding at end of year</w:t>
            </w: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57,171,217</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58,629,049</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63,503,355</w:t>
            </w: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702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hanging="314"/>
        <w:spacing w:after="0" w:line="274" w:lineRule="auto"/>
        <w:tabs>
          <w:tab w:leader="none" w:pos="314"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common stock withheld with respect to tax withholding obligations associated with the vesting of share-based compensation awards under the Company’s publicly announced benefit plans or programs.</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On November 16, 2023, BHF authorized the repurchase of up to $750 million of its common stock, which is in addition to the $1.2 billion total repurchases authorized in 2021. Repurchases under the November 16, 2023 authorization may be made through open market purchases, including pursuant to a Rule 10b5-1 plan or pursuant to accelerated stock repurchase plans, or through privately negotiated transactions, from time to time at management’s discretion in accordance with applicable legal requirements.</w:t>
      </w:r>
    </w:p>
    <w:p>
      <w:pPr>
        <w:spacing w:after="0" w:line="7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During the years ended December 31, 2025, 2024 and 2023, BHF repurchased 1,844,396 shares, 5,294,200 shares and 5,195,832 shares, respectively, of its common stock through open market purchases, pursuant to Rule 10b5-1 plans, for $102 million, $250 million and $250 million, respectively. At December 31, 2025, BHF had $441 million remaining under its common stock repurchase program. Pursuant to the Merger Agreement, the Company has agreed that during the period beginning the date of the Merger Agreement through the earlier of the closing of the Merger and the termination of the Merger Agreement, it will not, subject to certain exceptions, purchase directly or indirectly any of BHF’s or its subsidiaries’ capital stock or other equity or voting interests of BHF or any of its subsidiaries.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Plans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share-based compensation plans provide awards to employees and non-employee directors and may be in the form of non-qualified stock options, stock appreciation rights, restricted stock, restricted stock units (“RSU”), performance shares, performance share units (“PSU”), or other share-based awards. Additionally, under an employee stock purchase plan (the “ESPP”), eligible employees of the Company purchased common stock at a 15% discounted rate. Pursuant to the Merger Agreement, the ESPP has been suspended so that no further offering periods, beyond the close of the offering period ending on December 31, 2025, will commence after the date of the Merger Agreement. The aggregate number of authorized shares available for issuance at December 31, 2025 under the Company’s various share-based compensation plans was 5,188,257. The Company issues new shares to satisfy vested RSUs and PSUs, as well as stock option exercises.</w:t>
      </w:r>
    </w:p>
    <w:p>
      <w:pPr>
        <w:sectPr>
          <w:pgSz w:w="11900" w:h="16838" w:orient="portrait"/>
          <w:cols w:equalWidth="0" w:num="1">
            <w:col w:w="11240"/>
          </w:cols>
          <w:pgMar w:left="320" w:top="278" w:right="339" w:bottom="17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76"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(continued)</w:t>
      </w:r>
    </w:p>
    <w:p>
      <w:pPr>
        <w:spacing w:after="0" w:line="200" w:lineRule="exact"/>
        <w:rPr>
          <w:sz w:val="20"/>
          <w:szCs w:val="20"/>
          <w:color w:val="auto"/>
        </w:rPr>
      </w:pPr>
    </w:p>
    <w:p>
      <w:pPr>
        <w:spacing w:after="0" w:line="337" w:lineRule="exact"/>
        <w:rPr>
          <w:sz w:val="20"/>
          <w:szCs w:val="20"/>
          <w:color w:val="auto"/>
        </w:rPr>
      </w:pPr>
    </w:p>
    <w:p>
      <w:pPr>
        <w:jc w:val="both"/>
        <w:ind w:right="80" w:firstLine="318"/>
        <w:spacing w:after="0" w:line="250" w:lineRule="auto"/>
        <w:rPr>
          <w:sz w:val="20"/>
          <w:szCs w:val="20"/>
          <w:color w:val="auto"/>
        </w:rPr>
      </w:pPr>
      <w:r>
        <w:rPr>
          <w:rFonts w:ascii="Times New Roman" w:cs="Times New Roman" w:eastAsia="Times New Roman" w:hAnsi="Times New Roman"/>
          <w:sz w:val="18"/>
          <w:szCs w:val="18"/>
          <w:color w:val="auto"/>
        </w:rPr>
        <w:t>Unless otherwise noted, all share-based compensation is measured at fair value as of the grant date. The Company recognizes compensation expense related to share-based awards based on the number of awards expected to vest, which for some award types represent the awards granted less expected forfeitures over the life of the award, as estimated at the date of grant and actual forfeitures for other award types. Unless a material deviation from the assumed forfeiture rate is observed during the term in which the awards are expensed, the Company recognizes any adjustment necessary to reflect differences in actual experience in the period the award becomes payable or exercisable. Compensation expense related to share-based awards, which is included in other expenses, is principally related to the issuance of restricted stock units and performance share units with other costs incurred relating to stock options. The Company grants the majority of each year’s awards in the first quarter of the year.</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Compensation Expense Related to Share-Based Compensation</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total share-based compensation expense:</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6"/>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Pr>
          <w:p>
            <w:pPr>
              <w:spacing w:after="0"/>
              <w:rPr>
                <w:sz w:val="16"/>
                <w:szCs w:val="16"/>
                <w:color w:val="auto"/>
              </w:rPr>
            </w:pPr>
          </w:p>
        </w:tc>
      </w:tr>
      <w:tr>
        <w:trPr>
          <w:trHeight w:val="38"/>
        </w:trPr>
        <w:tc>
          <w:tcPr>
            <w:tcW w:w="7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393"/>
        </w:trPr>
        <w:tc>
          <w:tcPr>
            <w:tcW w:w="7020" w:type="dxa"/>
            <w:vAlign w:val="bottom"/>
          </w:tcPr>
          <w:p>
            <w:pPr>
              <w:spacing w:after="0"/>
              <w:rPr>
                <w:sz w:val="24"/>
                <w:szCs w:val="24"/>
                <w:color w:val="auto"/>
              </w:rPr>
            </w:pPr>
          </w:p>
        </w:tc>
        <w:tc>
          <w:tcPr>
            <w:tcW w:w="96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0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457"/>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RSUs</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441"/>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PSUs</w:t>
            </w:r>
          </w:p>
        </w:tc>
        <w:tc>
          <w:tcPr>
            <w:tcW w:w="9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45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960" w:type="dxa"/>
            <w:vAlign w:val="bottom"/>
            <w:tcBorders>
              <w:bottom w:val="single" w:sz="8" w:color="auto"/>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5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share-based compensation expense</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46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96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At December 31, 2025, unrecognized share-based compensation and the weighted average remaining recognition period was $7 million and 0.7 years, respectively, for RSUs and $16 million and 1.2 years, respectively, for PSUs.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Equity Awards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3" w:lineRule="exact"/>
        <w:rPr>
          <w:sz w:val="20"/>
          <w:szCs w:val="20"/>
          <w:color w:val="auto"/>
        </w:rPr>
      </w:pPr>
    </w:p>
    <w:p>
      <w:pPr>
        <w:jc w:val="both"/>
        <w:ind w:left="320" w:right="80" w:firstLine="318"/>
        <w:spacing w:after="0" w:line="252" w:lineRule="auto"/>
        <w:rPr>
          <w:sz w:val="20"/>
          <w:szCs w:val="20"/>
          <w:color w:val="auto"/>
        </w:rPr>
      </w:pPr>
      <w:r>
        <w:rPr>
          <w:rFonts w:ascii="Times New Roman" w:cs="Times New Roman" w:eastAsia="Times New Roman" w:hAnsi="Times New Roman"/>
          <w:sz w:val="18"/>
          <w:szCs w:val="18"/>
          <w:color w:val="auto"/>
        </w:rPr>
        <w:t>RSUs are units that, if vested, are payable in shares of BHF common stock. The Company does not credit RSUs with dividend-equivalents as RSUs do not accrue dividends. Accordingly, the estimated fair value of RSUs is based upon the closing price of shares on the date of grant. Most RSUs use graded vesting and vest in thirds on, or shortly after, the first three anniversaries of their grant date, while other RSUs vest in their entirety on the specified anniversary of their grant date. Vesting is subject to continued service, except for employees who meet specified age and service criteria, and in certain other limited circumstances.</w:t>
      </w:r>
    </w:p>
    <w:p>
      <w:pPr>
        <w:spacing w:after="0" w:line="79"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and at the Effective Time, any RSUs granted prior to November 6, 2025 that are outstanding immediately prior to the Effective Time will be deemed to be fully vested and non-forfeitable. Each such RSU will be canceled at the Effective Time and converted into the right to receive a cash payment based on the Merger Consideration. Any RSUs granted to an employee after November 6, 2025, if any, will be canceled and converted into a contingent right to receive a cash payment based on the Merger Consideration, which will vest in one-third installments on each of the first through third anniversaries of the applicable grant date.</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Performance Share Units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PSUs are units that, if vested, are multiplied by a performance factor to produce a final number of BHF common stock shares. PSUs cliff vest at the end of a three-year performance period. Vesting is subject to continued service, except for employees who meet specified age and service criteria, and in certain other limited circumstances.</w:t>
      </w:r>
    </w:p>
    <w:p>
      <w:pPr>
        <w:spacing w:after="0" w:line="72"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For awards granted during fiscal year 2023, the performance factors are based on the achievement of net cash flow to BHF, Brighthouse Services, LLC and Brighthouse Holdings, LLC (“BH Holdings”) and statutory expense ratio targets over the respective performance period depending on the year of issue. The vested PSUs will be multiplied by a performance factor up to a maximum payout of 150%. Assuming the Company has met certain threshold performance targets, the Compensation and Human Capital Committee of BHF’s Board of Directors will determine the final performance factor at its discretion.</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(continued)</w:t>
      </w:r>
    </w:p>
    <w:p>
      <w:pPr>
        <w:spacing w:after="0" w:line="200" w:lineRule="exact"/>
        <w:rPr>
          <w:sz w:val="20"/>
          <w:szCs w:val="20"/>
          <w:color w:val="auto"/>
        </w:rPr>
      </w:pPr>
    </w:p>
    <w:p>
      <w:pPr>
        <w:spacing w:after="0" w:line="337"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For awards granted during fiscal years 2024 and 2025, the performance factors are based on the achievement of net cash flow to BHF, Brighthouse Services, LLC and BH Holdings over the performance period and statutory expense ratio targets over the performance period, subject to a potential 10% modifier based on BHF’s relative total shareholder return (“rTSR”) over the same three-year period compared to a peer group of companies. For these awards, the Company measures fair value using a Monte Carlo simulation that considers the Company’s projected rTSR relative to a defined group of peers as well as other inputs to estimate the grant date fair value of awards. The vested PSUs will be multiplied by a performance factor, as well as subject to an rTSR modifier, resulting in a maximum possible payout of 160%. Assuming the Company has met certain threshold performance targets, the Compensation and Human Capital Committee of BHF’s Board of Directors will determine the final performance factor at its discretion.</w:t>
      </w:r>
    </w:p>
    <w:p>
      <w:pPr>
        <w:spacing w:after="0" w:line="81"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Pursuant to the Merger Agreement and at the Effective Time, each PSU outstanding immediately prior to the Effective Time will be deemed to be fully vested and non-forfeitable. Each PSU will be canceled at the Effective Time and converted into the right to receive a cash payment based on the Merger Consideration. The number of shares of common stock subject to each PSU will be determined assuming achievement of the performance vesting conditions applicable to such award at the target level; provided that, if the performance period applicable to any PSU ended prior to the Effective Time, such determination will be based on the actual level of achievement of the applicable performance vesting conditions.</w:t>
      </w:r>
    </w:p>
    <w:p>
      <w:pPr>
        <w:spacing w:after="0" w:line="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presents a summary of PSU and RSU activity:</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1620" w:type="dxa"/>
            <w:vAlign w:val="bottom"/>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w w:val="95"/>
              </w:rPr>
              <w:t>RSUs</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PSUs</w:t>
            </w:r>
          </w:p>
        </w:tc>
        <w:tc>
          <w:tcPr>
            <w:tcW w:w="1260" w:type="dxa"/>
            <w:vAlign w:val="bottom"/>
          </w:tcPr>
          <w:p>
            <w:pPr>
              <w:spacing w:after="0"/>
              <w:rPr>
                <w:sz w:val="16"/>
                <w:szCs w:val="16"/>
                <w:color w:val="auto"/>
              </w:rPr>
            </w:pPr>
          </w:p>
        </w:tc>
      </w:tr>
      <w:tr>
        <w:trPr>
          <w:trHeight w:val="38"/>
        </w:trPr>
        <w:tc>
          <w:tcPr>
            <w:tcW w:w="536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379"/>
        </w:trPr>
        <w:tc>
          <w:tcPr>
            <w:tcW w:w="5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86"/>
        </w:trPr>
        <w:tc>
          <w:tcPr>
            <w:tcW w:w="5360" w:type="dxa"/>
            <w:vAlign w:val="bottom"/>
          </w:tcPr>
          <w:p>
            <w:pPr>
              <w:spacing w:after="0"/>
              <w:rPr>
                <w:sz w:val="16"/>
                <w:szCs w:val="16"/>
                <w:color w:val="auto"/>
              </w:rPr>
            </w:pPr>
          </w:p>
        </w:tc>
        <w:tc>
          <w:tcPr>
            <w:tcW w:w="140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6"/>
                <w:szCs w:val="16"/>
                <w:color w:val="auto"/>
              </w:rPr>
            </w:pPr>
          </w:p>
        </w:tc>
        <w:tc>
          <w:tcPr>
            <w:tcW w:w="1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38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Grant Date Fair Value</w:t>
            </w:r>
          </w:p>
        </w:tc>
      </w:tr>
      <w:tr>
        <w:trPr>
          <w:trHeight w:val="38"/>
        </w:trPr>
        <w:tc>
          <w:tcPr>
            <w:tcW w:w="536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44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January 1, 2025</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568,408</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w:t>
            </w:r>
          </w:p>
        </w:tc>
      </w:tr>
      <w:tr>
        <w:trPr>
          <w:trHeight w:val="441"/>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282,108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236,207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61.70</w:t>
            </w:r>
          </w:p>
        </w:tc>
      </w:tr>
      <w:tr>
        <w:trPr>
          <w:trHeight w:val="46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Performance factor adjustment</w:t>
            </w: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w:t>
            </w:r>
          </w:p>
        </w:tc>
      </w:tr>
      <w:tr>
        <w:trPr>
          <w:trHeight w:val="441"/>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(20,088)</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54.96</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54.01</w:t>
            </w:r>
          </w:p>
        </w:tc>
      </w:tr>
      <w:tr>
        <w:trPr>
          <w:trHeight w:val="45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(291,073)</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w:t>
            </w:r>
          </w:p>
        </w:tc>
        <w:tc>
          <w:tcPr>
            <w:tcW w:w="120" w:type="dxa"/>
            <w:vAlign w:val="bottom"/>
            <w:shd w:val="clear" w:color="auto" w:fill="CCEEFF"/>
          </w:tcPr>
          <w:p>
            <w:pPr>
              <w:spacing w:after="0"/>
              <w:rPr>
                <w:sz w:val="24"/>
                <w:szCs w:val="24"/>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(237,653)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48.06</w:t>
            </w:r>
          </w:p>
        </w:tc>
      </w:tr>
      <w:tr>
        <w:trPr>
          <w:trHeight w:val="45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at December 31, 2025</w:t>
            </w: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539,355</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54.45</w:t>
            </w:r>
          </w:p>
        </w:tc>
        <w:tc>
          <w:tcPr>
            <w:tcW w:w="120" w:type="dxa"/>
            <w:vAlign w:val="bottom"/>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744,678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54.18</w:t>
            </w:r>
          </w:p>
        </w:tc>
      </w:tr>
      <w:tr>
        <w:trPr>
          <w:trHeight w:val="20"/>
        </w:trPr>
        <w:tc>
          <w:tcPr>
            <w:tcW w:w="53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weighted average grant date fair value of RSUs granted during the years ended December 31, 2024 and 2023, was $46.27 and $56.35, respectively. The weighted average grant date fair value of PSUs granted during the years ended December 31, 2024 and 2023, was $46.16 and $58.35, respectively. The total fair value of RSUs that vested during each of the years ended December 31, 2025, 2024 and 2023 was $14 million, $13 million and $15 million, respectively. The total fair value of PSUs that vested during the years ended December 31, 2025, 2024 and 2023, was $11 million, $13 million and $9 million, respectively.</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Stock options represent the contingent right of award holders to purchase shares of BHF common stock at a stated price for a limited time. All stock options have an exercise price equal to the closing price of a share on the date of grant and have a maximum term of ten years. Stock options granted are exercisable at a rate of one-third of each award on each of the first three anniversaries of the grant date. Vesting is subject to continued service, except for employees who meet specified age and service criteria, and in certain other limited circumstances.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Company estimates the fair value of stock options on the date of grant using the Black-Scholes model. The significant assumptions the Company uses in its model include: expected volatility of the price of shares; risk-free rate of return; graded three-year vesting; and expected option life. At December 31, 2025, there were 166,769 stock options outstanding and exercisable with a weighted average exercise price of $53.47 and aggregate intrinsic value of $2 million, which expire on February 29, 2028. During the year ended December 31, 2025, there were 20,602 stock options exercised with an intrinsic value of less than $1 million and no stock options granted, forfeited or expired. During the years ended December 31, 2024 and 2023, no stock options were granted or exercised.</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Pursuant to the Merger Agreement and at the Effective Time, each stock option outstanding immediately prior to the Effective Time will be deemed to be fully vested and non-forfeitable. Each such stock option will be canceled at the Effective Time and converted into the right to receive a cash payment based on the Merger Consideration.</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(continued)</w:t>
      </w: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Employee Stock Purchase Plan Shares</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Under the ESPP, eligible employees of the Company purchased common stock at a discount rate of 15% of the market price per share on the lesser of the first or last trading day of the offering period. Employees purchased a variable number of shares of stock through payroll deductions elected just prior to the beginning of the offering period. During the years ended December 31, 2025, 2024 and 2023, employees purchased 64,543 shares, 76,572 shares and 77,598 shares, respectively. The weighted average per share fair value of the discount under the ESPP was $13.41, $8.54 and $9.04 during the years ended December 31, 2025, 2024 and 2023, respectively, which was recorded in other expenses. Pursuant to the Merger Agreement, the ESPP has been suspended so that no further offering periods, after the close of the offering period ending on December 31, 2025, will commence after the date of the Merger Agreement.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Statutory Financial Information</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states of domicile of the Company’s insurance subsidiaries impose RBC requirements that were developed by the National Association of Insurance Commissioners (“NAIC”). Such requirements are used by regulators to assess the minimum amount of statutory capital and surplus needed for an insurance company to support its operations, based on its size and risk profile (referred to as “company action level RBC”). RBC is based on statutory financial statements and is calculated in a manner prescribed by the NAIC. The RBC ratio, which is the basis for determining regulatory compliance, is equal to total adjusted capital divided by the applicable company action level RBC. Companies below 100% of the company action level RBC are subject to corrective action. As of December 31, 2025, the annual RBC ratios for the Company’s insurance subsidiaries were each in excess of 400%.</w:t>
      </w:r>
    </w:p>
    <w:p>
      <w:pPr>
        <w:spacing w:after="0" w:line="79"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Company’s insurance subsidiaries prepare statutory-basis financial statements in accordance with statutory accounting practices prescribed or permitted by the insurance department of the state of domicile.</w:t>
      </w:r>
    </w:p>
    <w:p>
      <w:pPr>
        <w:spacing w:after="0" w:line="57"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Statutory accounting principles differ from GAAP primarily by charging policy acquisition costs to expense as incurred, establishing future policy benefit liabilities using different actuarial assumptions, reporting of reinsurance agreements and valuing investments and deferred tax assets on a different basis.</w:t>
      </w:r>
    </w:p>
    <w:p>
      <w:pPr>
        <w:spacing w:after="0" w:line="3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present amounts from certain of the Company’s insurance subsidiaries, which are derived from the statutory-basis financial statements to be filed with the insurance regulators.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Statutory net income (loss) was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60" w:type="dxa"/>
            <w:vAlign w:val="bottom"/>
          </w:tcPr>
          <w:p>
            <w:pPr>
              <w:spacing w:after="0"/>
              <w:rPr>
                <w:sz w:val="16"/>
                <w:szCs w:val="16"/>
                <w:color w:val="auto"/>
              </w:rPr>
            </w:pPr>
          </w:p>
        </w:tc>
      </w:tr>
      <w:tr>
        <w:trPr>
          <w:trHeight w:val="37"/>
        </w:trPr>
        <w:tc>
          <w:tcPr>
            <w:tcW w:w="5640" w:type="dxa"/>
            <w:vAlign w:val="bottom"/>
            <w:gridSpan w:val="2"/>
          </w:tcPr>
          <w:p>
            <w:pPr>
              <w:spacing w:after="0"/>
              <w:rPr>
                <w:sz w:val="3"/>
                <w:szCs w:val="3"/>
                <w:color w:val="auto"/>
              </w:rPr>
            </w:pPr>
          </w:p>
        </w:tc>
        <w:tc>
          <w:tcPr>
            <w:tcW w:w="1660" w:type="dxa"/>
            <w:vAlign w:val="bottom"/>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9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 of Domicile</w:t>
            </w:r>
          </w:p>
        </w:tc>
        <w:tc>
          <w:tcPr>
            <w:tcW w:w="300" w:type="dxa"/>
            <w:vAlign w:val="bottom"/>
          </w:tcPr>
          <w:p>
            <w:pPr>
              <w:spacing w:after="0"/>
              <w:rPr>
                <w:sz w:val="24"/>
                <w:szCs w:val="24"/>
                <w:color w:val="auto"/>
              </w:rPr>
            </w:pPr>
          </w:p>
        </w:tc>
        <w:tc>
          <w:tcPr>
            <w:tcW w:w="1040" w:type="dxa"/>
            <w:vAlign w:val="bottom"/>
          </w:tcPr>
          <w:p>
            <w:pPr>
              <w:jc w:val="right"/>
              <w:ind w:right="48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24"/>
                <w:szCs w:val="24"/>
                <w:color w:val="auto"/>
              </w:rPr>
            </w:pPr>
          </w:p>
        </w:tc>
        <w:tc>
          <w:tcPr>
            <w:tcW w:w="110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24"/>
                <w:szCs w:val="24"/>
                <w:color w:val="auto"/>
              </w:rPr>
            </w:pPr>
          </w:p>
        </w:tc>
        <w:tc>
          <w:tcPr>
            <w:tcW w:w="9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5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393"/>
        </w:trPr>
        <w:tc>
          <w:tcPr>
            <w:tcW w:w="5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8"/>
        </w:trPr>
        <w:tc>
          <w:tcPr>
            <w:tcW w:w="5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450"/>
        </w:trPr>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7"/>
              </w:rPr>
              <w:t>Delaware</w:t>
            </w:r>
          </w:p>
        </w:tc>
        <w:tc>
          <w:tcPr>
            <w:tcW w:w="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(2,330)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(787)</w:t>
            </w:r>
          </w:p>
        </w:tc>
        <w:tc>
          <w:tcPr>
            <w:tcW w:w="3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r>
      <w:tr>
        <w:trPr>
          <w:trHeight w:val="432"/>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England Life Insurance Company</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Massachusetts</w:t>
            </w: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45"/>
              <w:spacing w:after="0"/>
              <w:rPr>
                <w:sz w:val="20"/>
                <w:szCs w:val="20"/>
                <w:color w:val="auto"/>
              </w:rPr>
            </w:pPr>
            <w:r>
              <w:rPr>
                <w:rFonts w:ascii="Times New Roman" w:cs="Times New Roman" w:eastAsia="Times New Roman" w:hAnsi="Times New Roman"/>
                <w:sz w:val="16"/>
                <w:szCs w:val="16"/>
                <w:color w:val="auto"/>
              </w:rPr>
              <w:t>65</w:t>
            </w:r>
          </w:p>
        </w:tc>
        <w:tc>
          <w:tcPr>
            <w:tcW w:w="3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r>
    </w:tbl>
    <w:p>
      <w:pPr>
        <w:spacing w:after="0" w:line="25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Statutory capital and surplus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Pr>
          <w:p>
            <w:pPr>
              <w:spacing w:after="0"/>
              <w:rPr>
                <w:sz w:val="16"/>
                <w:szCs w:val="16"/>
                <w:color w:val="auto"/>
              </w:rPr>
            </w:pPr>
          </w:p>
        </w:tc>
      </w:tr>
      <w:tr>
        <w:trPr>
          <w:trHeight w:val="37"/>
        </w:trPr>
        <w:tc>
          <w:tcPr>
            <w:tcW w:w="8580" w:type="dxa"/>
            <w:vAlign w:val="bottom"/>
            <w:gridSpan w:val="2"/>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393"/>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393"/>
        </w:trPr>
        <w:tc>
          <w:tcPr>
            <w:tcW w:w="8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Pr>
          <w:p>
            <w:pPr>
              <w:spacing w:after="0"/>
              <w:rPr>
                <w:sz w:val="24"/>
                <w:szCs w:val="24"/>
                <w:color w:val="auto"/>
              </w:rPr>
            </w:pPr>
          </w:p>
        </w:tc>
      </w:tr>
      <w:tr>
        <w:trPr>
          <w:trHeight w:val="37"/>
        </w:trPr>
        <w:tc>
          <w:tcPr>
            <w:tcW w:w="8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451"/>
        </w:trPr>
        <w:tc>
          <w:tcPr>
            <w:tcW w:w="8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w:t>
            </w:r>
          </w:p>
        </w:tc>
        <w:tc>
          <w:tcPr>
            <w:tcW w:w="860" w:type="dxa"/>
            <w:vAlign w:val="bottom"/>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3,600</w:t>
            </w:r>
          </w:p>
        </w:tc>
        <w:tc>
          <w:tcPr>
            <w:tcW w:w="4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w:t>
            </w:r>
          </w:p>
        </w:tc>
      </w:tr>
      <w:tr>
        <w:trPr>
          <w:trHeight w:val="432"/>
        </w:trPr>
        <w:tc>
          <w:tcPr>
            <w:tcW w:w="8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England Life Insurance Company</w:t>
            </w:r>
          </w:p>
        </w:tc>
        <w:tc>
          <w:tcPr>
            <w:tcW w:w="860" w:type="dxa"/>
            <w:vAlign w:val="bottom"/>
          </w:tcPr>
          <w:p>
            <w:pPr>
              <w:jc w:val="right"/>
              <w:ind w:right="6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253</w:t>
            </w:r>
          </w:p>
        </w:tc>
        <w:tc>
          <w:tcPr>
            <w:tcW w:w="4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r>
    </w:tbl>
    <w:p>
      <w:pPr>
        <w:spacing w:after="0" w:line="23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Company has a reinsurance subsidiary, BRCD, which reinsures risks including level premium term life and ULSG assumed from other Brighthouse Financial life insurance subsidiaries. BRCD, with the explicit permission of the Delaware Insurance Commissioner (“Delaware Commissioner”), has included the value of credit-linked notes as admitted assets, which resulted in higher statutory capital and surplus of $11.5 billion at both December 31, 2025 and 2024.</w:t>
      </w:r>
    </w:p>
    <w:p>
      <w:pPr>
        <w:spacing w:after="0" w:line="5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statutory net income (loss) of BRCD was ($120) million, ($447) million and ($300) million for the years ended December 31, 2025, 2024 and 2023, respectively, and the combined statutory capital and surplus, including the aforementioned prescribed practices, were $678 million and $703 million at December 31, 2025 and 2024, respectively.</w:t>
      </w:r>
    </w:p>
    <w:p>
      <w:pPr>
        <w:sectPr>
          <w:pgSz w:w="11900" w:h="16838" w:orient="portrait"/>
          <w:cols w:equalWidth="0" w:num="1">
            <w:col w:w="11240"/>
          </w:cols>
          <w:pgMar w:left="320" w:top="278" w:right="339" w:bottom="91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918"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Restrictions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sets forth the dividends permitted to be paid by certain of the Company’s insurance companies without insurance regulatory approval and dividends paid:</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jc w:val="right"/>
              <w:ind w:right="46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79"/>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Permitted Without</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6"/>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Approval (1)</w:t>
            </w:r>
          </w:p>
        </w:tc>
        <w:tc>
          <w:tcPr>
            <w:tcW w:w="28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Paid (2)</w:t>
            </w:r>
          </w:p>
        </w:tc>
        <w:tc>
          <w:tcPr>
            <w:tcW w:w="380" w:type="dxa"/>
            <w:vAlign w:val="bottom"/>
          </w:tcPr>
          <w:p>
            <w:pPr>
              <w:spacing w:after="0"/>
              <w:rPr>
                <w:sz w:val="16"/>
                <w:szCs w:val="16"/>
                <w:color w:val="auto"/>
              </w:rPr>
            </w:pPr>
          </w:p>
        </w:tc>
        <w:tc>
          <w:tcPr>
            <w:tcW w:w="10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Paid (2)</w:t>
            </w:r>
          </w:p>
        </w:tc>
        <w:tc>
          <w:tcPr>
            <w:tcW w:w="280" w:type="dxa"/>
            <w:vAlign w:val="bottom"/>
          </w:tcPr>
          <w:p>
            <w:pPr>
              <w:spacing w:after="0"/>
              <w:rPr>
                <w:sz w:val="16"/>
                <w:szCs w:val="16"/>
                <w:color w:val="auto"/>
              </w:rPr>
            </w:pPr>
          </w:p>
        </w:tc>
        <w:tc>
          <w:tcPr>
            <w:tcW w:w="1060" w:type="dxa"/>
            <w:vAlign w:val="bottom"/>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Paid (2)</w:t>
            </w:r>
          </w:p>
        </w:tc>
      </w:tr>
      <w:tr>
        <w:trPr>
          <w:trHeight w:val="38"/>
        </w:trPr>
        <w:tc>
          <w:tcPr>
            <w:tcW w:w="54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gridSpan w:val="2"/>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393"/>
        </w:trPr>
        <w:tc>
          <w:tcPr>
            <w:tcW w:w="5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
        </w:trPr>
        <w:tc>
          <w:tcPr>
            <w:tcW w:w="5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450"/>
        </w:trPr>
        <w:tc>
          <w:tcPr>
            <w:tcW w:w="5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Brighthouse Life Insurance Company (3)</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432"/>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New England Life Insurance Company</w:t>
            </w:r>
          </w:p>
        </w:tc>
        <w:tc>
          <w:tcPr>
            <w:tcW w:w="2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72"/>
        </w:trPr>
        <w:tc>
          <w:tcPr>
            <w:tcW w:w="54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spacing w:after="0"/>
              <w:rPr>
                <w:sz w:val="23"/>
                <w:szCs w:val="23"/>
                <w:color w:val="auto"/>
              </w:rPr>
            </w:pPr>
          </w:p>
        </w:tc>
      </w:tr>
    </w:tbl>
    <w:p>
      <w:pPr>
        <w:spacing w:after="0" w:line="85" w:lineRule="exact"/>
        <w:rPr>
          <w:sz w:val="20"/>
          <w:szCs w:val="20"/>
          <w:color w:val="auto"/>
        </w:rPr>
      </w:pPr>
    </w:p>
    <w:p>
      <w:pPr>
        <w:ind w:left="320" w:hanging="314"/>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dividend amounts that may be paid during 2026 without prior regulatory approval.</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all amounts paid, including those requiring regulatory approval.</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of dividends in 2026 would be considered an extraordinary dividend subject to regulatory approval due to negative unassigned funds (surplus).</w:t>
      </w:r>
    </w:p>
    <w:p>
      <w:pPr>
        <w:spacing w:after="0" w:line="11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Under the Delaware Insurance Law, Brighthouse Life Insurance Company is permitted, without prior insurance regulatory clearance, to pay a stockholder dividend as long as the amount of the dividend when aggregated with all other dividends in the preceding 12 months does not exceed the greater of: (i) 10% of its surplus to policyholders as of the end of the immediately preceding calendar year; or (ii) its net gain from operations for the immediately preceding calendar year (excluding realized capital gains), not including pro rata distributions of Brighthouse Life Insurance Company’s own securities. Brighthouse Life Insurance Company will be permitted to pay a stockholder dividend in excess of the greater of such two amounts only if it files notice of the declaration of such a dividend and the amount thereof with the Delaware Commissioner and the Delaware Commissioner either approves the distribution of the dividend or does not disapprove the distribution within 30 days of its filing. In addition, any dividend that exceeds earned surplus (defined as “unassigned funds (surplus)”) as of the immediately preceding calendar year requires insurance regulatory approval. Under the Delaware Insurance Law, the Delaware Commissioner has broad discretion in determining whether the financial condition of a stock life insurance company would support the payment of such dividends to its stockholders.</w:t>
      </w:r>
    </w:p>
    <w:p>
      <w:pPr>
        <w:spacing w:after="0" w:line="87"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Under the Massachusetts State Insurance Law, NELICO is permitted, without prior insurance regulatory clearance, to pay a stockholder dividend as long as the aggregate amount of the dividend, when aggregated with all other dividends paid in the preceding 12 months, does not exceed the greater of: (i) 10% of its surplus to policyholders as of the end of the immediately preceding calendar year; or (ii) its net gain from operations for the immediately preceding calendar year, not including pro rata distributions of NELICO’s own securities. NELICO will be permitted to pay a dividend in excess of the greater of such two amounts only if it files notice of the declaration of such a dividend and the amount thereof with the Massachusetts Commissioner of Insurance (the “Massachusetts Commissioner”) and the Massachusetts Commissioner either approves the distribution of the dividend or does not disapprove the distribution within 30 days of its filing. In addition, any dividend that exceeds earned surplus (defined as “unassigned funds (surplus)”) as of the last filed annual statutory statement requires insurance regulatory approval. Under the Massachusetts State Insurance Law, the Massachusetts Commissioner has broad discretion in determining whether the financial condition of a stock life insurance company would support the payment of such dividends to its stockholders.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(continued)</w:t>
      </w:r>
    </w:p>
    <w:p>
      <w:pPr>
        <w:spacing w:after="0" w:line="200" w:lineRule="exact"/>
        <w:rPr>
          <w:sz w:val="20"/>
          <w:szCs w:val="20"/>
          <w:color w:val="auto"/>
        </w:rPr>
      </w:pPr>
    </w:p>
    <w:p>
      <w:pPr>
        <w:spacing w:after="0" w:line="337"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7"/>
          <w:szCs w:val="17"/>
          <w:color w:val="auto"/>
        </w:rPr>
        <w:t>Under New York insurance laws, Brighthouse Life Insurance Company of NY (“BHNY”) is permitted, without prior insurance regulatory clearance, to pay stockholder dividends to its parent in any calendar year based on one of two standards. Under one standard, BHNY is permitted, without prior insurance regulatory clearance, to pay dividends out of earned surplus (defined as positive “unassigned funds (surplus),” excluding 85% of the change in net unrealized capital gains or losses (less capital gains tax), for the immediately preceding calendar year), in an amount up to the greater of: (i) 10% of its surplus to policyholders as of the end of the immediately preceding calendar year or (ii) its statutory net gain from operations for the immediately preceding calendar year (excluding realized capital gains), not to exceed 30% of surplus to policyholders as of the end of the immediately preceding calendar year. In addition, under this standard, BHNY may not, without prior insurance regulatory clearance, pay any dividends in any calendar year immediately following a calendar year for which its net gain from operations, excluding realized capital gains, was negative. Under the second standard, if dividends are paid from a source other than earned surplus, BHNY may, without prior insurance regulatory clearance, pay an amount up to the lesser of: (i) 10% of its surplus to policyholders as of the end of the immediately preceding calendar year or (ii) its statutory net gain from operations for the immediately preceding calendar year (excluding realized capital gains). In addition, BHNY will be permitted to pay a dividend to its parent in excess of the amounts allowed under both standards only if it files notice of its intention to declare such a dividend and the amount thereof with the New York Superintendent of Financial Services (the “NY Superintendent”), and the NY Superintendent either approves the distribution of the dividend or does not disapprove the dividend within 30 days of its filing. To the extent BHNY pays a stockholder dividend, such dividend will be paid to Brighthouse Life Insurance Company, its direct parent and sole stockholder.</w:t>
      </w:r>
    </w:p>
    <w:p>
      <w:pPr>
        <w:spacing w:after="0" w:line="7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Under BRCD’s plan of operations, no dividend or distribution may be made by BRCD without the prior approval of the Delaware Commissioner. BRCD did not pay any extraordinary dividends during the years ended December 31, 2025, 2024 and 2023. During each of the years ended December 31, 2025, 2024 and 2023, BRCD paid cash dividends of $1 million to its preferred shareholders.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Changes in Discount</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Unrealized Investment</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Rates on the</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Gains (Losses), Net of</w:t>
            </w:r>
          </w:p>
        </w:tc>
        <w:tc>
          <w:tcPr>
            <w:tcW w:w="160" w:type="dxa"/>
            <w:vAlign w:val="bottom"/>
          </w:tcPr>
          <w:p>
            <w:pPr>
              <w:spacing w:after="0"/>
              <w:rPr>
                <w:sz w:val="12"/>
                <w:szCs w:val="12"/>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Nonperformance Risk on</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Liability for Future</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44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(Losses) on Derivatives</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Market Risk Benefits</w:t>
            </w:r>
          </w:p>
        </w:tc>
        <w:tc>
          <w:tcPr>
            <w:tcW w:w="14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Policy Benefits</w:t>
            </w:r>
          </w:p>
        </w:tc>
        <w:tc>
          <w:tcPr>
            <w:tcW w:w="180" w:type="dxa"/>
            <w:vAlign w:val="bottom"/>
          </w:tcPr>
          <w:p>
            <w:pPr>
              <w:spacing w:after="0"/>
              <w:rPr>
                <w:sz w:val="15"/>
                <w:szCs w:val="15"/>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30"/>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4"/>
        </w:trPr>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56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(6,194)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(1,378)</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(6,106)</w:t>
            </w:r>
          </w:p>
        </w:tc>
        <w:tc>
          <w:tcPr>
            <w:tcW w:w="0" w:type="dxa"/>
            <w:vAlign w:val="bottom"/>
          </w:tcPr>
          <w:p>
            <w:pPr>
              <w:spacing w:after="0"/>
              <w:rPr>
                <w:sz w:val="1"/>
                <w:szCs w:val="1"/>
                <w:color w:val="auto"/>
              </w:rPr>
            </w:pPr>
          </w:p>
        </w:tc>
      </w:tr>
      <w:tr>
        <w:trPr>
          <w:trHeight w:val="40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2,149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w:t>
            </w:r>
          </w:p>
        </w:tc>
        <w:tc>
          <w:tcPr>
            <w:tcW w:w="0" w:type="dxa"/>
            <w:vAlign w:val="bottom"/>
          </w:tcPr>
          <w:p>
            <w:pPr>
              <w:spacing w:after="0"/>
              <w:rPr>
                <w:sz w:val="1"/>
                <w:szCs w:val="1"/>
                <w:color w:val="auto"/>
              </w:rPr>
            </w:pPr>
          </w:p>
        </w:tc>
      </w:tr>
      <w:tr>
        <w:trPr>
          <w:trHeight w:val="38"/>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368"/>
        </w:trPr>
        <w:tc>
          <w:tcPr>
            <w:tcW w:w="31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AOCI before reclassifications, net of income</w:t>
            </w: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0" w:type="dxa"/>
            <w:vAlign w:val="bottom"/>
          </w:tcPr>
          <w:p>
            <w:pPr>
              <w:spacing w:after="0"/>
              <w:rPr>
                <w:sz w:val="1"/>
                <w:szCs w:val="1"/>
                <w:color w:val="auto"/>
              </w:rPr>
            </w:pPr>
          </w:p>
        </w:tc>
      </w:tr>
      <w:tr>
        <w:trPr>
          <w:trHeight w:val="38"/>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40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38"/>
        </w:trPr>
        <w:tc>
          <w:tcPr>
            <w:tcW w:w="3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8"/>
        </w:trPr>
        <w:tc>
          <w:tcPr>
            <w:tcW w:w="3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Amounts reclassified from AOCI, net of</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39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(4,317)</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(1,881)</w:t>
            </w: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720</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(5,246)</w:t>
            </w:r>
          </w:p>
        </w:tc>
        <w:tc>
          <w:tcPr>
            <w:tcW w:w="0" w:type="dxa"/>
            <w:vAlign w:val="bottom"/>
          </w:tcPr>
          <w:p>
            <w:pPr>
              <w:spacing w:after="0"/>
              <w:rPr>
                <w:sz w:val="1"/>
                <w:szCs w:val="1"/>
                <w:color w:val="auto"/>
              </w:rPr>
            </w:pPr>
          </w:p>
        </w:tc>
      </w:tr>
      <w:tr>
        <w:trPr>
          <w:trHeight w:val="38"/>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413"/>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4"/>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8"/>
        </w:trPr>
        <w:tc>
          <w:tcPr>
            <w:tcW w:w="3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AOCI before reclassifications, net of income</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w:t>
            </w:r>
          </w:p>
        </w:tc>
        <w:tc>
          <w:tcPr>
            <w:tcW w:w="0" w:type="dxa"/>
            <w:vAlign w:val="bottom"/>
          </w:tcPr>
          <w:p>
            <w:pPr>
              <w:spacing w:after="0"/>
              <w:rPr>
                <w:sz w:val="1"/>
                <w:szCs w:val="1"/>
                <w:color w:val="auto"/>
              </w:rPr>
            </w:pPr>
          </w:p>
        </w:tc>
      </w:tr>
      <w:tr>
        <w:trPr>
          <w:trHeight w:val="40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38"/>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368"/>
        </w:trPr>
        <w:tc>
          <w:tcPr>
            <w:tcW w:w="31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Amounts reclassified from AOCI, net of</w:t>
            </w: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3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income tax</w:t>
            </w:r>
          </w:p>
        </w:tc>
        <w:tc>
          <w:tcPr>
            <w:tcW w:w="120" w:type="dxa"/>
            <w:vAlign w:val="bottom"/>
          </w:tcPr>
          <w:p>
            <w:pPr>
              <w:spacing w:after="0"/>
              <w:rPr>
                <w:sz w:val="17"/>
                <w:szCs w:val="17"/>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4"/>
        </w:trPr>
        <w:tc>
          <w:tcPr>
            <w:tcW w:w="3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0"/>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0" w:type="dxa"/>
            <w:vAlign w:val="bottom"/>
          </w:tcPr>
          <w:p>
            <w:pPr>
              <w:spacing w:after="0"/>
              <w:rPr>
                <w:sz w:val="1"/>
                <w:szCs w:val="1"/>
                <w:color w:val="auto"/>
              </w:rPr>
            </w:pPr>
          </w:p>
        </w:tc>
      </w:tr>
      <w:tr>
        <w:trPr>
          <w:trHeight w:val="40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120" w:type="dxa"/>
            <w:vAlign w:val="bottom"/>
          </w:tcPr>
          <w:p>
            <w:pPr>
              <w:spacing w:after="0"/>
              <w:rPr>
                <w:sz w:val="24"/>
                <w:szCs w:val="24"/>
                <w:color w:val="auto"/>
              </w:rPr>
            </w:pP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0" w:type="dxa"/>
            <w:vAlign w:val="bottom"/>
          </w:tcPr>
          <w:p>
            <w:pPr>
              <w:spacing w:after="0"/>
              <w:rPr>
                <w:sz w:val="1"/>
                <w:szCs w:val="1"/>
                <w:color w:val="auto"/>
              </w:rPr>
            </w:pPr>
          </w:p>
        </w:tc>
      </w:tr>
      <w:tr>
        <w:trPr>
          <w:trHeight w:val="368"/>
        </w:trPr>
        <w:tc>
          <w:tcPr>
            <w:tcW w:w="31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AOCI before reclassifications, net of income</w:t>
            </w: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3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(3,789)</w:t>
            </w:r>
          </w:p>
        </w:tc>
        <w:tc>
          <w:tcPr>
            <w:tcW w:w="0" w:type="dxa"/>
            <w:vAlign w:val="bottom"/>
          </w:tcPr>
          <w:p>
            <w:pPr>
              <w:spacing w:after="0"/>
              <w:rPr>
                <w:sz w:val="1"/>
                <w:szCs w:val="1"/>
                <w:color w:val="auto"/>
              </w:rPr>
            </w:pPr>
          </w:p>
        </w:tc>
      </w:tr>
      <w:tr>
        <w:trPr>
          <w:trHeight w:val="37"/>
        </w:trPr>
        <w:tc>
          <w:tcPr>
            <w:tcW w:w="3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400"/>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38"/>
        </w:trPr>
        <w:tc>
          <w:tcPr>
            <w:tcW w:w="3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68"/>
        </w:trPr>
        <w:tc>
          <w:tcPr>
            <w:tcW w:w="31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Amounts reclassified from AOCI, net of</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31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income tax</w:t>
            </w:r>
          </w:p>
        </w:tc>
        <w:tc>
          <w:tcPr>
            <w:tcW w:w="12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424"/>
        </w:trPr>
        <w:tc>
          <w:tcPr>
            <w:tcW w:w="3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80" w:type="dxa"/>
            <w:vAlign w:val="bottom"/>
          </w:tcPr>
          <w:p>
            <w:pPr>
              <w:spacing w:after="0"/>
              <w:rPr>
                <w:sz w:val="24"/>
                <w:szCs w:val="24"/>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0" w:type="dxa"/>
            <w:vAlign w:val="bottom"/>
          </w:tcPr>
          <w:p>
            <w:pPr>
              <w:spacing w:after="0"/>
              <w:rPr>
                <w:sz w:val="1"/>
                <w:szCs w:val="1"/>
                <w:color w:val="auto"/>
              </w:rPr>
            </w:pPr>
          </w:p>
        </w:tc>
      </w:tr>
      <w:tr>
        <w:trPr>
          <w:trHeight w:val="26"/>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31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8 for information on offsets to investments related to future policy benefits.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OCI related to foreign currency translation and defined benefit plan gains and losses.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on amounts recorded to AOCI are also recognized in AOCI. These income tax effects are released from AOCI when the related activity is reclassified into results from operations.</w:t>
      </w:r>
    </w:p>
    <w:p>
      <w:pPr>
        <w:sectPr>
          <w:pgSz w:w="11900" w:h="16838" w:orient="portrait"/>
          <w:cols w:equalWidth="0" w:num="1">
            <w:col w:w="11240"/>
          </w:cols>
          <w:pgMar w:left="320" w:top="278" w:right="339" w:bottom="31"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7"/>
          <w:szCs w:val="17"/>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76835</wp:posOffset>
            </wp:positionV>
            <wp:extent cx="716026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Equity (continued)</w:t>
      </w:r>
    </w:p>
    <w:p>
      <w:pPr>
        <w:spacing w:after="0" w:line="200" w:lineRule="exact"/>
        <w:rPr>
          <w:sz w:val="20"/>
          <w:szCs w:val="20"/>
          <w:color w:val="auto"/>
        </w:rPr>
      </w:pPr>
    </w:p>
    <w:p>
      <w:pPr>
        <w:spacing w:after="0" w:line="3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amounts reclassified out of each component of AOCI was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w:t>
            </w:r>
          </w:p>
        </w:tc>
      </w:tr>
      <w:tr>
        <w:trPr>
          <w:trHeight w:val="186"/>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AOCI Components</w:t>
            </w:r>
          </w:p>
        </w:tc>
        <w:tc>
          <w:tcPr>
            <w:tcW w:w="240" w:type="dxa"/>
            <w:vAlign w:val="bottom"/>
          </w:tcPr>
          <w:p>
            <w:pPr>
              <w:spacing w:after="0"/>
              <w:rPr>
                <w:sz w:val="16"/>
                <w:szCs w:val="16"/>
                <w:color w:val="auto"/>
              </w:rPr>
            </w:pPr>
          </w:p>
        </w:tc>
        <w:tc>
          <w:tcPr>
            <w:tcW w:w="2980" w:type="dxa"/>
            <w:vAlign w:val="bottom"/>
            <w:gridSpan w:val="7"/>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Amounts Reclassified from AOCI</w:t>
            </w:r>
          </w:p>
        </w:tc>
        <w:tc>
          <w:tcPr>
            <w:tcW w:w="12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Locations</w:t>
            </w:r>
          </w:p>
        </w:tc>
      </w:tr>
      <w:tr>
        <w:trPr>
          <w:trHeight w:val="38"/>
        </w:trPr>
        <w:tc>
          <w:tcPr>
            <w:tcW w:w="5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gridSpan w:val="6"/>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r>
      <w:tr>
        <w:trPr>
          <w:trHeight w:val="393"/>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6"/>
          </w:tcPr>
          <w:p>
            <w:pPr>
              <w:jc w:val="center"/>
              <w:ind w:left="402"/>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8"/>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393"/>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8"/>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393"/>
        </w:trPr>
        <w:tc>
          <w:tcPr>
            <w:tcW w:w="5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8"/>
        </w:trPr>
        <w:tc>
          <w:tcPr>
            <w:tcW w:w="5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80" w:type="dxa"/>
            <w:vAlign w:val="bottom"/>
          </w:tcPr>
          <w:p>
            <w:pPr>
              <w:spacing w:after="0"/>
              <w:rPr>
                <w:sz w:val="3"/>
                <w:szCs w:val="3"/>
                <w:color w:val="auto"/>
              </w:rPr>
            </w:pPr>
          </w:p>
        </w:tc>
      </w:tr>
      <w:tr>
        <w:trPr>
          <w:trHeight w:val="45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r>
      <w:tr>
        <w:trPr>
          <w:trHeight w:val="448"/>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24"/>
                <w:szCs w:val="24"/>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(198)</w:t>
            </w:r>
          </w:p>
        </w:tc>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r>
      <w:tr>
        <w:trPr>
          <w:trHeight w:val="451"/>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derivative gains (losses)</w:t>
            </w:r>
          </w:p>
        </w:tc>
      </w:tr>
      <w:tr>
        <w:trPr>
          <w:trHeight w:val="437"/>
        </w:trPr>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unrealized investment gains (losses), before income tax</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(226)</w:t>
            </w:r>
          </w:p>
        </w:tc>
        <w:tc>
          <w:tcPr>
            <w:tcW w:w="2480" w:type="dxa"/>
            <w:vAlign w:val="bottom"/>
          </w:tcPr>
          <w:p>
            <w:pPr>
              <w:spacing w:after="0"/>
              <w:rPr>
                <w:sz w:val="24"/>
                <w:szCs w:val="24"/>
                <w:color w:val="auto"/>
              </w:rPr>
            </w:pPr>
          </w:p>
        </w:tc>
      </w:tr>
      <w:tr>
        <w:trPr>
          <w:trHeight w:val="457"/>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r>
      <w:tr>
        <w:trPr>
          <w:trHeight w:val="439"/>
        </w:trPr>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Net unrealized investment gains (losses), net of income tax</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(179)</w:t>
            </w:r>
          </w:p>
        </w:tc>
        <w:tc>
          <w:tcPr>
            <w:tcW w:w="2480" w:type="dxa"/>
            <w:vAlign w:val="bottom"/>
          </w:tcPr>
          <w:p>
            <w:pPr>
              <w:spacing w:after="0"/>
              <w:rPr>
                <w:sz w:val="24"/>
                <w:szCs w:val="24"/>
                <w:color w:val="auto"/>
              </w:rPr>
            </w:pPr>
          </w:p>
        </w:tc>
      </w:tr>
      <w:tr>
        <w:trPr>
          <w:trHeight w:val="437"/>
        </w:trPr>
        <w:tc>
          <w:tcPr>
            <w:tcW w:w="5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gains (losses) on derivatives - cash flow hedges:</w:t>
            </w: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80" w:type="dxa"/>
            <w:vAlign w:val="bottom"/>
            <w:tcBorders>
              <w:top w:val="single" w:sz="8" w:color="CCEEFF"/>
            </w:tcBorders>
            <w:shd w:val="clear" w:color="auto" w:fill="CCEEFF"/>
          </w:tcPr>
          <w:p>
            <w:pPr>
              <w:spacing w:after="0"/>
              <w:rPr>
                <w:sz w:val="24"/>
                <w:szCs w:val="24"/>
                <w:color w:val="auto"/>
              </w:rPr>
            </w:pPr>
          </w:p>
        </w:tc>
      </w:tr>
      <w:tr>
        <w:trPr>
          <w:trHeight w:val="448"/>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derivative gains (losses)</w:t>
            </w:r>
          </w:p>
        </w:tc>
      </w:tr>
      <w:tr>
        <w:trPr>
          <w:trHeight w:val="45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rate swaps</w:t>
            </w: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income</w:t>
            </w:r>
          </w:p>
        </w:tc>
      </w:tr>
      <w:tr>
        <w:trPr>
          <w:trHeight w:val="448"/>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swaps</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Net derivative gains (losses)</w:t>
            </w:r>
          </w:p>
        </w:tc>
      </w:tr>
      <w:tr>
        <w:trPr>
          <w:trHeight w:val="446"/>
        </w:trPr>
        <w:tc>
          <w:tcPr>
            <w:tcW w:w="54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Gains (losses) on cash flow hedges, before income tax</w:t>
            </w: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top w:val="single" w:sz="8" w:color="CCEEFF"/>
            </w:tcBorders>
            <w:shd w:val="clear" w:color="auto" w:fill="CCEEFF"/>
          </w:tcPr>
          <w:p>
            <w:pPr>
              <w:spacing w:after="0"/>
              <w:rPr>
                <w:sz w:val="24"/>
                <w:szCs w:val="24"/>
                <w:color w:val="auto"/>
              </w:rPr>
            </w:pPr>
          </w:p>
        </w:tc>
        <w:tc>
          <w:tcPr>
            <w:tcW w:w="2480" w:type="dxa"/>
            <w:vAlign w:val="bottom"/>
            <w:tcBorders>
              <w:top w:val="single" w:sz="8" w:color="CCEEFF"/>
            </w:tcBorders>
            <w:shd w:val="clear" w:color="auto" w:fill="CCEEFF"/>
          </w:tcPr>
          <w:p>
            <w:pPr>
              <w:spacing w:after="0"/>
              <w:rPr>
                <w:sz w:val="24"/>
                <w:szCs w:val="24"/>
                <w:color w:val="auto"/>
              </w:rPr>
            </w:pPr>
          </w:p>
        </w:tc>
      </w:tr>
      <w:tr>
        <w:trPr>
          <w:trHeight w:val="448"/>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(2)</w:t>
            </w:r>
          </w:p>
        </w:tc>
        <w:tc>
          <w:tcPr>
            <w:tcW w:w="2480" w:type="dxa"/>
            <w:vAlign w:val="bottom"/>
          </w:tcPr>
          <w:p>
            <w:pPr>
              <w:spacing w:after="0"/>
              <w:rPr>
                <w:sz w:val="24"/>
                <w:szCs w:val="24"/>
                <w:color w:val="auto"/>
              </w:rPr>
            </w:pPr>
          </w:p>
        </w:tc>
      </w:tr>
      <w:tr>
        <w:trPr>
          <w:trHeight w:val="446"/>
        </w:trPr>
        <w:tc>
          <w:tcPr>
            <w:tcW w:w="542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Gains (losses) on cash flow hedges, net of income tax</w:t>
            </w:r>
          </w:p>
        </w:tc>
        <w:tc>
          <w:tcPr>
            <w:tcW w:w="24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top w:val="single" w:sz="8" w:color="CCEEFF"/>
            </w:tcBorders>
            <w:shd w:val="clear" w:color="auto" w:fill="CCEEFF"/>
          </w:tcPr>
          <w:p>
            <w:pPr>
              <w:spacing w:after="0"/>
              <w:rPr>
                <w:sz w:val="24"/>
                <w:szCs w:val="24"/>
                <w:color w:val="auto"/>
              </w:rPr>
            </w:pPr>
          </w:p>
        </w:tc>
        <w:tc>
          <w:tcPr>
            <w:tcW w:w="2480" w:type="dxa"/>
            <w:vAlign w:val="bottom"/>
            <w:tcBorders>
              <w:top w:val="single" w:sz="8" w:color="CCEEFF"/>
            </w:tcBorders>
            <w:shd w:val="clear" w:color="auto" w:fill="CCEEFF"/>
          </w:tcPr>
          <w:p>
            <w:pPr>
              <w:spacing w:after="0"/>
              <w:rPr>
                <w:sz w:val="24"/>
                <w:szCs w:val="24"/>
                <w:color w:val="auto"/>
              </w:rPr>
            </w:pPr>
          </w:p>
        </w:tc>
      </w:tr>
      <w:tr>
        <w:trPr>
          <w:trHeight w:val="441"/>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Defined benefit plans adjustment:</w:t>
            </w: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7"/>
        </w:trPr>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r>
      <w:tr>
        <w:trPr>
          <w:trHeight w:val="240"/>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actuarial gains (losses)</w:t>
            </w:r>
          </w:p>
        </w:tc>
        <w:tc>
          <w:tcPr>
            <w:tcW w:w="2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r>
      <w:tr>
        <w:trPr>
          <w:trHeight w:val="437"/>
        </w:trPr>
        <w:tc>
          <w:tcPr>
            <w:tcW w:w="54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of defined benefit plans, before income tax</w:t>
            </w: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gridSpan w:val="2"/>
          </w:tcPr>
          <w:p>
            <w:pPr>
              <w:jc w:val="right"/>
              <w:ind w:right="61"/>
              <w:spacing w:after="0"/>
              <w:rPr>
                <w:sz w:val="20"/>
                <w:szCs w:val="20"/>
                <w:color w:val="auto"/>
              </w:rPr>
            </w:pPr>
            <w:r>
              <w:rPr>
                <w:rFonts w:ascii="Times New Roman" w:cs="Times New Roman" w:eastAsia="Times New Roman" w:hAnsi="Times New Roman"/>
                <w:sz w:val="16"/>
                <w:szCs w:val="16"/>
                <w:color w:val="auto"/>
              </w:rPr>
              <w:t>(7)</w:t>
            </w:r>
          </w:p>
        </w:tc>
        <w:tc>
          <w:tcPr>
            <w:tcW w:w="2480" w:type="dxa"/>
            <w:vAlign w:val="bottom"/>
          </w:tcPr>
          <w:p>
            <w:pPr>
              <w:spacing w:after="0"/>
              <w:rPr>
                <w:sz w:val="24"/>
                <w:szCs w:val="24"/>
                <w:color w:val="auto"/>
              </w:rPr>
            </w:pPr>
          </w:p>
        </w:tc>
      </w:tr>
      <w:tr>
        <w:trPr>
          <w:trHeight w:val="453"/>
        </w:trPr>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2480" w:type="dxa"/>
            <w:vAlign w:val="bottom"/>
            <w:shd w:val="clear" w:color="auto" w:fill="CCEEFF"/>
          </w:tcPr>
          <w:p>
            <w:pPr>
              <w:spacing w:after="0"/>
              <w:rPr>
                <w:sz w:val="24"/>
                <w:szCs w:val="24"/>
                <w:color w:val="auto"/>
              </w:rPr>
            </w:pPr>
          </w:p>
        </w:tc>
      </w:tr>
      <w:tr>
        <w:trPr>
          <w:trHeight w:val="444"/>
        </w:trPr>
        <w:tc>
          <w:tcPr>
            <w:tcW w:w="54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6"/>
                <w:szCs w:val="16"/>
                <w:color w:val="auto"/>
              </w:rPr>
              <w:t>Amortization of defined benefit plans, net of income tax</w:t>
            </w: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24"/>
                <w:szCs w:val="24"/>
                <w:color w:val="auto"/>
              </w:rPr>
            </w:pPr>
          </w:p>
        </w:tc>
        <w:tc>
          <w:tcPr>
            <w:tcW w:w="2480" w:type="dxa"/>
            <w:vAlign w:val="bottom"/>
            <w:tcBorders>
              <w:bottom w:val="single" w:sz="8" w:color="CCEEFF"/>
            </w:tcBorders>
          </w:tcPr>
          <w:p>
            <w:pPr>
              <w:spacing w:after="0"/>
              <w:rPr>
                <w:sz w:val="24"/>
                <w:szCs w:val="24"/>
                <w:color w:val="auto"/>
              </w:rPr>
            </w:pPr>
          </w:p>
        </w:tc>
      </w:tr>
      <w:tr>
        <w:trPr>
          <w:trHeight w:val="470"/>
        </w:trPr>
        <w:tc>
          <w:tcPr>
            <w:tcW w:w="5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reclassifications, net of income tax</w:t>
            </w: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(176)</w:t>
            </w:r>
          </w:p>
        </w:tc>
        <w:tc>
          <w:tcPr>
            <w:tcW w:w="2480" w:type="dxa"/>
            <w:vAlign w:val="bottom"/>
            <w:shd w:val="clear" w:color="auto" w:fill="CCEEFF"/>
          </w:tcPr>
          <w:p>
            <w:pPr>
              <w:spacing w:after="0"/>
              <w:rPr>
                <w:sz w:val="24"/>
                <w:szCs w:val="24"/>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Other Revenues and Other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Other revenues included 12b-1 fees of $261 million, $272 million and $266 million for the years ended December 31, 2025, 2024 and 2023, respectively, of which substantially all were reported in the Annuities segment.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60" w:type="dxa"/>
            <w:vAlign w:val="bottom"/>
            <w:gridSpan w:val="6"/>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72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8"/>
        </w:trPr>
        <w:tc>
          <w:tcPr>
            <w:tcW w:w="722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7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7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80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441"/>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0" w:type="dxa"/>
            <w:vAlign w:val="bottom"/>
          </w:tcPr>
          <w:p>
            <w:pPr>
              <w:spacing w:after="0"/>
              <w:rPr>
                <w:sz w:val="1"/>
                <w:szCs w:val="1"/>
                <w:color w:val="auto"/>
              </w:rPr>
            </w:pPr>
          </w:p>
        </w:tc>
      </w:tr>
      <w:tr>
        <w:trPr>
          <w:trHeight w:val="46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441"/>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46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fees</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441"/>
        </w:trPr>
        <w:tc>
          <w:tcPr>
            <w:tcW w:w="7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8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0" w:type="dxa"/>
            <w:vAlign w:val="bottom"/>
          </w:tcPr>
          <w:p>
            <w:pPr>
              <w:spacing w:after="0"/>
              <w:rPr>
                <w:sz w:val="1"/>
                <w:szCs w:val="1"/>
                <w:color w:val="auto"/>
              </w:rPr>
            </w:pPr>
          </w:p>
        </w:tc>
      </w:tr>
      <w:tr>
        <w:trPr>
          <w:trHeight w:val="460"/>
        </w:trPr>
        <w:tc>
          <w:tcPr>
            <w:tcW w:w="7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8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444"/>
        </w:trPr>
        <w:tc>
          <w:tcPr>
            <w:tcW w:w="7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475"/>
        </w:trPr>
        <w:tc>
          <w:tcPr>
            <w:tcW w:w="7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other expenses</w:t>
            </w:r>
          </w:p>
        </w:tc>
        <w:tc>
          <w:tcPr>
            <w:tcW w:w="800" w:type="dxa"/>
            <w:vAlign w:val="bottom"/>
            <w:tcBorders>
              <w:bottom w:val="single" w:sz="8" w:color="auto"/>
            </w:tcBorders>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20"/>
        </w:trPr>
        <w:tc>
          <w:tcPr>
            <w:tcW w:w="7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DAC</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72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See Note 6 for additional information on the capitalization of DAC.</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2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on Debt</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2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See Note 11 for attribution of interest expense by debt issuance.</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Employee Benefit Plans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BHF Active Defined Contribution Plans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Brighthouse Services sponsors qualified and non-qualified defined contribution plans. For the years ended December 31, 2025, 2024 and 2023, the total employer contributions for the qualified defined contribution plan were $20 million, $20 million and $19 million, respectively, and the total (benefit) expense recognition for the non-qualified defined contribution plans were $13 million, $10 million and $9 million, respectively, all of which are reported in other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NELICO Legacy Pension and Other Unfunded Benefit Plans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NELICO sponsors both a qualified and a non-qualified defined benefit pension plan, a postretirement plan and other unfunded benefit plans. These pension and other unfunded benefit plans were amended to cease benefit accruals and are closed to new entrants. The qualified defined benefit pension plan had an accumulated benefit obligation of $122 million at both December 31, 2025 and 2024. This plan was fully funded with assets in excess of the accumulated benefit obligation of $7 million and $5 million at December 31, 2025 and 2024, respectively. The Company did not make any employer contributions to this qualified plan during 2025 or 2024.</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non-qualified defined benefit pension plan and the postretirement plan had a combined accumulated benefit obligation totaling $71 million and $75 million at December 31, 2025 and 2024, respectively. These amounts are unfunded.</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other unfunded benefit plans consist primarily of deferred compensation due to former agents which represent general unsecured liabilities of NELICO. The amounts due under these other unfunded benefit plans were $58 million at both December 31, 2025 and 2024.</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Although NELICO remains the legal obligor for these plans, an employee matters agreement (“EMA”) exists between BHF and MetLife, whereby MetLife has agreed to reimburse BHF for the obligations under the non-qualified and other unfunded plans as payments are made. BHF established a receivable in the amount of the unfunded obligations due under these plans. MetLife is required to annually reimburse BHF for each prior year’s benefit payments, claims and premiums under the NELICO plans that are listed in the EMA. The Company’s receivable under the EMA for future total estimated benefit payments, claims and premiums was $142 million and $151 million at December 31, 2025 and 2024, respectively. The receivable is reported in premiums, reinsurance and other receivables. Increases and decreases to the EMA receivable are reported in other revenues.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provision for income tax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6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66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1"/>
        </w:trPr>
        <w:tc>
          <w:tcPr>
            <w:tcW w:w="6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8"/>
        </w:trPr>
        <w:tc>
          <w:tcPr>
            <w:tcW w:w="6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1040" w:type="dxa"/>
            <w:vAlign w:val="bottom"/>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local</w:t>
            </w: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03"/>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Subtotal</w:t>
            </w:r>
          </w:p>
        </w:tc>
        <w:tc>
          <w:tcPr>
            <w:tcW w:w="10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19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w:t>
            </w:r>
          </w:p>
        </w:tc>
        <w:tc>
          <w:tcPr>
            <w:tcW w:w="10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0"/>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Federal</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232"/>
        </w:trPr>
        <w:tc>
          <w:tcPr>
            <w:tcW w:w="66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the income tax provision at the statutory tax rate to the provision for income tax as reported was as follows: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4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4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4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jc w:val="center"/>
              <w:ind w:right="380"/>
              <w:spacing w:after="0" w:line="128" w:lineRule="exact"/>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1"/>
                <w:szCs w:val="11"/>
                <w:color w:val="auto"/>
              </w:rPr>
            </w:pPr>
          </w:p>
        </w:tc>
        <w:tc>
          <w:tcPr>
            <w:tcW w:w="1200" w:type="dxa"/>
            <w:vAlign w:val="bottom"/>
            <w:gridSpan w:val="3"/>
          </w:tcPr>
          <w:p>
            <w:pPr>
              <w:ind w:left="160"/>
              <w:spacing w:after="0" w:line="128" w:lineRule="exact"/>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40" w:type="dxa"/>
            <w:vAlign w:val="bottom"/>
          </w:tcPr>
          <w:p>
            <w:pPr>
              <w:spacing w:after="0"/>
              <w:rPr>
                <w:sz w:val="11"/>
                <w:szCs w:val="11"/>
                <w:color w:val="auto"/>
              </w:rPr>
            </w:pPr>
          </w:p>
        </w:tc>
        <w:tc>
          <w:tcPr>
            <w:tcW w:w="1240" w:type="dxa"/>
            <w:vAlign w:val="bottom"/>
            <w:gridSpan w:val="3"/>
          </w:tcPr>
          <w:p>
            <w:pPr>
              <w:jc w:val="center"/>
              <w:ind w:right="420"/>
              <w:spacing w:after="0" w:line="128" w:lineRule="exact"/>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statutory tax rate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local income taxes, net of federal income tax effect (1)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tax credits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General business tax credits</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120" w:type="dxa"/>
            <w:vAlign w:val="bottom"/>
          </w:tcPr>
          <w:p>
            <w:pPr>
              <w:spacing w:after="0"/>
              <w:rPr>
                <w:sz w:val="18"/>
                <w:szCs w:val="18"/>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Nontaxable or nondeductible items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received deduction</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advantaged investment income</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Merger related costs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Nondeductible compensation</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tcPr>
          <w:p>
            <w:pPr>
              <w:spacing w:after="0"/>
              <w:rPr>
                <w:sz w:val="18"/>
                <w:szCs w:val="18"/>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unrecognized tax benefits</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reconciling items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deferred tax</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0"/>
        </w:trPr>
        <w:tc>
          <w:tcPr>
            <w:tcW w:w="4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Resolution of prior years</w:t>
            </w:r>
          </w:p>
        </w:tc>
        <w:tc>
          <w:tcPr>
            <w:tcW w:w="120" w:type="dxa"/>
            <w:vAlign w:val="bottom"/>
          </w:tcPr>
          <w:p>
            <w:pPr>
              <w:spacing w:after="0"/>
              <w:rPr>
                <w:sz w:val="18"/>
                <w:szCs w:val="18"/>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12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07"/>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11" w:lineRule="exact"/>
        <w:rPr>
          <w:sz w:val="20"/>
          <w:szCs w:val="20"/>
          <w:color w:val="auto"/>
        </w:rPr>
      </w:pPr>
    </w:p>
    <w:p>
      <w:pPr>
        <w:ind w:left="320" w:hanging="314"/>
        <w:spacing w:after="0" w:line="274" w:lineRule="auto"/>
        <w:tabs>
          <w:tab w:leader="none" w:pos="31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income taxes in North Carolina, New York, and Florida for 2025, North Carolina, Florida, and Pennsylvania for 2024, and North Carolina, South Carolina, and Pennsylvania for 2023 made up the majority (greater than 50%)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 (continued)</w:t>
      </w:r>
    </w:p>
    <w:p>
      <w:pPr>
        <w:spacing w:after="0" w:line="200" w:lineRule="exact"/>
        <w:rPr>
          <w:sz w:val="20"/>
          <w:szCs w:val="20"/>
          <w:color w:val="auto"/>
        </w:rPr>
      </w:pPr>
    </w:p>
    <w:p>
      <w:pPr>
        <w:spacing w:after="0" w:line="33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income taxes paid (net of refunds) by jurisdiction for the years ended December 31, 2025, 2024, and 2023, as reported in the Consolidated Statements of Cash Flows,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02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5"/>
        </w:trPr>
        <w:tc>
          <w:tcPr>
            <w:tcW w:w="6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08"/>
        </w:trPr>
        <w:tc>
          <w:tcPr>
            <w:tcW w:w="6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Federal</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North Carolina</w:t>
            </w: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4"/>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Florida</w:t>
            </w: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4"/>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South Carolina</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5"/>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Pennsylvania</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Jersey</w:t>
            </w:r>
          </w:p>
        </w:tc>
        <w:tc>
          <w:tcPr>
            <w:tcW w:w="9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California</w:t>
            </w: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New York City, NY</w:t>
            </w: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0"/>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Massachusetts</w:t>
            </w:r>
          </w:p>
        </w:tc>
        <w:tc>
          <w:tcPr>
            <w:tcW w:w="9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7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Jurisdictions (1)</w:t>
            </w:r>
          </w:p>
        </w:tc>
        <w:tc>
          <w:tcPr>
            <w:tcW w:w="96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7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bottom w:val="single" w:sz="8" w:color="auto"/>
            </w:tcBorders>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right="3360" w:firstLine="6"/>
        <w:spacing w:after="0" w:line="397" w:lineRule="auto"/>
        <w:tabs>
          <w:tab w:leader="none" w:pos="31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all jurisdictions in which the amount of taxes paid does not meet the 5% disaggregation threshold. * The amount of taxes paid does not meet the 5% threshold for disaggregation.</w:t>
      </w:r>
    </w:p>
    <w:p>
      <w:pPr>
        <w:spacing w:after="0" w:line="29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Deferred income tax represents the tax effect of the differences between the book and tax bases of assets and liabilities. Net deferred income tax assets and liabilities consisted of the following at: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8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Pr>
          <w:p>
            <w:pPr>
              <w:spacing w:after="0"/>
              <w:rPr>
                <w:sz w:val="16"/>
                <w:szCs w:val="16"/>
                <w:color w:val="auto"/>
              </w:rPr>
            </w:pPr>
          </w:p>
        </w:tc>
      </w:tr>
      <w:tr>
        <w:trPr>
          <w:trHeight w:val="38"/>
        </w:trPr>
        <w:tc>
          <w:tcPr>
            <w:tcW w:w="8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8"/>
        </w:trPr>
        <w:tc>
          <w:tcPr>
            <w:tcW w:w="82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3"/>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81"/>
        </w:trPr>
        <w:tc>
          <w:tcPr>
            <w:tcW w:w="8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8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5"/>
                <w:szCs w:val="15"/>
                <w:color w:val="auto"/>
              </w:rPr>
            </w:pPr>
          </w:p>
        </w:tc>
      </w:tr>
      <w:tr>
        <w:trPr>
          <w:trHeight w:val="38"/>
        </w:trPr>
        <w:tc>
          <w:tcPr>
            <w:tcW w:w="822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assets: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unrealized investment losses</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including derivatives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carryforwards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benefits</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07"/>
        </w:trPr>
        <w:tc>
          <w:tcPr>
            <w:tcW w:w="82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deferred income tax assets</w:t>
            </w:r>
          </w:p>
        </w:tc>
        <w:tc>
          <w:tcPr>
            <w:tcW w:w="9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3,973</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3,699</w:t>
            </w:r>
          </w:p>
        </w:tc>
      </w:tr>
      <w:tr>
        <w:trPr>
          <w:trHeight w:val="21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Valuation allowance</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8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net deferred income tax assets</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w:t>
            </w:r>
          </w:p>
        </w:tc>
      </w:tr>
      <w:tr>
        <w:trPr>
          <w:trHeight w:val="19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9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liabilities and receivables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DAC</w:t>
            </w:r>
          </w:p>
        </w:tc>
        <w:tc>
          <w:tcPr>
            <w:tcW w:w="9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deferred income tax liabilities</w:t>
            </w:r>
          </w:p>
        </w:tc>
        <w:tc>
          <w:tcPr>
            <w:tcW w:w="9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w:t>
            </w:r>
          </w:p>
        </w:tc>
      </w:tr>
      <w:tr>
        <w:trPr>
          <w:trHeight w:val="232"/>
        </w:trPr>
        <w:tc>
          <w:tcPr>
            <w:tcW w:w="8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deferred income tax asset (liability)</w:t>
            </w: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 (continued)</w:t>
      </w:r>
    </w:p>
    <w:p>
      <w:pPr>
        <w:spacing w:after="0" w:line="200" w:lineRule="exact"/>
        <w:rPr>
          <w:sz w:val="20"/>
          <w:szCs w:val="20"/>
          <w:color w:val="auto"/>
        </w:rPr>
      </w:pPr>
    </w:p>
    <w:p>
      <w:pPr>
        <w:spacing w:after="0" w:line="3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net operating loss carryforwards for tax purposes at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Net Operating Loss</w:t>
            </w:r>
          </w:p>
        </w:tc>
      </w:tr>
      <w:tr>
        <w:trPr>
          <w:trHeight w:val="191"/>
        </w:trPr>
        <w:tc>
          <w:tcPr>
            <w:tcW w:w="9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85"/>
              <w:spacing w:after="0"/>
              <w:rPr>
                <w:sz w:val="20"/>
                <w:szCs w:val="20"/>
                <w:color w:val="auto"/>
              </w:rPr>
            </w:pPr>
            <w:r>
              <w:rPr>
                <w:rFonts w:ascii="Times New Roman" w:cs="Times New Roman" w:eastAsia="Times New Roman" w:hAnsi="Times New Roman"/>
                <w:sz w:val="14"/>
                <w:szCs w:val="14"/>
                <w:b w:val="1"/>
                <w:bCs w:val="1"/>
                <w:color w:val="auto"/>
              </w:rPr>
              <w:t>Carryforwards</w:t>
            </w:r>
          </w:p>
        </w:tc>
      </w:tr>
      <w:tr>
        <w:trPr>
          <w:trHeight w:val="187"/>
        </w:trPr>
        <w:tc>
          <w:tcPr>
            <w:tcW w:w="9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9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00" w:type="dxa"/>
            <w:vAlign w:val="bottom"/>
          </w:tcPr>
          <w:p>
            <w:pPr>
              <w:spacing w:after="0"/>
              <w:rPr>
                <w:sz w:val="3"/>
                <w:szCs w:val="3"/>
                <w:color w:val="auto"/>
              </w:rPr>
            </w:pPr>
          </w:p>
        </w:tc>
      </w:tr>
      <w:tr>
        <w:trPr>
          <w:trHeight w:val="21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0"/>
        </w:trPr>
        <w:tc>
          <w:tcPr>
            <w:tcW w:w="9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2032-2037</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w:t>
            </w:r>
          </w:p>
        </w:tc>
      </w:tr>
      <w:tr>
        <w:trPr>
          <w:trHeight w:val="212"/>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w:t>
            </w:r>
          </w:p>
        </w:tc>
        <w:tc>
          <w:tcPr>
            <w:tcW w:w="2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9,214</w:t>
            </w:r>
          </w:p>
        </w:tc>
      </w:tr>
      <w:tr>
        <w:trPr>
          <w:trHeight w:val="205"/>
        </w:trPr>
        <w:tc>
          <w:tcPr>
            <w:tcW w:w="9300" w:type="dxa"/>
            <w:vAlign w:val="bottom"/>
          </w:tcPr>
          <w:p>
            <w:pPr>
              <w:spacing w:after="0"/>
              <w:rPr>
                <w:sz w:val="17"/>
                <w:szCs w:val="17"/>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11,157</w:t>
            </w:r>
          </w:p>
        </w:tc>
      </w:tr>
      <w:tr>
        <w:trPr>
          <w:trHeight w:val="22"/>
        </w:trPr>
        <w:tc>
          <w:tcPr>
            <w:tcW w:w="9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general business credits and foreign tax credits available for carryforward for tax purposes at December 31, 2025.</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52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Tax Credit Carryforwards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220" w:type="dxa"/>
            <w:vAlign w:val="bottom"/>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8220" w:type="dxa"/>
            <w:vAlign w:val="bottom"/>
          </w:tcPr>
          <w:p>
            <w:pPr>
              <w:spacing w:after="0"/>
              <w:rPr>
                <w:sz w:val="10"/>
                <w:szCs w:val="10"/>
                <w:color w:val="auto"/>
              </w:rPr>
            </w:pPr>
          </w:p>
        </w:tc>
        <w:tc>
          <w:tcPr>
            <w:tcW w:w="1560" w:type="dxa"/>
            <w:vAlign w:val="bottom"/>
            <w:gridSpan w:val="3"/>
          </w:tcPr>
          <w:p>
            <w:pPr>
              <w:ind w:left="220"/>
              <w:spacing w:after="0" w:line="126" w:lineRule="exact"/>
              <w:rPr>
                <w:sz w:val="20"/>
                <w:szCs w:val="20"/>
                <w:color w:val="auto"/>
              </w:rPr>
            </w:pPr>
            <w:r>
              <w:rPr>
                <w:rFonts w:ascii="Times New Roman" w:cs="Times New Roman" w:eastAsia="Times New Roman" w:hAnsi="Times New Roman"/>
                <w:sz w:val="14"/>
                <w:szCs w:val="14"/>
                <w:b w:val="1"/>
                <w:bCs w:val="1"/>
                <w:color w:val="auto"/>
              </w:rPr>
              <w:t>General Business</w:t>
            </w:r>
          </w:p>
        </w:tc>
        <w:tc>
          <w:tcPr>
            <w:tcW w:w="1460" w:type="dxa"/>
            <w:vAlign w:val="bottom"/>
            <w:gridSpan w:val="2"/>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Foreign Tax Credits</w:t>
            </w:r>
          </w:p>
        </w:tc>
        <w:tc>
          <w:tcPr>
            <w:tcW w:w="0" w:type="dxa"/>
            <w:vAlign w:val="bottom"/>
          </w:tcPr>
          <w:p>
            <w:pPr>
              <w:spacing w:after="0"/>
              <w:rPr>
                <w:sz w:val="1"/>
                <w:szCs w:val="1"/>
                <w:color w:val="auto"/>
              </w:rPr>
            </w:pPr>
          </w:p>
        </w:tc>
      </w:tr>
      <w:tr>
        <w:trPr>
          <w:trHeight w:val="192"/>
        </w:trPr>
        <w:tc>
          <w:tcPr>
            <w:tcW w:w="8220" w:type="dxa"/>
            <w:vAlign w:val="bottom"/>
          </w:tcPr>
          <w:p>
            <w:pPr>
              <w:spacing w:after="0"/>
              <w:rPr>
                <w:sz w:val="16"/>
                <w:szCs w:val="16"/>
                <w:color w:val="auto"/>
              </w:rPr>
            </w:pPr>
          </w:p>
        </w:tc>
        <w:tc>
          <w:tcPr>
            <w:tcW w:w="104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4"/>
                <w:szCs w:val="14"/>
                <w:b w:val="1"/>
                <w:bCs w:val="1"/>
                <w:color w:val="auto"/>
              </w:rPr>
              <w:t>Credits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8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80" w:type="dxa"/>
            <w:vAlign w:val="bottom"/>
            <w:gridSpan w:val="3"/>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8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2"/>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2028-2032</w:t>
            </w:r>
          </w:p>
        </w:tc>
        <w:tc>
          <w:tcPr>
            <w:tcW w:w="1040" w:type="dxa"/>
            <w:vAlign w:val="bottom"/>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14"/>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2033-2037</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2038-2042</w:t>
            </w:r>
          </w:p>
        </w:tc>
        <w:tc>
          <w:tcPr>
            <w:tcW w:w="10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866"/>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was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8"/>
        </w:trPr>
        <w:tc>
          <w:tcPr>
            <w:tcW w:w="66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380"/>
        </w:trPr>
        <w:tc>
          <w:tcPr>
            <w:tcW w:w="6660" w:type="dxa"/>
            <w:vAlign w:val="bottom"/>
          </w:tcPr>
          <w:p>
            <w:pPr>
              <w:spacing w:after="0"/>
              <w:rPr>
                <w:sz w:val="24"/>
                <w:szCs w:val="24"/>
                <w:color w:val="auto"/>
              </w:rPr>
            </w:pPr>
          </w:p>
        </w:tc>
        <w:tc>
          <w:tcPr>
            <w:tcW w:w="104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666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380"/>
        </w:trPr>
        <w:tc>
          <w:tcPr>
            <w:tcW w:w="6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8"/>
        </w:trPr>
        <w:tc>
          <w:tcPr>
            <w:tcW w:w="6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w:t>
            </w: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for tax positions of prior years</w:t>
            </w:r>
          </w:p>
        </w:tc>
        <w:tc>
          <w:tcPr>
            <w:tcW w:w="10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tax positions of prior years</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Additions for tax positions of current year</w:t>
            </w:r>
          </w:p>
        </w:tc>
        <w:tc>
          <w:tcPr>
            <w:tcW w:w="10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tax positions of current year</w:t>
            </w: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Settlements with tax authorities</w:t>
            </w:r>
          </w:p>
        </w:tc>
        <w:tc>
          <w:tcPr>
            <w:tcW w:w="1040" w:type="dxa"/>
            <w:vAlign w:val="bottom"/>
          </w:tcPr>
          <w:p>
            <w:pPr>
              <w:spacing w:after="0"/>
              <w:rPr>
                <w:sz w:val="18"/>
                <w:szCs w:val="18"/>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Lapses of statutes of limitations</w:t>
            </w:r>
          </w:p>
        </w:tc>
        <w:tc>
          <w:tcPr>
            <w:tcW w:w="10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w:t>
            </w:r>
          </w:p>
        </w:tc>
        <w:tc>
          <w:tcPr>
            <w:tcW w:w="1040" w:type="dxa"/>
            <w:vAlign w:val="bottom"/>
            <w:tcBorders>
              <w:bottom w:val="single" w:sz="8" w:color="auto"/>
            </w:tcBorders>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0"/>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tax benefits that, if recognized would impact the effective rate</w:t>
            </w:r>
          </w:p>
        </w:tc>
        <w:tc>
          <w:tcPr>
            <w:tcW w:w="1040" w:type="dxa"/>
            <w:vAlign w:val="bottom"/>
            <w:tcBorders>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classifies interest accrued related to unrecognized tax benefits in interest expense, included in other expenses, while penalties are included in income tax expense. Interest and penalties related to unrecognized tax benefits were not significant.</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is subject to examination by the Internal Revenue Service and other tax authorities in jurisdictions in which the Company has significant business operations. The income tax years under examination vary by jurisdiction and subsidiary. The Company is no longer subject to federal, state or local income tax examinations for years prior to 2017.</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Management believes it has established adequate tax liabilities, and final resolution of any examinations for the years 2017 and forward and any pending issues are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 (continued)</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Sharing Agreements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periods prior to the Separation, BHF and certain of its subsidiaries filed a consolidated federal income tax return with MetLife, Inc. and its insurance and non-insurance subsidiaries. Current taxes (and the benefits of tax attributes such as losses) are allocated to BHF, and its includable subsidiaries, under a tax sharing agreement with MetLife, Inc. This tax sharing agreement states that federal taxes are computed on a modified separate return basis with benefits for losses.</w:t>
      </w:r>
    </w:p>
    <w:p>
      <w:pPr>
        <w:spacing w:after="0" w:line="7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For periods after the Separation through the year ended December 31, 2022, Brighthouse Financial entered into two separate tax sharing agreements. Brighthouse Life Insurance Company, BHNY and BRCD entered into a tax sharing agreement to join a consolidated federal income tax return. BHF and certain of its non-insurance subsidiaries entered into a tax sharing agreement to join a consolidated federal income tax return. The tax sharing agreements state that federal taxes are computed on a modified separate return basis with benefit for losses. NELICO and the non-insurance subsidiaries of Brighthouse Life Insurance Company filed their own federal income tax returns.</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periods beginning with the year ended December 31, 2023, BHF and certain of its subsidiaries, including its insurance and reinsurance subsidiaries, file a consolidated federal income tax return. In furtherance thereof, such parties joined a single tax sharing agreement, pursuant to which federal taxes are computed on a modified separate return basis with benefits for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Transactions with Former Parent</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Separation, the Company entered into a tax receivables agreement (the “Tax Receivables Agreement”) with MetLife that provides MetLife with the right to receive, as partial consideration for its contribution of assets to BHF, future payments from BHF equal to 86% of the amount of cash savings, if any, in federal income tax that Brighthouse Financial actually, or is deemed to, realize as a result of the utilization of BHF and its subsidiaries’ net operating losses, capital losses, tax basis and amortization or depreciation deductions in respect of certain tax benefits it may realize as a result of certain transactions involved in the Separation. In connection with the Tax Receivables Agreement, the Company has a payable to MetLife of $328 million at both December 31, 2025 and 2024 reported in other liabilities, which would be accelerated upon closing of the Merger.</w:t>
      </w:r>
    </w:p>
    <w:p>
      <w:pPr>
        <w:spacing w:after="0" w:line="79"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also entered into a tax separation agreement with MetLife (the “Tax Separation Agreement”). Among other things, the Tax Separation Agreement governs the allocation between MetLife and the Company of the responsibility for the taxes of the MetLife group. The Tax Separation Agreement also allocates rights, obligations and responsibilities in connection with certain administrative matters relating to the preparation of tax returns and control of tax audits and other proceedings relating to taxes. For the years ended December 31, 2025, 2024 and 2023, no payments were made by MetLife or Brighthouse Financial under the Tax Separation Agreement. At December 31, 2025 and 2024, there was a current income tax receivable of $17 million and $16 million, respectively, related to this agreement.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Earnings Per Common Share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calculation of earnings per common share was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5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8"/>
        </w:trPr>
        <w:tc>
          <w:tcPr>
            <w:tcW w:w="63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393"/>
        </w:trPr>
        <w:tc>
          <w:tcPr>
            <w:tcW w:w="6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63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520" w:type="dxa"/>
            <w:vAlign w:val="bottom"/>
            <w:tcBorders>
              <w:bottom w:val="single" w:sz="8" w:color="auto"/>
            </w:tcBorders>
            <w:gridSpan w:val="6"/>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393"/>
        </w:trPr>
        <w:tc>
          <w:tcPr>
            <w:tcW w:w="6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520" w:type="dxa"/>
            <w:vAlign w:val="bottom"/>
            <w:gridSpan w:val="6"/>
          </w:tcPr>
          <w:p>
            <w:pPr>
              <w:jc w:val="center"/>
              <w:ind w:left="543"/>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1000" w:type="dxa"/>
            <w:vAlign w:val="bottom"/>
          </w:tcPr>
          <w:p>
            <w:pPr>
              <w:spacing w:after="0"/>
              <w:rPr>
                <w:sz w:val="24"/>
                <w:szCs w:val="24"/>
                <w:color w:val="auto"/>
              </w:rPr>
            </w:pPr>
          </w:p>
        </w:tc>
      </w:tr>
      <w:tr>
        <w:trPr>
          <w:trHeight w:val="38"/>
        </w:trPr>
        <w:tc>
          <w:tcPr>
            <w:tcW w:w="6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471"/>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8"/>
        </w:trPr>
        <w:tc>
          <w:tcPr>
            <w:tcW w:w="6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51"/>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57,526,188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61,199,247</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66,013,645</w:t>
            </w:r>
          </w:p>
        </w:tc>
      </w:tr>
      <w:tr>
        <w:trPr>
          <w:trHeight w:val="444"/>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Dilutive effect of share-based awards</w:t>
            </w: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413,591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401,135</w:t>
            </w: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75"/>
        </w:trPr>
        <w:tc>
          <w:tcPr>
            <w:tcW w:w="6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57,939,779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61,600,382</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66,013,645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5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450"/>
        </w:trPr>
        <w:tc>
          <w:tcPr>
            <w:tcW w:w="6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Basic</w:t>
            </w: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24"/>
                <w:szCs w:val="24"/>
                <w:color w:val="auto"/>
              </w:rPr>
            </w:pPr>
          </w:p>
        </w:tc>
        <w:tc>
          <w:tcPr>
            <w:tcW w:w="560" w:type="dxa"/>
            <w:vAlign w:val="bottom"/>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463"/>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Diluted</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4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4.64</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8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dilutive effect of share-based awards is calculated using the treasury stock method, which assumes that the proceeds from the exercise of these instruments are used to repurchase shares of common stock at the average market price during the period. See Note 12 for further information on share-based compensation plans.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weighted average shares used for calculating diluted earnings per common share excludes 187,371 shares underlying out-of-the-money stock options, as the inclusion of such shares would be antidilutive under the treasury stock method to earnings per common share. For the year ended December 31, 2023, basic loss per common share equaled diluted loss per common share. Dilutive shares and diluted earnings per share are not applicable when a net loss is reported.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Contingencies, Commitments and Guarantees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1"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spacing w:after="0" w:line="53"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ectPr>
          <w:pgSz w:w="11900" w:h="16838" w:orient="portrait"/>
          <w:cols w:equalWidth="0" w:num="1">
            <w:col w:w="11240"/>
          </w:cols>
          <w:pgMar w:left="320" w:top="278" w:right="339" w:bottom="107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077"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Contingencies, Commitments and Guarantees (continued)</w:t>
      </w:r>
    </w:p>
    <w:p>
      <w:pPr>
        <w:spacing w:after="0" w:line="200" w:lineRule="exact"/>
        <w:rPr>
          <w:sz w:val="20"/>
          <w:szCs w:val="20"/>
          <w:color w:val="auto"/>
        </w:rPr>
      </w:pPr>
    </w:p>
    <w:p>
      <w:pPr>
        <w:spacing w:after="0" w:line="33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December 31, 2025.</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 Be Made</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December 31, 2025, the Company estimates the aggregate range of reasonably possible losses to be up to approximately $10 million.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Cannot Be Made</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Richard A. Newton v. Brighthouse Life Insurance Company </w:t>
      </w:r>
      <w:r>
        <w:rPr>
          <w:rFonts w:ascii="Times New Roman" w:cs="Times New Roman" w:eastAsia="Times New Roman" w:hAnsi="Times New Roman"/>
          <w:sz w:val="18"/>
          <w:szCs w:val="18"/>
          <w:color w:val="auto"/>
        </w:rPr>
        <w:t>(U.S. District Court, Northern District of Georgia, Atlanta Division, filed May 8, 2020).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Plaintiff filed a purported class action lawsuit against Brighthouse Life Insurance Company. Plaintiff was the owner of a universal life (“UL”) insurance policy issued by Travelers Insurance Company, a predecessor to Brighthouse Life Insurance Company. Plaintiff sought to certify a class of all persons who own or owned life insurance policies issued where the terms of the life insurance policy provide or provided, among other things, a guarantee that the COI rates would not be increased by more than a specified percentage in any contract year. Plaintiff also alleges that COI charges were based on improper factors and should have decreased over time due to improving mortality. Plaintiff’s complaint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On September 5, 2025, the court granted in part plaintiff’s motion for class certification, certifying a class of all persons, who as of May 8, 2015, owned a UL policy issued in Georgia by Brighthouse Life Insurance Company or its predecessors-in-interest on Forms ULXP86 and ULXP88, and who were subject to at least one monthly deduction. On October 31, 2025, the court issued an amended order changing the date as to class certification for breach of contract claims to March 14, 2014 and for Georgia Racketeer Influenced and Corrupt Organizations Act claims to March 14, 2015. The Company intends to vigorously defend this matter.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Contingencies, Commitments and Guarantees (continued)</w:t>
      </w:r>
    </w:p>
    <w:p>
      <w:pPr>
        <w:spacing w:after="0" w:line="200" w:lineRule="exact"/>
        <w:rPr>
          <w:sz w:val="20"/>
          <w:szCs w:val="20"/>
          <w:color w:val="auto"/>
        </w:rPr>
      </w:pPr>
    </w:p>
    <w:p>
      <w:pPr>
        <w:spacing w:after="0" w:line="335" w:lineRule="exact"/>
        <w:rPr>
          <w:sz w:val="20"/>
          <w:szCs w:val="20"/>
          <w:color w:val="auto"/>
        </w:rPr>
      </w:pPr>
    </w:p>
    <w:p>
      <w:pPr>
        <w:jc w:val="both"/>
        <w:ind w:left="320" w:firstLine="318"/>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Lawrence Martin v. Brighthouse Life Insurance Company </w:t>
      </w:r>
      <w:r>
        <w:rPr>
          <w:rFonts w:ascii="Times New Roman" w:cs="Times New Roman" w:eastAsia="Times New Roman" w:hAnsi="Times New Roman"/>
          <w:sz w:val="18"/>
          <w:szCs w:val="18"/>
          <w:color w:val="auto"/>
        </w:rPr>
        <w:t>(U.S. District Court, Southern District of New York, filed April 6, 2021). Plaintiff filed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purported class action lawsuit against Brighthouse Life Insurance Company. Plaintiff is the owner of a UL insurance policy issued by Travelers Insurance Company, a predecessor to Brighthouse Life Insurance Company. Plaintiff sought to certify a class of similarly situated owners of UL insurance policies issued or administered by defendants and alleges that COI charges were based on improper factors and should have decreased over time due to improving mortality. Plaintiff’s complaint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On September 25, 2025, the court granted in part plaintiff’s motion for class certification, certifying as to plaintiff’s breach of contract claim based on the alleged failure to decrease COI rates, a nationwide class of owners of UL policies with the product codes ULX or ULXP that contains the language: “We will base these rates only on our future outlook for mortality and expenses.” On October 9, 2025, plaintiff filed a petition for permission to appeal to the United States Court of Appeals for the Second Circuit. On February 11, 2026, the United States Court of Appeals for the Second Circuit denied plaintiff’s petition. The Company intends to vigorously defend this matter.</w:t>
      </w:r>
    </w:p>
    <w:p>
      <w:pPr>
        <w:spacing w:after="0" w:line="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MOVEit Data Security Incident Litigation</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Kennedy v. Progress Software Corporation, et al. </w:t>
      </w:r>
      <w:r>
        <w:rPr>
          <w:rFonts w:ascii="Times New Roman" w:cs="Times New Roman" w:eastAsia="Times New Roman" w:hAnsi="Times New Roman"/>
          <w:sz w:val="18"/>
          <w:szCs w:val="18"/>
          <w:color w:val="auto"/>
        </w:rPr>
        <w:t>(U.S. District Court, District of Massachusetts, filed October 3, 2023). BHF has been named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74"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Contingencies, Commitments and Guarantees (continued)</w:t>
      </w:r>
    </w:p>
    <w:p>
      <w:pPr>
        <w:spacing w:after="0" w:line="200" w:lineRule="exact"/>
        <w:rPr>
          <w:sz w:val="20"/>
          <w:szCs w:val="20"/>
          <w:color w:val="auto"/>
        </w:rPr>
      </w:pPr>
    </w:p>
    <w:p>
      <w:pPr>
        <w:spacing w:after="0" w:line="3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Loss Contingencies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spacing w:after="0" w:line="84"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Company’s tax-related matters have involved disputes with taxing authorities, ongoing audits, evaluation of filing positions and any potential assessments related thereto.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December 31, 2025, the Company estimates the range of reasonably possible losses in excess of the amounts accrued for certain other loss contingencies to be from zero up to approximately $100 million relating to certain tax and reinsurance matters, as described above. For certain other matters, the Company may not currently be able to estimate the reasonably possible loss or estimated range of loss until developments in such matters have provided sufficient information to support an assessment of such loss.</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During the first quarter of 2024, an arbitration panel ruled in favor of a reinsurer seeking a premium rate increase retroactive to September 2019 resulting in a $187 million loss, of which $167 million was reported in universal life and investment product-type policy fees and $20 million was reported in other expenses.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$436 million and $271 million at December 31, 2025 and 2024,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Partnership Investments, Bank Credit Facilities and Private Corporate Bond Investments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fund partnership investments and to lend funds under bank credit facilities and private corporate bond investments. The amounts of these unfunded commitments were $1.4 billion and $1.7 billion at December 31, 2025 and 2024, respectively.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$83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Contingencies, Commitments and Guarantees (continued)</w:t>
      </w:r>
    </w:p>
    <w:p>
      <w:pPr>
        <w:spacing w:after="0" w:line="200" w:lineRule="exact"/>
        <w:rPr>
          <w:sz w:val="20"/>
          <w:szCs w:val="20"/>
          <w:color w:val="auto"/>
        </w:rPr>
      </w:pPr>
    </w:p>
    <w:p>
      <w:pPr>
        <w:spacing w:after="0" w:line="33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have any liabilities recorded for indemnities, guarantees and commitments at both December 31, 2025 and 2024.</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Dividend</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February 17, 2026, BHF declared a dividend of $412.50 per share on its Series A Preferred Stock, $421.88 per share on its Series B Preferred Stock, $335.94 per share on its Series C Preferred Stock and $289.06 per share on its Series D Preferred Stock for a total of $26 million, which will be paid on March 25, 2026 to stockholders of record as of March 10, 2026.</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11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Consolidated Summary of Investments —</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Than Investments in Related Parties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Amount at Which Shown on</w:t>
            </w:r>
          </w:p>
        </w:tc>
        <w:tc>
          <w:tcPr>
            <w:tcW w:w="0" w:type="dxa"/>
            <w:vAlign w:val="bottom"/>
          </w:tcPr>
          <w:p>
            <w:pPr>
              <w:spacing w:after="0"/>
              <w:rPr>
                <w:sz w:val="1"/>
                <w:szCs w:val="1"/>
                <w:color w:val="auto"/>
              </w:rPr>
            </w:pPr>
          </w:p>
        </w:tc>
      </w:tr>
      <w:tr>
        <w:trPr>
          <w:trHeight w:val="186"/>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Types of Investments</w:t>
            </w:r>
          </w:p>
        </w:tc>
        <w:tc>
          <w:tcPr>
            <w:tcW w:w="160" w:type="dxa"/>
            <w:vAlign w:val="bottom"/>
          </w:tcPr>
          <w:p>
            <w:pPr>
              <w:spacing w:after="0"/>
              <w:rPr>
                <w:sz w:val="16"/>
                <w:szCs w:val="16"/>
                <w:color w:val="auto"/>
              </w:rPr>
            </w:pPr>
          </w:p>
        </w:tc>
        <w:tc>
          <w:tcPr>
            <w:tcW w:w="192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Cost or Amortized Cost (1)</w:t>
            </w:r>
          </w:p>
        </w:tc>
        <w:tc>
          <w:tcPr>
            <w:tcW w:w="120" w:type="dxa"/>
            <w:vAlign w:val="bottom"/>
          </w:tcPr>
          <w:p>
            <w:pPr>
              <w:spacing w:after="0"/>
              <w:rPr>
                <w:sz w:val="16"/>
                <w:szCs w:val="16"/>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20" w:type="dxa"/>
            <w:vAlign w:val="bottom"/>
          </w:tcPr>
          <w:p>
            <w:pPr>
              <w:spacing w:after="0"/>
              <w:rPr>
                <w:sz w:val="16"/>
                <w:szCs w:val="16"/>
                <w:color w:val="auto"/>
              </w:rPr>
            </w:pPr>
          </w:p>
        </w:tc>
        <w:tc>
          <w:tcPr>
            <w:tcW w:w="19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Bonds:</w:t>
            </w:r>
          </w:p>
        </w:tc>
        <w:tc>
          <w:tcPr>
            <w:tcW w:w="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7,216</w:t>
            </w:r>
          </w:p>
        </w:tc>
        <w:tc>
          <w:tcPr>
            <w:tcW w:w="640" w:type="dxa"/>
            <w:vAlign w:val="bottom"/>
            <w:tcBorders>
              <w:bottom w:val="single" w:sz="8" w:color="CCEEFF"/>
            </w:tcBorders>
            <w:gridSpan w:val="2"/>
            <w:shd w:val="clear" w:color="auto" w:fill="CCEEFF"/>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6,711</w:t>
            </w:r>
          </w:p>
        </w:tc>
        <w:tc>
          <w:tcPr>
            <w:tcW w:w="0" w:type="dxa"/>
            <w:vAlign w:val="bottom"/>
          </w:tcPr>
          <w:p>
            <w:pPr>
              <w:spacing w:after="0"/>
              <w:rPr>
                <w:sz w:val="1"/>
                <w:szCs w:val="1"/>
                <w:color w:val="auto"/>
              </w:rPr>
            </w:pPr>
          </w:p>
        </w:tc>
      </w:tr>
      <w:tr>
        <w:trPr>
          <w:trHeight w:val="40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Public utilities</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w:t>
            </w:r>
          </w:p>
        </w:tc>
        <w:tc>
          <w:tcPr>
            <w:tcW w:w="0" w:type="dxa"/>
            <w:vAlign w:val="bottom"/>
          </w:tcPr>
          <w:p>
            <w:pPr>
              <w:spacing w:after="0"/>
              <w:rPr>
                <w:sz w:val="1"/>
                <w:szCs w:val="1"/>
                <w:color w:val="auto"/>
              </w:rPr>
            </w:pPr>
          </w:p>
        </w:tc>
      </w:tr>
      <w:tr>
        <w:trPr>
          <w:trHeight w:val="40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1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All other corporate bonds</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49,858</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46,631</w:t>
            </w:r>
          </w:p>
        </w:tc>
        <w:tc>
          <w:tcPr>
            <w:tcW w:w="0" w:type="dxa"/>
            <w:vAlign w:val="bottom"/>
          </w:tcPr>
          <w:p>
            <w:pPr>
              <w:spacing w:after="0"/>
              <w:rPr>
                <w:sz w:val="1"/>
                <w:szCs w:val="1"/>
                <w:color w:val="auto"/>
              </w:rPr>
            </w:pPr>
          </w:p>
        </w:tc>
      </w:tr>
      <w:tr>
        <w:trPr>
          <w:trHeight w:val="393"/>
        </w:trPr>
        <w:tc>
          <w:tcPr>
            <w:tcW w:w="5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bonds</w:t>
            </w:r>
          </w:p>
        </w:tc>
        <w:tc>
          <w:tcPr>
            <w:tcW w:w="1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65,716</w:t>
            </w: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61,417</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61,417</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Mortgage-backed and asset-backed securities</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21,196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20,461</w:t>
            </w:r>
          </w:p>
        </w:tc>
        <w:tc>
          <w:tcPr>
            <w:tcW w:w="0" w:type="dxa"/>
            <w:vAlign w:val="bottom"/>
          </w:tcPr>
          <w:p>
            <w:pPr>
              <w:spacing w:after="0"/>
              <w:rPr>
                <w:sz w:val="1"/>
                <w:szCs w:val="1"/>
                <w:color w:val="auto"/>
              </w:rPr>
            </w:pPr>
          </w:p>
        </w:tc>
      </w:tr>
      <w:tr>
        <w:trPr>
          <w:trHeight w:val="40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Redeemable preferred stock</w:t>
            </w:r>
          </w:p>
        </w:tc>
        <w:tc>
          <w:tcPr>
            <w:tcW w:w="1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0"/>
        </w:trPr>
        <w:tc>
          <w:tcPr>
            <w:tcW w:w="5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87,046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82,014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82,014</w:t>
            </w:r>
          </w:p>
        </w:tc>
        <w:tc>
          <w:tcPr>
            <w:tcW w:w="0" w:type="dxa"/>
            <w:vAlign w:val="bottom"/>
          </w:tcPr>
          <w:p>
            <w:pPr>
              <w:spacing w:after="0"/>
              <w:rPr>
                <w:sz w:val="1"/>
                <w:szCs w:val="1"/>
                <w:color w:val="auto"/>
              </w:rPr>
            </w:pPr>
          </w:p>
        </w:tc>
      </w:tr>
      <w:tr>
        <w:trPr>
          <w:trHeight w:val="393"/>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w:t>
            </w:r>
          </w:p>
        </w:tc>
        <w:tc>
          <w:tcPr>
            <w:tcW w:w="1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Non-redeemable preferred stock</w:t>
            </w:r>
          </w:p>
        </w:tc>
        <w:tc>
          <w:tcPr>
            <w:tcW w:w="1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Industrial, miscellaneous and all other</w:t>
            </w:r>
          </w:p>
        </w:tc>
        <w:tc>
          <w:tcPr>
            <w:tcW w:w="1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55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Public utilities</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393"/>
        </w:trPr>
        <w:tc>
          <w:tcPr>
            <w:tcW w:w="5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equity securities</w:t>
            </w:r>
          </w:p>
        </w:tc>
        <w:tc>
          <w:tcPr>
            <w:tcW w:w="160" w:type="dxa"/>
            <w:vAlign w:val="bottom"/>
            <w:tcBorders>
              <w:top w:val="single" w:sz="8" w:color="auto"/>
            </w:tcBorders>
          </w:tcPr>
          <w:p>
            <w:pPr>
              <w:spacing w:after="0"/>
              <w:rPr>
                <w:sz w:val="24"/>
                <w:szCs w:val="24"/>
                <w:color w:val="auto"/>
              </w:rPr>
            </w:pPr>
          </w:p>
        </w:tc>
        <w:tc>
          <w:tcPr>
            <w:tcW w:w="1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38"/>
        </w:trPr>
        <w:tc>
          <w:tcPr>
            <w:tcW w:w="55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11"/>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Mortgage loans</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22,755</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22,755</w:t>
            </w:r>
          </w:p>
        </w:tc>
        <w:tc>
          <w:tcPr>
            <w:tcW w:w="0" w:type="dxa"/>
            <w:vAlign w:val="bottom"/>
          </w:tcPr>
          <w:p>
            <w:pPr>
              <w:spacing w:after="0"/>
              <w:rPr>
                <w:sz w:val="1"/>
                <w:szCs w:val="1"/>
                <w:color w:val="auto"/>
              </w:rPr>
            </w:pPr>
          </w:p>
        </w:tc>
      </w:tr>
      <w:tr>
        <w:trPr>
          <w:trHeight w:val="40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1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0" w:type="dxa"/>
            <w:vAlign w:val="bottom"/>
          </w:tcPr>
          <w:p>
            <w:pPr>
              <w:spacing w:after="0"/>
              <w:rPr>
                <w:sz w:val="1"/>
                <w:szCs w:val="1"/>
                <w:color w:val="auto"/>
              </w:rPr>
            </w:pPr>
          </w:p>
        </w:tc>
      </w:tr>
      <w:tr>
        <w:trPr>
          <w:trHeight w:val="37"/>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Limited partnerships and LLCs</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0" w:type="dxa"/>
            <w:vAlign w:val="bottom"/>
          </w:tcPr>
          <w:p>
            <w:pPr>
              <w:spacing w:after="0"/>
              <w:rPr>
                <w:sz w:val="1"/>
                <w:szCs w:val="1"/>
                <w:color w:val="auto"/>
              </w:rPr>
            </w:pPr>
          </w:p>
        </w:tc>
      </w:tr>
      <w:tr>
        <w:trPr>
          <w:trHeight w:val="40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16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38"/>
        </w:trPr>
        <w:tc>
          <w:tcPr>
            <w:tcW w:w="5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7"/>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invested assets</w:t>
            </w:r>
          </w:p>
        </w:tc>
        <w:tc>
          <w:tcPr>
            <w:tcW w:w="160" w:type="dxa"/>
            <w:vAlign w:val="bottom"/>
            <w:tcBorders>
              <w:bottom w:val="single" w:sz="8" w:color="CCEEFF"/>
            </w:tcBorders>
            <w:shd w:val="clear" w:color="auto" w:fill="CCEEFF"/>
          </w:tcPr>
          <w:p>
            <w:pPr>
              <w:spacing w:after="0"/>
              <w:rPr>
                <w:sz w:val="24"/>
                <w:szCs w:val="24"/>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7,932</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7,932</w:t>
            </w:r>
          </w:p>
        </w:tc>
        <w:tc>
          <w:tcPr>
            <w:tcW w:w="0" w:type="dxa"/>
            <w:vAlign w:val="bottom"/>
          </w:tcPr>
          <w:p>
            <w:pPr>
              <w:spacing w:after="0"/>
              <w:rPr>
                <w:sz w:val="1"/>
                <w:szCs w:val="1"/>
                <w:color w:val="auto"/>
              </w:rPr>
            </w:pPr>
          </w:p>
        </w:tc>
      </w:tr>
      <w:tr>
        <w:trPr>
          <w:trHeight w:val="424"/>
        </w:trPr>
        <w:tc>
          <w:tcPr>
            <w:tcW w:w="5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125,659</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120,629</w:t>
            </w:r>
          </w:p>
        </w:tc>
        <w:tc>
          <w:tcPr>
            <w:tcW w:w="0" w:type="dxa"/>
            <w:vAlign w:val="bottom"/>
          </w:tcPr>
          <w:p>
            <w:pPr>
              <w:spacing w:after="0"/>
              <w:rPr>
                <w:sz w:val="1"/>
                <w:szCs w:val="1"/>
                <w:color w:val="auto"/>
              </w:rPr>
            </w:pPr>
          </w:p>
        </w:tc>
      </w:tr>
      <w:tr>
        <w:trPr>
          <w:trHeight w:val="27"/>
        </w:trPr>
        <w:tc>
          <w:tcPr>
            <w:tcW w:w="55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550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20" w:hanging="314"/>
        <w:spacing w:after="0" w:line="255" w:lineRule="auto"/>
        <w:tabs>
          <w:tab w:leader="none" w:pos="31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or amortized cost for fixed maturity and trading securities represents original cost reduced by impairments that are charged to earnings and adjusted for amortization of premiums or accretion of discounts; for mortgage loans, cost represents original cost reduced by repayments and valuation allowances and adjusted for amortization of premiums or accretion of discounts; for equity securities, cost represents original cost; for limited partnerships and LLCs, cost represents original cost adjusted for equity in earnings and distributions.</w:t>
      </w:r>
    </w:p>
    <w:p>
      <w:pPr>
        <w:sectPr>
          <w:pgSz w:w="11900" w:h="16838" w:orient="portrait"/>
          <w:cols w:equalWidth="0" w:num="1">
            <w:col w:w="11240"/>
          </w:cols>
          <w:pgMar w:left="320" w:top="27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0" w:gutter="0" w:footer="0" w:header="0"/>
          <w:type w:val="continuous"/>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Condensed Financial Information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8"/>
        </w:trPr>
        <w:tc>
          <w:tcPr>
            <w:tcW w:w="88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Balance Sheets</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 available-for-sale, at estimated fair value (amortized cost: $148 and $190, respectively; allowance for credit</w:t>
            </w:r>
          </w:p>
        </w:tc>
        <w:tc>
          <w:tcPr>
            <w:tcW w:w="26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00" w:type="dxa"/>
            <w:vAlign w:val="bottom"/>
          </w:tcPr>
          <w:p>
            <w:pPr>
              <w:spacing w:after="0"/>
              <w:rPr>
                <w:sz w:val="20"/>
                <w:szCs w:val="20"/>
                <w:color w:val="auto"/>
              </w:rPr>
            </w:pPr>
          </w:p>
        </w:tc>
        <w:tc>
          <w:tcPr>
            <w:tcW w:w="28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0"/>
        </w:trPr>
        <w:tc>
          <w:tcPr>
            <w:tcW w:w="8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losses of $0 and $0, respectively)</w:t>
            </w:r>
          </w:p>
        </w:tc>
        <w:tc>
          <w:tcPr>
            <w:tcW w:w="2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investments, principally at estimated fair value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0" w:type="dxa"/>
            <w:vAlign w:val="bottom"/>
          </w:tcPr>
          <w:p>
            <w:pPr>
              <w:spacing w:after="0"/>
              <w:rPr>
                <w:sz w:val="1"/>
                <w:szCs w:val="1"/>
                <w:color w:val="auto"/>
              </w:rPr>
            </w:pPr>
          </w:p>
        </w:tc>
      </w:tr>
      <w:tr>
        <w:trPr>
          <w:trHeight w:val="44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subsidiary</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7,799</w:t>
            </w:r>
          </w:p>
        </w:tc>
        <w:tc>
          <w:tcPr>
            <w:tcW w:w="0" w:type="dxa"/>
            <w:vAlign w:val="bottom"/>
          </w:tcPr>
          <w:p>
            <w:pPr>
              <w:spacing w:after="0"/>
              <w:rPr>
                <w:sz w:val="1"/>
                <w:szCs w:val="1"/>
                <w:color w:val="auto"/>
              </w:rPr>
            </w:pPr>
          </w:p>
        </w:tc>
      </w:tr>
      <w:tr>
        <w:trPr>
          <w:trHeight w:val="451"/>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invested assets, principally at estimated fair value</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444"/>
        </w:trPr>
        <w:tc>
          <w:tcPr>
            <w:tcW w:w="8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8,616</w:t>
            </w:r>
          </w:p>
        </w:tc>
        <w:tc>
          <w:tcPr>
            <w:tcW w:w="0" w:type="dxa"/>
            <w:vAlign w:val="bottom"/>
          </w:tcPr>
          <w:p>
            <w:pPr>
              <w:spacing w:after="0"/>
              <w:rPr>
                <w:sz w:val="1"/>
                <w:szCs w:val="1"/>
                <w:color w:val="auto"/>
              </w:rPr>
            </w:pPr>
          </w:p>
        </w:tc>
      </w:tr>
      <w:tr>
        <w:trPr>
          <w:trHeight w:val="45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44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and other receivables</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0" w:type="dxa"/>
            <w:vAlign w:val="bottom"/>
          </w:tcPr>
          <w:p>
            <w:pPr>
              <w:spacing w:after="0"/>
              <w:rPr>
                <w:sz w:val="1"/>
                <w:szCs w:val="1"/>
                <w:color w:val="auto"/>
              </w:rPr>
            </w:pPr>
          </w:p>
        </w:tc>
      </w:tr>
      <w:tr>
        <w:trPr>
          <w:trHeight w:val="45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income tax recoverable</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448"/>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471"/>
        </w:trPr>
        <w:tc>
          <w:tcPr>
            <w:tcW w:w="8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9,070</w:t>
            </w:r>
          </w:p>
        </w:tc>
        <w:tc>
          <w:tcPr>
            <w:tcW w:w="0" w:type="dxa"/>
            <w:vAlign w:val="bottom"/>
          </w:tcPr>
          <w:p>
            <w:pPr>
              <w:spacing w:after="0"/>
              <w:rPr>
                <w:sz w:val="1"/>
                <w:szCs w:val="1"/>
                <w:color w:val="auto"/>
              </w:rPr>
            </w:pPr>
          </w:p>
        </w:tc>
      </w:tr>
      <w:tr>
        <w:trPr>
          <w:trHeight w:val="20"/>
        </w:trPr>
        <w:tc>
          <w:tcPr>
            <w:tcW w:w="8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8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and short-term debt</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liability</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448"/>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446"/>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4,111</w:t>
            </w:r>
          </w:p>
        </w:tc>
        <w:tc>
          <w:tcPr>
            <w:tcW w:w="0" w:type="dxa"/>
            <w:vAlign w:val="bottom"/>
          </w:tcPr>
          <w:p>
            <w:pPr>
              <w:spacing w:after="0"/>
              <w:rPr>
                <w:sz w:val="1"/>
                <w:szCs w:val="1"/>
                <w:color w:val="auto"/>
              </w:rPr>
            </w:pPr>
          </w:p>
        </w:tc>
      </w:tr>
      <w:tr>
        <w:trPr>
          <w:trHeight w:val="191"/>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par value $0.01 per share; 1,753 aggregate liquidation preference</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 1,000,000,000 shares authorized; 124,081,967 and 123,480,326 shares issued, respectively;</w:t>
            </w:r>
          </w:p>
        </w:tc>
        <w:tc>
          <w:tcPr>
            <w:tcW w:w="26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57,171,217 and 58,629,049 shares outstanding, respectively</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13,927</w:t>
            </w:r>
          </w:p>
        </w:tc>
        <w:tc>
          <w:tcPr>
            <w:tcW w:w="0" w:type="dxa"/>
            <w:vAlign w:val="bottom"/>
          </w:tcPr>
          <w:p>
            <w:pPr>
              <w:spacing w:after="0"/>
              <w:rPr>
                <w:sz w:val="1"/>
                <w:szCs w:val="1"/>
                <w:color w:val="auto"/>
              </w:rPr>
            </w:pPr>
          </w:p>
        </w:tc>
      </w:tr>
      <w:tr>
        <w:trPr>
          <w:trHeight w:val="448"/>
        </w:trPr>
        <w:tc>
          <w:tcPr>
            <w:tcW w:w="8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(1,119)</w:t>
            </w:r>
          </w:p>
        </w:tc>
        <w:tc>
          <w:tcPr>
            <w:tcW w:w="0" w:type="dxa"/>
            <w:vAlign w:val="bottom"/>
          </w:tcPr>
          <w:p>
            <w:pPr>
              <w:spacing w:after="0"/>
              <w:rPr>
                <w:sz w:val="1"/>
                <w:szCs w:val="1"/>
                <w:color w:val="auto"/>
              </w:rPr>
            </w:pPr>
          </w:p>
        </w:tc>
      </w:tr>
      <w:tr>
        <w:trPr>
          <w:trHeight w:val="453"/>
        </w:trPr>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at cost; 66,910,750 and 64,851,277 shares, respectively</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w:t>
            </w:r>
          </w:p>
        </w:tc>
        <w:tc>
          <w:tcPr>
            <w:tcW w:w="0" w:type="dxa"/>
            <w:vAlign w:val="bottom"/>
          </w:tcPr>
          <w:p>
            <w:pPr>
              <w:spacing w:after="0"/>
              <w:rPr>
                <w:sz w:val="1"/>
                <w:szCs w:val="1"/>
                <w:color w:val="auto"/>
              </w:rPr>
            </w:pPr>
          </w:p>
        </w:tc>
      </w:tr>
      <w:tr>
        <w:trPr>
          <w:trHeight w:val="448"/>
        </w:trPr>
        <w:tc>
          <w:tcPr>
            <w:tcW w:w="8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(5,278)</w:t>
            </w:r>
          </w:p>
        </w:tc>
        <w:tc>
          <w:tcPr>
            <w:tcW w:w="0" w:type="dxa"/>
            <w:vAlign w:val="bottom"/>
          </w:tcPr>
          <w:p>
            <w:pPr>
              <w:spacing w:after="0"/>
              <w:rPr>
                <w:sz w:val="1"/>
                <w:szCs w:val="1"/>
                <w:color w:val="auto"/>
              </w:rPr>
            </w:pPr>
          </w:p>
        </w:tc>
      </w:tr>
      <w:tr>
        <w:trPr>
          <w:trHeight w:val="444"/>
        </w:trPr>
        <w:tc>
          <w:tcPr>
            <w:tcW w:w="8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6,768</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0" w:type="dxa"/>
            <w:vAlign w:val="bottom"/>
          </w:tcPr>
          <w:p>
            <w:pPr>
              <w:spacing w:after="0"/>
              <w:rPr>
                <w:sz w:val="1"/>
                <w:szCs w:val="1"/>
                <w:color w:val="auto"/>
              </w:rPr>
            </w:pPr>
          </w:p>
        </w:tc>
      </w:tr>
      <w:tr>
        <w:trPr>
          <w:trHeight w:val="446"/>
        </w:trPr>
        <w:tc>
          <w:tcPr>
            <w:tcW w:w="8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10,787</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9,070</w:t>
            </w:r>
          </w:p>
        </w:tc>
        <w:tc>
          <w:tcPr>
            <w:tcW w:w="0" w:type="dxa"/>
            <w:vAlign w:val="bottom"/>
          </w:tcPr>
          <w:p>
            <w:pPr>
              <w:spacing w:after="0"/>
              <w:rPr>
                <w:sz w:val="1"/>
                <w:szCs w:val="1"/>
                <w:color w:val="auto"/>
              </w:rPr>
            </w:pPr>
          </w:p>
        </w:tc>
      </w:tr>
      <w:tr>
        <w:trPr>
          <w:trHeight w:val="20"/>
        </w:trPr>
        <w:tc>
          <w:tcPr>
            <w:tcW w:w="8840" w:type="dxa"/>
            <w:vAlign w:val="bottom"/>
            <w:vMerge w:val="restart"/>
          </w:tcPr>
          <w:p>
            <w:pPr>
              <w:ind w:left="342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financial information.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88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78" w:right="339" w:bottom="16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63"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Condensed Financial Information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2024 and 2023</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4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Statements of Operations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44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6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44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441"/>
        </w:trPr>
        <w:tc>
          <w:tcPr>
            <w:tcW w:w="7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46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444"/>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435"/>
        </w:trPr>
        <w:tc>
          <w:tcPr>
            <w:tcW w:w="7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437"/>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 and equity in earnings (losses) of subsidiaries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r>
      <w:tr>
        <w:trPr>
          <w:trHeight w:val="4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441"/>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equity in earnings (losses) of subsidiaries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4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in earnings (losses) of subsidiaries</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w:t>
            </w:r>
          </w:p>
        </w:tc>
      </w:tr>
      <w:tr>
        <w:trPr>
          <w:trHeight w:val="441"/>
        </w:trPr>
        <w:tc>
          <w:tcPr>
            <w:tcW w:w="7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45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2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451"/>
        </w:trPr>
        <w:tc>
          <w:tcPr>
            <w:tcW w:w="79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income (loss) available to common shareholders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46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Condensed Financial Information (continued)</w:t>
      </w:r>
    </w:p>
    <w:p>
      <w:pPr>
        <w:spacing w:after="0" w:line="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Years Ended December 31, 2025, 2024 and 2023</w:t>
      </w:r>
    </w:p>
    <w:p>
      <w:pPr>
        <w:spacing w:after="0" w:line="1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ectPr>
          <w:pgSz w:w="11900" w:h="16838" w:orient="portrait"/>
          <w:cols w:equalWidth="0" w:num="1">
            <w:col w:w="10139"/>
          </w:cols>
          <w:pgMar w:left="320" w:top="278" w:right="1440" w:bottom="1440" w:gutter="0" w:footer="0" w:header="0"/>
        </w:sectPr>
      </w:pPr>
    </w:p>
    <w:bookmarkStart w:id="224" w:name="page225"/>
    <w:bookmarkEnd w:id="224"/>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8"/>
        </w:trPr>
        <w:tc>
          <w:tcPr>
            <w:tcW w:w="796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43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Condensed Statements of Cash Flows</w:t>
            </w: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66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44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(earnings) losses of subsidiaries</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(584)</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(486)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r>
      <w:tr>
        <w:trPr>
          <w:trHeight w:val="4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from subsidiary</w:t>
            </w:r>
          </w:p>
        </w:tc>
        <w:tc>
          <w:tcPr>
            <w:tcW w:w="6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r>
      <w:tr>
        <w:trPr>
          <w:trHeight w:val="444"/>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45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6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(102)</w:t>
            </w:r>
          </w:p>
        </w:tc>
        <w:tc>
          <w:tcPr>
            <w:tcW w:w="1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42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maturities and repayments of fixed maturity securities</w:t>
            </w: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fixed maturity securities</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(183)</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(180)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4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received in connection with freestanding derivatives</w:t>
            </w: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448"/>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in connection with freestanding derivatives</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4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short-term investments</w:t>
            </w:r>
          </w:p>
        </w:tc>
        <w:tc>
          <w:tcPr>
            <w:tcW w:w="6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444"/>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2"/>
              </w:rPr>
              <w:t>(100)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43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payables for collateral under securities loaned and other transactions</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and short-term debt issued</w:t>
            </w: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570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w:t>
            </w:r>
          </w:p>
        </w:tc>
      </w:tr>
      <w:tr>
        <w:trPr>
          <w:trHeight w:val="44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and short-term debt repaid</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(610)</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(339)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w:t>
            </w:r>
          </w:p>
        </w:tc>
      </w:tr>
      <w:tr>
        <w:trPr>
          <w:trHeight w:val="4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(102)</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(102)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44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(102)</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(250)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r>
      <w:tr>
        <w:trPr>
          <w:trHeight w:val="46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6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44"/>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444"/>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6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(108)</w:t>
            </w:r>
          </w:p>
        </w:tc>
        <w:tc>
          <w:tcPr>
            <w:tcW w:w="1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(119)</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44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cash and cash equivalents</w:t>
            </w:r>
          </w:p>
        </w:tc>
        <w:tc>
          <w:tcPr>
            <w:tcW w:w="6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2"/>
              </w:rPr>
              <w:t>(267)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45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66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45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year</w:t>
            </w:r>
          </w:p>
        </w:tc>
        <w:tc>
          <w:tcPr>
            <w:tcW w:w="6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7"/>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6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441"/>
        </w:trPr>
        <w:tc>
          <w:tcPr>
            <w:tcW w:w="7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paid (received) for:</w:t>
            </w: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85"/>
        </w:trPr>
        <w:tc>
          <w:tcPr>
            <w:tcW w:w="7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66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370"/>
        </w:trPr>
        <w:tc>
          <w:tcPr>
            <w:tcW w:w="79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w:t>
            </w:r>
          </w:p>
        </w:tc>
        <w:tc>
          <w:tcPr>
            <w:tcW w:w="6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24"/>
                <w:szCs w:val="24"/>
                <w:color w:val="auto"/>
              </w:rPr>
            </w:pPr>
          </w:p>
        </w:tc>
        <w:tc>
          <w:tcPr>
            <w:tcW w:w="6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79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See accompanying notes to the condensed financial information.</w:t>
      </w:r>
    </w:p>
    <w:p>
      <w:pPr>
        <w:sectPr>
          <w:pgSz w:w="11900" w:h="16838" w:orient="portrait"/>
          <w:cols w:equalWidth="0" w:num="1">
            <w:col w:w="11240"/>
          </w:cols>
          <w:pgMar w:left="320" w:top="380" w:right="339" w:bottom="6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80" w:right="339" w:bottom="666"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Notes to the Condensed Financial Information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1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condensed financial information of Brighthouse Financial, Inc. (the “Parent Company” or “BHF”) should be read in conjunction with the consolidated financial statements of Brighthouse Financial, Inc. and its subsidiaries and the notes thereto (the “Consolidated Financial Statements”). These condensed unconsolidated financial statements reflect the results of operations, financial position and cash flows for Brighthouse Financial, Inc. Investments in subsidiaries are accounted for using the equity method of accounting.</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preparation of these condensed unconsolidated financial statements in conformity with GAAP requires management to adopt accounting policies and make certain estimates and assumptions. The most important of these estimates and assumptions relate to the fair value measurements, identifiable intangible assets and the provision for potential losses that may arise from litigation and regulatory proceedings and tax audits, which may affect the amounts reported in the condensed unconsolidated financial statements and accompanying notes. Actual results could differ from these estimates.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Investment in Subsidiary</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2025, (i) BHF received non-cash distributions of $250 million from Brighthouse Holdings, LLC (“BH Holdings”) and did not make any capital contributions to BH Holdings; and (ii) BH Holdings received non-cash distributions of $100 million from Brighthouse Services, LLC, each of which related to reductions of short-term intercompany loans.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2024, (i) BHF received non-cash distributions of $376 million from BH Holdings and did not make any capital contributions to BH Holdings; and (ii) BH Holdings received non-cash distributions of $400 million from Brighthouse Services, LLC, each of which related to reductions of short-term intercompany loans.</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2023, BHF received cash distributions of $350 million, primarily related to $266 million of ordinary cash dividends paid by Brighthouse Life Insurance Company to BH Holdings, and did not make any capital contributions to BH Holdings. In addition, (i) BHF received non-cash distributions of $100 million from BH Holdings; and (ii) BH Holdings received non-cash distributions of $50 million from Brighthouse Services, LLC, each of which related to reductions of short-term intercompany loans.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Long-term and Short-term Debt</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Long-term and short-term debt outstanding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260" w:type="dxa"/>
            <w:vAlign w:val="bottom"/>
          </w:tcPr>
          <w:p>
            <w:pPr>
              <w:spacing w:after="0"/>
              <w:rPr>
                <w:sz w:val="3"/>
                <w:szCs w:val="3"/>
                <w:color w:val="auto"/>
              </w:rPr>
            </w:pPr>
          </w:p>
        </w:tc>
        <w:tc>
          <w:tcPr>
            <w:tcW w:w="1760" w:type="dxa"/>
            <w:vAlign w:val="bottom"/>
            <w:gridSpan w:val="2"/>
          </w:tcPr>
          <w:p>
            <w:pPr>
              <w:spacing w:after="0"/>
              <w:rPr>
                <w:sz w:val="3"/>
                <w:szCs w:val="3"/>
                <w:color w:val="auto"/>
              </w:rPr>
            </w:pPr>
          </w:p>
        </w:tc>
        <w:tc>
          <w:tcPr>
            <w:tcW w:w="1440" w:type="dxa"/>
            <w:vAlign w:val="bottom"/>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5260" w:type="dxa"/>
            <w:vAlign w:val="bottom"/>
          </w:tcPr>
          <w:p>
            <w:pPr>
              <w:spacing w:after="0"/>
              <w:rPr>
                <w:sz w:val="24"/>
                <w:szCs w:val="24"/>
                <w:color w:val="auto"/>
              </w:rPr>
            </w:pP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Stated Interest Rate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20" w:type="dxa"/>
            <w:vAlign w:val="bottom"/>
          </w:tcPr>
          <w:p>
            <w:pPr>
              <w:spacing w:after="0"/>
              <w:rPr>
                <w:sz w:val="24"/>
                <w:szCs w:val="24"/>
                <w:color w:val="auto"/>
              </w:rPr>
            </w:pPr>
          </w:p>
        </w:tc>
        <w:tc>
          <w:tcPr>
            <w:tcW w:w="102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5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2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 unaffiliated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3.700%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0" w:type="dxa"/>
            <w:vAlign w:val="bottom"/>
          </w:tcPr>
          <w:p>
            <w:pPr>
              <w:spacing w:after="0"/>
              <w:rPr>
                <w:sz w:val="1"/>
                <w:szCs w:val="1"/>
                <w:color w:val="auto"/>
              </w:rPr>
            </w:pPr>
          </w:p>
        </w:tc>
      </w:tr>
      <w:tr>
        <w:trPr>
          <w:trHeight w:val="441"/>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 unaffiliated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5.625%</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0" w:type="dxa"/>
            <w:vAlign w:val="bottom"/>
          </w:tcPr>
          <w:p>
            <w:pPr>
              <w:spacing w:after="0"/>
              <w:rPr>
                <w:sz w:val="1"/>
                <w:szCs w:val="1"/>
                <w:color w:val="auto"/>
              </w:rPr>
            </w:pPr>
          </w:p>
        </w:tc>
      </w:tr>
      <w:tr>
        <w:trPr>
          <w:trHeight w:val="460"/>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Senior notes — unaffiliated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4.700%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0" w:type="dxa"/>
            <w:vAlign w:val="bottom"/>
          </w:tcPr>
          <w:p>
            <w:pPr>
              <w:spacing w:after="0"/>
              <w:rPr>
                <w:sz w:val="1"/>
                <w:szCs w:val="1"/>
                <w:color w:val="auto"/>
              </w:rPr>
            </w:pPr>
          </w:p>
        </w:tc>
      </w:tr>
      <w:tr>
        <w:trPr>
          <w:trHeight w:val="448"/>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Senior notes — unaffiliated</w:t>
            </w:r>
          </w:p>
        </w:tc>
        <w:tc>
          <w:tcPr>
            <w:tcW w:w="16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3.850%</w:t>
            </w:r>
          </w:p>
        </w:tc>
        <w:tc>
          <w:tcPr>
            <w:tcW w:w="12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2051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446"/>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Junior subordinated debentures — unaffiliated</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6.250%</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2058</w:t>
            </w: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441"/>
        </w:trPr>
        <w:tc>
          <w:tcPr>
            <w:tcW w:w="5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long-term debt (1)</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3,134</w:t>
            </w:r>
          </w:p>
        </w:tc>
        <w:tc>
          <w:tcPr>
            <w:tcW w:w="0" w:type="dxa"/>
            <w:vAlign w:val="bottom"/>
          </w:tcPr>
          <w:p>
            <w:pPr>
              <w:spacing w:after="0"/>
              <w:rPr>
                <w:sz w:val="1"/>
                <w:szCs w:val="1"/>
                <w:color w:val="auto"/>
              </w:rPr>
            </w:pPr>
          </w:p>
        </w:tc>
      </w:tr>
      <w:tr>
        <w:trPr>
          <w:trHeight w:val="453"/>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intercompany loans</w:t>
            </w: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0" w:type="dxa"/>
            <w:vAlign w:val="bottom"/>
          </w:tcPr>
          <w:p>
            <w:pPr>
              <w:spacing w:after="0"/>
              <w:rPr>
                <w:sz w:val="1"/>
                <w:szCs w:val="1"/>
                <w:color w:val="auto"/>
              </w:rPr>
            </w:pPr>
          </w:p>
        </w:tc>
      </w:tr>
      <w:tr>
        <w:trPr>
          <w:trHeight w:val="450"/>
        </w:trPr>
        <w:tc>
          <w:tcPr>
            <w:tcW w:w="5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long-term and short-term debt (1)</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3,580</w:t>
            </w:r>
          </w:p>
        </w:tc>
        <w:tc>
          <w:tcPr>
            <w:tcW w:w="100" w:type="dxa"/>
            <w:vAlign w:val="bottom"/>
          </w:tcPr>
          <w:p>
            <w:pPr>
              <w:spacing w:after="0"/>
              <w:rPr>
                <w:sz w:val="24"/>
                <w:szCs w:val="24"/>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3,716</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260" w:type="dxa"/>
            <w:vAlign w:val="bottom"/>
            <w:vMerge w:val="continue"/>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unamortized debt issuance costs, discounts and premiums, as applicable, totaling net $26 million and $27 million for the senior notes and junior subordinated debentures on a combined basis at December 31, 2025 and 2024, respectively.</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11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Notes to the Condensed Financial Information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(Parent Company Only)</w:t>
      </w:r>
    </w:p>
    <w:p>
      <w:pPr>
        <w:spacing w:after="0" w:line="200" w:lineRule="exact"/>
        <w:rPr>
          <w:sz w:val="20"/>
          <w:szCs w:val="20"/>
          <w:color w:val="auto"/>
        </w:rPr>
      </w:pPr>
    </w:p>
    <w:p>
      <w:pPr>
        <w:spacing w:after="0" w:line="23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maturities of long-term and short-term debt at December 31, 2025 were $445 million in 2026, $757 million in 2027, $0 in each of 2028 and 2029, $615 million in 2030, and $1.8 billion thereafter.</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Interest expense related to long-term and short-term debt of $171 million, $192 million and $178 million for the years ended December 31, 2025, 2024 and 2023, respectively, is included in other expenses.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 and Junior Subordinated Debentures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See Note 11 of the Notes to the Consolidated Financial Statements for information regarding the unaffiliated senior notes and junior subordinated debentures.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See Note 11 of the Notes to the Consolidated Financial Statements for information regarding BHF’s credit facilities.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Short-term Intercompany Loans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years ended December 31, 2025, 2024 and 2023, BHF borrowed $724 million, $570 million and $753 million, respectively, from certain of its non-insurance subsidiaries and repaid $610 million, $339 million and $439 million of such borrowings during the years ended December 31, 2025, 2024 and 2023, respectively. The weighted average interest rate on short-term intercompany loans outstanding at December 31, 2025, 2024 and 2023 was 3.04%, 3.73% and 4.73%, respectively.</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Intercompany Liquidity Facilities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the years ended December 31, 2025, 2024 and 2023, there were no borrowings or repayments by BHF under these facilities.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111"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Consolidated Supplementary Insurance Information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center"/>
              <w:ind w:left="464"/>
              <w:spacing w:after="0"/>
              <w:rPr>
                <w:sz w:val="20"/>
                <w:szCs w:val="20"/>
                <w:color w:val="auto"/>
              </w:rPr>
            </w:pPr>
            <w:r>
              <w:rPr>
                <w:rFonts w:ascii="Times New Roman" w:cs="Times New Roman" w:eastAsia="Times New Roman" w:hAnsi="Times New Roman"/>
                <w:sz w:val="14"/>
                <w:szCs w:val="14"/>
                <w:b w:val="1"/>
                <w:bCs w:val="1"/>
                <w:color w:val="auto"/>
                <w:w w:val="98"/>
              </w:rPr>
              <w:t>DAC</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Future Policy Benefits and</w:t>
            </w:r>
          </w:p>
        </w:tc>
        <w:tc>
          <w:tcPr>
            <w:tcW w:w="120" w:type="dxa"/>
            <w:vAlign w:val="bottom"/>
          </w:tcPr>
          <w:p>
            <w:pPr>
              <w:spacing w:after="0"/>
              <w:rPr>
                <w:sz w:val="14"/>
                <w:szCs w:val="14"/>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Policyholder</w:t>
            </w:r>
          </w:p>
        </w:tc>
        <w:tc>
          <w:tcPr>
            <w:tcW w:w="16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Unearned Premiums (1)</w:t>
            </w:r>
          </w:p>
        </w:tc>
        <w:tc>
          <w:tcPr>
            <w:tcW w:w="1340" w:type="dxa"/>
            <w:vAlign w:val="bottom"/>
            <w:gridSpan w:val="2"/>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Unearned Revenue</w:t>
            </w:r>
          </w:p>
        </w:tc>
        <w:tc>
          <w:tcPr>
            <w:tcW w:w="0" w:type="dxa"/>
            <w:vAlign w:val="bottom"/>
          </w:tcPr>
          <w:p>
            <w:pPr>
              <w:spacing w:after="0"/>
              <w:rPr>
                <w:sz w:val="1"/>
                <w:szCs w:val="1"/>
                <w:color w:val="auto"/>
              </w:rPr>
            </w:pPr>
          </w:p>
        </w:tc>
      </w:tr>
      <w:tr>
        <w:trPr>
          <w:trHeight w:val="40"/>
        </w:trPr>
        <w:tc>
          <w:tcPr>
            <w:tcW w:w="3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Other Policy-Related</w:t>
            </w:r>
          </w:p>
        </w:tc>
        <w:tc>
          <w:tcPr>
            <w:tcW w:w="12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1640" w:type="dxa"/>
            <w:vAlign w:val="bottom"/>
            <w:gridSpan w:val="3"/>
            <w:vMerge w:val="continue"/>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7"/>
        </w:trPr>
        <w:tc>
          <w:tcPr>
            <w:tcW w:w="3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120" w:type="dxa"/>
            <w:vAlign w:val="bottom"/>
          </w:tcPr>
          <w:p>
            <w:pPr>
              <w:jc w:val="center"/>
              <w:ind w:left="464"/>
              <w:spacing w:after="0" w:line="137"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3220" w:type="dxa"/>
            <w:vAlign w:val="bottom"/>
            <w:gridSpan w:val="2"/>
            <w:vMerge w:val="continue"/>
          </w:tcPr>
          <w:p>
            <w:pPr>
              <w:spacing w:after="0"/>
              <w:rPr>
                <w:sz w:val="17"/>
                <w:szCs w:val="17"/>
                <w:color w:val="auto"/>
              </w:rPr>
            </w:pPr>
          </w:p>
        </w:tc>
        <w:tc>
          <w:tcPr>
            <w:tcW w:w="1120" w:type="dxa"/>
            <w:vAlign w:val="bottom"/>
          </w:tcPr>
          <w:p>
            <w:pPr>
              <w:jc w:val="center"/>
              <w:ind w:left="444"/>
              <w:spacing w:after="0"/>
              <w:rPr>
                <w:sz w:val="20"/>
                <w:szCs w:val="20"/>
                <w:color w:val="auto"/>
              </w:rPr>
            </w:pPr>
            <w:r>
              <w:rPr>
                <w:rFonts w:ascii="Times New Roman" w:cs="Times New Roman" w:eastAsia="Times New Roman" w:hAnsi="Times New Roman"/>
                <w:sz w:val="14"/>
                <w:szCs w:val="14"/>
                <w:b w:val="1"/>
                <w:bCs w:val="1"/>
                <w:color w:val="auto"/>
                <w:w w:val="98"/>
              </w:rPr>
              <w:t>VOBA</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Balances</w:t>
            </w:r>
          </w:p>
        </w:tc>
        <w:tc>
          <w:tcPr>
            <w:tcW w:w="12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Account Balances</w:t>
            </w:r>
          </w:p>
        </w:tc>
        <w:tc>
          <w:tcPr>
            <w:tcW w:w="400" w:type="dxa"/>
            <w:vAlign w:val="bottom"/>
          </w:tcPr>
          <w:p>
            <w:pPr>
              <w:spacing w:after="0"/>
              <w:rPr>
                <w:sz w:val="17"/>
                <w:szCs w:val="17"/>
                <w:color w:val="auto"/>
              </w:rPr>
            </w:pPr>
          </w:p>
        </w:tc>
        <w:tc>
          <w:tcPr>
            <w:tcW w:w="112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417"/>
        </w:trPr>
        <w:tc>
          <w:tcPr>
            <w:tcW w:w="31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spacing w:after="0"/>
              <w:rPr>
                <w:sz w:val="24"/>
                <w:szCs w:val="24"/>
                <w:color w:val="auto"/>
              </w:rPr>
            </w:pPr>
          </w:p>
        </w:tc>
        <w:tc>
          <w:tcPr>
            <w:tcW w:w="52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CCEEFF"/>
            </w:tcBorders>
            <w:shd w:val="clear" w:color="auto" w:fill="CCEEFF"/>
          </w:tcPr>
          <w:p>
            <w:pPr>
              <w:spacing w:after="0"/>
              <w:rPr>
                <w:sz w:val="24"/>
                <w:szCs w:val="24"/>
                <w:color w:val="auto"/>
              </w:rPr>
            </w:pPr>
          </w:p>
        </w:tc>
        <w:tc>
          <w:tcPr>
            <w:tcW w:w="158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tcBorders>
            <w:shd w:val="clear" w:color="auto" w:fill="CCEEFF"/>
          </w:tcPr>
          <w:p>
            <w:pPr>
              <w:spacing w:after="0"/>
              <w:rPr>
                <w:sz w:val="24"/>
                <w:szCs w:val="24"/>
                <w:color w:val="auto"/>
              </w:rPr>
            </w:pP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CCEEFF"/>
            </w:tcBorders>
            <w:shd w:val="clear" w:color="auto" w:fill="CCEEFF"/>
          </w:tcPr>
          <w:p>
            <w:pPr>
              <w:spacing w:after="0"/>
              <w:rPr>
                <w:sz w:val="24"/>
                <w:szCs w:val="24"/>
                <w:color w:val="auto"/>
              </w:rPr>
            </w:pPr>
          </w:p>
        </w:tc>
        <w:tc>
          <w:tcPr>
            <w:tcW w:w="112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spacing w:after="0"/>
              <w:rPr>
                <w:sz w:val="24"/>
                <w:szCs w:val="24"/>
                <w:color w:val="auto"/>
              </w:rPr>
            </w:pPr>
          </w:p>
        </w:tc>
        <w:tc>
          <w:tcPr>
            <w:tcW w:w="100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12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70,103</w:t>
            </w:r>
          </w:p>
        </w:tc>
        <w:tc>
          <w:tcPr>
            <w:tcW w:w="1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453"/>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2,867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0" w:type="dxa"/>
            <w:vAlign w:val="bottom"/>
          </w:tcPr>
          <w:p>
            <w:pPr>
              <w:spacing w:after="0"/>
              <w:rPr>
                <w:sz w:val="1"/>
                <w:szCs w:val="1"/>
                <w:color w:val="auto"/>
              </w:rPr>
            </w:pPr>
          </w:p>
        </w:tc>
      </w:tr>
      <w:tr>
        <w:trPr>
          <w:trHeight w:val="44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5,504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0" w:type="dxa"/>
            <w:vAlign w:val="bottom"/>
          </w:tcPr>
          <w:p>
            <w:pPr>
              <w:spacing w:after="0"/>
              <w:rPr>
                <w:sz w:val="1"/>
                <w:szCs w:val="1"/>
                <w:color w:val="auto"/>
              </w:rPr>
            </w:pPr>
          </w:p>
        </w:tc>
      </w:tr>
      <w:tr>
        <w:trPr>
          <w:trHeight w:val="45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9,478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6"/>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35,918</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87,952</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12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4,027</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67,777</w:t>
            </w:r>
          </w:p>
        </w:tc>
        <w:tc>
          <w:tcPr>
            <w:tcW w:w="100" w:type="dxa"/>
            <w:vAlign w:val="bottom"/>
          </w:tcPr>
          <w:p>
            <w:pPr>
              <w:spacing w:after="0"/>
              <w:rPr>
                <w:sz w:val="24"/>
                <w:szCs w:val="24"/>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453"/>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2,859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0" w:type="dxa"/>
            <w:vAlign w:val="bottom"/>
          </w:tcPr>
          <w:p>
            <w:pPr>
              <w:spacing w:after="0"/>
              <w:rPr>
                <w:sz w:val="1"/>
                <w:szCs w:val="1"/>
                <w:color w:val="auto"/>
              </w:rPr>
            </w:pPr>
          </w:p>
        </w:tc>
      </w:tr>
      <w:tr>
        <w:trPr>
          <w:trHeight w:val="448"/>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6,376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0" w:type="dxa"/>
            <w:vAlign w:val="bottom"/>
          </w:tcPr>
          <w:p>
            <w:pPr>
              <w:spacing w:after="0"/>
              <w:rPr>
                <w:sz w:val="1"/>
                <w:szCs w:val="1"/>
                <w:color w:val="auto"/>
              </w:rPr>
            </w:pPr>
          </w:p>
        </w:tc>
      </w:tr>
      <w:tr>
        <w:trPr>
          <w:trHeight w:val="450"/>
        </w:trPr>
        <w:tc>
          <w:tcPr>
            <w:tcW w:w="3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10,977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6"/>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4,710</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35,353</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87,989</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1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included in the future policy benefits and other policy-related balances column.</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premiums received in advance.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Schedule III</w:t>
      </w:r>
    </w:p>
    <w:p>
      <w:pPr>
        <w:spacing w:after="0" w:line="111"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Consolidated Supplementary Insurance Information (continued)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Policyholder Benefits and</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Premiums and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Claims and</w:t>
            </w: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Universal Life</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3"/>
                <w:szCs w:val="13"/>
                <w:color w:val="auto"/>
              </w:rPr>
            </w:pPr>
          </w:p>
        </w:tc>
        <w:tc>
          <w:tcPr>
            <w:tcW w:w="184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Interest Credited</w:t>
            </w: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and Investment-Type</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20" w:type="dxa"/>
            <w:vAlign w:val="bottom"/>
          </w:tcPr>
          <w:p>
            <w:pPr>
              <w:spacing w:after="0"/>
              <w:rPr>
                <w:sz w:val="14"/>
                <w:szCs w:val="14"/>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 Policyholder</w:t>
            </w:r>
          </w:p>
        </w:tc>
        <w:tc>
          <w:tcPr>
            <w:tcW w:w="18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 of</w:t>
            </w:r>
          </w:p>
        </w:tc>
        <w:tc>
          <w:tcPr>
            <w:tcW w:w="200" w:type="dxa"/>
            <w:vAlign w:val="bottom"/>
          </w:tcPr>
          <w:p>
            <w:pPr>
              <w:spacing w:after="0"/>
              <w:rPr>
                <w:sz w:val="14"/>
                <w:szCs w:val="14"/>
                <w:color w:val="auto"/>
              </w:rPr>
            </w:pPr>
          </w:p>
        </w:tc>
        <w:tc>
          <w:tcPr>
            <w:tcW w:w="10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99"/>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60" w:type="dxa"/>
            <w:vAlign w:val="bottom"/>
          </w:tcPr>
          <w:p>
            <w:pPr>
              <w:spacing w:after="0"/>
              <w:rPr>
                <w:sz w:val="17"/>
                <w:szCs w:val="17"/>
                <w:color w:val="auto"/>
              </w:rPr>
            </w:pPr>
          </w:p>
        </w:tc>
        <w:tc>
          <w:tcPr>
            <w:tcW w:w="17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Product Policy Fees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 (1)</w:t>
            </w:r>
          </w:p>
        </w:tc>
        <w:tc>
          <w:tcPr>
            <w:tcW w:w="120" w:type="dxa"/>
            <w:vAlign w:val="bottom"/>
          </w:tcPr>
          <w:p>
            <w:pPr>
              <w:spacing w:after="0"/>
              <w:rPr>
                <w:sz w:val="17"/>
                <w:szCs w:val="17"/>
                <w:color w:val="auto"/>
              </w:rPr>
            </w:pP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 Balances</w:t>
            </w:r>
          </w:p>
        </w:tc>
        <w:tc>
          <w:tcPr>
            <w:tcW w:w="18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DAC and VOBA</w:t>
            </w:r>
          </w:p>
        </w:tc>
        <w:tc>
          <w:tcPr>
            <w:tcW w:w="200" w:type="dxa"/>
            <w:vAlign w:val="bottom"/>
          </w:tcPr>
          <w:p>
            <w:pPr>
              <w:spacing w:after="0"/>
              <w:rPr>
                <w:sz w:val="17"/>
                <w:szCs w:val="17"/>
                <w:color w:val="auto"/>
              </w:rPr>
            </w:pPr>
          </w:p>
        </w:tc>
        <w:tc>
          <w:tcPr>
            <w:tcW w:w="10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0" w:type="dxa"/>
            <w:vAlign w:val="bottom"/>
          </w:tcPr>
          <w:p>
            <w:pPr>
              <w:spacing w:after="0"/>
              <w:rPr>
                <w:sz w:val="1"/>
                <w:szCs w:val="1"/>
                <w:color w:val="auto"/>
              </w:rPr>
            </w:pPr>
          </w:p>
        </w:tc>
      </w:tr>
      <w:tr>
        <w:trPr>
          <w:trHeight w:val="24"/>
        </w:trPr>
        <w:tc>
          <w:tcPr>
            <w:tcW w:w="3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44"/>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1,877</w:t>
            </w:r>
          </w:p>
        </w:tc>
        <w:tc>
          <w:tcPr>
            <w:tcW w:w="1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522</w:t>
            </w:r>
          </w:p>
        </w:tc>
        <w:tc>
          <w:tcPr>
            <w:tcW w:w="100" w:type="dxa"/>
            <w:vAlign w:val="bottom"/>
          </w:tcPr>
          <w:p>
            <w:pPr>
              <w:spacing w:after="0"/>
              <w:rPr>
                <w:sz w:val="24"/>
                <w:szCs w:val="24"/>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1,397</w:t>
            </w:r>
          </w:p>
        </w:tc>
        <w:tc>
          <w:tcPr>
            <w:tcW w:w="0" w:type="dxa"/>
            <w:vAlign w:val="bottom"/>
          </w:tcPr>
          <w:p>
            <w:pPr>
              <w:spacing w:after="0"/>
              <w:rPr>
                <w:sz w:val="1"/>
                <w:szCs w:val="1"/>
                <w:color w:val="auto"/>
              </w:rPr>
            </w:pPr>
          </w:p>
        </w:tc>
      </w:tr>
      <w:tr>
        <w:trPr>
          <w:trHeight w:val="453"/>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0" w:type="dxa"/>
            <w:vAlign w:val="bottom"/>
          </w:tcPr>
          <w:p>
            <w:pPr>
              <w:spacing w:after="0"/>
              <w:rPr>
                <w:sz w:val="1"/>
                <w:szCs w:val="1"/>
                <w:color w:val="auto"/>
              </w:rPr>
            </w:pPr>
          </w:p>
        </w:tc>
      </w:tr>
      <w:tr>
        <w:trPr>
          <w:trHeight w:val="44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60" w:type="dxa"/>
            <w:vAlign w:val="bottom"/>
          </w:tcPr>
          <w:p>
            <w:pPr>
              <w:spacing w:after="0"/>
              <w:rPr>
                <w:sz w:val="24"/>
                <w:szCs w:val="24"/>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352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45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44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2,856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3,993</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1,900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505</w:t>
            </w:r>
          </w:p>
        </w:tc>
        <w:tc>
          <w:tcPr>
            <w:tcW w:w="100" w:type="dxa"/>
            <w:vAlign w:val="bottom"/>
          </w:tcPr>
          <w:p>
            <w:pPr>
              <w:spacing w:after="0"/>
              <w:rPr>
                <w:sz w:val="24"/>
                <w:szCs w:val="24"/>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0" w:type="dxa"/>
            <w:vAlign w:val="bottom"/>
          </w:tcPr>
          <w:p>
            <w:pPr>
              <w:spacing w:after="0"/>
              <w:rPr>
                <w:sz w:val="1"/>
                <w:szCs w:val="1"/>
                <w:color w:val="auto"/>
              </w:rPr>
            </w:pPr>
          </w:p>
        </w:tc>
      </w:tr>
      <w:tr>
        <w:trPr>
          <w:trHeight w:val="453"/>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0" w:type="dxa"/>
            <w:vAlign w:val="bottom"/>
          </w:tcPr>
          <w:p>
            <w:pPr>
              <w:spacing w:after="0"/>
              <w:rPr>
                <w:sz w:val="1"/>
                <w:szCs w:val="1"/>
                <w:color w:val="auto"/>
              </w:rPr>
            </w:pPr>
          </w:p>
        </w:tc>
      </w:tr>
      <w:tr>
        <w:trPr>
          <w:trHeight w:val="44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60" w:type="dxa"/>
            <w:vAlign w:val="bottom"/>
          </w:tcPr>
          <w:p>
            <w:pPr>
              <w:spacing w:after="0"/>
              <w:rPr>
                <w:sz w:val="24"/>
                <w:szCs w:val="24"/>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451"/>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44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2,886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5,222</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4,430</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1,946</w:t>
            </w:r>
          </w:p>
        </w:tc>
        <w:tc>
          <w:tcPr>
            <w:tcW w:w="0" w:type="dxa"/>
            <w:vAlign w:val="bottom"/>
          </w:tcPr>
          <w:p>
            <w:pPr>
              <w:spacing w:after="0"/>
              <w:rPr>
                <w:sz w:val="1"/>
                <w:szCs w:val="1"/>
                <w:color w:val="auto"/>
              </w:rPr>
            </w:pPr>
          </w:p>
        </w:tc>
      </w:tr>
      <w:tr>
        <w:trPr>
          <w:trHeight w:val="20"/>
        </w:trPr>
        <w:tc>
          <w:tcPr>
            <w:tcW w:w="3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24"/>
                <w:szCs w:val="24"/>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0" w:type="dxa"/>
            <w:vAlign w:val="bottom"/>
          </w:tcPr>
          <w:p>
            <w:pPr>
              <w:spacing w:after="0"/>
              <w:rPr>
                <w:sz w:val="1"/>
                <w:szCs w:val="1"/>
                <w:color w:val="auto"/>
              </w:rPr>
            </w:pPr>
          </w:p>
        </w:tc>
      </w:tr>
      <w:tr>
        <w:trPr>
          <w:trHeight w:val="453"/>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44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60" w:type="dxa"/>
            <w:vAlign w:val="bottom"/>
          </w:tcPr>
          <w:p>
            <w:pPr>
              <w:spacing w:after="0"/>
              <w:rPr>
                <w:sz w:val="24"/>
                <w:szCs w:val="24"/>
                <w:color w:val="auto"/>
              </w:rPr>
            </w:pPr>
          </w:p>
        </w:tc>
        <w:tc>
          <w:tcPr>
            <w:tcW w:w="1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450"/>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60" w:type="dxa"/>
            <w:vAlign w:val="bottom"/>
            <w:shd w:val="clear" w:color="auto" w:fill="CCEEFF"/>
          </w:tcPr>
          <w:p>
            <w:pPr>
              <w:spacing w:after="0"/>
              <w:rPr>
                <w:sz w:val="24"/>
                <w:szCs w:val="24"/>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0" w:type="dxa"/>
            <w:vAlign w:val="bottom"/>
          </w:tcPr>
          <w:p>
            <w:pPr>
              <w:spacing w:after="0"/>
              <w:rPr>
                <w:sz w:val="1"/>
                <w:szCs w:val="1"/>
                <w:color w:val="auto"/>
              </w:rPr>
            </w:pPr>
          </w:p>
        </w:tc>
      </w:tr>
      <w:tr>
        <w:trPr>
          <w:trHeight w:val="446"/>
        </w:trPr>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3,123</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4,664</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4,501</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0" w:type="dxa"/>
            <w:vAlign w:val="bottom"/>
          </w:tcPr>
          <w:p>
            <w:pPr>
              <w:spacing w:after="0"/>
              <w:rPr>
                <w:sz w:val="1"/>
                <w:szCs w:val="1"/>
                <w:color w:val="auto"/>
              </w:rPr>
            </w:pPr>
          </w:p>
        </w:tc>
      </w:tr>
      <w:tr>
        <w:trPr>
          <w:trHeight w:val="20"/>
        </w:trPr>
        <w:tc>
          <w:tcPr>
            <w:tcW w:w="32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2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See Note 2 of the Notes to the Consolidated Financial Statements for the basis of allocation of net investment income.</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Schedule IV</w:t>
      </w:r>
    </w:p>
    <w:p>
      <w:pPr>
        <w:spacing w:after="0" w:line="11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Consolidated Reinsurance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2024 and 2023</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millions)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Amount Assumed</w:t>
            </w: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300" w:type="dxa"/>
            <w:vAlign w:val="bottom"/>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Ceded</w:t>
            </w:r>
          </w:p>
        </w:tc>
        <w:tc>
          <w:tcPr>
            <w:tcW w:w="280" w:type="dxa"/>
            <w:vAlign w:val="bottom"/>
          </w:tcPr>
          <w:p>
            <w:pPr>
              <w:spacing w:after="0"/>
              <w:rPr>
                <w:sz w:val="16"/>
                <w:szCs w:val="16"/>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20" w:type="dxa"/>
            <w:vAlign w:val="bottom"/>
          </w:tcPr>
          <w:p>
            <w:pPr>
              <w:spacing w:after="0"/>
              <w:rPr>
                <w:sz w:val="16"/>
                <w:szCs w:val="16"/>
                <w:color w:val="auto"/>
              </w:rPr>
            </w:pPr>
          </w:p>
        </w:tc>
        <w:tc>
          <w:tcPr>
            <w:tcW w:w="116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2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 Net</w:t>
            </w:r>
          </w:p>
        </w:tc>
        <w:tc>
          <w:tcPr>
            <w:tcW w:w="0" w:type="dxa"/>
            <w:vAlign w:val="bottom"/>
          </w:tcPr>
          <w:p>
            <w:pPr>
              <w:spacing w:after="0"/>
              <w:rPr>
                <w:sz w:val="1"/>
                <w:szCs w:val="1"/>
                <w:color w:val="auto"/>
              </w:rPr>
            </w:pPr>
          </w:p>
        </w:tc>
      </w:tr>
      <w:tr>
        <w:trPr>
          <w:trHeight w:val="38"/>
        </w:trPr>
        <w:tc>
          <w:tcPr>
            <w:tcW w:w="36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31"/>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in-force (1)</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441,648</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117,396</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5,035</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329,287</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premium</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(2)</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0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692</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45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Accident &amp; health insurance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1"/>
        </w:trPr>
        <w:tc>
          <w:tcPr>
            <w:tcW w:w="3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in-force (1)</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470,679</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125,696</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5,641</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350,624</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premium</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(2)</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w:t>
            </w:r>
          </w:p>
        </w:tc>
        <w:tc>
          <w:tcPr>
            <w:tcW w:w="10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45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Accident &amp; health insurance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0"/>
        </w:trPr>
        <w:tc>
          <w:tcPr>
            <w:tcW w:w="3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in-force (1)</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489,313</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134,682</w:t>
            </w:r>
          </w:p>
        </w:tc>
        <w:tc>
          <w:tcPr>
            <w:tcW w:w="100" w:type="dxa"/>
            <w:vAlign w:val="bottom"/>
          </w:tcPr>
          <w:p>
            <w:pPr>
              <w:spacing w:after="0"/>
              <w:rPr>
                <w:sz w:val="24"/>
                <w:szCs w:val="24"/>
                <w:color w:val="auto"/>
              </w:rPr>
            </w:pPr>
          </w:p>
        </w:tc>
        <w:tc>
          <w:tcPr>
            <w:tcW w:w="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360,758</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premium</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(2)</w:t>
            </w: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tcPr>
          <w:p>
            <w:pPr>
              <w:spacing w:after="0"/>
              <w:rPr>
                <w:sz w:val="24"/>
                <w:szCs w:val="24"/>
                <w:color w:val="auto"/>
              </w:rPr>
            </w:pPr>
          </w:p>
        </w:tc>
        <w:tc>
          <w:tcPr>
            <w:tcW w:w="30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c>
          <w:tcPr>
            <w:tcW w:w="100" w:type="dxa"/>
            <w:vAlign w:val="bottom"/>
          </w:tcPr>
          <w:p>
            <w:pPr>
              <w:spacing w:after="0"/>
              <w:rPr>
                <w:sz w:val="24"/>
                <w:szCs w:val="24"/>
                <w:color w:val="auto"/>
              </w:rPr>
            </w:pPr>
          </w:p>
        </w:tc>
        <w:tc>
          <w:tcPr>
            <w:tcW w:w="28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45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Accident &amp; health insurance</w:t>
            </w:r>
          </w:p>
        </w:tc>
        <w:tc>
          <w:tcPr>
            <w:tcW w:w="24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1"/>
        </w:trPr>
        <w:tc>
          <w:tcPr>
            <w:tcW w:w="3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insurance premium</w:t>
            </w: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tcPr>
          <w:p>
            <w:pPr>
              <w:spacing w:after="0"/>
              <w:rPr>
                <w:sz w:val="24"/>
                <w:szCs w:val="24"/>
                <w:color w:val="auto"/>
              </w:rPr>
            </w:pP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500" w:type="dxa"/>
            <w:vAlign w:val="bottom"/>
            <w:gridSpan w:val="2"/>
          </w:tcPr>
          <w:p>
            <w:pPr>
              <w:jc w:val="center"/>
              <w:ind w:left="41"/>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6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life insurance products in the Life, Run-off and Corporate &amp; Other segments.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annuities with life contingencies.</w:t>
      </w:r>
    </w:p>
    <w:p>
      <w:pPr>
        <w:sectPr>
          <w:pgSz w:w="11900" w:h="16838" w:orient="portrait"/>
          <w:cols w:equalWidth="0" w:num="1">
            <w:col w:w="11240"/>
          </w:cols>
          <w:pgMar w:left="320" w:top="27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type w:val="continuous"/>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Exchange Act, as of the end of the period covered by this report. Based on that evaluation, the Chief Executive Officer and the Chief Financial Officer have concluded that these disclosure controls and procedures were effective as of December 31, 2025.</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Changes in Internal Control Over Financial Reporting</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MetLife provides certain services to the Company on a transitional basis through services agreements. The Company continues to change business processes, implement systems and establish new third-party arrangements. We consider these in aggregate to be material changes in our internal control over financial reporting.</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December 31, 2025 that have materially affected, or are reasonably likely to materially affect, these internal controls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Management of Brighthouse Financial, Inc. is responsible for establishing and maintaining adequate internal control over financial reporting. In fulfilling this responsibility, estimates and judgments by management are required to assess the expected benefits and related costs of control procedures. The objectives of internal control include providing management with reasonable, but not absolute, assurance that assets are safeguarded against loss from unauthorized use or disposition, and that transactions are executed in accordance with management’s authorization and recorded properly to permit the preparation of consolidated financial statements in conformity with GAAP.</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Management has completed an assessment of the effectiveness of the Company’s internal control over financial reporting as of December 31, 2025. In making the assessment, management used the criteria set forth in “Internal Control - Integrated Framework” promulgated by the Committee of Sponsoring Organizations of the Treadway Commission.</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Based upon the assessment performed under that framework, management has maintained and concluded that the Company’s internal control over financial reporting was effective as of December 31,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Company’s Registered Public Accounting Firm</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Deloitte &amp; Touche LLP, has issued their attestation report on management’s internal control over financial reporting which is set forth below.</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Brighthouse Financial,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audited the internal control over financial reporting of Brighthouse Financial, Inc. and subsidiaries (the “Company”) as of December 31, 2025, based</w:t>
      </w:r>
    </w:p>
    <w:p>
      <w:pPr>
        <w:spacing w:after="0" w:line="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on criteria established in Internal Control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17"/>
          <w:szCs w:val="17"/>
          <w:color w:val="auto"/>
        </w:rPr>
        <w:t xml:space="preserve"> Integrated Framework (2013) issued by the Committee of Sponsoring Organizations of the Treadway Commission (COSO). In our opinion, the Company maintained, in all material respects, effective internal control over financial reporting as of December 31,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2025, based on criteria established in Internal Control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18"/>
          <w:szCs w:val="18"/>
          <w:color w:val="auto"/>
        </w:rPr>
        <w:t xml:space="preserve"> Integrated Framework (2013) issued by COSO.</w:t>
      </w:r>
    </w:p>
    <w:p>
      <w:pPr>
        <w:spacing w:after="0" w:line="2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Notes and Schedules as of and for the year ended December 31, 2025, of the Company and our report dated February 24, 2026, expressed an unqualified opinion on those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4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Charlotte, North Carolina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Rule 10b5-1 Plans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quarter ended December 31, 2025,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Certain of the information required by this Item pertaining to Executive Officers appears in “Business — Information About Our Executive Officers” in this Annual Report on Form 10-K. The other information required by this Item will be set forth in the 2026 Proxy Statement, which information is hereby incorporated by reference.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2026 Proxy Statement, which information is hereby incorporated by reference.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2026 Proxy Statement, which information is hereby incorporated by reference.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Person Transactions and Director Independence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set forth in the 2026 Proxy Statement, which information is hereby incorporated by reference.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information about aggregate fees billed to us by our principal accountant, Deloitte &amp; Touche LLP (PCAOB ID No. 34), will be set forth in the 2026 Proxy Statement and is incorporated herein by reference.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documents are filed as part of this report:</w:t>
      </w:r>
    </w:p>
    <w:p>
      <w:pPr>
        <w:spacing w:after="0" w:line="111" w:lineRule="exact"/>
        <w:rPr>
          <w:sz w:val="20"/>
          <w:szCs w:val="20"/>
          <w:color w:val="auto"/>
        </w:rPr>
      </w:pPr>
    </w:p>
    <w:p>
      <w:pPr>
        <w:ind w:left="800" w:hanging="317"/>
        <w:spacing w:after="0"/>
        <w:tabs>
          <w:tab w:leader="none" w:pos="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See “Index to Consolidated Financial Statements, Notes and Schedules.”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See “Index to Consolidated Financial Statements, Notes and Schedules.”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“Exhibit Index.”</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78"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right="180" w:hanging="17"/>
        <w:spacing w:after="0" w:line="445" w:lineRule="auto"/>
        <w:rPr>
          <w:sz w:val="20"/>
          <w:szCs w:val="20"/>
          <w:color w:val="auto"/>
        </w:rPr>
      </w:pPr>
      <w:r>
        <w:rPr>
          <w:rFonts w:ascii="Times New Roman" w:cs="Times New Roman" w:eastAsia="Times New Roman" w:hAnsi="Times New Roman"/>
          <w:sz w:val="18"/>
          <w:szCs w:val="18"/>
          <w:b w:val="1"/>
          <w:bCs w:val="1"/>
          <w:color w:val="auto"/>
        </w:rPr>
        <w:t xml:space="preserve">Glossary of Selected Financial Terms </w:t>
      </w:r>
      <w:r>
        <w:rPr>
          <w:rFonts w:ascii="Times New Roman" w:cs="Times New Roman" w:eastAsia="Times New Roman" w:hAnsi="Times New Roman"/>
          <w:sz w:val="18"/>
          <w:szCs w:val="18"/>
          <w:color w:val="auto"/>
        </w:rPr>
        <w:t>Account value</w:t>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earnings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Alternative investments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Assets under management (“AUM”)</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Conditional tail expectation (“CTE”)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Credit loss on investments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Deferred policy acquisition cost (“DAC”)</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Deferred sales inducements (“DSI”)</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account assets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Invested assets</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Investment Hedge Adjustments</w:t>
      </w:r>
    </w:p>
    <w:p>
      <w:pPr>
        <w:spacing w:after="0" w:line="204" w:lineRule="exact"/>
        <w:rPr>
          <w:sz w:val="20"/>
          <w:szCs w:val="20"/>
          <w:color w:val="auto"/>
        </w:rPr>
      </w:pPr>
    </w:p>
    <w:p>
      <w:pPr>
        <w:ind w:left="20" w:right="960"/>
        <w:spacing w:after="0" w:line="320" w:lineRule="auto"/>
        <w:rPr>
          <w:sz w:val="20"/>
          <w:szCs w:val="20"/>
          <w:color w:val="auto"/>
        </w:rPr>
      </w:pPr>
      <w:r>
        <w:rPr>
          <w:rFonts w:ascii="Times New Roman" w:cs="Times New Roman" w:eastAsia="Times New Roman" w:hAnsi="Times New Roman"/>
          <w:sz w:val="17"/>
          <w:szCs w:val="17"/>
          <w:color w:val="auto"/>
        </w:rPr>
        <w:t>Market Value Adjustments Net amount at risk (“NAR”)</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investment spread</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Normalized statutory earnings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Reinsurance</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Risk-based capital (“RBC”) ratio</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adjusted capital (“TAC”)</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Value of business acquired (“VOBA”)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00" w:lineRule="exact"/>
        <w:rPr>
          <w:sz w:val="20"/>
          <w:szCs w:val="20"/>
          <w:color w:val="auto"/>
        </w:rPr>
      </w:pPr>
    </w:p>
    <w:p>
      <w:pPr>
        <w:spacing w:after="0" w:line="37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amount of money in a policyholder’s account. The value increases with additional premiums and investment gains, and it decreases with withdrawals, investment losses and fees.</w:t>
      </w:r>
    </w:p>
    <w:p>
      <w:pPr>
        <w:spacing w:after="0" w:line="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Non-GAAP Financial Disclosures.”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account investments in other limited partnership interests.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account investments and separate account assets.</w:t>
      </w:r>
    </w:p>
    <w:p>
      <w:pPr>
        <w:spacing w:after="0" w:line="1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A statistical tail risk measure used to assess the adequacy of assets supporting variable annuity contract liabilities, which is calculated as the average amount of total assets required to satisfy obligations over the</w:t>
      </w:r>
    </w:p>
    <w:p>
      <w:pPr>
        <w:jc w:val="both"/>
        <w:spacing w:after="0" w:line="214" w:lineRule="auto"/>
        <w:rPr>
          <w:sz w:val="20"/>
          <w:szCs w:val="20"/>
          <w:color w:val="auto"/>
        </w:rPr>
      </w:pPr>
      <w:r>
        <w:rPr>
          <w:rFonts w:ascii="Times New Roman" w:cs="Times New Roman" w:eastAsia="Times New Roman" w:hAnsi="Times New Roman"/>
          <w:sz w:val="18"/>
          <w:szCs w:val="18"/>
          <w:color w:val="auto"/>
        </w:rPr>
        <w:t>life of the contract or policy in the worst “x%” of scenarios. Represented as CTE (100 less x). Example: CTE70 represents the worst thirty percent of scenarios and CTE98 represents the worst two percent of scenarios.</w:t>
      </w:r>
    </w:p>
    <w:p>
      <w:pPr>
        <w:spacing w:after="0" w:line="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The difference between the amortized cost of the security and the present value of the cash flows expected to be collected that is attributed to credit risk, is recognized as an allowance on the balance sheet with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corresponding adjustment to earnings, or if deemed uncollectible, as a permanent write-off of book value.</w:t>
      </w:r>
    </w:p>
    <w:p>
      <w:pPr>
        <w:spacing w:after="0" w:line="1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Represents the incremental costs related directly to the successful acquisition of new and renewal insurance and annuity contracts and which have been deferred on the balance sheet as an asset.</w:t>
      </w:r>
    </w:p>
    <w:p>
      <w:pPr>
        <w:spacing w:after="0" w:line="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Represent amounts that are credited to a policyholder’s account balance that are higher than the expected crediting rates on similar contracts without such an inducement and that are an incentive to purchase a</w:t>
      </w:r>
    </w:p>
    <w:p>
      <w:pPr>
        <w:jc w:val="both"/>
        <w:spacing w:after="0" w:line="222" w:lineRule="auto"/>
        <w:rPr>
          <w:sz w:val="20"/>
          <w:szCs w:val="20"/>
          <w:color w:val="auto"/>
        </w:rPr>
      </w:pPr>
      <w:r>
        <w:rPr>
          <w:rFonts w:ascii="Times New Roman" w:cs="Times New Roman" w:eastAsia="Times New Roman" w:hAnsi="Times New Roman"/>
          <w:sz w:val="18"/>
          <w:szCs w:val="18"/>
          <w:color w:val="auto"/>
        </w:rPr>
        <w:t>contract and also meet the accounting criteria to be deferred as an asset that is amortized over the life of the contract.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insurance company assets not allocated to separate accounts.</w:t>
      </w:r>
    </w:p>
    <w:p>
      <w:pPr>
        <w:spacing w:after="0" w:line="18"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General account investments in fixed maturity securities, equity securities, mortgage loans, policy loans, other limited partnership interests, real estate limited partnerships and limited liability companies, short-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investments and other invested assets.</w:t>
      </w:r>
    </w:p>
    <w:p>
      <w:pPr>
        <w:spacing w:after="0" w:line="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Earned income and amortization of premium on derivatives that are hedges of investments or that are used to replicate certain investments, but do not qualify for hedge accounting treatment.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associated with the change in fair value of the crediting rate on experience-rated contracts</w:t>
      </w:r>
    </w:p>
    <w:p>
      <w:pPr>
        <w:spacing w:after="0" w:line="2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Represents the difference between a claim amount payable if a specific event occurs and the amount set aside to support the claim. The calculation of NAR can differ by policy type or guarantee.</w:t>
      </w:r>
    </w:p>
    <w:p>
      <w:pPr>
        <w:spacing w:after="0" w:line="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Non-GAAP Financial Disclosures.”</w:t>
      </w:r>
    </w:p>
    <w:p>
      <w:pPr>
        <w:spacing w:after="0" w:line="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Liquidity and Capital Resources — The Parent Company — Liquidity and Capital — Normalized</w:t>
      </w:r>
    </w:p>
    <w:p>
      <w:pPr>
        <w:spacing w:after="0"/>
        <w:rPr>
          <w:sz w:val="20"/>
          <w:szCs w:val="20"/>
          <w:color w:val="auto"/>
        </w:rPr>
      </w:pPr>
      <w:r>
        <w:rPr>
          <w:rFonts w:ascii="Times New Roman" w:cs="Times New Roman" w:eastAsia="Times New Roman" w:hAnsi="Times New Roman"/>
          <w:sz w:val="18"/>
          <w:szCs w:val="18"/>
          <w:color w:val="auto"/>
        </w:rPr>
        <w:t>Statutory Earnings.”</w:t>
      </w:r>
    </w:p>
    <w:p>
      <w:pPr>
        <w:spacing w:after="0" w:line="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Insurance that an insurance company buys for its own protection. Reinsurance enables an insurance company to expand its capacity, stabilize its underwriting results, or finance its expanding volume.</w:t>
      </w:r>
    </w:p>
    <w:p>
      <w:pPr>
        <w:spacing w:after="0" w:line="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The RBC ratio is a method of measuring an insurance company’s capital and is based on statutory financial statements. The RBC ratio, which is the basis for determining regulatory compliance, is equal to total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adjusted capital divided by the applicable company action level RBC.</w:t>
      </w:r>
    </w:p>
    <w:p>
      <w:pPr>
        <w:spacing w:after="0" w:line="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Total adjusted capital primarily consists of statutory capital and surplus, as well as the statutory asset valuation reserve. When referred to as “combined,” represents that of our insurance subsidiaries as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value of projected future gross profits from in-force policies of acquired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69215</wp:posOffset>
            </wp:positionV>
            <wp:extent cx="7160260" cy="419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2980" w:space="640"/>
            <w:col w:w="7600"/>
          </w:cols>
          <w:pgMar w:left="320" w:top="278" w:right="35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Glossary of Product Terms</w:t>
      </w:r>
    </w:p>
    <w:p>
      <w:pPr>
        <w:sectPr>
          <w:pgSz w:w="11900" w:h="16838" w:orient="portrait"/>
          <w:cols w:equalWidth="0" w:num="1">
            <w:col w:w="11200"/>
          </w:cols>
          <w:pgMar w:left="320" w:top="278" w:right="379" w:bottom="1440" w:gutter="0" w:footer="0" w:header="0"/>
        </w:sectPr>
      </w:pPr>
    </w:p>
    <w:p>
      <w:pPr>
        <w:spacing w:after="0" w:line="1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Accumulation phase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The phase of a variable annuity contract during which assets accumulate based on the policyholder’s lump sum payment or periodic deposits and reinvested interest, capital gains and dividends that are generally tax-deferred.</w:t>
      </w:r>
    </w:p>
    <w:p>
      <w:pPr>
        <w:spacing w:after="0" w:line="2"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Annuitant</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Times New Roman" w:cs="Times New Roman" w:eastAsia="Times New Roman" w:hAnsi="Times New Roman"/>
          <w:sz w:val="18"/>
          <w:szCs w:val="18"/>
          <w:color w:val="auto"/>
        </w:rPr>
        <w:t>The person who receives annuity payments or the person whose life expectancy determines the amount of variable annuity payments upon annuitization of a life contingent annuity.</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Annuities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Long-term, tax-deferred investments designed to help investors save for retirement.</w:t>
      </w:r>
    </w:p>
    <w:p>
      <w:pPr>
        <w:spacing w:after="0" w:line="30"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Annuitization</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Times New Roman" w:cs="Times New Roman" w:eastAsia="Times New Roman" w:hAnsi="Times New Roman"/>
          <w:sz w:val="18"/>
          <w:szCs w:val="18"/>
          <w:color w:val="auto"/>
        </w:rPr>
        <w:t>The process of converting an annuity investment into a series of periodic income payments, generally for life.</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Annuity sales</w:t>
      </w:r>
    </w:p>
    <w:p>
      <w:pPr>
        <w:spacing w:after="0" w:line="20" w:lineRule="exact"/>
        <w:rPr>
          <w:sz w:val="20"/>
          <w:szCs w:val="20"/>
          <w:color w:val="auto"/>
        </w:rPr>
      </w:pPr>
      <w:r>
        <w:rPr>
          <w:sz w:val="20"/>
          <w:szCs w:val="20"/>
          <w:color w:val="auto"/>
        </w:rPr>
        <w:br w:type="column"/>
      </w:r>
    </w:p>
    <w:p>
      <w:pPr>
        <w:jc w:val="both"/>
        <w:spacing w:after="0" w:line="231" w:lineRule="auto"/>
        <w:rPr>
          <w:sz w:val="20"/>
          <w:szCs w:val="20"/>
          <w:color w:val="auto"/>
        </w:rPr>
      </w:pPr>
      <w:r>
        <w:rPr>
          <w:rFonts w:ascii="Times New Roman" w:cs="Times New Roman" w:eastAsia="Times New Roman" w:hAnsi="Times New Roman"/>
          <w:sz w:val="17"/>
          <w:szCs w:val="17"/>
          <w:color w:val="auto"/>
        </w:rPr>
        <w:t>Annuity sales consist of 100 percent of direct statutory premiums, except for fixed index annuity sales, which represents 100% of gross sales on directly written business and the proportion of assumed gross sales under reinsurance agreements. Annuity sales exclude certain internal exchanges. These sales statistics do not correspond to revenues under GAAP, but are used as relevant measures of business activity.</w:t>
      </w:r>
    </w:p>
    <w:p>
      <w:pPr>
        <w:spacing w:after="0" w:line="3"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Benefit Base</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Times New Roman" w:cs="Times New Roman" w:eastAsia="Times New Roman" w:hAnsi="Times New Roman"/>
          <w:sz w:val="18"/>
          <w:szCs w:val="18"/>
          <w:color w:val="auto"/>
        </w:rPr>
        <w:t>A notional amount (not actual cash value) used to calculate the owner’s guaranteed benefits within an annuity contract. The death benefit and living benefit within the same contract may not have the same Benefit Base.</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Cash surrender value</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Times New Roman" w:cs="Times New Roman" w:eastAsia="Times New Roman" w:hAnsi="Times New Roman"/>
          <w:sz w:val="18"/>
          <w:szCs w:val="18"/>
          <w:color w:val="auto"/>
        </w:rPr>
        <w:t>The amount an insurance company pays (minus any surrender charge) to the variable annuity owner when the contract is voluntarily terminated prematurely.</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Deferred annuity</w:t>
      </w:r>
    </w:p>
    <w:p>
      <w:pPr>
        <w:spacing w:after="0" w:line="20" w:lineRule="exact"/>
        <w:rPr>
          <w:sz w:val="20"/>
          <w:szCs w:val="20"/>
          <w:color w:val="auto"/>
        </w:rPr>
      </w:pPr>
      <w:r>
        <w:rPr>
          <w:sz w:val="20"/>
          <w:szCs w:val="20"/>
          <w:color w:val="auto"/>
        </w:rPr>
        <w:br w:type="column"/>
      </w:r>
    </w:p>
    <w:p>
      <w:pPr>
        <w:jc w:val="both"/>
        <w:ind w:right="20"/>
        <w:spacing w:after="0" w:line="238" w:lineRule="auto"/>
        <w:rPr>
          <w:sz w:val="20"/>
          <w:szCs w:val="20"/>
          <w:color w:val="auto"/>
        </w:rPr>
      </w:pPr>
      <w:r>
        <w:rPr>
          <w:rFonts w:ascii="Times New Roman" w:cs="Times New Roman" w:eastAsia="Times New Roman" w:hAnsi="Times New Roman"/>
          <w:sz w:val="17"/>
          <w:szCs w:val="17"/>
          <w:color w:val="auto"/>
        </w:rPr>
        <w:t>An annuity purchased with premiums paid either over a period of years or as a lump sum, for which savings accumulate prior to annuitization or surrender, and upon annuitization, such savings are exchanged for either a future lump sum payment or periodic payments for a specified period of time or for a lifetime.</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Deferred income annuity (“DIA”)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An annuity that provides a pension-like stream of income payments after a specified deferral period.</w:t>
      </w:r>
    </w:p>
    <w:p>
      <w:pPr>
        <w:spacing w:after="0" w:line="30"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Dollar-for-dollar withdrawal</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Times New Roman" w:cs="Times New Roman" w:eastAsia="Times New Roman" w:hAnsi="Times New Roman"/>
          <w:sz w:val="18"/>
          <w:szCs w:val="18"/>
          <w:color w:val="auto"/>
        </w:rPr>
        <w:t>A method of calculating the reduction of a variable annuity Benefit Base after a withdrawal in which the benefit is reduced by one dollar for every dollar withdrawn.</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Enhanced death benefit (“EDB”)</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Times New Roman" w:cs="Times New Roman" w:eastAsia="Times New Roman" w:hAnsi="Times New Roman"/>
          <w:sz w:val="18"/>
          <w:szCs w:val="18"/>
          <w:color w:val="auto"/>
        </w:rPr>
        <w:t>An optional benefit that locks in investment gains annually, or every few years, or pays a minimum stated interest rate on purchase payments to the beneficiary.</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Fixed annuity</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Times New Roman" w:cs="Times New Roman" w:eastAsia="Times New Roman" w:hAnsi="Times New Roman"/>
          <w:sz w:val="18"/>
          <w:szCs w:val="18"/>
          <w:color w:val="auto"/>
        </w:rPr>
        <w:t>An annuity that guarantees a set annual rate of return with interest at rates we determine, subject to specified minimums. Credited interest rates are guaranteed not to change for certain limited periods of time.</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Future policy benefits</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Times New Roman" w:cs="Times New Roman" w:eastAsia="Times New Roman" w:hAnsi="Times New Roman"/>
          <w:sz w:val="18"/>
          <w:szCs w:val="18"/>
          <w:color w:val="auto"/>
        </w:rPr>
        <w:t>Future policy benefits for the annuities business are comprised mainly of liabilities for life contingent income annuities, and liabilities for the variable annuity guaranteed minimum benefits accounted for as insurance.</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line="238" w:lineRule="auto"/>
        <w:rPr>
          <w:sz w:val="20"/>
          <w:szCs w:val="20"/>
          <w:color w:val="auto"/>
        </w:rPr>
      </w:pPr>
      <w:r>
        <w:rPr>
          <w:rFonts w:ascii="Times New Roman" w:cs="Times New Roman" w:eastAsia="Times New Roman" w:hAnsi="Times New Roman"/>
          <w:sz w:val="18"/>
          <w:szCs w:val="18"/>
          <w:color w:val="auto"/>
        </w:rPr>
        <w:t>Guaranteed minimum accumulation benefits (“GMAB”)</w:t>
      </w:r>
    </w:p>
    <w:p>
      <w:pPr>
        <w:spacing w:after="0" w:line="20" w:lineRule="exact"/>
        <w:rPr>
          <w:sz w:val="20"/>
          <w:szCs w:val="20"/>
          <w:color w:val="auto"/>
        </w:rPr>
      </w:pPr>
      <w:r>
        <w:rPr>
          <w:sz w:val="20"/>
          <w:szCs w:val="20"/>
          <w:color w:val="auto"/>
        </w:rPr>
        <w:br w:type="column"/>
      </w:r>
    </w:p>
    <w:p>
      <w:pPr>
        <w:jc w:val="both"/>
        <w:ind w:right="20"/>
        <w:spacing w:after="0" w:line="238" w:lineRule="auto"/>
        <w:rPr>
          <w:sz w:val="20"/>
          <w:szCs w:val="20"/>
          <w:color w:val="auto"/>
        </w:rPr>
      </w:pPr>
      <w:r>
        <w:rPr>
          <w:rFonts w:ascii="Times New Roman" w:cs="Times New Roman" w:eastAsia="Times New Roman" w:hAnsi="Times New Roman"/>
          <w:sz w:val="17"/>
          <w:szCs w:val="17"/>
          <w:color w:val="auto"/>
        </w:rPr>
        <w:t>An optional benefit (available for an additional cost) which entitles an annuitant to a minimum payment, typically in a lump sum, after a set period of time, typically referred to as the accumulation period. The minimum payment is based on the Benefit Base, which could be greater than the underlying account value.</w:t>
      </w:r>
    </w:p>
    <w:p>
      <w:pPr>
        <w:spacing w:after="0" w:line="1" w:lineRule="exact"/>
        <w:rPr>
          <w:sz w:val="20"/>
          <w:szCs w:val="20"/>
          <w:color w:val="auto"/>
        </w:rPr>
      </w:pPr>
    </w:p>
    <w:p>
      <w:pPr>
        <w:sectPr>
          <w:pgSz w:w="11900" w:h="16838" w:orient="portrait"/>
          <w:cols w:equalWidth="0" w:num="2">
            <w:col w:w="3160" w:space="460"/>
            <w:col w:w="7580"/>
          </w:cols>
          <w:pgMar w:left="320" w:top="278" w:right="379" w:bottom="1440" w:gutter="0" w:footer="0" w:header="0"/>
          <w:type w:val="continuous"/>
        </w:sectPr>
      </w:pPr>
    </w:p>
    <w:p>
      <w:pPr>
        <w:ind w:left="20" w:right="300"/>
        <w:spacing w:after="0" w:line="238" w:lineRule="auto"/>
        <w:rPr>
          <w:sz w:val="20"/>
          <w:szCs w:val="20"/>
          <w:color w:val="auto"/>
        </w:rPr>
      </w:pPr>
      <w:r>
        <w:rPr>
          <w:rFonts w:ascii="Times New Roman" w:cs="Times New Roman" w:eastAsia="Times New Roman" w:hAnsi="Times New Roman"/>
          <w:sz w:val="18"/>
          <w:szCs w:val="18"/>
          <w:color w:val="auto"/>
        </w:rPr>
        <w:t>Guaranteed minimum death benefits (“GMDB”)</w:t>
      </w:r>
    </w:p>
    <w:p>
      <w:pPr>
        <w:spacing w:after="0" w:line="20" w:lineRule="exact"/>
        <w:rPr>
          <w:sz w:val="20"/>
          <w:szCs w:val="20"/>
          <w:color w:val="auto"/>
        </w:rPr>
      </w:pPr>
      <w:r>
        <w:rPr>
          <w:sz w:val="20"/>
          <w:szCs w:val="20"/>
          <w:color w:val="auto"/>
        </w:rPr>
        <w:br w:type="column"/>
      </w: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An optional benefit (available for an additional cost) that guarantees an annuitant’s beneficiaries are entitled to a minimum payment based on the Benefit Base, which could be greater than the underlying account value, upon the death of the annuitant.</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right="160"/>
        <w:spacing w:after="0" w:line="238" w:lineRule="auto"/>
        <w:rPr>
          <w:sz w:val="20"/>
          <w:szCs w:val="20"/>
          <w:color w:val="auto"/>
        </w:rPr>
      </w:pPr>
      <w:r>
        <w:rPr>
          <w:rFonts w:ascii="Times New Roman" w:cs="Times New Roman" w:eastAsia="Times New Roman" w:hAnsi="Times New Roman"/>
          <w:sz w:val="18"/>
          <w:szCs w:val="18"/>
          <w:color w:val="auto"/>
        </w:rPr>
        <w:t>Guaranteed minimum income benefits (“GMIB”)</w:t>
      </w:r>
    </w:p>
    <w:p>
      <w:pPr>
        <w:spacing w:after="0" w:line="20" w:lineRule="exact"/>
        <w:rPr>
          <w:sz w:val="20"/>
          <w:szCs w:val="20"/>
          <w:color w:val="auto"/>
        </w:rPr>
      </w:pPr>
      <w:r>
        <w:rPr>
          <w:sz w:val="20"/>
          <w:szCs w:val="20"/>
          <w:color w:val="auto"/>
        </w:rPr>
        <w:br w:type="column"/>
      </w:r>
    </w:p>
    <w:p>
      <w:pPr>
        <w:jc w:val="both"/>
        <w:ind w:right="20"/>
        <w:spacing w:after="0" w:line="225" w:lineRule="auto"/>
        <w:rPr>
          <w:sz w:val="20"/>
          <w:szCs w:val="20"/>
          <w:color w:val="auto"/>
        </w:rPr>
      </w:pPr>
      <w:r>
        <w:rPr>
          <w:rFonts w:ascii="Times New Roman" w:cs="Times New Roman" w:eastAsia="Times New Roman" w:hAnsi="Times New Roman"/>
          <w:sz w:val="18"/>
          <w:szCs w:val="18"/>
          <w:color w:val="auto"/>
        </w:rPr>
        <w:t>An optional benefit (available for an additional cost) where an annuitant is entitled to annuitize the policy and receive a minimum payment stream based on the Benefit Base, which could be greater than the underlying account value.</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right="280"/>
        <w:spacing w:after="0" w:line="238" w:lineRule="auto"/>
        <w:rPr>
          <w:sz w:val="20"/>
          <w:szCs w:val="20"/>
          <w:color w:val="auto"/>
        </w:rPr>
      </w:pPr>
      <w:r>
        <w:rPr>
          <w:rFonts w:ascii="Times New Roman" w:cs="Times New Roman" w:eastAsia="Times New Roman" w:hAnsi="Times New Roman"/>
          <w:sz w:val="18"/>
          <w:szCs w:val="18"/>
          <w:color w:val="auto"/>
        </w:rPr>
        <w:t>Guaranteed minimum living benefits (“GMLB”)</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Times New Roman" w:cs="Times New Roman" w:eastAsia="Times New Roman" w:hAnsi="Times New Roman"/>
          <w:sz w:val="18"/>
          <w:szCs w:val="18"/>
          <w:color w:val="auto"/>
        </w:rPr>
        <w:t>A reference to all forms of guaranteed minimum living benefits, including GMIBs, GMWBs and GMABs (does not include GMDBs).</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20"/>
        <w:spacing w:after="0" w:line="238" w:lineRule="auto"/>
        <w:rPr>
          <w:sz w:val="20"/>
          <w:szCs w:val="20"/>
          <w:color w:val="auto"/>
        </w:rPr>
      </w:pPr>
      <w:r>
        <w:rPr>
          <w:rFonts w:ascii="Times New Roman" w:cs="Times New Roman" w:eastAsia="Times New Roman" w:hAnsi="Times New Roman"/>
          <w:sz w:val="18"/>
          <w:szCs w:val="18"/>
          <w:color w:val="auto"/>
        </w:rPr>
        <w:t>Guaranteed minimum withdrawal benefits (“GMWB”)</w:t>
      </w:r>
    </w:p>
    <w:p>
      <w:pPr>
        <w:spacing w:after="0" w:line="20" w:lineRule="exact"/>
        <w:rPr>
          <w:sz w:val="20"/>
          <w:szCs w:val="20"/>
          <w:color w:val="auto"/>
        </w:rPr>
      </w:pPr>
      <w:r>
        <w:rPr>
          <w:sz w:val="20"/>
          <w:szCs w:val="20"/>
          <w:color w:val="auto"/>
        </w:rPr>
        <w:br w:type="column"/>
      </w:r>
    </w:p>
    <w:p>
      <w:pPr>
        <w:jc w:val="both"/>
        <w:spacing w:after="0" w:line="225" w:lineRule="auto"/>
        <w:rPr>
          <w:sz w:val="20"/>
          <w:szCs w:val="20"/>
          <w:color w:val="auto"/>
        </w:rPr>
      </w:pPr>
      <w:r>
        <w:rPr>
          <w:rFonts w:ascii="Times New Roman" w:cs="Times New Roman" w:eastAsia="Times New Roman" w:hAnsi="Times New Roman"/>
          <w:sz w:val="18"/>
          <w:szCs w:val="18"/>
          <w:color w:val="auto"/>
        </w:rPr>
        <w:t>An optional benefit (available for an additional cost) where an annuitant is entitled to withdraw a maximum amount of their Benefit Base each year, for which cumulative payments to the annuitant could be greater than the underlying account value.</w:t>
      </w:r>
    </w:p>
    <w:p>
      <w:pPr>
        <w:spacing w:after="0" w:line="1" w:lineRule="exact"/>
        <w:rPr>
          <w:sz w:val="20"/>
          <w:szCs w:val="20"/>
          <w:color w:val="auto"/>
        </w:rPr>
      </w:pPr>
    </w:p>
    <w:p>
      <w:pPr>
        <w:sectPr>
          <w:pgSz w:w="11900" w:h="16838" w:orient="portrait"/>
          <w:cols w:equalWidth="0" w:num="2">
            <w:col w:w="3020" w:space="600"/>
            <w:col w:w="7580"/>
          </w:cols>
          <w:pgMar w:left="320" w:top="278" w:right="37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7"/>
          <w:szCs w:val="17"/>
          <w:color w:val="auto"/>
        </w:rPr>
        <w:t>Guaranteed minimum benefits (“GMxB”)</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Times New Roman" w:cs="Times New Roman" w:eastAsia="Times New Roman" w:hAnsi="Times New Roman"/>
          <w:sz w:val="18"/>
          <w:szCs w:val="18"/>
          <w:color w:val="auto"/>
        </w:rPr>
        <w:t>A general reference to all forms of guaranteed minimum benefits, inclusive of living benefits and death benefits.</w:t>
      </w:r>
    </w:p>
    <w:p>
      <w:pPr>
        <w:spacing w:after="0" w:line="200" w:lineRule="exact"/>
        <w:rPr>
          <w:sz w:val="20"/>
          <w:szCs w:val="20"/>
          <w:color w:val="auto"/>
        </w:rPr>
      </w:pPr>
    </w:p>
    <w:p>
      <w:pPr>
        <w:sectPr>
          <w:pgSz w:w="11900" w:h="16838" w:orient="portrait"/>
          <w:cols w:equalWidth="0" w:num="2">
            <w:col w:w="2980" w:space="640"/>
            <w:col w:w="7580"/>
          </w:cols>
          <w:pgMar w:left="320" w:top="27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19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type w:val="continuous"/>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Immediate annuity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Index-linked annuity</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Life insurance sales</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Living benefits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Mortality and expense risk fees (“M&amp;E Fees”)</w:t>
      </w: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flows</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Period certain annuity</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Policyholder account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Rider</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Roll-up rate</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Separate account</w:t>
      </w:r>
    </w:p>
    <w:p>
      <w:pPr>
        <w:spacing w:after="0" w:line="3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Step-up</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Surrender charge</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Term life</w:t>
      </w: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Universal life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Variable annuity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An annuity for which the owner pays a lump sum payment and receives periodic payments immediately or soon after purchase.</w:t>
      </w:r>
    </w:p>
    <w:p>
      <w:pPr>
        <w:spacing w:after="0" w:line="126"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Single premium immediate annuities (“SPIAs”) are single premium annuity products that provide a guaranteed level of income to the owner generally for a specified number of years or for the life of the</w:t>
      </w:r>
    </w:p>
    <w:p>
      <w:pPr>
        <w:spacing w:after="0"/>
        <w:rPr>
          <w:sz w:val="20"/>
          <w:szCs w:val="20"/>
          <w:color w:val="auto"/>
        </w:rPr>
      </w:pPr>
      <w:r>
        <w:rPr>
          <w:rFonts w:ascii="Times New Roman" w:cs="Times New Roman" w:eastAsia="Times New Roman" w:hAnsi="Times New Roman"/>
          <w:sz w:val="18"/>
          <w:szCs w:val="18"/>
          <w:color w:val="auto"/>
        </w:rPr>
        <w:t>annuitant.</w:t>
      </w:r>
    </w:p>
    <w:p>
      <w:pPr>
        <w:spacing w:after="0" w:line="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An annuity that provides for asset accumulation and asset distribution needs with an ability to share in the upside from certain financial markets such as equity indices, or an interest rate benchmark. The customer’s</w:t>
      </w:r>
    </w:p>
    <w:p>
      <w:pPr>
        <w:spacing w:after="0"/>
        <w:rPr>
          <w:sz w:val="20"/>
          <w:szCs w:val="20"/>
          <w:color w:val="auto"/>
        </w:rPr>
      </w:pPr>
      <w:r>
        <w:rPr>
          <w:rFonts w:ascii="Times New Roman" w:cs="Times New Roman" w:eastAsia="Times New Roman" w:hAnsi="Times New Roman"/>
          <w:sz w:val="18"/>
          <w:szCs w:val="18"/>
          <w:color w:val="auto"/>
        </w:rPr>
        <w:t>account value can grow or decline due to various external financial market indices performance.</w:t>
      </w:r>
    </w:p>
    <w:p>
      <w:pPr>
        <w:spacing w:after="0" w:line="4"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Life insurance sales consist of 100 percent of annualized new premium for term life, first-year paid premium for whole life, universal life, and variable universal life, and total paid premium for indexed</w:t>
      </w:r>
    </w:p>
    <w:p>
      <w:pPr>
        <w:spacing w:after="0" w:line="1"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universal life. We exclude company-sponsored internal exchanges, corporate-owned life insurance, bank-owned life insurance, and private placement variable universal life.</w:t>
      </w:r>
    </w:p>
    <w:p>
      <w:pPr>
        <w:spacing w:after="0" w:line="1"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Optional benefits (available at an additional cost) that guarantee that the owner will get back at least his original investment when the money is withdrawn.</w:t>
      </w:r>
    </w:p>
    <w:p>
      <w:pPr>
        <w:spacing w:after="0" w:line="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Fees charged by insurance companies to compensate for the risk they take by issuing variable annuity contracts.</w:t>
      </w:r>
    </w:p>
    <w:p>
      <w:pPr>
        <w:spacing w:after="0" w:line="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7"/>
          <w:szCs w:val="17"/>
          <w:color w:val="auto"/>
        </w:rPr>
        <w:t>Net change in customer account balances in a period including, but not limited to, new sales, full or partial exits and the net impact of clients utilizing or withdrawing their funds. It excludes the impact of markets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account balances.</w:t>
      </w:r>
    </w:p>
    <w:p>
      <w:pPr>
        <w:spacing w:after="0" w:line="4"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An annuity that guarantees payment to the annuitant for a specified period of time and to the beneficiary if the annuitant dies before the period ends.</w:t>
      </w:r>
    </w:p>
    <w:p>
      <w:pPr>
        <w:spacing w:after="0" w:line="8"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Annuities: Policyholder account balances are held for fixed deferred annuities, the fixed account portion of variable annuities, and non-life contingent income annuities. Interest is credited to the policyholder’s</w:t>
      </w:r>
    </w:p>
    <w:p>
      <w:pPr>
        <w:jc w:val="both"/>
        <w:spacing w:after="0" w:line="222" w:lineRule="auto"/>
        <w:rPr>
          <w:sz w:val="20"/>
          <w:szCs w:val="20"/>
          <w:color w:val="auto"/>
        </w:rPr>
      </w:pPr>
      <w:r>
        <w:rPr>
          <w:rFonts w:ascii="Times New Roman" w:cs="Times New Roman" w:eastAsia="Times New Roman" w:hAnsi="Times New Roman"/>
          <w:sz w:val="18"/>
          <w:szCs w:val="18"/>
          <w:color w:val="auto"/>
        </w:rPr>
        <w:t>account at interest rates we determine which are influenced by current market rates, subject to specified minimums.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Insurance Policies: Policyholder account balances are held for retained asset accounts, universal life</w:t>
      </w:r>
    </w:p>
    <w:p>
      <w:pPr>
        <w:jc w:val="both"/>
        <w:spacing w:after="0" w:line="214" w:lineRule="auto"/>
        <w:rPr>
          <w:sz w:val="20"/>
          <w:szCs w:val="20"/>
          <w:color w:val="auto"/>
        </w:rPr>
      </w:pPr>
      <w:r>
        <w:rPr>
          <w:rFonts w:ascii="Times New Roman" w:cs="Times New Roman" w:eastAsia="Times New Roman" w:hAnsi="Times New Roman"/>
          <w:sz w:val="18"/>
          <w:szCs w:val="18"/>
          <w:color w:val="auto"/>
        </w:rPr>
        <w:t>policies and the fixed account of universal variable life insurance policies. Interest is credited to the policyholder’s account at interest rates we determine which are influenced by current market rates, subject to specified minimums.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optional feature or benefit that a variable annuity contract holder can purchase at an additional cost.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guaranteed percentage that the Benefit Base increases by each year.</w:t>
      </w:r>
    </w:p>
    <w:p>
      <w:pPr>
        <w:spacing w:after="0" w:line="18"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7"/>
          <w:szCs w:val="17"/>
          <w:color w:val="auto"/>
        </w:rPr>
        <w:t>An insurance company account, legally segregated from the general account, that holds the contract assets or subaccount investments that can be actively or passively managed and invest in stock, bonds or money</w:t>
      </w:r>
    </w:p>
    <w:p>
      <w:pPr>
        <w:spacing w:after="0"/>
        <w:rPr>
          <w:sz w:val="20"/>
          <w:szCs w:val="20"/>
          <w:color w:val="auto"/>
        </w:rPr>
      </w:pPr>
      <w:r>
        <w:rPr>
          <w:rFonts w:ascii="Times New Roman" w:cs="Times New Roman" w:eastAsia="Times New Roman" w:hAnsi="Times New Roman"/>
          <w:sz w:val="18"/>
          <w:szCs w:val="18"/>
          <w:color w:val="auto"/>
        </w:rPr>
        <w:t>market portfolios.</w:t>
      </w:r>
    </w:p>
    <w:p>
      <w:pPr>
        <w:spacing w:after="0" w:line="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An optional variable annuity feature (available at an additional cost) that can increase the Benefit Base amount if the variable annuity account value is higher than the Benefit Base on specified dates.</w:t>
      </w:r>
    </w:p>
    <w:p>
      <w:pPr>
        <w:spacing w:after="0" w:line="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 fee paid by a contract owner for the early withdrawal of an amount that exceeds a specific percentage or for cancellation of the contract within a specified amount of time after purchase.</w:t>
      </w:r>
    </w:p>
    <w:p>
      <w:pPr>
        <w:spacing w:after="0" w:line="7"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Life insurance that provides a fixed death benefit in exchange for a guaranteed level premium over a specified period of time, usually ten to thirty years. Generally, term life insurance does not include any</w:t>
      </w:r>
    </w:p>
    <w:p>
      <w:pPr>
        <w:spacing w:after="0"/>
        <w:rPr>
          <w:sz w:val="20"/>
          <w:szCs w:val="20"/>
          <w:color w:val="auto"/>
        </w:rPr>
      </w:pPr>
      <w:r>
        <w:rPr>
          <w:rFonts w:ascii="Times New Roman" w:cs="Times New Roman" w:eastAsia="Times New Roman" w:hAnsi="Times New Roman"/>
          <w:sz w:val="18"/>
          <w:szCs w:val="18"/>
          <w:color w:val="auto"/>
        </w:rPr>
        <w:t>cash value, savings or investment components.</w:t>
      </w:r>
    </w:p>
    <w:p>
      <w:pPr>
        <w:spacing w:after="0" w:line="4" w:lineRule="exact"/>
        <w:rPr>
          <w:sz w:val="20"/>
          <w:szCs w:val="20"/>
          <w:color w:val="auto"/>
        </w:rPr>
      </w:pPr>
    </w:p>
    <w:p>
      <w:pPr>
        <w:jc w:val="both"/>
        <w:ind w:right="20"/>
        <w:spacing w:after="0" w:line="215" w:lineRule="auto"/>
        <w:rPr>
          <w:sz w:val="20"/>
          <w:szCs w:val="20"/>
          <w:color w:val="auto"/>
        </w:rPr>
      </w:pPr>
      <w:r>
        <w:rPr>
          <w:rFonts w:ascii="Times New Roman" w:cs="Times New Roman" w:eastAsia="Times New Roman" w:hAnsi="Times New Roman"/>
          <w:sz w:val="18"/>
          <w:szCs w:val="18"/>
          <w:color w:val="auto"/>
        </w:rPr>
        <w:t>Life insurance that provides a death benefit in return for payment of specified annual policy charges that are generally related to specific costs, which may change over time. To the extent that the policyholder</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chooses to pay more than the charges required in any given year to keep the policy in-force, the excess premium will be placed into the account value of the policy and credited with a stated interest rate on a monthly basis.</w:t>
      </w:r>
    </w:p>
    <w:p>
      <w:pPr>
        <w:spacing w:after="0" w:line="9" w:lineRule="exact"/>
        <w:rPr>
          <w:sz w:val="20"/>
          <w:szCs w:val="20"/>
          <w:color w:val="auto"/>
        </w:rPr>
      </w:pPr>
    </w:p>
    <w:p>
      <w:pPr>
        <w:jc w:val="both"/>
        <w:ind w:right="20"/>
        <w:spacing w:after="0" w:line="231" w:lineRule="auto"/>
        <w:rPr>
          <w:sz w:val="20"/>
          <w:szCs w:val="20"/>
          <w:color w:val="auto"/>
        </w:rPr>
      </w:pPr>
      <w:r>
        <w:rPr>
          <w:rFonts w:ascii="Times New Roman" w:cs="Times New Roman" w:eastAsia="Times New Roman" w:hAnsi="Times New Roman"/>
          <w:sz w:val="17"/>
          <w:szCs w:val="17"/>
          <w:color w:val="auto"/>
        </w:rPr>
        <w:t>An annuity that offers guaranteed periodic payments for a specified period of time or for a lifetime and gives owners the ability to invest in various markets though the underlying investment options, which may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potentially higher, but variable,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-2306955</wp:posOffset>
            </wp:positionH>
            <wp:positionV relativeFrom="paragraph">
              <wp:posOffset>69215</wp:posOffset>
            </wp:positionV>
            <wp:extent cx="7160260" cy="419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2">
            <w:col w:w="3320" w:space="300"/>
            <w:col w:w="7580"/>
          </w:cols>
          <w:pgMar w:left="320" w:top="278" w:right="37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ectPr>
          <w:pgSz w:w="11900" w:h="16838" w:orient="portrait"/>
          <w:cols w:equalWidth="0" w:num="1">
            <w:col w:w="11200"/>
          </w:cols>
          <w:pgMar w:left="320" w:top="27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Variable universal life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18"/>
          <w:szCs w:val="18"/>
          <w:color w:val="auto"/>
        </w:rPr>
        <w:t>Universal life insurance where the excess amount paid over policy charges can be directed by the policyholder into a variety of separate account investment options. In the separate account investment</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3620"/>
        <w:spacing w:after="0" w:line="227" w:lineRule="auto"/>
        <w:rPr>
          <w:sz w:val="20"/>
          <w:szCs w:val="20"/>
          <w:color w:val="auto"/>
        </w:rPr>
      </w:pPr>
      <w:r>
        <w:rPr>
          <w:rFonts w:ascii="Times New Roman" w:cs="Times New Roman" w:eastAsia="Times New Roman" w:hAnsi="Times New Roman"/>
          <w:sz w:val="17"/>
          <w:szCs w:val="17"/>
          <w:color w:val="auto"/>
        </w:rPr>
        <w:t>options, the policyholder bears the entire risk and returns of the investment results.</w:t>
      </w:r>
    </w:p>
    <w:p>
      <w:pPr>
        <w:sectPr>
          <w:pgSz w:w="11900" w:h="16838" w:orient="portrait"/>
          <w:cols w:equalWidth="0" w:num="1">
            <w:col w:w="11200"/>
          </w:cols>
          <w:pgMar w:left="320" w:top="278" w:right="379" w:bottom="1440" w:gutter="0" w:footer="0" w:header="0"/>
          <w:type w:val="continuous"/>
        </w:sectPr>
      </w:pP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Whole life</w:t>
      </w:r>
    </w:p>
    <w:p>
      <w:pPr>
        <w:spacing w:after="0" w:line="20" w:lineRule="exact"/>
        <w:rPr>
          <w:sz w:val="20"/>
          <w:szCs w:val="20"/>
          <w:color w:val="auto"/>
        </w:rPr>
      </w:pPr>
      <w:r>
        <w:rPr>
          <w:sz w:val="20"/>
          <w:szCs w:val="20"/>
          <w:color w:val="auto"/>
        </w:rPr>
        <w:br w:type="column"/>
      </w:r>
    </w:p>
    <w:p>
      <w:pPr>
        <w:spacing w:after="0" w:line="230" w:lineRule="auto"/>
        <w:rPr>
          <w:sz w:val="20"/>
          <w:szCs w:val="20"/>
          <w:color w:val="auto"/>
        </w:rPr>
      </w:pPr>
      <w:r>
        <w:rPr>
          <w:rFonts w:ascii="Times New Roman" w:cs="Times New Roman" w:eastAsia="Times New Roman" w:hAnsi="Times New Roman"/>
          <w:sz w:val="18"/>
          <w:szCs w:val="18"/>
          <w:color w:val="auto"/>
        </w:rPr>
        <w:t>Life insurance that provides a guaranteed death benefit in exchange for a guaranteed level premium for a specified period of time in order to maintain coverage for the life of the insured. Whole life products also</w:t>
      </w:r>
    </w:p>
    <w:p>
      <w:pPr>
        <w:spacing w:after="0" w:line="1" w:lineRule="exact"/>
        <w:rPr>
          <w:sz w:val="20"/>
          <w:szCs w:val="20"/>
          <w:color w:val="auto"/>
        </w:rPr>
      </w:pPr>
    </w:p>
    <w:p>
      <w:pPr>
        <w:sectPr>
          <w:pgSz w:w="11900" w:h="16838" w:orient="portrait"/>
          <w:cols w:equalWidth="0" w:num="2">
            <w:col w:w="2900" w:space="720"/>
            <w:col w:w="7580"/>
          </w:cols>
          <w:pgMar w:left="320" w:top="278" w:right="379" w:bottom="1440" w:gutter="0" w:footer="0" w:header="0"/>
          <w:type w:val="continuous"/>
        </w:sectPr>
      </w:pPr>
    </w:p>
    <w:p>
      <w:pPr>
        <w:ind w:left="3620" w:right="20"/>
        <w:spacing w:after="0" w:line="207" w:lineRule="auto"/>
        <w:rPr>
          <w:sz w:val="20"/>
          <w:szCs w:val="20"/>
          <w:color w:val="auto"/>
        </w:rPr>
      </w:pPr>
      <w:r>
        <w:rPr>
          <w:rFonts w:ascii="Times New Roman" w:cs="Times New Roman" w:eastAsia="Times New Roman" w:hAnsi="Times New Roman"/>
          <w:sz w:val="18"/>
          <w:szCs w:val="18"/>
          <w:color w:val="auto"/>
        </w:rPr>
        <w:t>have guaranteed minimum cash surrender values. Although the primary purpose is protection, the policyholder can withdraw or borrow against the policy (sometimes on a tax favored basis).</w:t>
      </w:r>
    </w:p>
    <w:p>
      <w:pPr>
        <w:sectPr>
          <w:pgSz w:w="11900" w:h="16838" w:orient="portrait"/>
          <w:cols w:equalWidth="0" w:num="1">
            <w:col w:w="11200"/>
          </w:cols>
          <w:pgMar w:left="320" w:top="27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76835</wp:posOffset>
            </wp:positionV>
            <wp:extent cx="716026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278" w:right="379" w:bottom="1440" w:gutter="0" w:footer="0" w:header="0"/>
          <w:type w:val="continuous"/>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96" w:lineRule="exact"/>
        <w:rPr>
          <w:sz w:val="20"/>
          <w:szCs w:val="20"/>
          <w:color w:val="auto"/>
        </w:rPr>
      </w:pPr>
    </w:p>
    <w:p>
      <w:pPr>
        <w:jc w:val="both"/>
        <w:ind w:right="100" w:firstLine="318"/>
        <w:spacing w:after="0" w:line="22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Note Regarding Reliance on Statements in Our Contracts:</w:t>
      </w:r>
      <w:r>
        <w:rPr>
          <w:rFonts w:ascii="Times New Roman" w:cs="Times New Roman" w:eastAsia="Times New Roman" w:hAnsi="Times New Roman"/>
          <w:sz w:val="18"/>
          <w:szCs w:val="18"/>
          <w:i w:val="1"/>
          <w:iCs w:val="1"/>
          <w:color w:val="auto"/>
        </w:rPr>
        <w:t xml:space="preserve"> In reviewing the agreements included as exhibits to this Annual Report on Form 10-K,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in this Annual Report on Form 10-K and Brighthouse Financial, Inc.’s other public filings, which are available without charge through the U.S. Securities and Exchange Commission website at www.sec.gov.)</w:t>
      </w:r>
    </w:p>
    <w:p>
      <w:pPr>
        <w:spacing w:after="0" w:line="191" w:lineRule="exact"/>
        <w:rPr>
          <w:sz w:val="20"/>
          <w:szCs w:val="20"/>
          <w:color w:val="auto"/>
        </w:rPr>
      </w:pPr>
    </w:p>
    <w:p>
      <w:pPr>
        <w:ind w:left="500"/>
        <w:spacing w:after="0"/>
        <w:tabs>
          <w:tab w:leader="none" w:pos="154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5"/>
          <w:szCs w:val="15"/>
          <w:b w:val="1"/>
          <w:bCs w:val="1"/>
          <w:color w:val="auto"/>
        </w:rPr>
        <w:t>Description</w:t>
      </w:r>
    </w:p>
    <w:p>
      <w:pPr>
        <w:spacing w:after="0" w:line="26" w:lineRule="exact"/>
        <w:rPr>
          <w:sz w:val="20"/>
          <w:szCs w:val="20"/>
          <w:color w:val="auto"/>
        </w:rPr>
      </w:pPr>
    </w:p>
    <w:p>
      <w:pPr>
        <w:ind w:left="1560" w:right="40" w:hanging="789"/>
        <w:spacing w:after="0" w:line="233"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2.1</w:t>
      </w:r>
      <w:r>
        <w:rPr>
          <w:sz w:val="20"/>
          <w:szCs w:val="20"/>
          <w:color w:val="auto"/>
        </w:rPr>
        <w:tab/>
      </w:r>
      <w:hyperlink r:id="rId312">
        <w:r>
          <w:rPr>
            <w:rFonts w:ascii="Times New Roman" w:cs="Times New Roman" w:eastAsia="Times New Roman" w:hAnsi="Times New Roman"/>
            <w:sz w:val="18"/>
            <w:szCs w:val="18"/>
            <w:u w:val="single" w:color="auto"/>
            <w:color w:val="0000FF"/>
          </w:rPr>
          <w:t>Master Separation Agreement, dated as of August 4, 2017, by and between MetLife, Inc. and Brighthouse Financial, Inc., is incorporated</w:t>
        </w:r>
      </w:hyperlink>
      <w:r>
        <w:rPr>
          <w:rFonts w:ascii="Times New Roman" w:cs="Times New Roman" w:eastAsia="Times New Roman" w:hAnsi="Times New Roman"/>
          <w:sz w:val="18"/>
          <w:szCs w:val="18"/>
          <w:u w:val="single" w:color="auto"/>
          <w:color w:val="0000FF"/>
        </w:rPr>
        <w:t xml:space="preserve"> </w:t>
      </w:r>
      <w:hyperlink r:id="rId312">
        <w:r>
          <w:rPr>
            <w:rFonts w:ascii="Times New Roman" w:cs="Times New Roman" w:eastAsia="Times New Roman" w:hAnsi="Times New Roman"/>
            <w:sz w:val="18"/>
            <w:szCs w:val="18"/>
            <w:u w:val="single" w:color="auto"/>
            <w:color w:val="0000FF"/>
          </w:rPr>
          <w:t>reference to Exhibit 2.1 to our Current Report on Form 8-K, filed on August 9, 2017 (our “August 9, 2017 8-K”).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-251460</wp:posOffset>
            </wp:positionV>
            <wp:extent cx="70675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06755" cy="8255"/>
                    </a:xfrm>
                    <a:prstGeom prst="rect">
                      <a:avLst/>
                    </a:prstGeom>
                    <a:noFill/>
                  </pic:spPr>
                </pic:pic>
              </a:graphicData>
            </a:graphic>
          </wp:anchor>
        </w:drawing>
      </w:r>
    </w:p>
    <w:p>
      <w:pPr>
        <w:jc w:val="right"/>
        <w:ind w:left="780"/>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2.2      </w:t>
      </w:r>
      <w:hyperlink r:id="rId314">
        <w:r>
          <w:rPr>
            <w:rFonts w:ascii="Times New Roman" w:cs="Times New Roman" w:eastAsia="Times New Roman" w:hAnsi="Times New Roman"/>
            <w:sz w:val="18"/>
            <w:szCs w:val="18"/>
            <w:u w:val="single" w:color="auto"/>
            <w:color w:val="0000FF"/>
          </w:rPr>
          <w:t>Agreement and Plan of Merger, dated as of November 6, 2025, by and among Brighthouse Financial, Inc., Aquarian Holdings VI L</w:t>
        </w:r>
      </w:hyperlink>
      <w:r>
        <w:rPr>
          <w:rFonts w:ascii="Times New Roman" w:cs="Times New Roman" w:eastAsia="Times New Roman" w:hAnsi="Times New Roman"/>
          <w:sz w:val="18"/>
          <w:szCs w:val="18"/>
          <w:color w:val="auto"/>
        </w:rPr>
        <w:t xml:space="preserve"> </w:t>
      </w:r>
      <w:hyperlink r:id="rId314">
        <w:r>
          <w:rPr>
            <w:rFonts w:ascii="Times New Roman" w:cs="Times New Roman" w:eastAsia="Times New Roman" w:hAnsi="Times New Roman"/>
            <w:sz w:val="18"/>
            <w:szCs w:val="18"/>
            <w:u w:val="single" w:color="auto"/>
            <w:color w:val="0000FF"/>
          </w:rPr>
          <w:t>Aquarian Beacon Merger Sub Inc. and Aquarian Holdings LLC (solely for the purpose of certain provisions), incorporated by reference</w:t>
        </w:r>
      </w:hyperlink>
    </w:p>
    <w:p>
      <w:pPr>
        <w:ind w:left="1560"/>
        <w:spacing w:after="0"/>
        <w:rPr>
          <w:rFonts w:ascii="Times New Roman" w:cs="Times New Roman" w:eastAsia="Times New Roman" w:hAnsi="Times New Roman"/>
          <w:sz w:val="18"/>
          <w:szCs w:val="18"/>
          <w:u w:val="single" w:color="auto"/>
          <w:color w:val="0000FF"/>
        </w:rPr>
      </w:pPr>
      <w:hyperlink r:id="rId314">
        <w:r>
          <w:rPr>
            <w:rFonts w:ascii="Times New Roman" w:cs="Times New Roman" w:eastAsia="Times New Roman" w:hAnsi="Times New Roman"/>
            <w:sz w:val="18"/>
            <w:szCs w:val="18"/>
            <w:u w:val="single" w:color="auto"/>
            <w:color w:val="0000FF"/>
          </w:rPr>
          <w:t>Exhibit 2.1 to our Current Report on Form 8-K, filed on November 6, 2025.</w:t>
        </w:r>
      </w:hyperlink>
    </w:p>
    <w:p>
      <w:pPr>
        <w:spacing w:after="0" w:line="4" w:lineRule="exact"/>
        <w:rPr>
          <w:sz w:val="20"/>
          <w:szCs w:val="20"/>
          <w:color w:val="auto"/>
        </w:rPr>
      </w:pPr>
    </w:p>
    <w:p>
      <w:pPr>
        <w:ind w:left="1560" w:right="100" w:hanging="789"/>
        <w:spacing w:after="0" w:line="230"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315">
        <w:r>
          <w:rPr>
            <w:rFonts w:ascii="Times New Roman" w:cs="Times New Roman" w:eastAsia="Times New Roman" w:hAnsi="Times New Roman"/>
            <w:sz w:val="18"/>
            <w:szCs w:val="18"/>
            <w:color w:val="0000FF"/>
          </w:rPr>
          <w:t>Restated Certificate of Incorporation of Brighthouse Financial, Inc., dated July 11, 2023, is incorporated by reference to Exhibit 3.3 to</w:t>
        </w:r>
      </w:hyperlink>
      <w:r>
        <w:rPr>
          <w:rFonts w:ascii="Times New Roman" w:cs="Times New Roman" w:eastAsia="Times New Roman" w:hAnsi="Times New Roman"/>
          <w:sz w:val="18"/>
          <w:szCs w:val="18"/>
          <w:color w:val="0000FF"/>
        </w:rPr>
        <w:t xml:space="preserve"> </w:t>
      </w:r>
      <w:hyperlink r:id="rId315">
        <w:r>
          <w:rPr>
            <w:rFonts w:ascii="Times New Roman" w:cs="Times New Roman" w:eastAsia="Times New Roman" w:hAnsi="Times New Roman"/>
            <w:sz w:val="18"/>
            <w:szCs w:val="18"/>
            <w:u w:val="single" w:color="auto"/>
            <w:color w:val="0000FF"/>
          </w:rPr>
          <w:t>Quarterly Report on Form 10-Q, filed on August 9,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-133985</wp:posOffset>
            </wp:positionV>
            <wp:extent cx="62096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hanging="789"/>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r>
      <w:r>
        <w:rPr>
          <w:sz w:val="20"/>
          <w:szCs w:val="20"/>
          <w:color w:val="auto"/>
        </w:rPr>
        <w:tab/>
      </w:r>
      <w:hyperlink r:id="rId317">
        <w:r>
          <w:rPr>
            <w:rFonts w:ascii="Times New Roman" w:cs="Times New Roman" w:eastAsia="Times New Roman" w:hAnsi="Times New Roman"/>
            <w:sz w:val="18"/>
            <w:szCs w:val="18"/>
            <w:u w:val="single" w:color="auto"/>
            <w:color w:val="0000FF"/>
          </w:rPr>
          <w:t>Amended and Restated Bylaws of Brighthouse Financial, Inc., effective January 29, 2025, is incorporated by reference to Exhibit 3.1 to o</w:t>
        </w:r>
      </w:hyperlink>
      <w:r>
        <w:rPr>
          <w:rFonts w:ascii="Times New Roman" w:cs="Times New Roman" w:eastAsia="Times New Roman" w:hAnsi="Times New Roman"/>
          <w:sz w:val="18"/>
          <w:szCs w:val="18"/>
          <w:u w:val="single" w:color="auto"/>
          <w:color w:val="0000FF"/>
        </w:rPr>
        <w:t xml:space="preserve"> </w:t>
      </w:r>
      <w:hyperlink r:id="rId317">
        <w:r>
          <w:rPr>
            <w:rFonts w:ascii="Times New Roman" w:cs="Times New Roman" w:eastAsia="Times New Roman" w:hAnsi="Times New Roman"/>
            <w:sz w:val="18"/>
            <w:szCs w:val="18"/>
            <w:u w:val="single" w:color="auto"/>
            <w:color w:val="0000FF"/>
          </w:rPr>
          <w:t>Current Report on Form 8-K, filed on February 4, 2025.</w:t>
        </w:r>
      </w:hyperlink>
    </w:p>
    <w:p>
      <w:pPr>
        <w:spacing w:after="0" w:line="7" w:lineRule="exact"/>
        <w:rPr>
          <w:sz w:val="20"/>
          <w:szCs w:val="20"/>
          <w:color w:val="auto"/>
        </w:rPr>
      </w:pPr>
    </w:p>
    <w:p>
      <w:pPr>
        <w:jc w:val="right"/>
        <w:ind w:left="780" w:right="20"/>
        <w:spacing w:after="0" w:line="219"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4.1      </w:t>
      </w:r>
      <w:hyperlink r:id="rId318">
        <w:r>
          <w:rPr>
            <w:rFonts w:ascii="Times New Roman" w:cs="Times New Roman" w:eastAsia="Times New Roman" w:hAnsi="Times New Roman"/>
            <w:sz w:val="18"/>
            <w:szCs w:val="18"/>
            <w:u w:val="single" w:color="auto"/>
            <w:color w:val="0000FF"/>
          </w:rPr>
          <w:t>Indenture, dated as of June 22, 2017, among Brighthouse Financial, Inc., MetLife, Inc., as Guarantor, and U.S. Bank National Associati</w:t>
        </w:r>
      </w:hyperlink>
      <w:r>
        <w:rPr>
          <w:rFonts w:ascii="Times New Roman" w:cs="Times New Roman" w:eastAsia="Times New Roman" w:hAnsi="Times New Roman"/>
          <w:sz w:val="18"/>
          <w:szCs w:val="18"/>
          <w:color w:val="auto"/>
        </w:rPr>
        <w:t xml:space="preserve"> </w:t>
      </w:r>
      <w:hyperlink r:id="rId318">
        <w:r>
          <w:rPr>
            <w:rFonts w:ascii="Times New Roman" w:cs="Times New Roman" w:eastAsia="Times New Roman" w:hAnsi="Times New Roman"/>
            <w:sz w:val="18"/>
            <w:szCs w:val="18"/>
            <w:color w:val="0000FF"/>
          </w:rPr>
          <w:t>as Trustee, is incorporated by reference to Exhibit 4.1 to Amendment No. 4 to our Registration Statement on Form 10, filed on June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-8890</wp:posOffset>
            </wp:positionV>
            <wp:extent cx="620966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spacing w:after="0"/>
        <w:rPr>
          <w:rFonts w:ascii="Times New Roman" w:cs="Times New Roman" w:eastAsia="Times New Roman" w:hAnsi="Times New Roman"/>
          <w:sz w:val="18"/>
          <w:szCs w:val="18"/>
          <w:u w:val="single" w:color="auto"/>
          <w:color w:val="0000FF"/>
        </w:rPr>
      </w:pPr>
      <w:hyperlink r:id="rId318">
        <w:r>
          <w:rPr>
            <w:rFonts w:ascii="Times New Roman" w:cs="Times New Roman" w:eastAsia="Times New Roman" w:hAnsi="Times New Roman"/>
            <w:sz w:val="18"/>
            <w:szCs w:val="18"/>
            <w:u w:val="single" w:color="auto"/>
            <w:color w:val="0000FF"/>
          </w:rPr>
          <w:t>2017.</w:t>
        </w:r>
      </w:hyperlink>
    </w:p>
    <w:p>
      <w:pPr>
        <w:spacing w:after="0" w:line="4" w:lineRule="exact"/>
        <w:rPr>
          <w:sz w:val="20"/>
          <w:szCs w:val="20"/>
          <w:color w:val="auto"/>
        </w:rPr>
      </w:pPr>
    </w:p>
    <w:p>
      <w:pPr>
        <w:ind w:left="78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4.2</w:t>
      </w:r>
      <w:r>
        <w:rPr>
          <w:sz w:val="20"/>
          <w:szCs w:val="20"/>
          <w:color w:val="auto"/>
        </w:rPr>
        <w:tab/>
      </w:r>
      <w:hyperlink r:id="rId318">
        <w:r>
          <w:rPr>
            <w:rFonts w:ascii="Times New Roman" w:cs="Times New Roman" w:eastAsia="Times New Roman" w:hAnsi="Times New Roman"/>
            <w:sz w:val="17"/>
            <w:szCs w:val="17"/>
            <w:u w:val="single" w:color="auto"/>
            <w:color w:val="0000FF"/>
          </w:rPr>
          <w:t>Form of 3.700% Senior Note due 2027 and 4.700% Senior Note due 2047 (included in Exhibit B to Exhibit 4.1).</w:t>
        </w:r>
      </w:hyperlink>
    </w:p>
    <w:p>
      <w:pPr>
        <w:ind w:left="780"/>
        <w:spacing w:after="0" w:line="236"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w:t>
      </w:r>
      <w:r>
        <w:rPr>
          <w:sz w:val="20"/>
          <w:szCs w:val="20"/>
          <w:color w:val="auto"/>
        </w:rPr>
        <w:tab/>
      </w:r>
      <w:hyperlink r:id="rId320">
        <w:r>
          <w:rPr>
            <w:rFonts w:ascii="Times New Roman" w:cs="Times New Roman" w:eastAsia="Times New Roman" w:hAnsi="Times New Roman"/>
            <w:sz w:val="18"/>
            <w:szCs w:val="18"/>
            <w:u w:val="single" w:color="auto"/>
            <w:color w:val="0000FF"/>
          </w:rPr>
          <w:t>Senior Indenture, dated as of May 15, 2020, between Brighthouse Financial, Inc. and U.S. Bank National Association, as Trustee,</w:t>
        </w:r>
      </w:hyperlink>
    </w:p>
    <w:p>
      <w:pPr>
        <w:spacing w:after="0" w:line="1" w:lineRule="exact"/>
        <w:rPr>
          <w:sz w:val="20"/>
          <w:szCs w:val="20"/>
          <w:color w:val="auto"/>
        </w:rPr>
      </w:pPr>
    </w:p>
    <w:p>
      <w:pPr>
        <w:jc w:val="center"/>
        <w:ind w:left="840"/>
        <w:spacing w:after="0"/>
        <w:rPr>
          <w:rFonts w:ascii="Times New Roman" w:cs="Times New Roman" w:eastAsia="Times New Roman" w:hAnsi="Times New Roman"/>
          <w:sz w:val="18"/>
          <w:szCs w:val="18"/>
          <w:u w:val="single" w:color="auto"/>
          <w:color w:val="0000FF"/>
        </w:rPr>
      </w:pPr>
      <w:hyperlink r:id="rId320">
        <w:r>
          <w:rPr>
            <w:rFonts w:ascii="Times New Roman" w:cs="Times New Roman" w:eastAsia="Times New Roman" w:hAnsi="Times New Roman"/>
            <w:sz w:val="18"/>
            <w:szCs w:val="18"/>
            <w:u w:val="single" w:color="auto"/>
            <w:color w:val="0000FF"/>
          </w:rPr>
          <w:t>incorporated by reference to Exhibit 4.1 to our Current Report on Form 8-K, filed on May 15, 2020 (our “May 15, 2020 8-K”).</w:t>
        </w:r>
      </w:hyperlink>
    </w:p>
    <w:p>
      <w:pPr>
        <w:spacing w:after="0" w:line="12" w:lineRule="exact"/>
        <w:rPr>
          <w:sz w:val="20"/>
          <w:szCs w:val="20"/>
          <w:color w:val="auto"/>
        </w:rPr>
      </w:pPr>
    </w:p>
    <w:p>
      <w:pPr>
        <w:ind w:left="1560" w:right="40" w:hanging="856"/>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4.3.1</w:t>
      </w:r>
      <w:r>
        <w:rPr>
          <w:sz w:val="20"/>
          <w:szCs w:val="20"/>
          <w:color w:val="auto"/>
        </w:rPr>
        <w:tab/>
      </w:r>
      <w:hyperlink r:id="rId321">
        <w:r>
          <w:rPr>
            <w:rFonts w:ascii="Times New Roman" w:cs="Times New Roman" w:eastAsia="Times New Roman" w:hAnsi="Times New Roman"/>
            <w:sz w:val="18"/>
            <w:szCs w:val="18"/>
            <w:u w:val="single" w:color="auto"/>
            <w:color w:val="0000FF"/>
          </w:rPr>
          <w:t>First Supplemental Indenture, dated as of May 15, 2020, between Brighthouse Financial, Inc. and U.S. Bank National Association,</w:t>
        </w:r>
      </w:hyperlink>
      <w:r>
        <w:rPr>
          <w:rFonts w:ascii="Times New Roman" w:cs="Times New Roman" w:eastAsia="Times New Roman" w:hAnsi="Times New Roman"/>
          <w:sz w:val="18"/>
          <w:szCs w:val="18"/>
          <w:u w:val="single" w:color="auto"/>
          <w:color w:val="0000FF"/>
        </w:rPr>
        <w:t xml:space="preserve"> </w:t>
      </w:r>
      <w:hyperlink r:id="rId321">
        <w:r>
          <w:rPr>
            <w:rFonts w:ascii="Times New Roman" w:cs="Times New Roman" w:eastAsia="Times New Roman" w:hAnsi="Times New Roman"/>
            <w:sz w:val="18"/>
            <w:szCs w:val="18"/>
            <w:u w:val="single" w:color="auto"/>
            <w:color w:val="0000FF"/>
          </w:rPr>
          <w:t>Trustee, is incorporated by reference to Exhibit 4.2 to our May 15, 2020 8-K.</w:t>
        </w:r>
      </w:hyperlink>
    </w:p>
    <w:p>
      <w:pPr>
        <w:spacing w:after="0" w:line="7" w:lineRule="exact"/>
        <w:rPr>
          <w:sz w:val="20"/>
          <w:szCs w:val="20"/>
          <w:color w:val="auto"/>
        </w:rPr>
      </w:pPr>
    </w:p>
    <w:p>
      <w:pPr>
        <w:jc w:val="right"/>
        <w:ind w:left="700" w:right="20"/>
        <w:spacing w:after="0" w:line="219"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4.3.2      </w:t>
      </w:r>
      <w:hyperlink r:id="rId322">
        <w:r>
          <w:rPr>
            <w:rFonts w:ascii="Times New Roman" w:cs="Times New Roman" w:eastAsia="Times New Roman" w:hAnsi="Times New Roman"/>
            <w:sz w:val="18"/>
            <w:szCs w:val="18"/>
            <w:u w:val="single" w:color="auto"/>
            <w:color w:val="0000FF"/>
          </w:rPr>
          <w:t>Second Supplemental Indenture, dated as of November 22, 2021, between Brighthouse Financial, Inc. and U.S. Bank National Associati</w:t>
        </w:r>
      </w:hyperlink>
      <w:r>
        <w:rPr>
          <w:rFonts w:ascii="Times New Roman" w:cs="Times New Roman" w:eastAsia="Times New Roman" w:hAnsi="Times New Roman"/>
          <w:sz w:val="18"/>
          <w:szCs w:val="18"/>
          <w:color w:val="auto"/>
        </w:rPr>
        <w:t xml:space="preserve"> </w:t>
      </w:r>
      <w:hyperlink r:id="rId322">
        <w:r>
          <w:rPr>
            <w:rFonts w:ascii="Times New Roman" w:cs="Times New Roman" w:eastAsia="Times New Roman" w:hAnsi="Times New Roman"/>
            <w:sz w:val="18"/>
            <w:szCs w:val="18"/>
            <w:color w:val="0000FF"/>
          </w:rPr>
          <w:t>as Trustee, is incorporated by reference to Exhibit 4.2 to our Current Report on Form 8-K, filed on November 22, 2021 (our “November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-8890</wp:posOffset>
            </wp:positionV>
            <wp:extent cx="62096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3">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spacing w:after="0"/>
        <w:rPr>
          <w:rFonts w:ascii="Times New Roman" w:cs="Times New Roman" w:eastAsia="Times New Roman" w:hAnsi="Times New Roman"/>
          <w:sz w:val="18"/>
          <w:szCs w:val="18"/>
          <w:u w:val="single" w:color="auto"/>
          <w:color w:val="0000FF"/>
        </w:rPr>
      </w:pPr>
      <w:hyperlink r:id="rId322">
        <w:r>
          <w:rPr>
            <w:rFonts w:ascii="Times New Roman" w:cs="Times New Roman" w:eastAsia="Times New Roman" w:hAnsi="Times New Roman"/>
            <w:sz w:val="18"/>
            <w:szCs w:val="18"/>
            <w:u w:val="single" w:color="auto"/>
            <w:color w:val="0000FF"/>
          </w:rPr>
          <w:t>2021 8-K”).</w:t>
        </w:r>
      </w:hyperlink>
    </w:p>
    <w:p>
      <w:pPr>
        <w:spacing w:after="0" w:line="4" w:lineRule="exact"/>
        <w:rPr>
          <w:sz w:val="20"/>
          <w:szCs w:val="20"/>
          <w:color w:val="auto"/>
        </w:rPr>
      </w:pPr>
    </w:p>
    <w:p>
      <w:pPr>
        <w:ind w:left="78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4.4</w:t>
      </w:r>
      <w:r>
        <w:rPr>
          <w:sz w:val="20"/>
          <w:szCs w:val="20"/>
          <w:color w:val="auto"/>
        </w:rPr>
        <w:tab/>
      </w:r>
      <w:hyperlink r:id="rId321">
        <w:r>
          <w:rPr>
            <w:rFonts w:ascii="Times New Roman" w:cs="Times New Roman" w:eastAsia="Times New Roman" w:hAnsi="Times New Roman"/>
            <w:sz w:val="17"/>
            <w:szCs w:val="17"/>
            <w:u w:val="single" w:color="auto"/>
            <w:color w:val="0000FF"/>
          </w:rPr>
          <w:t>Form of 5.625% Senior Notes due 2030 (included in Exhibit A to Exhibit 4.3.1).</w:t>
        </w:r>
      </w:hyperlink>
    </w:p>
    <w:p>
      <w:pPr>
        <w:spacing w:after="0" w:line="18" w:lineRule="exact"/>
        <w:rPr>
          <w:sz w:val="20"/>
          <w:szCs w:val="20"/>
          <w:color w:val="auto"/>
        </w:rPr>
      </w:pPr>
    </w:p>
    <w:p>
      <w:pPr>
        <w:ind w:left="78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4.5</w:t>
      </w:r>
      <w:r>
        <w:rPr>
          <w:sz w:val="20"/>
          <w:szCs w:val="20"/>
          <w:color w:val="auto"/>
        </w:rPr>
        <w:tab/>
      </w:r>
      <w:hyperlink r:id="rId322">
        <w:r>
          <w:rPr>
            <w:rFonts w:ascii="Times New Roman" w:cs="Times New Roman" w:eastAsia="Times New Roman" w:hAnsi="Times New Roman"/>
            <w:sz w:val="17"/>
            <w:szCs w:val="17"/>
            <w:u w:val="single" w:color="auto"/>
            <w:color w:val="0000FF"/>
          </w:rPr>
          <w:t>Form of 3.850% Senior Notes Due 2051 (included in Exhibit A to 4.3.2).</w:t>
        </w:r>
      </w:hyperlink>
    </w:p>
    <w:p>
      <w:pPr>
        <w:spacing w:after="0" w:line="18" w:lineRule="exact"/>
        <w:rPr>
          <w:sz w:val="20"/>
          <w:szCs w:val="20"/>
          <w:color w:val="auto"/>
        </w:rPr>
      </w:pPr>
    </w:p>
    <w:p>
      <w:pPr>
        <w:ind w:left="1560" w:hanging="789"/>
        <w:spacing w:after="0" w:line="228" w:lineRule="auto"/>
        <w:tabs>
          <w:tab w:leader="none" w:pos="15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4.6</w:t>
      </w:r>
      <w:r>
        <w:rPr>
          <w:sz w:val="20"/>
          <w:szCs w:val="20"/>
          <w:color w:val="auto"/>
        </w:rPr>
        <w:tab/>
      </w:r>
      <w:hyperlink r:id="rId324">
        <w:r>
          <w:rPr>
            <w:rFonts w:ascii="Times New Roman" w:cs="Times New Roman" w:eastAsia="Times New Roman" w:hAnsi="Times New Roman"/>
            <w:sz w:val="17"/>
            <w:szCs w:val="17"/>
            <w:u w:val="single" w:color="auto"/>
            <w:color w:val="0000FF"/>
          </w:rPr>
          <w:t>Junior Subordinated Indenture, dated as of September 12, 2018, between Brighthouse Financial, Inc. and U.S. Bank National Association,</w:t>
        </w:r>
      </w:hyperlink>
      <w:r>
        <w:rPr>
          <w:rFonts w:ascii="Times New Roman" w:cs="Times New Roman" w:eastAsia="Times New Roman" w:hAnsi="Times New Roman"/>
          <w:sz w:val="17"/>
          <w:szCs w:val="17"/>
          <w:u w:val="single" w:color="auto"/>
          <w:color w:val="0000FF"/>
        </w:rPr>
        <w:t xml:space="preserve"> </w:t>
      </w:r>
      <w:hyperlink r:id="rId324">
        <w:r>
          <w:rPr>
            <w:rFonts w:ascii="Times New Roman" w:cs="Times New Roman" w:eastAsia="Times New Roman" w:hAnsi="Times New Roman"/>
            <w:sz w:val="17"/>
            <w:szCs w:val="17"/>
            <w:color w:val="0000FF"/>
          </w:rPr>
          <w:t>Trustee, is incorporated by reference to Exhibit 4.1 to our Current Report on Form 8-K, filed on September 12, 2018 (our “September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-8890</wp:posOffset>
            </wp:positionV>
            <wp:extent cx="620966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5">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spacing w:after="0"/>
        <w:rPr>
          <w:rFonts w:ascii="Times New Roman" w:cs="Times New Roman" w:eastAsia="Times New Roman" w:hAnsi="Times New Roman"/>
          <w:sz w:val="18"/>
          <w:szCs w:val="18"/>
          <w:u w:val="single" w:color="auto"/>
          <w:color w:val="0000FF"/>
        </w:rPr>
      </w:pPr>
      <w:hyperlink r:id="rId324">
        <w:r>
          <w:rPr>
            <w:rFonts w:ascii="Times New Roman" w:cs="Times New Roman" w:eastAsia="Times New Roman" w:hAnsi="Times New Roman"/>
            <w:sz w:val="18"/>
            <w:szCs w:val="18"/>
            <w:u w:val="single" w:color="auto"/>
            <w:color w:val="0000FF"/>
          </w:rPr>
          <w:t>2018 8-K”).</w:t>
        </w:r>
      </w:hyperlink>
    </w:p>
    <w:p>
      <w:pPr>
        <w:spacing w:after="0" w:line="4" w:lineRule="exact"/>
        <w:rPr>
          <w:sz w:val="20"/>
          <w:szCs w:val="20"/>
          <w:color w:val="auto"/>
        </w:rPr>
      </w:pPr>
    </w:p>
    <w:p>
      <w:pPr>
        <w:ind w:left="1560" w:hanging="856"/>
        <w:spacing w:after="0" w:line="230"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4.6.1</w:t>
      </w:r>
      <w:r>
        <w:rPr>
          <w:sz w:val="20"/>
          <w:szCs w:val="20"/>
          <w:color w:val="auto"/>
        </w:rPr>
        <w:tab/>
      </w:r>
      <w:hyperlink r:id="rId326">
        <w:r>
          <w:rPr>
            <w:rFonts w:ascii="Times New Roman" w:cs="Times New Roman" w:eastAsia="Times New Roman" w:hAnsi="Times New Roman"/>
            <w:sz w:val="18"/>
            <w:szCs w:val="18"/>
            <w:u w:val="single" w:color="auto"/>
            <w:color w:val="0000FF"/>
          </w:rPr>
          <w:t>First Supplemental Indenture, dated as of September 12, 2018, between Brighthouse Financial, Inc. and U.S. Bank National Association,</w:t>
        </w:r>
      </w:hyperlink>
      <w:r>
        <w:rPr>
          <w:rFonts w:ascii="Times New Roman" w:cs="Times New Roman" w:eastAsia="Times New Roman" w:hAnsi="Times New Roman"/>
          <w:sz w:val="18"/>
          <w:szCs w:val="18"/>
          <w:u w:val="single" w:color="auto"/>
          <w:color w:val="0000FF"/>
        </w:rPr>
        <w:t xml:space="preserve"> </w:t>
      </w:r>
      <w:hyperlink r:id="rId326">
        <w:r>
          <w:rPr>
            <w:rFonts w:ascii="Times New Roman" w:cs="Times New Roman" w:eastAsia="Times New Roman" w:hAnsi="Times New Roman"/>
            <w:sz w:val="18"/>
            <w:szCs w:val="18"/>
            <w:u w:val="single" w:color="auto"/>
            <w:color w:val="0000FF"/>
          </w:rPr>
          <w:t>Trustee, is incorporated by reference to Exhibit 4.2 to our September 12, 2018 8-K.</w:t>
        </w:r>
      </w:hyperlink>
    </w:p>
    <w:p>
      <w:pPr>
        <w:spacing w:after="0" w:line="8" w:lineRule="exact"/>
        <w:rPr>
          <w:sz w:val="20"/>
          <w:szCs w:val="20"/>
          <w:color w:val="auto"/>
        </w:rPr>
      </w:pPr>
    </w:p>
    <w:p>
      <w:pPr>
        <w:ind w:left="78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4.7</w:t>
      </w:r>
      <w:r>
        <w:rPr>
          <w:sz w:val="20"/>
          <w:szCs w:val="20"/>
          <w:color w:val="auto"/>
        </w:rPr>
        <w:tab/>
      </w:r>
      <w:hyperlink r:id="rId326">
        <w:r>
          <w:rPr>
            <w:rFonts w:ascii="Times New Roman" w:cs="Times New Roman" w:eastAsia="Times New Roman" w:hAnsi="Times New Roman"/>
            <w:sz w:val="17"/>
            <w:szCs w:val="17"/>
            <w:u w:val="single" w:color="auto"/>
            <w:color w:val="0000FF"/>
          </w:rPr>
          <w:t>Form of Junior Subordinated Debenture (included in Exhibit A to Exhibit 4.6.1).</w:t>
        </w:r>
      </w:hyperlink>
    </w:p>
    <w:p>
      <w:pPr>
        <w:spacing w:after="0" w:line="24" w:lineRule="exact"/>
        <w:rPr>
          <w:sz w:val="20"/>
          <w:szCs w:val="20"/>
          <w:color w:val="auto"/>
        </w:rPr>
      </w:pPr>
    </w:p>
    <w:p>
      <w:pPr>
        <w:ind w:left="1560" w:hanging="789"/>
        <w:spacing w:after="0" w:line="230"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4.8</w:t>
      </w:r>
      <w:r>
        <w:rPr>
          <w:sz w:val="20"/>
          <w:szCs w:val="20"/>
          <w:color w:val="auto"/>
        </w:rPr>
        <w:tab/>
      </w:r>
      <w:hyperlink r:id="rId327">
        <w:r>
          <w:rPr>
            <w:rFonts w:ascii="Times New Roman" w:cs="Times New Roman" w:eastAsia="Times New Roman" w:hAnsi="Times New Roman"/>
            <w:sz w:val="18"/>
            <w:szCs w:val="18"/>
            <w:u w:val="single" w:color="auto"/>
            <w:color w:val="0000FF"/>
          </w:rPr>
          <w:t>Series A Certificate of Designations is incorporated by reference to Exhibit 3.1 to our Current Report on Form 8-K, filed on March 25, 20</w:t>
        </w:r>
      </w:hyperlink>
      <w:r>
        <w:rPr>
          <w:rFonts w:ascii="Times New Roman" w:cs="Times New Roman" w:eastAsia="Times New Roman" w:hAnsi="Times New Roman"/>
          <w:sz w:val="18"/>
          <w:szCs w:val="18"/>
          <w:u w:val="single" w:color="auto"/>
          <w:color w:val="0000FF"/>
        </w:rPr>
        <w:t xml:space="preserve"> </w:t>
      </w:r>
      <w:hyperlink r:id="rId327">
        <w:r>
          <w:rPr>
            <w:rFonts w:ascii="Times New Roman" w:cs="Times New Roman" w:eastAsia="Times New Roman" w:hAnsi="Times New Roman"/>
            <w:sz w:val="18"/>
            <w:szCs w:val="18"/>
            <w:u w:val="single" w:color="auto"/>
            <w:color w:val="0000FF"/>
          </w:rPr>
          <w:t>(our “March 25, 2019 8-K”).</w:t>
        </w:r>
      </w:hyperlink>
    </w:p>
    <w:p>
      <w:pPr>
        <w:spacing w:after="0" w:line="8" w:lineRule="exact"/>
        <w:rPr>
          <w:sz w:val="20"/>
          <w:szCs w:val="20"/>
          <w:color w:val="auto"/>
        </w:rPr>
      </w:pPr>
    </w:p>
    <w:p>
      <w:pPr>
        <w:ind w:left="1560" w:hanging="789"/>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4.9</w:t>
      </w:r>
      <w:r>
        <w:rPr>
          <w:sz w:val="20"/>
          <w:szCs w:val="20"/>
          <w:color w:val="auto"/>
        </w:rPr>
        <w:tab/>
      </w:r>
      <w:hyperlink r:id="rId328">
        <w:r>
          <w:rPr>
            <w:rFonts w:ascii="Times New Roman" w:cs="Times New Roman" w:eastAsia="Times New Roman" w:hAnsi="Times New Roman"/>
            <w:sz w:val="18"/>
            <w:szCs w:val="18"/>
            <w:u w:val="single" w:color="auto"/>
            <w:color w:val="0000FF"/>
          </w:rPr>
          <w:t>Series B Certificate of Designations is incorporated by reference to Exhibit 3.1 to our Current Report on Form 8-K, filed on May 21, 20</w:t>
        </w:r>
      </w:hyperlink>
      <w:r>
        <w:rPr>
          <w:rFonts w:ascii="Times New Roman" w:cs="Times New Roman" w:eastAsia="Times New Roman" w:hAnsi="Times New Roman"/>
          <w:sz w:val="18"/>
          <w:szCs w:val="18"/>
          <w:u w:val="single" w:color="auto"/>
          <w:color w:val="0000FF"/>
        </w:rPr>
        <w:t xml:space="preserve"> </w:t>
      </w:r>
      <w:hyperlink r:id="rId328">
        <w:r>
          <w:rPr>
            <w:rFonts w:ascii="Times New Roman" w:cs="Times New Roman" w:eastAsia="Times New Roman" w:hAnsi="Times New Roman"/>
            <w:sz w:val="18"/>
            <w:szCs w:val="18"/>
            <w:u w:val="single" w:color="auto"/>
            <w:color w:val="0000FF"/>
          </w:rPr>
          <w:t>(our “May 21, 2020 8-K”).</w:t>
        </w:r>
      </w:hyperlink>
    </w:p>
    <w:p>
      <w:pPr>
        <w:ind w:left="720"/>
        <w:spacing w:after="0"/>
        <w:tabs>
          <w:tab w:leader="none" w:pos="15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4.10</w:t>
      </w:r>
      <w:r>
        <w:rPr>
          <w:sz w:val="20"/>
          <w:szCs w:val="20"/>
          <w:color w:val="auto"/>
        </w:rPr>
        <w:tab/>
      </w:r>
      <w:hyperlink r:id="rId329">
        <w:r>
          <w:rPr>
            <w:rFonts w:ascii="Times New Roman" w:cs="Times New Roman" w:eastAsia="Times New Roman" w:hAnsi="Times New Roman"/>
            <w:sz w:val="17"/>
            <w:szCs w:val="17"/>
            <w:color w:val="0000FF"/>
          </w:rPr>
          <w:t>Series C Certificate of Designations is incorporated by reference to Exhibit 3.1 to our Current Report on Form 8-K, filed on November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-635</wp:posOffset>
            </wp:positionV>
            <wp:extent cx="62096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0">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spacing w:after="0"/>
        <w:rPr>
          <w:rFonts w:ascii="Times New Roman" w:cs="Times New Roman" w:eastAsia="Times New Roman" w:hAnsi="Times New Roman"/>
          <w:sz w:val="18"/>
          <w:szCs w:val="18"/>
          <w:u w:val="single" w:color="auto"/>
          <w:color w:val="0000FF"/>
        </w:rPr>
      </w:pPr>
      <w:hyperlink r:id="rId329">
        <w:r>
          <w:rPr>
            <w:rFonts w:ascii="Times New Roman" w:cs="Times New Roman" w:eastAsia="Times New Roman" w:hAnsi="Times New Roman"/>
            <w:sz w:val="18"/>
            <w:szCs w:val="18"/>
            <w:u w:val="single" w:color="auto"/>
            <w:color w:val="0000FF"/>
          </w:rPr>
          <w:t>2020 (our “November 20, 2020 8-K”).</w:t>
        </w:r>
      </w:hyperlink>
    </w:p>
    <w:p>
      <w:pPr>
        <w:spacing w:after="0" w:line="12" w:lineRule="exact"/>
        <w:rPr>
          <w:sz w:val="20"/>
          <w:szCs w:val="20"/>
          <w:color w:val="auto"/>
        </w:rPr>
      </w:pPr>
    </w:p>
    <w:p>
      <w:pPr>
        <w:ind w:left="7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4.11</w:t>
      </w:r>
      <w:r>
        <w:rPr>
          <w:sz w:val="20"/>
          <w:szCs w:val="20"/>
          <w:color w:val="auto"/>
        </w:rPr>
        <w:tab/>
      </w:r>
      <w:hyperlink r:id="rId331">
        <w:r>
          <w:rPr>
            <w:rFonts w:ascii="Times New Roman" w:cs="Times New Roman" w:eastAsia="Times New Roman" w:hAnsi="Times New Roman"/>
            <w:sz w:val="17"/>
            <w:szCs w:val="17"/>
            <w:u w:val="single" w:color="auto"/>
            <w:color w:val="0000FF"/>
          </w:rPr>
          <w:t>Series D Certificate of Designations is incorporated by reference to Exhibit 3.1 to our November 22, 2021 8-K.</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78" w:right="2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ind w:left="720"/>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4.12      </w:t>
      </w:r>
      <w:hyperlink r:id="rId333">
        <w:r>
          <w:rPr>
            <w:rFonts w:ascii="Times New Roman" w:cs="Times New Roman" w:eastAsia="Times New Roman" w:hAnsi="Times New Roman"/>
            <w:sz w:val="18"/>
            <w:szCs w:val="18"/>
            <w:u w:val="single" w:color="auto"/>
            <w:color w:val="0000FF"/>
          </w:rPr>
          <w:t>Deposit Agreement, dated as of March 25, 2019, among Brighthouse Financial, Inc., Computershare Inc. and Computershare Tr</w:t>
        </w:r>
      </w:hyperlink>
      <w:r>
        <w:rPr>
          <w:rFonts w:ascii="Times New Roman" w:cs="Times New Roman" w:eastAsia="Times New Roman" w:hAnsi="Times New Roman"/>
          <w:sz w:val="18"/>
          <w:szCs w:val="18"/>
          <w:color w:val="auto"/>
        </w:rPr>
        <w:t xml:space="preserve"> </w:t>
      </w:r>
      <w:hyperlink r:id="rId333">
        <w:r>
          <w:rPr>
            <w:rFonts w:ascii="Times New Roman" w:cs="Times New Roman" w:eastAsia="Times New Roman" w:hAnsi="Times New Roman"/>
            <w:sz w:val="18"/>
            <w:szCs w:val="18"/>
            <w:u w:val="single" w:color="auto"/>
            <w:color w:val="0000FF"/>
          </w:rPr>
          <w:t>Company, N.A., collectively as depositary, and the holders from time to time of the depositary receipts described therein, is incorporated</w:t>
        </w:r>
      </w:hyperlink>
    </w:p>
    <w:p>
      <w:pPr>
        <w:ind w:left="1560"/>
        <w:spacing w:after="0"/>
        <w:rPr>
          <w:rFonts w:ascii="Times New Roman" w:cs="Times New Roman" w:eastAsia="Times New Roman" w:hAnsi="Times New Roman"/>
          <w:sz w:val="18"/>
          <w:szCs w:val="18"/>
          <w:u w:val="single" w:color="auto"/>
          <w:color w:val="0000FF"/>
        </w:rPr>
      </w:pPr>
      <w:hyperlink r:id="rId333">
        <w:r>
          <w:rPr>
            <w:rFonts w:ascii="Times New Roman" w:cs="Times New Roman" w:eastAsia="Times New Roman" w:hAnsi="Times New Roman"/>
            <w:sz w:val="18"/>
            <w:szCs w:val="18"/>
            <w:u w:val="single" w:color="auto"/>
            <w:color w:val="0000FF"/>
          </w:rPr>
          <w:t>reference to Exhibit 4.2 to our March 25, 2019 8-K.</w:t>
        </w:r>
      </w:hyperlink>
    </w:p>
    <w:p>
      <w:pPr>
        <w:spacing w:after="0" w:line="4" w:lineRule="exact"/>
        <w:rPr>
          <w:sz w:val="20"/>
          <w:szCs w:val="20"/>
          <w:color w:val="auto"/>
        </w:rPr>
      </w:pPr>
    </w:p>
    <w:p>
      <w:pPr>
        <w:jc w:val="right"/>
        <w:ind w:left="72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4.13      </w:t>
      </w:r>
      <w:hyperlink r:id="rId334">
        <w:r>
          <w:rPr>
            <w:rFonts w:ascii="Times New Roman" w:cs="Times New Roman" w:eastAsia="Times New Roman" w:hAnsi="Times New Roman"/>
            <w:sz w:val="18"/>
            <w:szCs w:val="18"/>
            <w:u w:val="single" w:color="auto"/>
            <w:color w:val="0000FF"/>
          </w:rPr>
          <w:t>Deposit Agreement, dated as of May 21, 2020, among Brighthouse Financial, Inc., Computershare Inc. and Computershare Trust Compa</w:t>
        </w:r>
      </w:hyperlink>
      <w:r>
        <w:rPr>
          <w:rFonts w:ascii="Times New Roman" w:cs="Times New Roman" w:eastAsia="Times New Roman" w:hAnsi="Times New Roman"/>
          <w:sz w:val="18"/>
          <w:szCs w:val="18"/>
          <w:color w:val="auto"/>
        </w:rPr>
        <w:t xml:space="preserve"> </w:t>
      </w:r>
      <w:hyperlink r:id="rId334">
        <w:r>
          <w:rPr>
            <w:rFonts w:ascii="Times New Roman" w:cs="Times New Roman" w:eastAsia="Times New Roman" w:hAnsi="Times New Roman"/>
            <w:sz w:val="18"/>
            <w:szCs w:val="18"/>
            <w:u w:val="single" w:color="auto"/>
            <w:color w:val="0000FF"/>
          </w:rPr>
          <w:t>N.A., collectively as depositary, and the holders from time to time of the depositary receipts described therein, is incorporated by referen</w:t>
        </w:r>
      </w:hyperlink>
    </w:p>
    <w:p>
      <w:pPr>
        <w:spacing w:after="0" w:line="1" w:lineRule="exact"/>
        <w:rPr>
          <w:sz w:val="20"/>
          <w:szCs w:val="20"/>
          <w:color w:val="auto"/>
        </w:rPr>
      </w:pPr>
    </w:p>
    <w:p>
      <w:pPr>
        <w:ind w:left="1560"/>
        <w:spacing w:after="0"/>
        <w:rPr>
          <w:rFonts w:ascii="Times New Roman" w:cs="Times New Roman" w:eastAsia="Times New Roman" w:hAnsi="Times New Roman"/>
          <w:sz w:val="18"/>
          <w:szCs w:val="18"/>
          <w:u w:val="single" w:color="auto"/>
          <w:color w:val="0000FF"/>
        </w:rPr>
      </w:pPr>
      <w:hyperlink r:id="rId334">
        <w:r>
          <w:rPr>
            <w:rFonts w:ascii="Times New Roman" w:cs="Times New Roman" w:eastAsia="Times New Roman" w:hAnsi="Times New Roman"/>
            <w:sz w:val="18"/>
            <w:szCs w:val="18"/>
            <w:u w:val="single" w:color="auto"/>
            <w:color w:val="0000FF"/>
          </w:rPr>
          <w:t>to Exhibit 4.2 to our May 21, 2020 8-K.</w:t>
        </w:r>
      </w:hyperlink>
    </w:p>
    <w:p>
      <w:pPr>
        <w:spacing w:after="0" w:line="4" w:lineRule="exact"/>
        <w:rPr>
          <w:sz w:val="20"/>
          <w:szCs w:val="20"/>
          <w:color w:val="auto"/>
        </w:rPr>
      </w:pPr>
    </w:p>
    <w:p>
      <w:pPr>
        <w:jc w:val="right"/>
        <w:ind w:left="720" w:right="2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4.14      </w:t>
      </w:r>
      <w:hyperlink r:id="rId335">
        <w:r>
          <w:rPr>
            <w:rFonts w:ascii="Times New Roman" w:cs="Times New Roman" w:eastAsia="Times New Roman" w:hAnsi="Times New Roman"/>
            <w:sz w:val="18"/>
            <w:szCs w:val="18"/>
            <w:u w:val="single" w:color="auto"/>
            <w:color w:val="0000FF"/>
          </w:rPr>
          <w:t>Deposit Agreement, dated as of November 20, 2020, among Brighthouse Financial, Inc., Computershare Inc. and Computershare Tr</w:t>
        </w:r>
      </w:hyperlink>
      <w:r>
        <w:rPr>
          <w:rFonts w:ascii="Times New Roman" w:cs="Times New Roman" w:eastAsia="Times New Roman" w:hAnsi="Times New Roman"/>
          <w:sz w:val="18"/>
          <w:szCs w:val="18"/>
          <w:color w:val="auto"/>
        </w:rPr>
        <w:t xml:space="preserve"> </w:t>
      </w:r>
      <w:hyperlink r:id="rId335">
        <w:r>
          <w:rPr>
            <w:rFonts w:ascii="Times New Roman" w:cs="Times New Roman" w:eastAsia="Times New Roman" w:hAnsi="Times New Roman"/>
            <w:sz w:val="18"/>
            <w:szCs w:val="18"/>
            <w:u w:val="single" w:color="auto"/>
            <w:color w:val="0000FF"/>
          </w:rPr>
          <w:t>Company, N.A., collectively as depositary, and the holders from time to time of the depositary receipts described therein, is incorporated</w:t>
        </w:r>
      </w:hyperlink>
    </w:p>
    <w:p>
      <w:pPr>
        <w:spacing w:after="0" w:line="1" w:lineRule="exact"/>
        <w:rPr>
          <w:sz w:val="20"/>
          <w:szCs w:val="20"/>
          <w:color w:val="auto"/>
        </w:rPr>
      </w:pPr>
    </w:p>
    <w:p>
      <w:pPr>
        <w:ind w:left="1560"/>
        <w:spacing w:after="0"/>
        <w:rPr>
          <w:rFonts w:ascii="Times New Roman" w:cs="Times New Roman" w:eastAsia="Times New Roman" w:hAnsi="Times New Roman"/>
          <w:sz w:val="18"/>
          <w:szCs w:val="18"/>
          <w:u w:val="single" w:color="auto"/>
          <w:color w:val="0000FF"/>
        </w:rPr>
      </w:pPr>
      <w:hyperlink r:id="rId335">
        <w:r>
          <w:rPr>
            <w:rFonts w:ascii="Times New Roman" w:cs="Times New Roman" w:eastAsia="Times New Roman" w:hAnsi="Times New Roman"/>
            <w:sz w:val="18"/>
            <w:szCs w:val="18"/>
            <w:u w:val="single" w:color="auto"/>
            <w:color w:val="0000FF"/>
          </w:rPr>
          <w:t>reference to Exhibit 4.2 to our November 20, 2020 8-K.</w:t>
        </w:r>
      </w:hyperlink>
    </w:p>
    <w:p>
      <w:pPr>
        <w:spacing w:after="0" w:line="4" w:lineRule="exact"/>
        <w:rPr>
          <w:sz w:val="20"/>
          <w:szCs w:val="20"/>
          <w:color w:val="auto"/>
        </w:rPr>
      </w:pPr>
    </w:p>
    <w:p>
      <w:pPr>
        <w:jc w:val="right"/>
        <w:ind w:left="720" w:right="20"/>
        <w:spacing w:after="0" w:line="215"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4.15      </w:t>
      </w:r>
      <w:hyperlink r:id="rId336">
        <w:r>
          <w:rPr>
            <w:rFonts w:ascii="Times New Roman" w:cs="Times New Roman" w:eastAsia="Times New Roman" w:hAnsi="Times New Roman"/>
            <w:sz w:val="18"/>
            <w:szCs w:val="18"/>
            <w:u w:val="single" w:color="auto"/>
            <w:color w:val="0000FF"/>
          </w:rPr>
          <w:t>Deposit Agreement, dated as of November 22, 2021, among Brighthouse Financial, Inc., Computershare Inc. and Computershare Tr</w:t>
        </w:r>
      </w:hyperlink>
      <w:r>
        <w:rPr>
          <w:rFonts w:ascii="Times New Roman" w:cs="Times New Roman" w:eastAsia="Times New Roman" w:hAnsi="Times New Roman"/>
          <w:sz w:val="18"/>
          <w:szCs w:val="18"/>
          <w:color w:val="auto"/>
        </w:rPr>
        <w:t xml:space="preserve"> </w:t>
      </w:r>
      <w:hyperlink r:id="rId336">
        <w:r>
          <w:rPr>
            <w:rFonts w:ascii="Times New Roman" w:cs="Times New Roman" w:eastAsia="Times New Roman" w:hAnsi="Times New Roman"/>
            <w:sz w:val="18"/>
            <w:szCs w:val="18"/>
            <w:u w:val="single" w:color="auto"/>
            <w:color w:val="0000FF"/>
          </w:rPr>
          <w:t>Company, N.A., collectively as depositary, and the holders from time to time of the depositary receipts described therein, is incorporated</w:t>
        </w:r>
      </w:hyperlink>
    </w:p>
    <w:p>
      <w:pPr>
        <w:spacing w:after="0" w:line="1" w:lineRule="exact"/>
        <w:rPr>
          <w:sz w:val="20"/>
          <w:szCs w:val="20"/>
          <w:color w:val="auto"/>
        </w:rPr>
      </w:pPr>
    </w:p>
    <w:p>
      <w:pPr>
        <w:ind w:left="1560"/>
        <w:spacing w:after="0"/>
        <w:rPr>
          <w:rFonts w:ascii="Times New Roman" w:cs="Times New Roman" w:eastAsia="Times New Roman" w:hAnsi="Times New Roman"/>
          <w:sz w:val="18"/>
          <w:szCs w:val="18"/>
          <w:u w:val="single" w:color="auto"/>
          <w:color w:val="0000FF"/>
        </w:rPr>
      </w:pPr>
      <w:hyperlink r:id="rId336">
        <w:r>
          <w:rPr>
            <w:rFonts w:ascii="Times New Roman" w:cs="Times New Roman" w:eastAsia="Times New Roman" w:hAnsi="Times New Roman"/>
            <w:sz w:val="18"/>
            <w:szCs w:val="18"/>
            <w:u w:val="single" w:color="auto"/>
            <w:color w:val="0000FF"/>
          </w:rPr>
          <w:t>reference to Exhibit 4.5 to our November 22, 2021 8-K.</w:t>
        </w:r>
      </w:hyperlink>
    </w:p>
    <w:p>
      <w:pPr>
        <w:spacing w:after="0" w:line="4" w:lineRule="exact"/>
        <w:rPr>
          <w:sz w:val="20"/>
          <w:szCs w:val="20"/>
          <w:color w:val="auto"/>
        </w:rPr>
      </w:pPr>
    </w:p>
    <w:p>
      <w:pPr>
        <w:ind w:left="7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4.16</w:t>
      </w:r>
      <w:r>
        <w:rPr>
          <w:sz w:val="20"/>
          <w:szCs w:val="20"/>
          <w:color w:val="auto"/>
        </w:rPr>
        <w:tab/>
      </w:r>
      <w:hyperlink r:id="rId333">
        <w:r>
          <w:rPr>
            <w:rFonts w:ascii="Times New Roman" w:cs="Times New Roman" w:eastAsia="Times New Roman" w:hAnsi="Times New Roman"/>
            <w:sz w:val="17"/>
            <w:szCs w:val="17"/>
            <w:u w:val="single" w:color="auto"/>
            <w:color w:val="0000FF"/>
          </w:rPr>
          <w:t>Form of depositary receipt evidencing the Series A Depositary Shares (included as Exhibit A to Exhibit 4.12).</w:t>
        </w:r>
      </w:hyperlink>
    </w:p>
    <w:p>
      <w:pPr>
        <w:spacing w:after="0" w:line="18" w:lineRule="exact"/>
        <w:rPr>
          <w:sz w:val="20"/>
          <w:szCs w:val="20"/>
          <w:color w:val="auto"/>
        </w:rPr>
      </w:pPr>
    </w:p>
    <w:p>
      <w:pPr>
        <w:ind w:left="7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4.17</w:t>
      </w:r>
      <w:r>
        <w:rPr>
          <w:sz w:val="20"/>
          <w:szCs w:val="20"/>
          <w:color w:val="auto"/>
        </w:rPr>
        <w:tab/>
      </w:r>
      <w:hyperlink r:id="rId334">
        <w:r>
          <w:rPr>
            <w:rFonts w:ascii="Times New Roman" w:cs="Times New Roman" w:eastAsia="Times New Roman" w:hAnsi="Times New Roman"/>
            <w:sz w:val="17"/>
            <w:szCs w:val="17"/>
            <w:u w:val="single" w:color="auto"/>
            <w:color w:val="0000FF"/>
          </w:rPr>
          <w:t>Form of depositary receipt evidencing the Series B Depositary Shares (included as Exhibit A to Exhibit 4.13).</w:t>
        </w:r>
      </w:hyperlink>
    </w:p>
    <w:p>
      <w:pPr>
        <w:spacing w:after="0" w:line="18" w:lineRule="exact"/>
        <w:rPr>
          <w:sz w:val="20"/>
          <w:szCs w:val="20"/>
          <w:color w:val="auto"/>
        </w:rPr>
      </w:pPr>
    </w:p>
    <w:p>
      <w:pPr>
        <w:ind w:left="7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4.18</w:t>
      </w:r>
      <w:r>
        <w:rPr>
          <w:sz w:val="20"/>
          <w:szCs w:val="20"/>
          <w:color w:val="auto"/>
        </w:rPr>
        <w:tab/>
      </w:r>
      <w:hyperlink r:id="rId335">
        <w:r>
          <w:rPr>
            <w:rFonts w:ascii="Times New Roman" w:cs="Times New Roman" w:eastAsia="Times New Roman" w:hAnsi="Times New Roman"/>
            <w:sz w:val="17"/>
            <w:szCs w:val="17"/>
            <w:u w:val="single" w:color="auto"/>
            <w:color w:val="0000FF"/>
          </w:rPr>
          <w:t>Form of depositary receipt evidencing the Series C Depositary Shares (included as Exhibit A to Exhibit 4.14).</w:t>
        </w:r>
      </w:hyperlink>
    </w:p>
    <w:p>
      <w:pPr>
        <w:spacing w:after="0" w:line="18" w:lineRule="exact"/>
        <w:rPr>
          <w:sz w:val="20"/>
          <w:szCs w:val="20"/>
          <w:color w:val="auto"/>
        </w:rPr>
      </w:pPr>
    </w:p>
    <w:p>
      <w:pPr>
        <w:ind w:left="7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4.19</w:t>
      </w:r>
      <w:r>
        <w:rPr>
          <w:sz w:val="20"/>
          <w:szCs w:val="20"/>
          <w:color w:val="auto"/>
        </w:rPr>
        <w:tab/>
      </w:r>
      <w:hyperlink r:id="rId337">
        <w:r>
          <w:rPr>
            <w:rFonts w:ascii="Times New Roman" w:cs="Times New Roman" w:eastAsia="Times New Roman" w:hAnsi="Times New Roman"/>
            <w:sz w:val="17"/>
            <w:szCs w:val="17"/>
            <w:u w:val="single" w:color="auto"/>
            <w:color w:val="0000FF"/>
          </w:rPr>
          <w:t>Form of depositary receipt evidencing the Series D Depositary Shares (included as Exhibit A to Exhibit 4.15).</w:t>
        </w:r>
      </w:hyperlink>
    </w:p>
    <w:p>
      <w:pPr>
        <w:spacing w:after="0" w:line="18" w:lineRule="exact"/>
        <w:rPr>
          <w:sz w:val="20"/>
          <w:szCs w:val="20"/>
          <w:color w:val="auto"/>
        </w:rPr>
      </w:pPr>
    </w:p>
    <w:p>
      <w:pPr>
        <w:ind w:left="1560" w:right="40" w:hanging="834"/>
        <w:spacing w:after="0" w:line="230"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4.20</w:t>
      </w:r>
      <w:r>
        <w:rPr>
          <w:sz w:val="20"/>
          <w:szCs w:val="20"/>
          <w:color w:val="auto"/>
        </w:rPr>
        <w:tab/>
      </w:r>
      <w:hyperlink r:id="rId338">
        <w:r>
          <w:rPr>
            <w:rFonts w:ascii="Times New Roman" w:cs="Times New Roman" w:eastAsia="Times New Roman" w:hAnsi="Times New Roman"/>
            <w:sz w:val="18"/>
            <w:szCs w:val="18"/>
            <w:u w:val="single" w:color="auto"/>
            <w:color w:val="0000FF"/>
          </w:rPr>
          <w:t>Description of Securities is incorporated by reference to Exhibit 4.20 to our Annual Report on Form 10-K, filed on February 22, 2024 (</w:t>
        </w:r>
      </w:hyperlink>
      <w:r>
        <w:rPr>
          <w:rFonts w:ascii="Times New Roman" w:cs="Times New Roman" w:eastAsia="Times New Roman" w:hAnsi="Times New Roman"/>
          <w:sz w:val="18"/>
          <w:szCs w:val="18"/>
          <w:u w:val="single" w:color="auto"/>
          <w:color w:val="0000FF"/>
        </w:rPr>
        <w:t xml:space="preserve"> </w:t>
      </w:r>
      <w:hyperlink r:id="rId338">
        <w:r>
          <w:rPr>
            <w:rFonts w:ascii="Times New Roman" w:cs="Times New Roman" w:eastAsia="Times New Roman" w:hAnsi="Times New Roman"/>
            <w:sz w:val="18"/>
            <w:szCs w:val="18"/>
            <w:u w:val="single" w:color="auto"/>
            <w:color w:val="0000FF"/>
          </w:rPr>
          <w:t>"2023 Annual Report").</w:t>
        </w:r>
      </w:hyperlink>
    </w:p>
    <w:p>
      <w:pPr>
        <w:spacing w:after="0" w:line="8" w:lineRule="exact"/>
        <w:rPr>
          <w:sz w:val="20"/>
          <w:szCs w:val="20"/>
          <w:color w:val="auto"/>
        </w:rPr>
      </w:pPr>
    </w:p>
    <w:p>
      <w:pPr>
        <w:ind w:left="1560" w:right="20" w:hanging="834"/>
        <w:spacing w:after="0" w:line="219" w:lineRule="auto"/>
        <w:tabs>
          <w:tab w:leader="none" w:pos="154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10.1</w:t>
      </w:r>
      <w:r>
        <w:rPr>
          <w:sz w:val="20"/>
          <w:szCs w:val="20"/>
          <w:color w:val="auto"/>
        </w:rPr>
        <w:tab/>
      </w:r>
      <w:hyperlink r:id="rId339">
        <w:r>
          <w:rPr>
            <w:rFonts w:ascii="Times New Roman" w:cs="Times New Roman" w:eastAsia="Times New Roman" w:hAnsi="Times New Roman"/>
            <w:sz w:val="18"/>
            <w:szCs w:val="18"/>
            <w:u w:val="single" w:color="auto"/>
            <w:color w:val="0000FF"/>
          </w:rPr>
          <w:t>Transition Services Agreement, dated as of January 1, 2017, between MetLife Services and Solutions, LLC and Brighthouse Services, L</w:t>
        </w:r>
      </w:hyperlink>
      <w:r>
        <w:rPr>
          <w:rFonts w:ascii="Times New Roman" w:cs="Times New Roman" w:eastAsia="Times New Roman" w:hAnsi="Times New Roman"/>
          <w:sz w:val="18"/>
          <w:szCs w:val="18"/>
          <w:u w:val="single" w:color="auto"/>
          <w:color w:val="0000FF"/>
        </w:rPr>
        <w:t xml:space="preserve"> </w:t>
      </w:r>
      <w:hyperlink r:id="rId339">
        <w:r>
          <w:rPr>
            <w:rFonts w:ascii="Times New Roman" w:cs="Times New Roman" w:eastAsia="Times New Roman" w:hAnsi="Times New Roman"/>
            <w:sz w:val="18"/>
            <w:szCs w:val="18"/>
            <w:color w:val="0000FF"/>
          </w:rPr>
          <w:t>and for purposes of Article VIII only, MetLife, Inc. and Brighthouse Financial, Inc., is incorporated by reference to Exhibit 10.1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-8890</wp:posOffset>
            </wp:positionV>
            <wp:extent cx="620966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spacing w:after="0"/>
        <w:rPr>
          <w:rFonts w:ascii="Times New Roman" w:cs="Times New Roman" w:eastAsia="Times New Roman" w:hAnsi="Times New Roman"/>
          <w:sz w:val="18"/>
          <w:szCs w:val="18"/>
          <w:u w:val="single" w:color="auto"/>
          <w:color w:val="0000FF"/>
        </w:rPr>
      </w:pPr>
      <w:hyperlink r:id="rId339">
        <w:r>
          <w:rPr>
            <w:rFonts w:ascii="Times New Roman" w:cs="Times New Roman" w:eastAsia="Times New Roman" w:hAnsi="Times New Roman"/>
            <w:sz w:val="18"/>
            <w:szCs w:val="18"/>
            <w:u w:val="single" w:color="auto"/>
            <w:color w:val="0000FF"/>
          </w:rPr>
          <w:t>August 9, 2017 8-K.</w:t>
        </w:r>
      </w:hyperlink>
    </w:p>
    <w:p>
      <w:pPr>
        <w:spacing w:after="0" w:line="4" w:lineRule="exact"/>
        <w:rPr>
          <w:sz w:val="20"/>
          <w:szCs w:val="20"/>
          <w:color w:val="auto"/>
        </w:rPr>
      </w:pPr>
    </w:p>
    <w:p>
      <w:pPr>
        <w:ind w:left="1560" w:hanging="834"/>
        <w:spacing w:after="0" w:line="230"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341">
        <w:r>
          <w:rPr>
            <w:rFonts w:ascii="Times New Roman" w:cs="Times New Roman" w:eastAsia="Times New Roman" w:hAnsi="Times New Roman"/>
            <w:sz w:val="18"/>
            <w:szCs w:val="18"/>
            <w:u w:val="single" w:color="auto"/>
            <w:color w:val="0000FF"/>
          </w:rPr>
          <w:t>Tax Receivables Agreement, dated as of July 27, 2017, between MetLife, Inc. and Brighthouse Financial, Inc., is incorporated by referen</w:t>
        </w:r>
      </w:hyperlink>
      <w:r>
        <w:rPr>
          <w:rFonts w:ascii="Times New Roman" w:cs="Times New Roman" w:eastAsia="Times New Roman" w:hAnsi="Times New Roman"/>
          <w:sz w:val="18"/>
          <w:szCs w:val="18"/>
          <w:u w:val="single" w:color="auto"/>
          <w:color w:val="0000FF"/>
        </w:rPr>
        <w:t xml:space="preserve"> </w:t>
      </w:r>
      <w:hyperlink r:id="rId341">
        <w:r>
          <w:rPr>
            <w:rFonts w:ascii="Times New Roman" w:cs="Times New Roman" w:eastAsia="Times New Roman" w:hAnsi="Times New Roman"/>
            <w:sz w:val="18"/>
            <w:szCs w:val="18"/>
            <w:u w:val="single" w:color="auto"/>
            <w:color w:val="0000FF"/>
          </w:rPr>
          <w:t>to Exhibit 10.5 to our August 9, 2017 8-K.</w:t>
        </w:r>
      </w:hyperlink>
    </w:p>
    <w:p>
      <w:pPr>
        <w:spacing w:after="0" w:line="8" w:lineRule="exact"/>
        <w:rPr>
          <w:sz w:val="20"/>
          <w:szCs w:val="20"/>
          <w:color w:val="auto"/>
        </w:rPr>
      </w:pPr>
    </w:p>
    <w:p>
      <w:pPr>
        <w:ind w:left="1560" w:right="20" w:hanging="834"/>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10.3</w:t>
      </w:r>
      <w:r>
        <w:rPr>
          <w:sz w:val="20"/>
          <w:szCs w:val="20"/>
          <w:color w:val="auto"/>
        </w:rPr>
        <w:tab/>
      </w:r>
      <w:hyperlink r:id="rId342">
        <w:r>
          <w:rPr>
            <w:rFonts w:ascii="Times New Roman" w:cs="Times New Roman" w:eastAsia="Times New Roman" w:hAnsi="Times New Roman"/>
            <w:sz w:val="18"/>
            <w:szCs w:val="18"/>
            <w:u w:val="single" w:color="auto"/>
            <w:color w:val="0000FF"/>
          </w:rPr>
          <w:t>Tax Separation Agreement, dated as of July 27, 2017, by and among MetLife, Inc. and its Affiliates and Brighthouse Financial, Inc. and</w:t>
        </w:r>
      </w:hyperlink>
      <w:r>
        <w:rPr>
          <w:rFonts w:ascii="Times New Roman" w:cs="Times New Roman" w:eastAsia="Times New Roman" w:hAnsi="Times New Roman"/>
          <w:sz w:val="18"/>
          <w:szCs w:val="18"/>
          <w:u w:val="single" w:color="auto"/>
          <w:color w:val="0000FF"/>
        </w:rPr>
        <w:t xml:space="preserve"> </w:t>
      </w:r>
      <w:hyperlink r:id="rId342">
        <w:r>
          <w:rPr>
            <w:rFonts w:ascii="Times New Roman" w:cs="Times New Roman" w:eastAsia="Times New Roman" w:hAnsi="Times New Roman"/>
            <w:sz w:val="18"/>
            <w:szCs w:val="18"/>
            <w:u w:val="single" w:color="auto"/>
            <w:color w:val="0000FF"/>
          </w:rPr>
          <w:t>Affiliates, is incorporated by reference to Exhibit 10.6 to our August 9, 2017 8-K.</w:t>
        </w:r>
      </w:hyperlink>
    </w:p>
    <w:p>
      <w:pPr>
        <w:spacing w:after="0" w:line="7" w:lineRule="exact"/>
        <w:rPr>
          <w:sz w:val="20"/>
          <w:szCs w:val="20"/>
          <w:color w:val="auto"/>
        </w:rPr>
      </w:pPr>
    </w:p>
    <w:p>
      <w:pPr>
        <w:jc w:val="right"/>
        <w:ind w:left="720" w:right="20"/>
        <w:spacing w:after="0" w:line="219"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 xml:space="preserve">10.4      </w:t>
      </w:r>
      <w:hyperlink r:id="rId343">
        <w:r>
          <w:rPr>
            <w:rFonts w:ascii="Times New Roman" w:cs="Times New Roman" w:eastAsia="Times New Roman" w:hAnsi="Times New Roman"/>
            <w:sz w:val="18"/>
            <w:szCs w:val="18"/>
            <w:u w:val="single" w:color="auto"/>
            <w:color w:val="0000FF"/>
          </w:rPr>
          <w:t>Revolving Credit Agreement, dated as of April 15, 2022, among Brighthouse Financial, Inc., Bank of America, N.A., as administrat</w:t>
        </w:r>
      </w:hyperlink>
      <w:r>
        <w:rPr>
          <w:rFonts w:ascii="Times New Roman" w:cs="Times New Roman" w:eastAsia="Times New Roman" w:hAnsi="Times New Roman"/>
          <w:sz w:val="18"/>
          <w:szCs w:val="18"/>
          <w:color w:val="auto"/>
        </w:rPr>
        <w:t xml:space="preserve"> </w:t>
      </w:r>
      <w:hyperlink r:id="rId343">
        <w:r>
          <w:rPr>
            <w:rFonts w:ascii="Times New Roman" w:cs="Times New Roman" w:eastAsia="Times New Roman" w:hAnsi="Times New Roman"/>
            <w:sz w:val="18"/>
            <w:szCs w:val="18"/>
            <w:u w:val="single" w:color="auto"/>
            <w:color w:val="0000FF"/>
          </w:rPr>
          <w:t>agent, and the other lenders party thereto, is incorporated by reference to Exhibit 10.1 to our Current Report on Form 8-K, filed on April</w:t>
        </w:r>
      </w:hyperlink>
    </w:p>
    <w:p>
      <w:pPr>
        <w:ind w:left="1560"/>
        <w:spacing w:after="0"/>
        <w:rPr>
          <w:rFonts w:ascii="Times New Roman" w:cs="Times New Roman" w:eastAsia="Times New Roman" w:hAnsi="Times New Roman"/>
          <w:sz w:val="18"/>
          <w:szCs w:val="18"/>
          <w:u w:val="single" w:color="auto"/>
          <w:color w:val="0000FF"/>
        </w:rPr>
      </w:pPr>
      <w:hyperlink r:id="rId343">
        <w:r>
          <w:rPr>
            <w:rFonts w:ascii="Times New Roman" w:cs="Times New Roman" w:eastAsia="Times New Roman" w:hAnsi="Times New Roman"/>
            <w:sz w:val="18"/>
            <w:szCs w:val="18"/>
            <w:u w:val="single" w:color="auto"/>
            <w:color w:val="0000FF"/>
          </w:rPr>
          <w:t>2022.</w:t>
        </w:r>
      </w:hyperlink>
    </w:p>
    <w:p>
      <w:pPr>
        <w:spacing w:after="0" w:line="4" w:lineRule="exact"/>
        <w:rPr>
          <w:sz w:val="20"/>
          <w:szCs w:val="20"/>
          <w:color w:val="auto"/>
        </w:rPr>
      </w:pPr>
    </w:p>
    <w:p>
      <w:pPr>
        <w:ind w:left="1560" w:right="20" w:hanging="878"/>
        <w:spacing w:after="0" w:line="230"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w:t>
      </w:r>
      <w:r>
        <w:rPr>
          <w:sz w:val="20"/>
          <w:szCs w:val="20"/>
          <w:color w:val="auto"/>
        </w:rPr>
        <w:tab/>
      </w:r>
      <w:hyperlink r:id="rId344">
        <w:r>
          <w:rPr>
            <w:rFonts w:ascii="Times New Roman" w:cs="Times New Roman" w:eastAsia="Times New Roman" w:hAnsi="Times New Roman"/>
            <w:sz w:val="18"/>
            <w:szCs w:val="18"/>
            <w:u w:val="single" w:color="auto"/>
            <w:color w:val="0000FF"/>
          </w:rPr>
          <w:t>Brighthouse Services, LLC Auxiliary Savings Plan is incorporated by reference to Exhibit 10.8 to our Quarterly Report on Form 10-Q, fi</w:t>
        </w:r>
      </w:hyperlink>
      <w:r>
        <w:rPr>
          <w:rFonts w:ascii="Times New Roman" w:cs="Times New Roman" w:eastAsia="Times New Roman" w:hAnsi="Times New Roman"/>
          <w:sz w:val="18"/>
          <w:szCs w:val="18"/>
          <w:u w:val="single" w:color="auto"/>
          <w:color w:val="0000FF"/>
        </w:rPr>
        <w:t xml:space="preserve"> </w:t>
      </w:r>
      <w:hyperlink r:id="rId344">
        <w:r>
          <w:rPr>
            <w:rFonts w:ascii="Times New Roman" w:cs="Times New Roman" w:eastAsia="Times New Roman" w:hAnsi="Times New Roman"/>
            <w:sz w:val="18"/>
            <w:szCs w:val="18"/>
            <w:u w:val="single" w:color="auto"/>
            <w:color w:val="0000FF"/>
          </w:rPr>
          <w:t>on August 15, 2017.</w:t>
        </w:r>
      </w:hyperlink>
    </w:p>
    <w:p>
      <w:pPr>
        <w:spacing w:after="0" w:line="8" w:lineRule="exact"/>
        <w:rPr>
          <w:sz w:val="20"/>
          <w:szCs w:val="20"/>
          <w:color w:val="auto"/>
        </w:rPr>
      </w:pPr>
    </w:p>
    <w:p>
      <w:pPr>
        <w:ind w:left="1560" w:right="100" w:hanging="944"/>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10.5.1#</w:t>
      </w:r>
      <w:r>
        <w:rPr>
          <w:sz w:val="20"/>
          <w:szCs w:val="20"/>
          <w:color w:val="auto"/>
        </w:rPr>
        <w:tab/>
      </w:r>
      <w:hyperlink r:id="rId345">
        <w:r>
          <w:rPr>
            <w:rFonts w:ascii="Times New Roman" w:cs="Times New Roman" w:eastAsia="Times New Roman" w:hAnsi="Times New Roman"/>
            <w:sz w:val="18"/>
            <w:szCs w:val="18"/>
            <w:color w:val="0000FF"/>
          </w:rPr>
          <w:t>Amendment Number One to the Brighthouse Services, LLC Auxiliary Savings Plan is incorporated by reference to Exhibit 10.9 to</w:t>
        </w:r>
      </w:hyperlink>
      <w:r>
        <w:rPr>
          <w:rFonts w:ascii="Times New Roman" w:cs="Times New Roman" w:eastAsia="Times New Roman" w:hAnsi="Times New Roman"/>
          <w:sz w:val="18"/>
          <w:szCs w:val="18"/>
          <w:color w:val="0000FF"/>
        </w:rPr>
        <w:t xml:space="preserve"> </w:t>
      </w:r>
      <w:hyperlink r:id="rId345">
        <w:r>
          <w:rPr>
            <w:rFonts w:ascii="Times New Roman" w:cs="Times New Roman" w:eastAsia="Times New Roman" w:hAnsi="Times New Roman"/>
            <w:sz w:val="18"/>
            <w:szCs w:val="18"/>
            <w:u w:val="single" w:color="auto"/>
            <w:color w:val="0000FF"/>
          </w:rPr>
          <w:t>Quarterly Report on Form 10-Q, filed on August 15,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-134620</wp:posOffset>
            </wp:positionV>
            <wp:extent cx="620966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right="100" w:hanging="944"/>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10.5.2#</w:t>
      </w:r>
      <w:r>
        <w:rPr>
          <w:sz w:val="20"/>
          <w:szCs w:val="20"/>
          <w:color w:val="auto"/>
        </w:rPr>
        <w:tab/>
      </w:r>
      <w:hyperlink r:id="rId347">
        <w:r>
          <w:rPr>
            <w:rFonts w:ascii="Times New Roman" w:cs="Times New Roman" w:eastAsia="Times New Roman" w:hAnsi="Times New Roman"/>
            <w:sz w:val="18"/>
            <w:szCs w:val="18"/>
            <w:color w:val="0000FF"/>
          </w:rPr>
          <w:t>Amendment Number Two to the Brighthouse Services, LLC Auxiliary Savings Plan is incorporated by reference to Exhibit 10.9.2 to</w:t>
        </w:r>
      </w:hyperlink>
      <w:r>
        <w:rPr>
          <w:rFonts w:ascii="Times New Roman" w:cs="Times New Roman" w:eastAsia="Times New Roman" w:hAnsi="Times New Roman"/>
          <w:sz w:val="18"/>
          <w:szCs w:val="18"/>
          <w:color w:val="0000FF"/>
        </w:rPr>
        <w:t xml:space="preserve"> </w:t>
      </w:r>
      <w:hyperlink r:id="rId347">
        <w:r>
          <w:rPr>
            <w:rFonts w:ascii="Times New Roman" w:cs="Times New Roman" w:eastAsia="Times New Roman" w:hAnsi="Times New Roman"/>
            <w:sz w:val="18"/>
            <w:szCs w:val="18"/>
            <w:u w:val="single" w:color="auto"/>
            <w:color w:val="0000FF"/>
          </w:rPr>
          <w:t>Annual Report on Form 10-K, filed on March 16, 2018 (our “2017 Annual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-134620</wp:posOffset>
            </wp:positionV>
            <wp:extent cx="620966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8">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right="100" w:hanging="944"/>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10.5.3#</w:t>
      </w:r>
      <w:r>
        <w:rPr>
          <w:sz w:val="20"/>
          <w:szCs w:val="20"/>
          <w:color w:val="auto"/>
        </w:rPr>
        <w:tab/>
      </w:r>
      <w:hyperlink r:id="rId349">
        <w:r>
          <w:rPr>
            <w:rFonts w:ascii="Times New Roman" w:cs="Times New Roman" w:eastAsia="Times New Roman" w:hAnsi="Times New Roman"/>
            <w:sz w:val="18"/>
            <w:szCs w:val="18"/>
            <w:color w:val="0000FF"/>
          </w:rPr>
          <w:t>Amendment Number Three to the Brighthouse Services, LLC Auxiliary Savings Plan is incorporated by reference to Exhibit 10.5.3 to</w:t>
        </w:r>
      </w:hyperlink>
      <w:r>
        <w:rPr>
          <w:rFonts w:ascii="Times New Roman" w:cs="Times New Roman" w:eastAsia="Times New Roman" w:hAnsi="Times New Roman"/>
          <w:sz w:val="18"/>
          <w:szCs w:val="18"/>
          <w:color w:val="0000FF"/>
        </w:rPr>
        <w:t xml:space="preserve"> </w:t>
      </w:r>
      <w:hyperlink r:id="rId349">
        <w:r>
          <w:rPr>
            <w:rFonts w:ascii="Times New Roman" w:cs="Times New Roman" w:eastAsia="Times New Roman" w:hAnsi="Times New Roman"/>
            <w:sz w:val="18"/>
            <w:szCs w:val="18"/>
            <w:u w:val="single" w:color="auto"/>
            <w:color w:val="0000FF"/>
          </w:rPr>
          <w:t>Annual Report on Form 10-K, filed on February 24, 2021 (our “2020 Annual Report”).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-134620</wp:posOffset>
            </wp:positionV>
            <wp:extent cx="62096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0">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right="60" w:hanging="878"/>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10.6#</w:t>
      </w:r>
      <w:r>
        <w:rPr>
          <w:sz w:val="20"/>
          <w:szCs w:val="20"/>
          <w:color w:val="auto"/>
        </w:rPr>
        <w:tab/>
      </w:r>
      <w:hyperlink r:id="rId351">
        <w:r>
          <w:rPr>
            <w:rFonts w:ascii="Times New Roman" w:cs="Times New Roman" w:eastAsia="Times New Roman" w:hAnsi="Times New Roman"/>
            <w:sz w:val="18"/>
            <w:szCs w:val="18"/>
            <w:u w:val="single" w:color="auto"/>
            <w:color w:val="0000FF"/>
          </w:rPr>
          <w:t>Amended and Restated Brighthouse Services, LLC Short-Term Incentive Plan, amended as of February 21, 2020, is incorporated</w:t>
        </w:r>
      </w:hyperlink>
      <w:r>
        <w:rPr>
          <w:rFonts w:ascii="Times New Roman" w:cs="Times New Roman" w:eastAsia="Times New Roman" w:hAnsi="Times New Roman"/>
          <w:sz w:val="18"/>
          <w:szCs w:val="18"/>
          <w:u w:val="single" w:color="auto"/>
          <w:color w:val="0000FF"/>
        </w:rPr>
        <w:t xml:space="preserve"> </w:t>
      </w:r>
      <w:hyperlink r:id="rId351">
        <w:r>
          <w:rPr>
            <w:rFonts w:ascii="Times New Roman" w:cs="Times New Roman" w:eastAsia="Times New Roman" w:hAnsi="Times New Roman"/>
            <w:sz w:val="18"/>
            <w:szCs w:val="18"/>
            <w:u w:val="single" w:color="auto"/>
            <w:color w:val="0000FF"/>
          </w:rPr>
          <w:t>reference to Exhibit 10.8 to our Annual Report on Form 10-K, filed on February 26, 2020 (our “2019 Annual Report”).</w:t>
        </w:r>
      </w:hyperlink>
    </w:p>
    <w:p>
      <w:pPr>
        <w:spacing w:after="0" w:line="7" w:lineRule="exact"/>
        <w:rPr>
          <w:sz w:val="20"/>
          <w:szCs w:val="20"/>
          <w:color w:val="auto"/>
        </w:rPr>
      </w:pPr>
    </w:p>
    <w:p>
      <w:pPr>
        <w:ind w:left="1560" w:hanging="878"/>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w:t>
      </w:r>
      <w:r>
        <w:rPr>
          <w:sz w:val="20"/>
          <w:szCs w:val="20"/>
          <w:color w:val="auto"/>
        </w:rPr>
        <w:tab/>
      </w:r>
      <w:hyperlink r:id="rId352">
        <w:r>
          <w:rPr>
            <w:rFonts w:ascii="Times New Roman" w:cs="Times New Roman" w:eastAsia="Times New Roman" w:hAnsi="Times New Roman"/>
            <w:sz w:val="18"/>
            <w:szCs w:val="18"/>
            <w:u w:val="single" w:color="auto"/>
            <w:color w:val="0000FF"/>
          </w:rPr>
          <w:t>Brighthouse Services, LLC Voluntary Deferred Compensation Plan, effective January 1, 2018, is incorporated by reference to Exhibit 10.1</w:t>
        </w:r>
      </w:hyperlink>
      <w:r>
        <w:rPr>
          <w:rFonts w:ascii="Times New Roman" w:cs="Times New Roman" w:eastAsia="Times New Roman" w:hAnsi="Times New Roman"/>
          <w:sz w:val="18"/>
          <w:szCs w:val="18"/>
          <w:u w:val="single" w:color="auto"/>
          <w:color w:val="0000FF"/>
        </w:rPr>
        <w:t xml:space="preserve"> </w:t>
      </w:r>
      <w:hyperlink r:id="rId352">
        <w:r>
          <w:rPr>
            <w:rFonts w:ascii="Times New Roman" w:cs="Times New Roman" w:eastAsia="Times New Roman" w:hAnsi="Times New Roman"/>
            <w:sz w:val="18"/>
            <w:szCs w:val="18"/>
            <w:u w:val="single" w:color="auto"/>
            <w:color w:val="0000FF"/>
          </w:rPr>
          <w:t>our Current Report on Form 8-K, filed on December 28, 2017.</w:t>
        </w:r>
      </w:hyperlink>
    </w:p>
    <w:p>
      <w:pPr>
        <w:ind w:left="6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10.7.1#</w:t>
      </w:r>
      <w:r>
        <w:rPr>
          <w:sz w:val="20"/>
          <w:szCs w:val="20"/>
          <w:color w:val="auto"/>
        </w:rPr>
        <w:tab/>
      </w:r>
      <w:hyperlink r:id="rId353">
        <w:r>
          <w:rPr>
            <w:rFonts w:ascii="Times New Roman" w:cs="Times New Roman" w:eastAsia="Times New Roman" w:hAnsi="Times New Roman"/>
            <w:sz w:val="17"/>
            <w:szCs w:val="17"/>
            <w:u w:val="single" w:color="auto"/>
            <w:color w:val="0000FF"/>
          </w:rPr>
          <w:t>Amendment Number One to the Brighthouse Services, LLC Voluntary Deferred Compensation Plan is incorporated by reference to Exhi</w:t>
        </w:r>
      </w:hyperlink>
    </w:p>
    <w:p>
      <w:pPr>
        <w:ind w:left="1560"/>
        <w:spacing w:after="0"/>
        <w:rPr>
          <w:rFonts w:ascii="Times New Roman" w:cs="Times New Roman" w:eastAsia="Times New Roman" w:hAnsi="Times New Roman"/>
          <w:sz w:val="18"/>
          <w:szCs w:val="18"/>
          <w:u w:val="single" w:color="auto"/>
          <w:color w:val="0000FF"/>
        </w:rPr>
      </w:pPr>
      <w:hyperlink r:id="rId353">
        <w:r>
          <w:rPr>
            <w:rFonts w:ascii="Times New Roman" w:cs="Times New Roman" w:eastAsia="Times New Roman" w:hAnsi="Times New Roman"/>
            <w:sz w:val="18"/>
            <w:szCs w:val="18"/>
            <w:u w:val="single" w:color="auto"/>
            <w:color w:val="0000FF"/>
          </w:rPr>
          <w:t>10.11.1 to our 2017 Annual Report.</w:t>
        </w:r>
      </w:hyperlink>
    </w:p>
    <w:p>
      <w:pPr>
        <w:ind w:left="6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10.7.2#</w:t>
      </w:r>
      <w:r>
        <w:rPr>
          <w:sz w:val="20"/>
          <w:szCs w:val="20"/>
          <w:color w:val="auto"/>
        </w:rPr>
        <w:tab/>
      </w:r>
      <w:hyperlink r:id="rId354">
        <w:r>
          <w:rPr>
            <w:rFonts w:ascii="Times New Roman" w:cs="Times New Roman" w:eastAsia="Times New Roman" w:hAnsi="Times New Roman"/>
            <w:sz w:val="17"/>
            <w:szCs w:val="17"/>
            <w:u w:val="single" w:color="auto"/>
            <w:color w:val="0000FF"/>
          </w:rPr>
          <w:t>Amendment Number Two to the Brighthouse Services, LLC Voluntary Deferred Compensation Plan is incorporated by reference to Exhi</w:t>
        </w:r>
      </w:hyperlink>
    </w:p>
    <w:p>
      <w:pPr>
        <w:ind w:left="1560"/>
        <w:spacing w:after="0"/>
        <w:rPr>
          <w:rFonts w:ascii="Times New Roman" w:cs="Times New Roman" w:eastAsia="Times New Roman" w:hAnsi="Times New Roman"/>
          <w:sz w:val="18"/>
          <w:szCs w:val="18"/>
          <w:u w:val="single" w:color="auto"/>
          <w:color w:val="0000FF"/>
        </w:rPr>
      </w:pPr>
      <w:hyperlink r:id="rId354">
        <w:r>
          <w:rPr>
            <w:rFonts w:ascii="Times New Roman" w:cs="Times New Roman" w:eastAsia="Times New Roman" w:hAnsi="Times New Roman"/>
            <w:sz w:val="18"/>
            <w:szCs w:val="18"/>
            <w:u w:val="single" w:color="auto"/>
            <w:color w:val="0000FF"/>
          </w:rPr>
          <w:t>10.10.2 to our Annual Report on Form 10-K, filed February 26, 2019 (our “2018 Annual Report”).</w:t>
        </w:r>
      </w:hyperlink>
    </w:p>
    <w:p>
      <w:pPr>
        <w:ind w:left="6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10.7.3#</w:t>
      </w:r>
      <w:r>
        <w:rPr>
          <w:sz w:val="20"/>
          <w:szCs w:val="20"/>
          <w:color w:val="auto"/>
        </w:rPr>
        <w:tab/>
      </w:r>
      <w:hyperlink r:id="rId355">
        <w:r>
          <w:rPr>
            <w:rFonts w:ascii="Times New Roman" w:cs="Times New Roman" w:eastAsia="Times New Roman" w:hAnsi="Times New Roman"/>
            <w:sz w:val="17"/>
            <w:szCs w:val="17"/>
            <w:u w:val="single" w:color="auto"/>
            <w:color w:val="0000FF"/>
          </w:rPr>
          <w:t>Amendment Number Three to the Brighthouse Services, LLC Voluntary Deferred Compensation Plan is incorporated by reference to Exhi</w:t>
        </w:r>
      </w:hyperlink>
    </w:p>
    <w:p>
      <w:pPr>
        <w:ind w:left="1560"/>
        <w:spacing w:after="0"/>
        <w:rPr>
          <w:rFonts w:ascii="Times New Roman" w:cs="Times New Roman" w:eastAsia="Times New Roman" w:hAnsi="Times New Roman"/>
          <w:sz w:val="18"/>
          <w:szCs w:val="18"/>
          <w:u w:val="single" w:color="auto"/>
          <w:color w:val="0000FF"/>
        </w:rPr>
      </w:pPr>
      <w:hyperlink r:id="rId355">
        <w:r>
          <w:rPr>
            <w:rFonts w:ascii="Times New Roman" w:cs="Times New Roman" w:eastAsia="Times New Roman" w:hAnsi="Times New Roman"/>
            <w:sz w:val="18"/>
            <w:szCs w:val="18"/>
            <w:u w:val="single" w:color="auto"/>
            <w:color w:val="0000FF"/>
          </w:rPr>
          <w:t>10.7.3 to our 2020 Annual Report.</w:t>
        </w:r>
      </w:hyperlink>
    </w:p>
    <w:p>
      <w:pPr>
        <w:ind w:left="6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10.7.4#</w:t>
      </w:r>
      <w:r>
        <w:rPr>
          <w:sz w:val="20"/>
          <w:szCs w:val="20"/>
          <w:color w:val="auto"/>
        </w:rPr>
        <w:tab/>
      </w:r>
      <w:hyperlink r:id="rId356">
        <w:r>
          <w:rPr>
            <w:rFonts w:ascii="Times New Roman" w:cs="Times New Roman" w:eastAsia="Times New Roman" w:hAnsi="Times New Roman"/>
            <w:sz w:val="17"/>
            <w:szCs w:val="17"/>
            <w:u w:val="single" w:color="auto"/>
            <w:color w:val="0000FF"/>
          </w:rPr>
          <w:t>Amendment Number Four to the Brighthouse Services, LLC Voluntary Deferred Compensation Plan is incorporated by reference to Exhi</w:t>
        </w:r>
      </w:hyperlink>
    </w:p>
    <w:p>
      <w:pPr>
        <w:ind w:left="1560"/>
        <w:spacing w:after="0"/>
        <w:rPr>
          <w:rFonts w:ascii="Times New Roman" w:cs="Times New Roman" w:eastAsia="Times New Roman" w:hAnsi="Times New Roman"/>
          <w:sz w:val="18"/>
          <w:szCs w:val="18"/>
          <w:u w:val="single" w:color="auto"/>
          <w:color w:val="0000FF"/>
        </w:rPr>
      </w:pPr>
      <w:hyperlink r:id="rId356">
        <w:r>
          <w:rPr>
            <w:rFonts w:ascii="Times New Roman" w:cs="Times New Roman" w:eastAsia="Times New Roman" w:hAnsi="Times New Roman"/>
            <w:sz w:val="18"/>
            <w:szCs w:val="18"/>
            <w:u w:val="single" w:color="auto"/>
            <w:color w:val="0000FF"/>
          </w:rPr>
          <w:t>10.1 to our Quarterly Report on Form 10-Q, filed on May 9, 2023.</w:t>
        </w:r>
      </w:hyperlink>
    </w:p>
    <w:p>
      <w:pPr>
        <w:ind w:left="62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10.7.5#</w:t>
      </w:r>
      <w:r>
        <w:rPr>
          <w:sz w:val="20"/>
          <w:szCs w:val="20"/>
          <w:color w:val="auto"/>
        </w:rPr>
        <w:tab/>
      </w:r>
      <w:hyperlink r:id="rId357">
        <w:r>
          <w:rPr>
            <w:rFonts w:ascii="Times New Roman" w:cs="Times New Roman" w:eastAsia="Times New Roman" w:hAnsi="Times New Roman"/>
            <w:sz w:val="17"/>
            <w:szCs w:val="17"/>
            <w:u w:val="single" w:color="auto"/>
            <w:color w:val="0000FF"/>
          </w:rPr>
          <w:t>Amendment Number Five to the Brighthouse Services, LLC Voluntary Deferred Compensation Plan is incorporated by reference to Exhi</w:t>
        </w:r>
      </w:hyperlink>
    </w:p>
    <w:p>
      <w:pPr>
        <w:ind w:left="1560"/>
        <w:spacing w:after="0"/>
        <w:rPr>
          <w:rFonts w:ascii="Times New Roman" w:cs="Times New Roman" w:eastAsia="Times New Roman" w:hAnsi="Times New Roman"/>
          <w:sz w:val="18"/>
          <w:szCs w:val="18"/>
          <w:u w:val="single" w:color="auto"/>
          <w:color w:val="0000FF"/>
        </w:rPr>
      </w:pPr>
      <w:hyperlink r:id="rId357">
        <w:r>
          <w:rPr>
            <w:rFonts w:ascii="Times New Roman" w:cs="Times New Roman" w:eastAsia="Times New Roman" w:hAnsi="Times New Roman"/>
            <w:sz w:val="18"/>
            <w:szCs w:val="18"/>
            <w:u w:val="single" w:color="auto"/>
            <w:color w:val="0000FF"/>
          </w:rPr>
          <w:t>10.7.5 to our Annual Report on Form 10-K, filed on February 28, 2025 (our “2024 Annual Report”).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78" w:right="2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560" w:hanging="944"/>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10.7.6#</w:t>
      </w:r>
      <w:r>
        <w:rPr>
          <w:sz w:val="20"/>
          <w:szCs w:val="20"/>
          <w:color w:val="auto"/>
        </w:rPr>
        <w:tab/>
      </w:r>
      <w:hyperlink r:id="rId359">
        <w:r>
          <w:rPr>
            <w:rFonts w:ascii="Times New Roman" w:cs="Times New Roman" w:eastAsia="Times New Roman" w:hAnsi="Times New Roman"/>
            <w:sz w:val="18"/>
            <w:szCs w:val="18"/>
            <w:u w:val="single" w:color="auto"/>
            <w:color w:val="0000FF"/>
          </w:rPr>
          <w:t>Brighthouse Services, LLC Voluntary Deferred Compensation Plan (restated effective January 1, 2025), is incorporated by reference</w:t>
        </w:r>
      </w:hyperlink>
      <w:r>
        <w:rPr>
          <w:rFonts w:ascii="Times New Roman" w:cs="Times New Roman" w:eastAsia="Times New Roman" w:hAnsi="Times New Roman"/>
          <w:sz w:val="18"/>
          <w:szCs w:val="18"/>
          <w:u w:val="single" w:color="auto"/>
          <w:color w:val="0000FF"/>
        </w:rPr>
        <w:t xml:space="preserve"> </w:t>
      </w:r>
      <w:hyperlink r:id="rId359">
        <w:r>
          <w:rPr>
            <w:rFonts w:ascii="Times New Roman" w:cs="Times New Roman" w:eastAsia="Times New Roman" w:hAnsi="Times New Roman"/>
            <w:sz w:val="18"/>
            <w:szCs w:val="18"/>
            <w:u w:val="single" w:color="auto"/>
            <w:color w:val="0000FF"/>
          </w:rPr>
          <w:t>Exhibit 10.7.6 to our 2024 Annual Report.</w:t>
        </w:r>
      </w:hyperlink>
    </w:p>
    <w:p>
      <w:pPr>
        <w:spacing w:after="0" w:line="7" w:lineRule="exact"/>
        <w:rPr>
          <w:sz w:val="20"/>
          <w:szCs w:val="20"/>
          <w:color w:val="auto"/>
        </w:rPr>
      </w:pPr>
    </w:p>
    <w:p>
      <w:pPr>
        <w:ind w:left="1560" w:right="20" w:hanging="878"/>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10.8#</w:t>
      </w:r>
      <w:r>
        <w:rPr>
          <w:sz w:val="20"/>
          <w:szCs w:val="20"/>
          <w:color w:val="auto"/>
        </w:rPr>
        <w:tab/>
      </w:r>
      <w:hyperlink r:id="rId360">
        <w:r>
          <w:rPr>
            <w:rFonts w:ascii="Times New Roman" w:cs="Times New Roman" w:eastAsia="Times New Roman" w:hAnsi="Times New Roman"/>
            <w:sz w:val="18"/>
            <w:szCs w:val="18"/>
            <w:u w:val="single" w:color="auto"/>
            <w:color w:val="0000FF"/>
          </w:rPr>
          <w:t>Amended and Restated Brighthouse Financial, Inc. 2017 Stock and Incentive Compensation Plan (Effective March 27, 2025) (</w:t>
        </w:r>
      </w:hyperlink>
      <w:r>
        <w:rPr>
          <w:rFonts w:ascii="Times New Roman" w:cs="Times New Roman" w:eastAsia="Times New Roman" w:hAnsi="Times New Roman"/>
          <w:sz w:val="18"/>
          <w:szCs w:val="18"/>
          <w:u w:val="single" w:color="auto"/>
          <w:color w:val="0000FF"/>
        </w:rPr>
        <w:t xml:space="preserve"> </w:t>
      </w:r>
      <w:hyperlink r:id="rId360">
        <w:r>
          <w:rPr>
            <w:rFonts w:ascii="Times New Roman" w:cs="Times New Roman" w:eastAsia="Times New Roman" w:hAnsi="Times New Roman"/>
            <w:sz w:val="18"/>
            <w:szCs w:val="18"/>
            <w:u w:val="single" w:color="auto"/>
            <w:color w:val="0000FF"/>
          </w:rPr>
          <w:t>“Employee Plan”), is incorporated by reference to Exhibit 10.1 to our Current Report on Form 8-K, filed on June 16, 2025.</w:t>
        </w:r>
      </w:hyperlink>
    </w:p>
    <w:p>
      <w:pPr>
        <w:spacing w:after="0" w:line="7" w:lineRule="exact"/>
        <w:rPr>
          <w:sz w:val="20"/>
          <w:szCs w:val="20"/>
          <w:color w:val="auto"/>
        </w:rPr>
      </w:pPr>
    </w:p>
    <w:p>
      <w:pPr>
        <w:ind w:left="1560" w:hanging="878"/>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10.9#</w:t>
      </w:r>
      <w:r>
        <w:rPr>
          <w:sz w:val="20"/>
          <w:szCs w:val="20"/>
          <w:color w:val="auto"/>
        </w:rPr>
        <w:tab/>
      </w:r>
      <w:hyperlink r:id="rId361">
        <w:r>
          <w:rPr>
            <w:rFonts w:ascii="Times New Roman" w:cs="Times New Roman" w:eastAsia="Times New Roman" w:hAnsi="Times New Roman"/>
            <w:sz w:val="18"/>
            <w:szCs w:val="18"/>
            <w:u w:val="single" w:color="auto"/>
            <w:color w:val="0000FF"/>
          </w:rPr>
          <w:t>Brighthouse Financial, Inc. 2017 Non-Management Director Stock Compensation Plan, as amended November 16, 2018 (the “Direc</w:t>
        </w:r>
      </w:hyperlink>
      <w:r>
        <w:rPr>
          <w:rFonts w:ascii="Times New Roman" w:cs="Times New Roman" w:eastAsia="Times New Roman" w:hAnsi="Times New Roman"/>
          <w:sz w:val="18"/>
          <w:szCs w:val="18"/>
          <w:u w:val="single" w:color="auto"/>
          <w:color w:val="0000FF"/>
        </w:rPr>
        <w:t xml:space="preserve"> </w:t>
      </w:r>
      <w:hyperlink r:id="rId361">
        <w:r>
          <w:rPr>
            <w:rFonts w:ascii="Times New Roman" w:cs="Times New Roman" w:eastAsia="Times New Roman" w:hAnsi="Times New Roman"/>
            <w:sz w:val="18"/>
            <w:szCs w:val="18"/>
            <w:u w:val="single" w:color="auto"/>
            <w:color w:val="0000FF"/>
          </w:rPr>
          <w:t>Plan”), is incorporated by reference to Exhibit 10.12 to our 2018 Annual Report.</w:t>
        </w:r>
      </w:hyperlink>
    </w:p>
    <w:p>
      <w:pPr>
        <w:spacing w:after="0" w:line="7" w:lineRule="exact"/>
        <w:rPr>
          <w:sz w:val="20"/>
          <w:szCs w:val="20"/>
          <w:color w:val="auto"/>
        </w:rPr>
      </w:pPr>
    </w:p>
    <w:p>
      <w:pPr>
        <w:ind w:left="156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10.10#</w:t>
      </w:r>
      <w:r>
        <w:rPr>
          <w:sz w:val="20"/>
          <w:szCs w:val="20"/>
          <w:color w:val="auto"/>
        </w:rPr>
        <w:tab/>
      </w:r>
      <w:hyperlink r:id="rId362">
        <w:r>
          <w:rPr>
            <w:rFonts w:ascii="Times New Roman" w:cs="Times New Roman" w:eastAsia="Times New Roman" w:hAnsi="Times New Roman"/>
            <w:sz w:val="18"/>
            <w:szCs w:val="18"/>
            <w:u w:val="single" w:color="auto"/>
            <w:color w:val="0000FF"/>
          </w:rPr>
          <w:t>Brighthouse Financial, Inc. Employee Stock Purchase Plan (amended and restated effective April 3, 2024) is incorporated by reference</w:t>
        </w:r>
      </w:hyperlink>
      <w:r>
        <w:rPr>
          <w:rFonts w:ascii="Times New Roman" w:cs="Times New Roman" w:eastAsia="Times New Roman" w:hAnsi="Times New Roman"/>
          <w:sz w:val="18"/>
          <w:szCs w:val="18"/>
          <w:u w:val="single" w:color="auto"/>
          <w:color w:val="0000FF"/>
        </w:rPr>
        <w:t xml:space="preserve"> </w:t>
      </w:r>
      <w:hyperlink r:id="rId362">
        <w:r>
          <w:rPr>
            <w:rFonts w:ascii="Times New Roman" w:cs="Times New Roman" w:eastAsia="Times New Roman" w:hAnsi="Times New Roman"/>
            <w:sz w:val="18"/>
            <w:szCs w:val="18"/>
            <w:u w:val="single" w:color="auto"/>
            <w:color w:val="0000FF"/>
          </w:rPr>
          <w:t>Exhibit 10.1 to our Current Report on Form 8-K, filed on June 10, 2024.</w:t>
        </w:r>
      </w:hyperlink>
    </w:p>
    <w:p>
      <w:pPr>
        <w:spacing w:after="0" w:line="7" w:lineRule="exact"/>
        <w:rPr>
          <w:sz w:val="20"/>
          <w:szCs w:val="20"/>
          <w:color w:val="auto"/>
        </w:rPr>
      </w:pPr>
    </w:p>
    <w:p>
      <w:pPr>
        <w:ind w:left="64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10.11#</w:t>
      </w:r>
      <w:r>
        <w:rPr>
          <w:sz w:val="20"/>
          <w:szCs w:val="20"/>
          <w:color w:val="auto"/>
        </w:rPr>
        <w:tab/>
      </w:r>
      <w:hyperlink r:id="rId363">
        <w:r>
          <w:rPr>
            <w:rFonts w:ascii="Times New Roman" w:cs="Times New Roman" w:eastAsia="Times New Roman" w:hAnsi="Times New Roman"/>
            <w:sz w:val="17"/>
            <w:szCs w:val="17"/>
            <w:u w:val="single" w:color="auto"/>
            <w:color w:val="0000FF"/>
          </w:rPr>
          <w:t>Form of Performance Share Unit Agreement (Employee Plan) is incorporated by reference to Exhibit 10.15 to our 2018 Annual Report.</w:t>
        </w:r>
      </w:hyperlink>
    </w:p>
    <w:p>
      <w:pPr>
        <w:spacing w:after="0" w:line="24" w:lineRule="exact"/>
        <w:rPr>
          <w:sz w:val="20"/>
          <w:szCs w:val="20"/>
          <w:color w:val="auto"/>
        </w:rPr>
      </w:pPr>
    </w:p>
    <w:p>
      <w:pPr>
        <w:ind w:left="1560" w:hanging="922"/>
        <w:spacing w:after="0" w:line="230"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10.12#</w:t>
      </w:r>
      <w:r>
        <w:rPr>
          <w:sz w:val="20"/>
          <w:szCs w:val="20"/>
          <w:color w:val="auto"/>
        </w:rPr>
        <w:tab/>
      </w:r>
      <w:hyperlink r:id="rId364">
        <w:r>
          <w:rPr>
            <w:rFonts w:ascii="Times New Roman" w:cs="Times New Roman" w:eastAsia="Times New Roman" w:hAnsi="Times New Roman"/>
            <w:sz w:val="18"/>
            <w:szCs w:val="18"/>
            <w:u w:val="single" w:color="auto"/>
            <w:color w:val="0000FF"/>
          </w:rPr>
          <w:t>Form of Restricted Stock Unit Agreement (Employee Plan) for awards with ratable vesting is incorporated by reference to Exhibit 10.17</w:t>
        </w:r>
      </w:hyperlink>
      <w:r>
        <w:rPr>
          <w:rFonts w:ascii="Times New Roman" w:cs="Times New Roman" w:eastAsia="Times New Roman" w:hAnsi="Times New Roman"/>
          <w:sz w:val="18"/>
          <w:szCs w:val="18"/>
          <w:u w:val="single" w:color="auto"/>
          <w:color w:val="0000FF"/>
        </w:rPr>
        <w:t xml:space="preserve"> </w:t>
      </w:r>
      <w:hyperlink r:id="rId364">
        <w:r>
          <w:rPr>
            <w:rFonts w:ascii="Times New Roman" w:cs="Times New Roman" w:eastAsia="Times New Roman" w:hAnsi="Times New Roman"/>
            <w:sz w:val="18"/>
            <w:szCs w:val="18"/>
            <w:u w:val="single" w:color="auto"/>
            <w:color w:val="0000FF"/>
          </w:rPr>
          <w:t>our 2018 Annual Report.</w:t>
        </w:r>
      </w:hyperlink>
    </w:p>
    <w:p>
      <w:pPr>
        <w:ind w:left="640"/>
        <w:spacing w:after="0"/>
        <w:tabs>
          <w:tab w:leader="none" w:pos="154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auto"/>
        </w:rPr>
        <w:t>10.13#</w:t>
      </w:r>
      <w:r>
        <w:rPr>
          <w:sz w:val="20"/>
          <w:szCs w:val="20"/>
          <w:color w:val="auto"/>
        </w:rPr>
        <w:tab/>
      </w:r>
      <w:hyperlink r:id="rId365">
        <w:r>
          <w:rPr>
            <w:rFonts w:ascii="Times New Roman" w:cs="Times New Roman" w:eastAsia="Times New Roman" w:hAnsi="Times New Roman"/>
            <w:sz w:val="17"/>
            <w:szCs w:val="17"/>
            <w:color w:val="0000FF"/>
          </w:rPr>
          <w:t>Form of Restricted Stock Unit Agreement (Employee Plan) for awards with cliff vesting is incorporated by reference to Exhibit 10.18 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-635</wp:posOffset>
            </wp:positionV>
            <wp:extent cx="620966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6">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spacing w:after="0"/>
        <w:rPr>
          <w:rFonts w:ascii="Times New Roman" w:cs="Times New Roman" w:eastAsia="Times New Roman" w:hAnsi="Times New Roman"/>
          <w:sz w:val="18"/>
          <w:szCs w:val="18"/>
          <w:u w:val="single" w:color="auto"/>
          <w:color w:val="0000FF"/>
        </w:rPr>
      </w:pPr>
      <w:hyperlink r:id="rId365">
        <w:r>
          <w:rPr>
            <w:rFonts w:ascii="Times New Roman" w:cs="Times New Roman" w:eastAsia="Times New Roman" w:hAnsi="Times New Roman"/>
            <w:sz w:val="18"/>
            <w:szCs w:val="18"/>
            <w:u w:val="single" w:color="auto"/>
            <w:color w:val="0000FF"/>
          </w:rPr>
          <w:t>2018 Annual Report.</w:t>
        </w:r>
      </w:hyperlink>
    </w:p>
    <w:p>
      <w:pPr>
        <w:spacing w:after="0" w:line="12" w:lineRule="exact"/>
        <w:rPr>
          <w:sz w:val="20"/>
          <w:szCs w:val="20"/>
          <w:color w:val="auto"/>
        </w:rPr>
      </w:pPr>
    </w:p>
    <w:p>
      <w:pPr>
        <w:ind w:left="156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10.14#</w:t>
      </w:r>
      <w:r>
        <w:rPr>
          <w:sz w:val="20"/>
          <w:szCs w:val="20"/>
          <w:color w:val="auto"/>
        </w:rPr>
        <w:tab/>
      </w:r>
      <w:hyperlink r:id="rId367">
        <w:r>
          <w:rPr>
            <w:rFonts w:ascii="Times New Roman" w:cs="Times New Roman" w:eastAsia="Times New Roman" w:hAnsi="Times New Roman"/>
            <w:sz w:val="18"/>
            <w:szCs w:val="18"/>
            <w:u w:val="single" w:color="auto"/>
            <w:color w:val="0000FF"/>
          </w:rPr>
          <w:t>Form of Non-Qualified Stock Option Agreement (Employee Plan) for awards granted before February 13, 2019, is incorporated by referen</w:t>
        </w:r>
      </w:hyperlink>
      <w:r>
        <w:rPr>
          <w:rFonts w:ascii="Times New Roman" w:cs="Times New Roman" w:eastAsia="Times New Roman" w:hAnsi="Times New Roman"/>
          <w:sz w:val="18"/>
          <w:szCs w:val="18"/>
          <w:u w:val="single" w:color="auto"/>
          <w:color w:val="0000FF"/>
        </w:rPr>
        <w:t xml:space="preserve"> </w:t>
      </w:r>
      <w:hyperlink r:id="rId367">
        <w:r>
          <w:rPr>
            <w:rFonts w:ascii="Times New Roman" w:cs="Times New Roman" w:eastAsia="Times New Roman" w:hAnsi="Times New Roman"/>
            <w:sz w:val="18"/>
            <w:szCs w:val="18"/>
            <w:u w:val="single" w:color="auto"/>
            <w:color w:val="0000FF"/>
          </w:rPr>
          <w:t>to Exhibit 10.6 to our May 24, 2018 8-K.</w:t>
        </w:r>
      </w:hyperlink>
    </w:p>
    <w:p>
      <w:pPr>
        <w:spacing w:after="0" w:line="7" w:lineRule="exact"/>
        <w:rPr>
          <w:sz w:val="20"/>
          <w:szCs w:val="20"/>
          <w:color w:val="auto"/>
        </w:rPr>
      </w:pPr>
    </w:p>
    <w:p>
      <w:pPr>
        <w:ind w:left="1560" w:right="4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10.15#</w:t>
      </w:r>
      <w:r>
        <w:rPr>
          <w:sz w:val="20"/>
          <w:szCs w:val="20"/>
          <w:color w:val="auto"/>
        </w:rPr>
        <w:tab/>
      </w:r>
      <w:hyperlink r:id="rId368">
        <w:r>
          <w:rPr>
            <w:rFonts w:ascii="Times New Roman" w:cs="Times New Roman" w:eastAsia="Times New Roman" w:hAnsi="Times New Roman"/>
            <w:sz w:val="18"/>
            <w:szCs w:val="18"/>
            <w:u w:val="single" w:color="auto"/>
            <w:color w:val="0000FF"/>
          </w:rPr>
          <w:t>Form of Non-Qualified Stock Option Agreement (Employee Plan) for awards granted on or after February 13, 2019, is incorporated</w:t>
        </w:r>
      </w:hyperlink>
      <w:r>
        <w:rPr>
          <w:rFonts w:ascii="Times New Roman" w:cs="Times New Roman" w:eastAsia="Times New Roman" w:hAnsi="Times New Roman"/>
          <w:sz w:val="18"/>
          <w:szCs w:val="18"/>
          <w:u w:val="single" w:color="auto"/>
          <w:color w:val="0000FF"/>
        </w:rPr>
        <w:t xml:space="preserve"> </w:t>
      </w:r>
      <w:hyperlink r:id="rId368">
        <w:r>
          <w:rPr>
            <w:rFonts w:ascii="Times New Roman" w:cs="Times New Roman" w:eastAsia="Times New Roman" w:hAnsi="Times New Roman"/>
            <w:sz w:val="18"/>
            <w:szCs w:val="18"/>
            <w:u w:val="single" w:color="auto"/>
            <w:color w:val="0000FF"/>
          </w:rPr>
          <w:t>reference to Exhibit 10.20 to our 2018 Annual Report.</w:t>
        </w:r>
      </w:hyperlink>
    </w:p>
    <w:p>
      <w:pPr>
        <w:spacing w:after="0" w:line="7" w:lineRule="exact"/>
        <w:rPr>
          <w:sz w:val="20"/>
          <w:szCs w:val="20"/>
          <w:color w:val="auto"/>
        </w:rPr>
      </w:pPr>
    </w:p>
    <w:p>
      <w:pPr>
        <w:ind w:left="156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10.16#</w:t>
      </w:r>
      <w:r>
        <w:rPr>
          <w:sz w:val="20"/>
          <w:szCs w:val="20"/>
          <w:color w:val="auto"/>
        </w:rPr>
        <w:tab/>
      </w:r>
      <w:hyperlink r:id="rId369">
        <w:r>
          <w:rPr>
            <w:rFonts w:ascii="Times New Roman" w:cs="Times New Roman" w:eastAsia="Times New Roman" w:hAnsi="Times New Roman"/>
            <w:sz w:val="18"/>
            <w:szCs w:val="18"/>
            <w:u w:val="single" w:color="auto"/>
            <w:color w:val="0000FF"/>
          </w:rPr>
          <w:t>Form of Performance Share Unit Agreement (Employee Plan) for awards granted in 2024 and subsequently is incorporated by reference</w:t>
        </w:r>
      </w:hyperlink>
      <w:r>
        <w:rPr>
          <w:rFonts w:ascii="Times New Roman" w:cs="Times New Roman" w:eastAsia="Times New Roman" w:hAnsi="Times New Roman"/>
          <w:sz w:val="18"/>
          <w:szCs w:val="18"/>
          <w:u w:val="single" w:color="auto"/>
          <w:color w:val="0000FF"/>
        </w:rPr>
        <w:t xml:space="preserve"> </w:t>
      </w:r>
      <w:hyperlink r:id="rId369">
        <w:r>
          <w:rPr>
            <w:rFonts w:ascii="Times New Roman" w:cs="Times New Roman" w:eastAsia="Times New Roman" w:hAnsi="Times New Roman"/>
            <w:sz w:val="18"/>
            <w:szCs w:val="18"/>
            <w:u w:val="single" w:color="auto"/>
            <w:color w:val="0000FF"/>
          </w:rPr>
          <w:t>Exhibit 10.1 to our Quarterly Report on Form 10-Q, filed on May 8, 2024.</w:t>
        </w:r>
      </w:hyperlink>
    </w:p>
    <w:p>
      <w:pPr>
        <w:spacing w:after="0" w:line="7" w:lineRule="exact"/>
        <w:rPr>
          <w:sz w:val="20"/>
          <w:szCs w:val="20"/>
          <w:color w:val="auto"/>
        </w:rPr>
      </w:pPr>
    </w:p>
    <w:p>
      <w:pPr>
        <w:ind w:left="156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10.17#</w:t>
      </w:r>
      <w:r>
        <w:rPr>
          <w:sz w:val="20"/>
          <w:szCs w:val="20"/>
          <w:color w:val="auto"/>
        </w:rPr>
        <w:tab/>
      </w:r>
      <w:hyperlink r:id="rId370">
        <w:r>
          <w:rPr>
            <w:rFonts w:ascii="Times New Roman" w:cs="Times New Roman" w:eastAsia="Times New Roman" w:hAnsi="Times New Roman"/>
            <w:sz w:val="18"/>
            <w:szCs w:val="18"/>
            <w:u w:val="single" w:color="auto"/>
            <w:color w:val="0000FF"/>
          </w:rPr>
          <w:t>Award Agreement Supplement (Employee Plan) for awards with ratable vesting is incorporated by reference to Exhibit 10.22 to our 20</w:t>
        </w:r>
      </w:hyperlink>
      <w:r>
        <w:rPr>
          <w:rFonts w:ascii="Times New Roman" w:cs="Times New Roman" w:eastAsia="Times New Roman" w:hAnsi="Times New Roman"/>
          <w:sz w:val="18"/>
          <w:szCs w:val="18"/>
          <w:u w:val="single" w:color="auto"/>
          <w:color w:val="0000FF"/>
        </w:rPr>
        <w:t xml:space="preserve"> </w:t>
      </w:r>
      <w:hyperlink r:id="rId370">
        <w:r>
          <w:rPr>
            <w:rFonts w:ascii="Times New Roman" w:cs="Times New Roman" w:eastAsia="Times New Roman" w:hAnsi="Times New Roman"/>
            <w:sz w:val="18"/>
            <w:szCs w:val="18"/>
            <w:u w:val="single" w:color="auto"/>
            <w:color w:val="0000FF"/>
          </w:rPr>
          <w:t>Annual Report.</w:t>
        </w:r>
      </w:hyperlink>
    </w:p>
    <w:p>
      <w:pPr>
        <w:spacing w:after="0" w:line="7" w:lineRule="exact"/>
        <w:rPr>
          <w:sz w:val="20"/>
          <w:szCs w:val="20"/>
          <w:color w:val="auto"/>
        </w:rPr>
      </w:pPr>
    </w:p>
    <w:p>
      <w:pPr>
        <w:ind w:left="156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10.18#</w:t>
      </w:r>
      <w:r>
        <w:rPr>
          <w:sz w:val="20"/>
          <w:szCs w:val="20"/>
          <w:color w:val="auto"/>
        </w:rPr>
        <w:tab/>
      </w:r>
      <w:hyperlink r:id="rId371">
        <w:r>
          <w:rPr>
            <w:rFonts w:ascii="Times New Roman" w:cs="Times New Roman" w:eastAsia="Times New Roman" w:hAnsi="Times New Roman"/>
            <w:sz w:val="18"/>
            <w:szCs w:val="18"/>
            <w:u w:val="single" w:color="auto"/>
            <w:color w:val="0000FF"/>
          </w:rPr>
          <w:t>Award Agreement Supplement (Employee Plan) for awards with cliff vesting is incorporated by reference to Exhibit 10.23 to our 20</w:t>
        </w:r>
      </w:hyperlink>
      <w:r>
        <w:rPr>
          <w:rFonts w:ascii="Times New Roman" w:cs="Times New Roman" w:eastAsia="Times New Roman" w:hAnsi="Times New Roman"/>
          <w:sz w:val="18"/>
          <w:szCs w:val="18"/>
          <w:u w:val="single" w:color="auto"/>
          <w:color w:val="0000FF"/>
        </w:rPr>
        <w:t xml:space="preserve"> </w:t>
      </w:r>
      <w:hyperlink r:id="rId371">
        <w:r>
          <w:rPr>
            <w:rFonts w:ascii="Times New Roman" w:cs="Times New Roman" w:eastAsia="Times New Roman" w:hAnsi="Times New Roman"/>
            <w:sz w:val="18"/>
            <w:szCs w:val="18"/>
            <w:u w:val="single" w:color="auto"/>
            <w:color w:val="0000FF"/>
          </w:rPr>
          <w:t>Annual Report.</w:t>
        </w:r>
      </w:hyperlink>
    </w:p>
    <w:p>
      <w:pPr>
        <w:spacing w:after="0" w:line="7" w:lineRule="exact"/>
        <w:rPr>
          <w:sz w:val="20"/>
          <w:szCs w:val="20"/>
          <w:color w:val="auto"/>
        </w:rPr>
      </w:pPr>
    </w:p>
    <w:p>
      <w:pPr>
        <w:ind w:left="156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10.19#</w:t>
      </w:r>
      <w:r>
        <w:rPr>
          <w:sz w:val="20"/>
          <w:szCs w:val="20"/>
          <w:color w:val="auto"/>
        </w:rPr>
        <w:tab/>
      </w:r>
      <w:hyperlink r:id="rId372">
        <w:r>
          <w:rPr>
            <w:rFonts w:ascii="Times New Roman" w:cs="Times New Roman" w:eastAsia="Times New Roman" w:hAnsi="Times New Roman"/>
            <w:sz w:val="18"/>
            <w:szCs w:val="18"/>
            <w:u w:val="single" w:color="auto"/>
            <w:color w:val="0000FF"/>
          </w:rPr>
          <w:t>Award Agreement Supplement (Employee Plan) for Performance Share Unit and Restricted Stock Unit awards granted in 2024 a</w:t>
        </w:r>
      </w:hyperlink>
      <w:r>
        <w:rPr>
          <w:rFonts w:ascii="Times New Roman" w:cs="Times New Roman" w:eastAsia="Times New Roman" w:hAnsi="Times New Roman"/>
          <w:sz w:val="18"/>
          <w:szCs w:val="18"/>
          <w:u w:val="single" w:color="auto"/>
          <w:color w:val="0000FF"/>
        </w:rPr>
        <w:t xml:space="preserve"> </w:t>
      </w:r>
      <w:hyperlink r:id="rId372">
        <w:r>
          <w:rPr>
            <w:rFonts w:ascii="Times New Roman" w:cs="Times New Roman" w:eastAsia="Times New Roman" w:hAnsi="Times New Roman"/>
            <w:sz w:val="18"/>
            <w:szCs w:val="18"/>
            <w:u w:val="single" w:color="auto"/>
            <w:color w:val="0000FF"/>
          </w:rPr>
          <w:t>subsequently is incorporated by reference to Exhibit 10.2 to our Quarterly Report on Form 10-Q, filed on May 8, 2024.</w:t>
        </w:r>
      </w:hyperlink>
    </w:p>
    <w:p>
      <w:pPr>
        <w:spacing w:after="0" w:line="7" w:lineRule="exact"/>
        <w:rPr>
          <w:sz w:val="20"/>
          <w:szCs w:val="20"/>
          <w:color w:val="auto"/>
        </w:rPr>
      </w:pPr>
    </w:p>
    <w:p>
      <w:pPr>
        <w:ind w:left="1560" w:right="4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10.20#</w:t>
      </w:r>
      <w:r>
        <w:rPr>
          <w:sz w:val="20"/>
          <w:szCs w:val="20"/>
          <w:color w:val="auto"/>
        </w:rPr>
        <w:tab/>
      </w:r>
      <w:hyperlink r:id="rId373">
        <w:r>
          <w:rPr>
            <w:rFonts w:ascii="Times New Roman" w:cs="Times New Roman" w:eastAsia="Times New Roman" w:hAnsi="Times New Roman"/>
            <w:sz w:val="18"/>
            <w:szCs w:val="18"/>
            <w:u w:val="single" w:color="auto"/>
            <w:color w:val="0000FF"/>
          </w:rPr>
          <w:t>Form of Non-Management Director Restricted Stock Unit Agreement (Director Plan), as amended November 14, 2019, is incorporated</w:t>
        </w:r>
      </w:hyperlink>
      <w:r>
        <w:rPr>
          <w:rFonts w:ascii="Times New Roman" w:cs="Times New Roman" w:eastAsia="Times New Roman" w:hAnsi="Times New Roman"/>
          <w:sz w:val="18"/>
          <w:szCs w:val="18"/>
          <w:u w:val="single" w:color="auto"/>
          <w:color w:val="0000FF"/>
        </w:rPr>
        <w:t xml:space="preserve"> </w:t>
      </w:r>
      <w:hyperlink r:id="rId373">
        <w:r>
          <w:rPr>
            <w:rFonts w:ascii="Times New Roman" w:cs="Times New Roman" w:eastAsia="Times New Roman" w:hAnsi="Times New Roman"/>
            <w:sz w:val="18"/>
            <w:szCs w:val="18"/>
            <w:u w:val="single" w:color="auto"/>
            <w:color w:val="0000FF"/>
          </w:rPr>
          <w:t>reference to Exhibit 10.2 to our Quarterly Report on Form 10-Q, filed on May 11, 2020.</w:t>
        </w:r>
      </w:hyperlink>
    </w:p>
    <w:p>
      <w:pPr>
        <w:spacing w:after="0" w:line="7" w:lineRule="exact"/>
        <w:rPr>
          <w:sz w:val="20"/>
          <w:szCs w:val="20"/>
          <w:color w:val="auto"/>
        </w:rPr>
      </w:pPr>
    </w:p>
    <w:p>
      <w:pPr>
        <w:ind w:left="1560" w:right="6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10.21#</w:t>
      </w:r>
      <w:r>
        <w:rPr>
          <w:sz w:val="20"/>
          <w:szCs w:val="20"/>
          <w:color w:val="auto"/>
        </w:rPr>
        <w:tab/>
      </w:r>
      <w:hyperlink r:id="rId374">
        <w:r>
          <w:rPr>
            <w:rFonts w:ascii="Times New Roman" w:cs="Times New Roman" w:eastAsia="Times New Roman" w:hAnsi="Times New Roman"/>
            <w:sz w:val="18"/>
            <w:szCs w:val="18"/>
            <w:u w:val="single" w:color="auto"/>
            <w:color w:val="0000FF"/>
          </w:rPr>
          <w:t>Form of Non-Management Director Award Agreement Supplement (Director Plan), as amended November 14, 2019, is incorporated</w:t>
        </w:r>
      </w:hyperlink>
      <w:r>
        <w:rPr>
          <w:rFonts w:ascii="Times New Roman" w:cs="Times New Roman" w:eastAsia="Times New Roman" w:hAnsi="Times New Roman"/>
          <w:sz w:val="18"/>
          <w:szCs w:val="18"/>
          <w:u w:val="single" w:color="auto"/>
          <w:color w:val="0000FF"/>
        </w:rPr>
        <w:t xml:space="preserve"> </w:t>
      </w:r>
      <w:hyperlink r:id="rId374">
        <w:r>
          <w:rPr>
            <w:rFonts w:ascii="Times New Roman" w:cs="Times New Roman" w:eastAsia="Times New Roman" w:hAnsi="Times New Roman"/>
            <w:sz w:val="18"/>
            <w:szCs w:val="18"/>
            <w:u w:val="single" w:color="auto"/>
            <w:color w:val="0000FF"/>
          </w:rPr>
          <w:t>reference to Exhibit 10.3 to our Quarterly Report on Form 10-Q, filed on May 11, 2020.</w:t>
        </w:r>
      </w:hyperlink>
    </w:p>
    <w:p>
      <w:pPr>
        <w:spacing w:after="0" w:line="7" w:lineRule="exact"/>
        <w:rPr>
          <w:sz w:val="20"/>
          <w:szCs w:val="20"/>
          <w:color w:val="auto"/>
        </w:rPr>
      </w:pPr>
    </w:p>
    <w:p>
      <w:pPr>
        <w:ind w:left="156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10.22#</w:t>
      </w:r>
      <w:r>
        <w:rPr>
          <w:sz w:val="20"/>
          <w:szCs w:val="20"/>
          <w:color w:val="auto"/>
        </w:rPr>
        <w:tab/>
      </w:r>
      <w:hyperlink r:id="rId375">
        <w:r>
          <w:rPr>
            <w:rFonts w:ascii="Times New Roman" w:cs="Times New Roman" w:eastAsia="Times New Roman" w:hAnsi="Times New Roman"/>
            <w:sz w:val="18"/>
            <w:szCs w:val="18"/>
            <w:u w:val="single" w:color="auto"/>
            <w:color w:val="0000FF"/>
          </w:rPr>
          <w:t>Brighthouse Financial Blue Relocation Policy, as restated July 1, 2019, is incorporated by reference to Exhibit 10.3 to our Quarterly Rep</w:t>
        </w:r>
      </w:hyperlink>
      <w:r>
        <w:rPr>
          <w:rFonts w:ascii="Times New Roman" w:cs="Times New Roman" w:eastAsia="Times New Roman" w:hAnsi="Times New Roman"/>
          <w:sz w:val="18"/>
          <w:szCs w:val="18"/>
          <w:u w:val="single" w:color="auto"/>
          <w:color w:val="0000FF"/>
        </w:rPr>
        <w:t xml:space="preserve"> </w:t>
      </w:r>
      <w:hyperlink r:id="rId375">
        <w:r>
          <w:rPr>
            <w:rFonts w:ascii="Times New Roman" w:cs="Times New Roman" w:eastAsia="Times New Roman" w:hAnsi="Times New Roman"/>
            <w:sz w:val="18"/>
            <w:szCs w:val="18"/>
            <w:u w:val="single" w:color="auto"/>
            <w:color w:val="0000FF"/>
          </w:rPr>
          <w:t>on Form 10-Q, filed on August 6, 2019.</w:t>
        </w:r>
      </w:hyperlink>
    </w:p>
    <w:p>
      <w:pPr>
        <w:spacing w:after="0" w:line="7" w:lineRule="exact"/>
        <w:rPr>
          <w:sz w:val="20"/>
          <w:szCs w:val="20"/>
          <w:color w:val="auto"/>
        </w:rPr>
      </w:pPr>
    </w:p>
    <w:p>
      <w:pPr>
        <w:ind w:left="1560" w:right="2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w:t>
      </w:r>
      <w:r>
        <w:rPr>
          <w:sz w:val="20"/>
          <w:szCs w:val="20"/>
          <w:color w:val="auto"/>
        </w:rPr>
        <w:tab/>
      </w:r>
      <w:hyperlink r:id="rId376">
        <w:r>
          <w:rPr>
            <w:rFonts w:ascii="Times New Roman" w:cs="Times New Roman" w:eastAsia="Times New Roman" w:hAnsi="Times New Roman"/>
            <w:sz w:val="18"/>
            <w:szCs w:val="18"/>
            <w:u w:val="single" w:color="auto"/>
            <w:color w:val="0000FF"/>
          </w:rPr>
          <w:t>Brighthouse Services, LLC Amended and Restated Executive Severance Pay Plan is incorporated by reference to Exhibit 10.1 to our Curr</w:t>
        </w:r>
      </w:hyperlink>
      <w:r>
        <w:rPr>
          <w:rFonts w:ascii="Times New Roman" w:cs="Times New Roman" w:eastAsia="Times New Roman" w:hAnsi="Times New Roman"/>
          <w:sz w:val="18"/>
          <w:szCs w:val="18"/>
          <w:u w:val="single" w:color="auto"/>
          <w:color w:val="0000FF"/>
        </w:rPr>
        <w:t xml:space="preserve"> </w:t>
      </w:r>
      <w:hyperlink r:id="rId376">
        <w:r>
          <w:rPr>
            <w:rFonts w:ascii="Times New Roman" w:cs="Times New Roman" w:eastAsia="Times New Roman" w:hAnsi="Times New Roman"/>
            <w:sz w:val="18"/>
            <w:szCs w:val="18"/>
            <w:u w:val="single" w:color="auto"/>
            <w:color w:val="0000FF"/>
          </w:rPr>
          <w:t>Report on Form 8-K filed on November 19, 2019.</w:t>
        </w:r>
      </w:hyperlink>
    </w:p>
    <w:p>
      <w:pPr>
        <w:spacing w:after="0" w:line="7" w:lineRule="exact"/>
        <w:rPr>
          <w:sz w:val="20"/>
          <w:szCs w:val="20"/>
          <w:color w:val="auto"/>
        </w:rPr>
      </w:pPr>
    </w:p>
    <w:p>
      <w:pPr>
        <w:ind w:left="1560" w:right="60" w:hanging="988"/>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10.23.1#</w:t>
      </w:r>
      <w:r>
        <w:rPr>
          <w:sz w:val="20"/>
          <w:szCs w:val="20"/>
          <w:color w:val="auto"/>
        </w:rPr>
        <w:tab/>
      </w:r>
      <w:hyperlink r:id="rId377">
        <w:r>
          <w:rPr>
            <w:rFonts w:ascii="Times New Roman" w:cs="Times New Roman" w:eastAsia="Times New Roman" w:hAnsi="Times New Roman"/>
            <w:sz w:val="18"/>
            <w:szCs w:val="18"/>
            <w:u w:val="single" w:color="auto"/>
            <w:color w:val="0000FF"/>
          </w:rPr>
          <w:t>Amendment Number One to the Brighthouse Services, LLC Amended and Restated Executive Severance Pay Plan is incorporated</w:t>
        </w:r>
      </w:hyperlink>
      <w:r>
        <w:rPr>
          <w:rFonts w:ascii="Times New Roman" w:cs="Times New Roman" w:eastAsia="Times New Roman" w:hAnsi="Times New Roman"/>
          <w:sz w:val="18"/>
          <w:szCs w:val="18"/>
          <w:u w:val="single" w:color="auto"/>
          <w:color w:val="0000FF"/>
        </w:rPr>
        <w:t xml:space="preserve"> </w:t>
      </w:r>
      <w:hyperlink r:id="rId377">
        <w:r>
          <w:rPr>
            <w:rFonts w:ascii="Times New Roman" w:cs="Times New Roman" w:eastAsia="Times New Roman" w:hAnsi="Times New Roman"/>
            <w:sz w:val="18"/>
            <w:szCs w:val="18"/>
            <w:u w:val="single" w:color="auto"/>
            <w:color w:val="0000FF"/>
          </w:rPr>
          <w:t>reference to Exhibit 10.3 to our Quarterly Report on Form 10-Q, filed on August 9, 2023.</w:t>
        </w:r>
      </w:hyperlink>
    </w:p>
    <w:p>
      <w:pPr>
        <w:spacing w:after="0" w:line="7" w:lineRule="exact"/>
        <w:rPr>
          <w:sz w:val="20"/>
          <w:szCs w:val="20"/>
          <w:color w:val="auto"/>
        </w:rPr>
      </w:pPr>
    </w:p>
    <w:p>
      <w:pPr>
        <w:ind w:left="1560" w:right="4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10.24#</w:t>
      </w:r>
      <w:r>
        <w:rPr>
          <w:sz w:val="20"/>
          <w:szCs w:val="20"/>
          <w:color w:val="auto"/>
        </w:rPr>
        <w:tab/>
      </w:r>
      <w:hyperlink r:id="rId378">
        <w:r>
          <w:rPr>
            <w:rFonts w:ascii="Times New Roman" w:cs="Times New Roman" w:eastAsia="Times New Roman" w:hAnsi="Times New Roman"/>
            <w:sz w:val="18"/>
            <w:szCs w:val="18"/>
            <w:u w:val="single" w:color="auto"/>
            <w:color w:val="0000FF"/>
          </w:rPr>
          <w:t>Brighthouse Services, LLC Change of Control Severance Pay Plan is incorporated by reference to Exhibit 10.2 to our Current Report</w:t>
        </w:r>
      </w:hyperlink>
      <w:r>
        <w:rPr>
          <w:rFonts w:ascii="Times New Roman" w:cs="Times New Roman" w:eastAsia="Times New Roman" w:hAnsi="Times New Roman"/>
          <w:sz w:val="18"/>
          <w:szCs w:val="18"/>
          <w:u w:val="single" w:color="auto"/>
          <w:color w:val="0000FF"/>
        </w:rPr>
        <w:t xml:space="preserve"> </w:t>
      </w:r>
      <w:hyperlink r:id="rId378">
        <w:r>
          <w:rPr>
            <w:rFonts w:ascii="Times New Roman" w:cs="Times New Roman" w:eastAsia="Times New Roman" w:hAnsi="Times New Roman"/>
            <w:sz w:val="18"/>
            <w:szCs w:val="18"/>
            <w:u w:val="single" w:color="auto"/>
            <w:color w:val="0000FF"/>
          </w:rPr>
          <w:t>Form 8-K filed on November 16, 2018.</w:t>
        </w:r>
      </w:hyperlink>
    </w:p>
    <w:p>
      <w:pPr>
        <w:ind w:left="58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10.24.1#</w:t>
      </w:r>
      <w:r>
        <w:rPr>
          <w:sz w:val="20"/>
          <w:szCs w:val="20"/>
          <w:color w:val="auto"/>
        </w:rPr>
        <w:tab/>
      </w:r>
      <w:hyperlink r:id="rId379">
        <w:r>
          <w:rPr>
            <w:rFonts w:ascii="Times New Roman" w:cs="Times New Roman" w:eastAsia="Times New Roman" w:hAnsi="Times New Roman"/>
            <w:sz w:val="17"/>
            <w:szCs w:val="17"/>
            <w:u w:val="single" w:color="auto"/>
            <w:color w:val="0000FF"/>
          </w:rPr>
          <w:t>Amendment Number One to the Brighthouse Services, LLC Change of Control Severance Pay Plan is incorporated by reference to Exhi</w:t>
        </w:r>
      </w:hyperlink>
    </w:p>
    <w:p>
      <w:pPr>
        <w:ind w:left="1560"/>
        <w:spacing w:after="0"/>
        <w:rPr>
          <w:rFonts w:ascii="Times New Roman" w:cs="Times New Roman" w:eastAsia="Times New Roman" w:hAnsi="Times New Roman"/>
          <w:sz w:val="18"/>
          <w:szCs w:val="18"/>
          <w:u w:val="single" w:color="auto"/>
          <w:color w:val="0000FF"/>
        </w:rPr>
      </w:pPr>
      <w:hyperlink r:id="rId379">
        <w:r>
          <w:rPr>
            <w:rFonts w:ascii="Times New Roman" w:cs="Times New Roman" w:eastAsia="Times New Roman" w:hAnsi="Times New Roman"/>
            <w:sz w:val="18"/>
            <w:szCs w:val="18"/>
            <w:u w:val="single" w:color="auto"/>
            <w:color w:val="0000FF"/>
          </w:rPr>
          <w:t>10.4 to our Quarterly Report on Form 10-Q, filed on August 9, 2023.</w:t>
        </w:r>
      </w:hyperlink>
    </w:p>
    <w:p>
      <w:pPr>
        <w:spacing w:after="0" w:line="12" w:lineRule="exact"/>
        <w:rPr>
          <w:sz w:val="20"/>
          <w:szCs w:val="20"/>
          <w:color w:val="auto"/>
        </w:rPr>
      </w:pPr>
    </w:p>
    <w:p>
      <w:pPr>
        <w:ind w:left="156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10.25#</w:t>
      </w:r>
      <w:r>
        <w:rPr>
          <w:sz w:val="20"/>
          <w:szCs w:val="20"/>
          <w:color w:val="auto"/>
        </w:rPr>
        <w:tab/>
      </w:r>
      <w:hyperlink r:id="rId380">
        <w:r>
          <w:rPr>
            <w:rFonts w:ascii="Times New Roman" w:cs="Times New Roman" w:eastAsia="Times New Roman" w:hAnsi="Times New Roman"/>
            <w:sz w:val="18"/>
            <w:szCs w:val="18"/>
            <w:u w:val="single" w:color="auto"/>
            <w:color w:val="0000FF"/>
          </w:rPr>
          <w:t>Brighthouse Services, LLC Limited Death Benefit Plan is incorporated by reference to Exhibit 10.1 of our Current Report on Form 8-</w:t>
        </w:r>
      </w:hyperlink>
      <w:hyperlink r:id="rId380">
        <w:r>
          <w:rPr>
            <w:rFonts w:ascii="Times New Roman" w:cs="Times New Roman" w:eastAsia="Times New Roman" w:hAnsi="Times New Roman"/>
            <w:sz w:val="18"/>
            <w:szCs w:val="18"/>
            <w:u w:val="single" w:color="auto"/>
            <w:color w:val="0000FF"/>
          </w:rPr>
          <w:t>filed on December 23, 2019.</w:t>
        </w:r>
      </w:hyperlink>
    </w:p>
    <w:p>
      <w:pPr>
        <w:ind w:left="640"/>
        <w:spacing w:after="0"/>
        <w:tabs>
          <w:tab w:leader="none" w:pos="15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10.26#</w:t>
      </w:r>
      <w:r>
        <w:rPr>
          <w:sz w:val="20"/>
          <w:szCs w:val="20"/>
          <w:color w:val="auto"/>
        </w:rPr>
        <w:tab/>
      </w:r>
      <w:hyperlink r:id="rId381">
        <w:r>
          <w:rPr>
            <w:rFonts w:ascii="Times New Roman" w:cs="Times New Roman" w:eastAsia="Times New Roman" w:hAnsi="Times New Roman"/>
            <w:sz w:val="17"/>
            <w:szCs w:val="17"/>
            <w:u w:val="single" w:color="auto"/>
            <w:color w:val="0000FF"/>
          </w:rPr>
          <w:t>Brighthouse Services, LLC Deferred Compensation Plan for Non-Management Directors is incorporated by reference to Exhibit 10.32 to o</w:t>
        </w:r>
      </w:hyperlink>
    </w:p>
    <w:p>
      <w:pPr>
        <w:ind w:left="1560"/>
        <w:spacing w:after="0"/>
        <w:rPr>
          <w:rFonts w:ascii="Times New Roman" w:cs="Times New Roman" w:eastAsia="Times New Roman" w:hAnsi="Times New Roman"/>
          <w:sz w:val="18"/>
          <w:szCs w:val="18"/>
          <w:u w:val="single" w:color="auto"/>
          <w:color w:val="0000FF"/>
        </w:rPr>
      </w:pPr>
      <w:hyperlink r:id="rId381">
        <w:r>
          <w:rPr>
            <w:rFonts w:ascii="Times New Roman" w:cs="Times New Roman" w:eastAsia="Times New Roman" w:hAnsi="Times New Roman"/>
            <w:sz w:val="18"/>
            <w:szCs w:val="18"/>
            <w:u w:val="single" w:color="auto"/>
            <w:color w:val="0000FF"/>
          </w:rPr>
          <w:t>2019 Annual Report.</w:t>
        </w:r>
      </w:hyperlink>
    </w:p>
    <w:p>
      <w:pPr>
        <w:spacing w:after="0" w:line="12" w:lineRule="exact"/>
        <w:rPr>
          <w:sz w:val="20"/>
          <w:szCs w:val="20"/>
          <w:color w:val="auto"/>
        </w:rPr>
      </w:pPr>
    </w:p>
    <w:p>
      <w:pPr>
        <w:ind w:left="1560" w:right="20" w:hanging="988"/>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10.26.1#</w:t>
      </w:r>
      <w:r>
        <w:rPr>
          <w:sz w:val="20"/>
          <w:szCs w:val="20"/>
          <w:color w:val="auto"/>
        </w:rPr>
        <w:tab/>
      </w:r>
      <w:hyperlink r:id="rId382">
        <w:r>
          <w:rPr>
            <w:rFonts w:ascii="Times New Roman" w:cs="Times New Roman" w:eastAsia="Times New Roman" w:hAnsi="Times New Roman"/>
            <w:sz w:val="18"/>
            <w:szCs w:val="18"/>
            <w:u w:val="single" w:color="auto"/>
            <w:color w:val="0000FF"/>
          </w:rPr>
          <w:t>Amendment Number One to the Brighthouse Services, LLC Deferred Compensation Plan for Non-Management Directors is incorporated</w:t>
        </w:r>
      </w:hyperlink>
      <w:r>
        <w:rPr>
          <w:rFonts w:ascii="Times New Roman" w:cs="Times New Roman" w:eastAsia="Times New Roman" w:hAnsi="Times New Roman"/>
          <w:sz w:val="18"/>
          <w:szCs w:val="18"/>
          <w:u w:val="single" w:color="auto"/>
          <w:color w:val="0000FF"/>
        </w:rPr>
        <w:t xml:space="preserve"> </w:t>
      </w:r>
      <w:hyperlink r:id="rId382">
        <w:r>
          <w:rPr>
            <w:rFonts w:ascii="Times New Roman" w:cs="Times New Roman" w:eastAsia="Times New Roman" w:hAnsi="Times New Roman"/>
            <w:sz w:val="18"/>
            <w:szCs w:val="18"/>
            <w:u w:val="single" w:color="auto"/>
            <w:color w:val="0000FF"/>
          </w:rPr>
          <w:t>reference to Exhibit 10.2 to our Quarterly Report on Form 10-Q, filed on May 9, 2023.</w:t>
        </w:r>
      </w:hyperlink>
    </w:p>
    <w:p>
      <w:pPr>
        <w:spacing w:after="0" w:line="7" w:lineRule="exact"/>
        <w:rPr>
          <w:sz w:val="20"/>
          <w:szCs w:val="20"/>
          <w:color w:val="auto"/>
        </w:rPr>
      </w:pPr>
    </w:p>
    <w:p>
      <w:pPr>
        <w:ind w:left="1560" w:right="8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383">
        <w:r>
          <w:rPr>
            <w:rFonts w:ascii="Times New Roman" w:cs="Times New Roman" w:eastAsia="Times New Roman" w:hAnsi="Times New Roman"/>
            <w:sz w:val="18"/>
            <w:szCs w:val="18"/>
            <w:color w:val="0000FF"/>
          </w:rPr>
          <w:t>Summary of Brighthouse Services, LLC ICOLI Supplemental Death Benefit Only Plan is incorporated by reference to Exhibit 10.25 to</w:t>
        </w:r>
      </w:hyperlink>
      <w:r>
        <w:rPr>
          <w:rFonts w:ascii="Times New Roman" w:cs="Times New Roman" w:eastAsia="Times New Roman" w:hAnsi="Times New Roman"/>
          <w:sz w:val="18"/>
          <w:szCs w:val="18"/>
          <w:color w:val="0000FF"/>
        </w:rPr>
        <w:t xml:space="preserve"> </w:t>
      </w:r>
      <w:hyperlink r:id="rId383">
        <w:r>
          <w:rPr>
            <w:rFonts w:ascii="Times New Roman" w:cs="Times New Roman" w:eastAsia="Times New Roman" w:hAnsi="Times New Roman"/>
            <w:sz w:val="18"/>
            <w:szCs w:val="18"/>
            <w:u w:val="single" w:color="auto"/>
            <w:color w:val="0000FF"/>
          </w:rPr>
          <w:t>Annual Report on Form 10-K, filed on February 23,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-134620</wp:posOffset>
            </wp:positionV>
            <wp:extent cx="620966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4">
                      <a:extLst>
                        <a:ext uri="{28A0092B-C50C-407E-A947-70E740481C1C}"/>
                      </a:extLst>
                    </a:blip>
                    <a:srcRect/>
                    <a:stretch>
                      <a:fillRect/>
                    </a:stretch>
                  </pic:blipFill>
                  <pic:spPr bwMode="auto">
                    <a:xfrm>
                      <a:off x="0" y="0"/>
                      <a:ext cx="6209665" cy="8255"/>
                    </a:xfrm>
                    <a:prstGeom prst="rect">
                      <a:avLst/>
                    </a:prstGeom>
                    <a:noFill/>
                  </pic:spPr>
                </pic:pic>
              </a:graphicData>
            </a:graphic>
          </wp:anchor>
        </w:drawing>
      </w:r>
    </w:p>
    <w:p>
      <w:pPr>
        <w:ind w:left="1560" w:right="2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10.28#</w:t>
      </w:r>
      <w:r>
        <w:rPr>
          <w:sz w:val="20"/>
          <w:szCs w:val="20"/>
          <w:color w:val="auto"/>
        </w:rPr>
        <w:tab/>
      </w:r>
      <w:hyperlink r:id="rId385">
        <w:r>
          <w:rPr>
            <w:rFonts w:ascii="Times New Roman" w:cs="Times New Roman" w:eastAsia="Times New Roman" w:hAnsi="Times New Roman"/>
            <w:sz w:val="18"/>
            <w:szCs w:val="18"/>
            <w:u w:val="single" w:color="auto"/>
            <w:color w:val="0000FF"/>
          </w:rPr>
          <w:t>Offer Letter, effective as of August 30, 2025, between Brighthouse Services, LLC and Myles Lambert, is incorporated by reference</w:t>
        </w:r>
      </w:hyperlink>
      <w:r>
        <w:rPr>
          <w:rFonts w:ascii="Times New Roman" w:cs="Times New Roman" w:eastAsia="Times New Roman" w:hAnsi="Times New Roman"/>
          <w:sz w:val="18"/>
          <w:szCs w:val="18"/>
          <w:u w:val="single" w:color="auto"/>
          <w:color w:val="0000FF"/>
        </w:rPr>
        <w:t xml:space="preserve"> </w:t>
      </w:r>
      <w:hyperlink r:id="rId385">
        <w:r>
          <w:rPr>
            <w:rFonts w:ascii="Times New Roman" w:cs="Times New Roman" w:eastAsia="Times New Roman" w:hAnsi="Times New Roman"/>
            <w:sz w:val="18"/>
            <w:szCs w:val="18"/>
            <w:u w:val="single" w:color="auto"/>
            <w:color w:val="0000FF"/>
          </w:rPr>
          <w:t>Exhibit 10.1 to our Current Report on Form 8-K, filed on September 2, 2025 (our “September 2, 2025 8-K”).</w:t>
        </w:r>
      </w:hyperlink>
    </w:p>
    <w:p>
      <w:pPr>
        <w:spacing w:after="0" w:line="7" w:lineRule="exact"/>
        <w:rPr>
          <w:sz w:val="20"/>
          <w:szCs w:val="20"/>
          <w:color w:val="auto"/>
        </w:rPr>
      </w:pPr>
    </w:p>
    <w:p>
      <w:pPr>
        <w:ind w:left="1560" w:right="40" w:hanging="922"/>
        <w:spacing w:after="0" w:line="234" w:lineRule="auto"/>
        <w:tabs>
          <w:tab w:leader="none" w:pos="15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10.29#</w:t>
      </w:r>
      <w:r>
        <w:rPr>
          <w:sz w:val="20"/>
          <w:szCs w:val="20"/>
          <w:color w:val="auto"/>
        </w:rPr>
        <w:tab/>
      </w:r>
      <w:hyperlink r:id="rId386">
        <w:r>
          <w:rPr>
            <w:rFonts w:ascii="Times New Roman" w:cs="Times New Roman" w:eastAsia="Times New Roman" w:hAnsi="Times New Roman"/>
            <w:sz w:val="18"/>
            <w:szCs w:val="18"/>
            <w:u w:val="single" w:color="auto"/>
            <w:color w:val="0000FF"/>
          </w:rPr>
          <w:t>Special Award Letter, effective as of August 30, 2025, between Brighthouse Services, LLC and Myles Lambert, is incorporated by refere</w:t>
        </w:r>
      </w:hyperlink>
      <w:r>
        <w:rPr>
          <w:rFonts w:ascii="Times New Roman" w:cs="Times New Roman" w:eastAsia="Times New Roman" w:hAnsi="Times New Roman"/>
          <w:sz w:val="18"/>
          <w:szCs w:val="18"/>
          <w:u w:val="single" w:color="auto"/>
          <w:color w:val="0000FF"/>
        </w:rPr>
        <w:t xml:space="preserve"> </w:t>
      </w:r>
      <w:hyperlink r:id="rId386">
        <w:r>
          <w:rPr>
            <w:rFonts w:ascii="Times New Roman" w:cs="Times New Roman" w:eastAsia="Times New Roman" w:hAnsi="Times New Roman"/>
            <w:sz w:val="18"/>
            <w:szCs w:val="18"/>
            <w:u w:val="single" w:color="auto"/>
            <w:color w:val="0000FF"/>
          </w:rPr>
          <w:t>to Exhibit 10.2 to our September 2, 2025 8-K.</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278" w:right="2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rPr>
              <w:t>19.1</w:t>
            </w:r>
          </w:p>
        </w:tc>
        <w:tc>
          <w:tcPr>
            <w:tcW w:w="670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7"/>
              </w:rPr>
            </w:pPr>
            <w:hyperlink r:id="rId388">
              <w:r>
                <w:rPr>
                  <w:rFonts w:ascii="Times New Roman" w:cs="Times New Roman" w:eastAsia="Times New Roman" w:hAnsi="Times New Roman"/>
                  <w:sz w:val="18"/>
                  <w:szCs w:val="18"/>
                  <w:color w:val="0000FF"/>
                  <w:w w:val="97"/>
                </w:rPr>
                <w:t>Insider Trading Policy is incorporated by reference to Exhibit 19.1 to our 2024 Annual Report.</w:t>
              </w:r>
            </w:hyperlink>
          </w:p>
        </w:tc>
        <w:tc>
          <w:tcPr>
            <w:tcW w:w="3080" w:type="dxa"/>
            <w:vAlign w:val="bottom"/>
            <w:gridSpan w:val="3"/>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8"/>
              </w:rPr>
              <w:t>21.1*</w:t>
            </w:r>
          </w:p>
        </w:tc>
        <w:tc>
          <w:tcPr>
            <w:tcW w:w="324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List of Subsidiaries as of December 31, 2025.</w:t>
            </w:r>
          </w:p>
        </w:tc>
        <w:tc>
          <w:tcPr>
            <w:tcW w:w="6540" w:type="dxa"/>
            <w:vAlign w:val="bottom"/>
            <w:gridSpan w:val="4"/>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8"/>
              </w:rPr>
              <w:t>23.1*</w:t>
            </w:r>
          </w:p>
        </w:tc>
        <w:tc>
          <w:tcPr>
            <w:tcW w:w="978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Consent of Deloitte &amp; Touche LLP.</w:t>
            </w: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8"/>
              </w:rPr>
              <w:t>31.1*</w:t>
            </w:r>
          </w:p>
        </w:tc>
        <w:tc>
          <w:tcPr>
            <w:tcW w:w="71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302 of the Sarbanes-Oxley Act of 2002.</w:t>
            </w:r>
          </w:p>
        </w:tc>
        <w:tc>
          <w:tcPr>
            <w:tcW w:w="2680" w:type="dxa"/>
            <w:vAlign w:val="bottom"/>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8"/>
              </w:rPr>
              <w:t>31.2*</w:t>
            </w:r>
          </w:p>
        </w:tc>
        <w:tc>
          <w:tcPr>
            <w:tcW w:w="978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302 of the Sarbanes-Oxley Act of 2002.</w:t>
            </w: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520" w:type="dxa"/>
            <w:vAlign w:val="bottom"/>
            <w:gridSpan w:val="4"/>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6"/>
              </w:rPr>
              <w:t>32.1**</w:t>
            </w:r>
          </w:p>
        </w:tc>
        <w:tc>
          <w:tcPr>
            <w:tcW w:w="71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Executive Officer pursuant to Section 906 of the Sarbanes-Oxley Act of 2002.</w:t>
            </w:r>
          </w:p>
        </w:tc>
        <w:tc>
          <w:tcPr>
            <w:tcW w:w="2680" w:type="dxa"/>
            <w:vAlign w:val="bottom"/>
          </w:tcPr>
          <w:p>
            <w:pPr>
              <w:spacing w:after="0"/>
              <w:rPr>
                <w:sz w:val="17"/>
                <w:szCs w:val="17"/>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6"/>
              </w:rPr>
              <w:t>32.2**</w:t>
            </w:r>
          </w:p>
        </w:tc>
        <w:tc>
          <w:tcPr>
            <w:tcW w:w="978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Section 906 of the Sarbanes-Oxley Act of 2002.</w:t>
            </w:r>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520" w:type="dxa"/>
            <w:vAlign w:val="bottom"/>
            <w:gridSpan w:val="4"/>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8"/>
              </w:rPr>
              <w:t>97.1#</w:t>
            </w:r>
          </w:p>
        </w:tc>
        <w:tc>
          <w:tcPr>
            <w:tcW w:w="9780" w:type="dxa"/>
            <w:vAlign w:val="bottom"/>
            <w:tcBorders>
              <w:bottom w:val="single" w:sz="8" w:color="0000FF"/>
            </w:tcBorders>
            <w:gridSpan w:val="7"/>
          </w:tcPr>
          <w:p>
            <w:pPr>
              <w:spacing w:after="0" w:line="205" w:lineRule="exact"/>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Brighthouse Financial, Inc. Accounting Restatement Compensation Recovery Policy is incorporated by reference to our 2023 Ann</w:t>
              </w:r>
            </w:hyperlink>
          </w:p>
        </w:tc>
      </w:tr>
      <w:tr>
        <w:trPr>
          <w:trHeight w:val="152"/>
        </w:trPr>
        <w:tc>
          <w:tcPr>
            <w:tcW w:w="1060" w:type="dxa"/>
            <w:vAlign w:val="bottom"/>
          </w:tcPr>
          <w:p>
            <w:pPr>
              <w:spacing w:after="0"/>
              <w:rPr>
                <w:sz w:val="13"/>
                <w:szCs w:val="13"/>
                <w:color w:val="auto"/>
              </w:rPr>
            </w:pPr>
          </w:p>
        </w:tc>
        <w:tc>
          <w:tcPr>
            <w:tcW w:w="9780" w:type="dxa"/>
            <w:vAlign w:val="bottom"/>
            <w:gridSpan w:val="7"/>
          </w:tcPr>
          <w:p>
            <w:pPr>
              <w:spacing w:after="0" w:line="152" w:lineRule="exact"/>
              <w:rPr>
                <w:rFonts w:ascii="Times New Roman" w:cs="Times New Roman" w:eastAsia="Times New Roman" w:hAnsi="Times New Roman"/>
                <w:sz w:val="17"/>
                <w:szCs w:val="17"/>
                <w:color w:val="0000FF"/>
              </w:rPr>
            </w:pPr>
            <w:hyperlink r:id="rId389">
              <w:r>
                <w:rPr>
                  <w:rFonts w:ascii="Times New Roman" w:cs="Times New Roman" w:eastAsia="Times New Roman" w:hAnsi="Times New Roman"/>
                  <w:sz w:val="17"/>
                  <w:szCs w:val="17"/>
                  <w:color w:val="0000FF"/>
                </w:rPr>
                <w:t>Report.</w:t>
              </w:r>
            </w:hyperlink>
          </w:p>
        </w:tc>
      </w:tr>
      <w:tr>
        <w:trPr>
          <w:trHeight w:val="20"/>
        </w:trPr>
        <w:tc>
          <w:tcPr>
            <w:tcW w:w="10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260" w:type="dxa"/>
            <w:vAlign w:val="bottom"/>
            <w:gridSpan w:val="6"/>
          </w:tcPr>
          <w:p>
            <w:pPr>
              <w:spacing w:after="0" w:line="20" w:lineRule="exact"/>
              <w:rPr>
                <w:sz w:val="1"/>
                <w:szCs w:val="1"/>
                <w:color w:val="auto"/>
              </w:rPr>
            </w:pPr>
          </w:p>
        </w:tc>
      </w:tr>
      <w:tr>
        <w:trPr>
          <w:trHeight w:val="205"/>
        </w:trPr>
        <w:tc>
          <w:tcPr>
            <w:tcW w:w="1060" w:type="dxa"/>
            <w:vAlign w:val="bottom"/>
          </w:tcPr>
          <w:p>
            <w:pPr>
              <w:jc w:val="center"/>
              <w:ind w:right="212"/>
              <w:spacing w:after="0" w:line="205" w:lineRule="exact"/>
              <w:rPr>
                <w:sz w:val="20"/>
                <w:szCs w:val="20"/>
                <w:color w:val="auto"/>
              </w:rPr>
            </w:pPr>
            <w:r>
              <w:rPr>
                <w:rFonts w:ascii="Times New Roman" w:cs="Times New Roman" w:eastAsia="Times New Roman" w:hAnsi="Times New Roman"/>
                <w:sz w:val="18"/>
                <w:szCs w:val="18"/>
                <w:color w:val="auto"/>
                <w:w w:val="97"/>
              </w:rPr>
              <w:t>101.INS*</w:t>
            </w:r>
          </w:p>
        </w:tc>
        <w:tc>
          <w:tcPr>
            <w:tcW w:w="9780" w:type="dxa"/>
            <w:vAlign w:val="bottom"/>
            <w:gridSpan w:val="7"/>
          </w:tcPr>
          <w:p>
            <w:pPr>
              <w:spacing w:after="0" w:line="205" w:lineRule="exact"/>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 wit</w:t>
            </w:r>
          </w:p>
        </w:tc>
      </w:tr>
      <w:tr>
        <w:trPr>
          <w:trHeight w:val="231"/>
        </w:trPr>
        <w:tc>
          <w:tcPr>
            <w:tcW w:w="1060" w:type="dxa"/>
            <w:vAlign w:val="bottom"/>
          </w:tcPr>
          <w:p>
            <w:pPr>
              <w:spacing w:after="0"/>
              <w:rPr>
                <w:sz w:val="20"/>
                <w:szCs w:val="20"/>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27"/>
        </w:trPr>
        <w:tc>
          <w:tcPr>
            <w:tcW w:w="106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101.SCH*</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5"/>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9"/>
              </w:rPr>
              <w:t>101.CAL*</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5"/>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9"/>
              </w:rPr>
              <w:t>101.LAB*</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5"/>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7"/>
              </w:rPr>
              <w:t>101.PRE*</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25"/>
        </w:trPr>
        <w:tc>
          <w:tcPr>
            <w:tcW w:w="1060" w:type="dxa"/>
            <w:vAlign w:val="bottom"/>
          </w:tcPr>
          <w:p>
            <w:pPr>
              <w:jc w:val="center"/>
              <w:ind w:right="212"/>
              <w:spacing w:after="0"/>
              <w:rPr>
                <w:sz w:val="20"/>
                <w:szCs w:val="20"/>
                <w:color w:val="auto"/>
              </w:rPr>
            </w:pPr>
            <w:r>
              <w:rPr>
                <w:rFonts w:ascii="Times New Roman" w:cs="Times New Roman" w:eastAsia="Times New Roman" w:hAnsi="Times New Roman"/>
                <w:sz w:val="18"/>
                <w:szCs w:val="18"/>
                <w:color w:val="auto"/>
                <w:w w:val="96"/>
              </w:rPr>
              <w:t>101.DEF*</w:t>
            </w: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77"/>
        </w:trPr>
        <w:tc>
          <w:tcPr>
            <w:tcW w:w="1060" w:type="dxa"/>
            <w:vAlign w:val="bottom"/>
          </w:tcPr>
          <w:p>
            <w:pPr>
              <w:jc w:val="center"/>
              <w:ind w:right="212"/>
              <w:spacing w:after="0" w:line="177" w:lineRule="exact"/>
              <w:rPr>
                <w:sz w:val="20"/>
                <w:szCs w:val="20"/>
                <w:color w:val="auto"/>
              </w:rPr>
            </w:pPr>
            <w:r>
              <w:rPr>
                <w:rFonts w:ascii="Times New Roman" w:cs="Times New Roman" w:eastAsia="Times New Roman" w:hAnsi="Times New Roman"/>
                <w:sz w:val="18"/>
                <w:szCs w:val="18"/>
                <w:color w:val="auto"/>
                <w:w w:val="99"/>
              </w:rPr>
              <w:t>104*</w:t>
            </w:r>
          </w:p>
        </w:tc>
        <w:tc>
          <w:tcPr>
            <w:tcW w:w="9780" w:type="dxa"/>
            <w:vAlign w:val="bottom"/>
            <w:gridSpan w:val="7"/>
          </w:tcPr>
          <w:p>
            <w:pPr>
              <w:spacing w:after="0" w:line="177" w:lineRule="exact"/>
              <w:rPr>
                <w:sz w:val="20"/>
                <w:szCs w:val="20"/>
                <w:color w:val="auto"/>
              </w:rPr>
            </w:pPr>
            <w:r>
              <w:rPr>
                <w:rFonts w:ascii="Times New Roman" w:cs="Times New Roman" w:eastAsia="Times New Roman" w:hAnsi="Times New Roman"/>
                <w:sz w:val="18"/>
                <w:szCs w:val="18"/>
                <w:color w:val="auto"/>
              </w:rPr>
              <w:t>The cover page of Brighthouse Financial, Inc.’s Annual Report on Form 10-K for the year ended December 31, 2025, formatted in Inl</w:t>
            </w:r>
          </w:p>
        </w:tc>
      </w:tr>
      <w:tr>
        <w:trPr>
          <w:trHeight w:val="231"/>
        </w:trPr>
        <w:tc>
          <w:tcPr>
            <w:tcW w:w="1060" w:type="dxa"/>
            <w:vAlign w:val="bottom"/>
          </w:tcPr>
          <w:p>
            <w:pPr>
              <w:spacing w:after="0"/>
              <w:rPr>
                <w:sz w:val="20"/>
                <w:szCs w:val="20"/>
                <w:color w:val="auto"/>
              </w:rPr>
            </w:pPr>
          </w:p>
        </w:tc>
        <w:tc>
          <w:tcPr>
            <w:tcW w:w="97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(included within the Exhibit 101 attachments).</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management contracts or compensation plans or arrangements.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78" w:right="2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7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6"/>
          <w:szCs w:val="16"/>
          <w:color w:val="auto"/>
        </w:rPr>
        <w:t xml:space="preserve">By: </w:t>
      </w:r>
      <w:r>
        <w:rPr>
          <w:rFonts w:ascii="Times New Roman" w:cs="Times New Roman" w:eastAsia="Times New Roman" w:hAnsi="Times New Roman"/>
          <w:sz w:val="17"/>
          <w:szCs w:val="17"/>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22225</wp:posOffset>
            </wp:positionV>
            <wp:extent cx="241490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91">
                      <a:extLst>
                        <a:ext uri="{28A0092B-C50C-407E-A947-70E740481C1C}"/>
                      </a:extLst>
                    </a:blip>
                    <a:srcRect/>
                    <a:stretch>
                      <a:fillRect/>
                    </a:stretch>
                  </pic:blipFill>
                  <pic:spPr bwMode="auto">
                    <a:xfrm>
                      <a:off x="0" y="0"/>
                      <a:ext cx="2414905" cy="8255"/>
                    </a:xfrm>
                    <a:prstGeom prst="rect">
                      <a:avLst/>
                    </a:prstGeom>
                    <a:noFill/>
                  </pic:spPr>
                </pic:pic>
              </a:graphicData>
            </a:graphic>
          </wp:anchor>
        </w:drawing>
      </w:r>
    </w:p>
    <w:p>
      <w:pPr>
        <w:spacing w:after="0" w:line="23" w:lineRule="exact"/>
        <w:rPr>
          <w:sz w:val="20"/>
          <w:szCs w:val="20"/>
          <w:color w:val="auto"/>
        </w:rPr>
      </w:pPr>
    </w:p>
    <w:p>
      <w:pPr>
        <w:ind w:left="4160"/>
        <w:spacing w:after="0"/>
        <w:tabs>
          <w:tab w:leader="none" w:pos="470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7"/>
          <w:szCs w:val="17"/>
          <w:color w:val="auto"/>
        </w:rPr>
        <w:t>Edward A. Spehar</w:t>
      </w:r>
    </w:p>
    <w:p>
      <w:pPr>
        <w:spacing w:after="0" w:line="1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Executive Vice President and Chief Financial</w:t>
      </w:r>
    </w:p>
    <w:p>
      <w:pPr>
        <w:ind w:left="4160"/>
        <w:spacing w:after="0"/>
        <w:tabs>
          <w:tab w:leader="none" w:pos="4700" w:val="left"/>
        </w:tabs>
        <w:rPr>
          <w:sz w:val="20"/>
          <w:szCs w:val="20"/>
          <w:color w:val="auto"/>
        </w:rPr>
      </w:pPr>
      <w:r>
        <w:rPr>
          <w:rFonts w:ascii="Times New Roman" w:cs="Times New Roman" w:eastAsia="Times New Roman" w:hAnsi="Times New Roman"/>
          <w:sz w:val="16"/>
          <w:szCs w:val="16"/>
          <w:color w:val="auto"/>
        </w:rPr>
        <w:t>Title:</w:t>
      </w:r>
      <w:r>
        <w:rPr>
          <w:sz w:val="20"/>
          <w:szCs w:val="20"/>
          <w:color w:val="auto"/>
        </w:rPr>
        <w:tab/>
      </w:r>
      <w:r>
        <w:rPr>
          <w:rFonts w:ascii="Times New Roman" w:cs="Times New Roman" w:eastAsia="Times New Roman" w:hAnsi="Times New Roman"/>
          <w:sz w:val="18"/>
          <w:szCs w:val="18"/>
          <w:color w:val="auto"/>
        </w:rPr>
        <w:t>Officer</w:t>
      </w:r>
    </w:p>
    <w:p>
      <w:pPr>
        <w:spacing w:after="0" w:line="12" w:lineRule="exact"/>
        <w:rPr>
          <w:sz w:val="20"/>
          <w:szCs w:val="20"/>
          <w:color w:val="auto"/>
        </w:rPr>
      </w:pPr>
    </w:p>
    <w:p>
      <w:pPr>
        <w:ind w:left="4160"/>
        <w:spacing w:after="0"/>
        <w:tabs>
          <w:tab w:leader="none" w:pos="470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8"/>
          <w:szCs w:val="18"/>
          <w:color w:val="auto"/>
        </w:rPr>
        <w:t>February 24, 2026</w:t>
      </w:r>
    </w:p>
    <w:p>
      <w:pPr>
        <w:spacing w:after="0" w:line="200" w:lineRule="exact"/>
        <w:rPr>
          <w:sz w:val="20"/>
          <w:szCs w:val="20"/>
          <w:color w:val="auto"/>
        </w:rPr>
      </w:pPr>
    </w:p>
    <w:p>
      <w:pPr>
        <w:spacing w:after="0" w:line="308" w:lineRule="exact"/>
        <w:rPr>
          <w:sz w:val="20"/>
          <w:szCs w:val="20"/>
          <w:color w:val="auto"/>
        </w:rPr>
      </w:pPr>
    </w:p>
    <w:p>
      <w:pPr>
        <w:ind w:right="680"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278" w:right="339" w:bottom="1440" w:gutter="0" w:footer="0" w:header="0"/>
        </w:sectPr>
      </w:pPr>
    </w:p>
    <w:p>
      <w:pPr>
        <w:spacing w:after="0" w:line="108"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15875</wp:posOffset>
            </wp:positionV>
            <wp:extent cx="15062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92">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2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5062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93">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23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5062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94">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Edward A. Spehar</w:t>
      </w:r>
    </w:p>
    <w:p>
      <w:pPr>
        <w:spacing w:after="0" w:line="23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7"/>
          <w:szCs w:val="17"/>
          <w:color w:val="auto"/>
        </w:rPr>
        <w:t>/s/ Melissa B. Pavlovich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22225</wp:posOffset>
            </wp:positionV>
            <wp:extent cx="15062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95">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23"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Melissa B. Pavlovich</w:t>
      </w:r>
    </w:p>
    <w:p>
      <w:pPr>
        <w:spacing w:after="0" w:line="23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C. Edward Chaplin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5062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96">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C. Edward Chaplin</w:t>
      </w:r>
    </w:p>
    <w:p>
      <w:pPr>
        <w:spacing w:after="0" w:line="23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Stephen C. Hooley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5062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97">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Stephen C. Hooley</w:t>
      </w:r>
    </w:p>
    <w:p>
      <w:pPr>
        <w:spacing w:after="0" w:line="23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Michael J. Inserra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5062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8">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Michael J. Inserra</w:t>
      </w:r>
    </w:p>
    <w:p>
      <w:pPr>
        <w:spacing w:after="0" w:line="2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Carol D. Juel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50622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9">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Carol D. Juel</w:t>
      </w:r>
    </w:p>
    <w:p>
      <w:pPr>
        <w:spacing w:after="0" w:line="2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Eileen A. Mallesch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50622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00">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Eileen A. Mallesch</w:t>
      </w:r>
    </w:p>
    <w:p>
      <w:pPr>
        <w:spacing w:after="0" w:line="2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Diane E. Offereins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5062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01">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Diane E. Offereins</w:t>
      </w:r>
    </w:p>
    <w:p>
      <w:pPr>
        <w:spacing w:after="0" w:line="257"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Paul M. Wetzel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50622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02">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Paul M. Wetzel</w:t>
      </w:r>
    </w:p>
    <w:p>
      <w:pPr>
        <w:spacing w:after="0" w:line="230"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/s/ Lizabeth H. Zlatkus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14605</wp:posOffset>
            </wp:positionV>
            <wp:extent cx="150622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03">
                      <a:extLst>
                        <a:ext uri="{28A0092B-C50C-407E-A947-70E740481C1C}"/>
                      </a:extLst>
                    </a:blip>
                    <a:srcRect/>
                    <a:stretch>
                      <a:fillRect/>
                    </a:stretch>
                  </pic:blipFill>
                  <pic:spPr bwMode="auto">
                    <a:xfrm>
                      <a:off x="0" y="0"/>
                      <a:ext cx="1506220" cy="8255"/>
                    </a:xfrm>
                    <a:prstGeom prst="rect">
                      <a:avLst/>
                    </a:prstGeom>
                    <a:noFill/>
                  </pic:spPr>
                </pic:pic>
              </a:graphicData>
            </a:graphic>
          </wp:anchor>
        </w:drawing>
      </w:r>
    </w:p>
    <w:p>
      <w:pPr>
        <w:spacing w:after="0" w:line="12" w:lineRule="exact"/>
        <w:rPr>
          <w:sz w:val="20"/>
          <w:szCs w:val="20"/>
          <w:color w:val="auto"/>
        </w:rPr>
      </w:pPr>
    </w:p>
    <w:p>
      <w:pPr>
        <w:jc w:val="center"/>
        <w:ind w:left="660"/>
        <w:spacing w:after="0"/>
        <w:rPr>
          <w:sz w:val="20"/>
          <w:szCs w:val="20"/>
          <w:color w:val="auto"/>
        </w:rPr>
      </w:pPr>
      <w:r>
        <w:rPr>
          <w:rFonts w:ascii="Times New Roman" w:cs="Times New Roman" w:eastAsia="Times New Roman" w:hAnsi="Times New Roman"/>
          <w:sz w:val="18"/>
          <w:szCs w:val="18"/>
          <w:color w:val="auto"/>
        </w:rPr>
        <w:t>Lizabeth H. Zlatkus</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2"/>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4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391"/>
        </w:trPr>
        <w:tc>
          <w:tcPr>
            <w:tcW w:w="4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Director, President and Chief Executive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r>
        <w:trPr>
          <w:trHeight w:val="231"/>
        </w:trPr>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(Principal Executive Officer)</w:t>
            </w:r>
          </w:p>
        </w:tc>
        <w:tc>
          <w:tcPr>
            <w:tcW w:w="2000" w:type="dxa"/>
            <w:vAlign w:val="bottom"/>
          </w:tcPr>
          <w:p>
            <w:pPr>
              <w:spacing w:after="0"/>
              <w:rPr>
                <w:sz w:val="20"/>
                <w:szCs w:val="20"/>
                <w:color w:val="auto"/>
              </w:rPr>
            </w:pPr>
          </w:p>
        </w:tc>
      </w:tr>
      <w:tr>
        <w:trPr>
          <w:trHeight w:val="444"/>
        </w:trPr>
        <w:tc>
          <w:tcPr>
            <w:tcW w:w="4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r>
        <w:trPr>
          <w:trHeight w:val="231"/>
        </w:trPr>
        <w:tc>
          <w:tcPr>
            <w:tcW w:w="4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(Principal Financial Officer)</w:t>
            </w:r>
          </w:p>
        </w:tc>
        <w:tc>
          <w:tcPr>
            <w:tcW w:w="2000" w:type="dxa"/>
            <w:vAlign w:val="bottom"/>
          </w:tcPr>
          <w:p>
            <w:pPr>
              <w:spacing w:after="0"/>
              <w:rPr>
                <w:sz w:val="20"/>
                <w:szCs w:val="20"/>
                <w:color w:val="auto"/>
              </w:rPr>
            </w:pPr>
          </w:p>
        </w:tc>
      </w:tr>
      <w:tr>
        <w:trPr>
          <w:trHeight w:val="444"/>
        </w:trPr>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Chief Accounting Officer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r>
        <w:trPr>
          <w:trHeight w:val="231"/>
        </w:trPr>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(Principal Accounting Officer)</w:t>
            </w:r>
          </w:p>
        </w:tc>
        <w:tc>
          <w:tcPr>
            <w:tcW w:w="2000" w:type="dxa"/>
            <w:vAlign w:val="bottom"/>
          </w:tcPr>
          <w:p>
            <w:pPr>
              <w:spacing w:after="0"/>
              <w:rPr>
                <w:sz w:val="20"/>
                <w:szCs w:val="20"/>
                <w:color w:val="auto"/>
              </w:rPr>
            </w:pPr>
          </w:p>
        </w:tc>
      </w:tr>
      <w:tr>
        <w:trPr>
          <w:trHeight w:val="472"/>
        </w:trPr>
        <w:tc>
          <w:tcPr>
            <w:tcW w:w="4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Chairman of the Board of Directors</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r>
        <w:trPr>
          <w:trHeight w:val="676"/>
        </w:trPr>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r>
        <w:trPr>
          <w:trHeight w:val="676"/>
        </w:trPr>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r>
        <w:trPr>
          <w:trHeight w:val="702"/>
        </w:trPr>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r>
        <w:trPr>
          <w:trHeight w:val="702"/>
        </w:trPr>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r>
        <w:trPr>
          <w:trHeight w:val="702"/>
        </w:trPr>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r>
        <w:trPr>
          <w:trHeight w:val="702"/>
        </w:trPr>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r>
        <w:trPr>
          <w:trHeight w:val="676"/>
        </w:trPr>
        <w:tc>
          <w:tcPr>
            <w:tcW w:w="4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Director</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February 24, 2026</w:t>
            </w:r>
          </w:p>
        </w:tc>
      </w:tr>
    </w:tbl>
    <w:p>
      <w:pPr>
        <w:spacing w:after="0" w:line="414" w:lineRule="exact"/>
        <w:rPr>
          <w:sz w:val="20"/>
          <w:szCs w:val="20"/>
          <w:color w:val="auto"/>
        </w:rPr>
      </w:pPr>
    </w:p>
    <w:p>
      <w:pPr>
        <w:sectPr>
          <w:pgSz w:w="11900" w:h="16838" w:orient="portrait"/>
          <w:cols w:equalWidth="0" w:num="2">
            <w:col w:w="2360" w:space="580"/>
            <w:col w:w="8300"/>
          </w:cols>
          <w:pgMar w:left="320" w:top="27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218</w:t>
      </w:r>
    </w:p>
    <w:p>
      <w:pPr>
        <w:sectPr>
          <w:pgSz w:w="11900" w:h="16838" w:orient="portrait"/>
          <w:cols w:equalWidth="0" w:num="1">
            <w:col w:w="11240"/>
          </w:cols>
          <w:pgMar w:left="320" w:top="278" w:right="339" w:bottom="1440" w:gutter="0" w:footer="0" w:header="0"/>
          <w:type w:val="continuous"/>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SUBSIDIARIES OF BRIGHTHOUSE FINANCIAL, INC.</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As of 12/31/2025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2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Jurisdiction of Incorporation of</w:t>
            </w:r>
          </w:p>
        </w:tc>
        <w:tc>
          <w:tcPr>
            <w:tcW w:w="0" w:type="dxa"/>
            <w:vAlign w:val="bottom"/>
          </w:tcPr>
          <w:p>
            <w:pPr>
              <w:spacing w:after="0"/>
              <w:rPr>
                <w:sz w:val="1"/>
                <w:szCs w:val="1"/>
                <w:color w:val="auto"/>
              </w:rPr>
            </w:pPr>
          </w:p>
        </w:tc>
      </w:tr>
      <w:tr>
        <w:trPr>
          <w:trHeight w:val="239"/>
        </w:trPr>
        <w:tc>
          <w:tcPr>
            <w:tcW w:w="8280" w:type="dxa"/>
            <w:vAlign w:val="bottom"/>
            <w:gridSpan w:val="2"/>
            <w:vMerge w:val="continue"/>
          </w:tcPr>
          <w:p>
            <w:pPr>
              <w:spacing w:after="0"/>
              <w:rPr>
                <w:sz w:val="20"/>
                <w:szCs w:val="20"/>
                <w:color w:val="auto"/>
              </w:rPr>
            </w:pPr>
          </w:p>
        </w:tc>
        <w:tc>
          <w:tcPr>
            <w:tcW w:w="2960" w:type="dxa"/>
            <w:vAlign w:val="bottom"/>
          </w:tcPr>
          <w:p>
            <w:pPr>
              <w:ind w:left="980"/>
              <w:spacing w:after="0"/>
              <w:rPr>
                <w:sz w:val="20"/>
                <w:szCs w:val="20"/>
                <w:color w:val="auto"/>
              </w:rPr>
            </w:pPr>
            <w:r>
              <w:rPr>
                <w:rFonts w:ascii="Times New Roman" w:cs="Times New Roman" w:eastAsia="Times New Roman" w:hAnsi="Times New Roman"/>
                <w:sz w:val="18"/>
                <w:szCs w:val="18"/>
                <w:b w:val="1"/>
                <w:bCs w:val="1"/>
                <w:color w:val="auto"/>
              </w:rPr>
              <w:t>Organization</w:t>
            </w:r>
          </w:p>
        </w:tc>
        <w:tc>
          <w:tcPr>
            <w:tcW w:w="0" w:type="dxa"/>
            <w:vAlign w:val="bottom"/>
          </w:tcPr>
          <w:p>
            <w:pPr>
              <w:spacing w:after="0"/>
              <w:rPr>
                <w:sz w:val="1"/>
                <w:szCs w:val="1"/>
                <w:color w:val="auto"/>
              </w:rPr>
            </w:pPr>
          </w:p>
        </w:tc>
      </w:tr>
      <w:tr>
        <w:trPr>
          <w:trHeight w:val="86"/>
        </w:trPr>
        <w:tc>
          <w:tcPr>
            <w:tcW w:w="81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BLIC Property Ventures,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BLICNY Property Ventures,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Brighthouse Assignment Company</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Connecticut</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Brighthouse Holdings,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Brighthouse Investment Advisers,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Brighthouse Life Insurance Company</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Brighthouse Life Insurance Company of NY</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Brighthouse Reinsurance Company of Delaware</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Brighthouse Renewables Holding,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Brighthouse Securities,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Brighthouse Services,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 TI Investments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 TL Investments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Sandhill I,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England Life Insurance Company</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0" w:type="dxa"/>
            <w:vAlign w:val="bottom"/>
          </w:tcPr>
          <w:p>
            <w:pPr>
              <w:spacing w:after="0"/>
              <w:rPr>
                <w:sz w:val="1"/>
                <w:szCs w:val="1"/>
                <w:color w:val="auto"/>
              </w:rPr>
            </w:pPr>
          </w:p>
        </w:tc>
      </w:tr>
      <w:tr>
        <w:trPr>
          <w:trHeight w:val="225"/>
        </w:trPr>
        <w:tc>
          <w:tcPr>
            <w:tcW w:w="82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TLA Holdings LLC</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5"/>
        </w:trPr>
        <w:tc>
          <w:tcPr>
            <w:tcW w:w="8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TLA Holdings II LLC</w:t>
            </w: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58"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CONSENT OF INDEPENDENT REGISTERED PUBLIC ACCOUNTING FIRM</w:t>
      </w: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consent to the incorporation by reference in the below listed registration statements of our reports dated February 24, 2026, relating to the financial statements of Brighthouse Financial, Inc. and the effectiveness of Brighthouse Financial, Inc.'s internal control over financial reporting appearing in this Annual Report on Form 10-K for the year ended December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Form S-3:</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333-282011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Form S-8:</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333-290513</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333-225197</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 333-282071</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DELOITTE &amp; TOUCHE LLP</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Charlotte, North Carolina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February 24, 2026</w:t>
      </w:r>
    </w:p>
    <w:p>
      <w:pPr>
        <w:sectPr>
          <w:pgSz w:w="11900" w:h="16838" w:orient="portrait"/>
          <w:cols w:equalWidth="0" w:num="1">
            <w:col w:w="11240"/>
          </w:cols>
          <w:pgMar w:left="320" w:top="358" w:right="339" w:bottom="1440" w:gutter="0" w:footer="0" w:header="0"/>
        </w:sectPr>
      </w:pPr>
    </w:p>
    <w:bookmarkStart w:id="244" w:name="page245"/>
    <w:bookmarkEnd w:id="244"/>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Brighthouse Financial, Inc.;</w:t>
      </w:r>
    </w:p>
    <w:p>
      <w:pPr>
        <w:spacing w:after="0" w:line="9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8"/>
          <w:szCs w:val="18"/>
          <w:color w:val="auto"/>
        </w:rPr>
      </w:pPr>
    </w:p>
    <w:p>
      <w:pPr>
        <w:jc w:val="both"/>
        <w:ind w:firstLine="6"/>
        <w:spacing w:after="0" w:line="259" w:lineRule="auto"/>
        <w:tabs>
          <w:tab w:leader="none" w:pos="17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6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firstLine="6"/>
        <w:spacing w:after="0" w:line="274" w:lineRule="auto"/>
        <w:tabs>
          <w:tab w:leader="none" w:pos="19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4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177"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4218940</wp:posOffset>
            </wp:positionH>
            <wp:positionV relativeFrom="paragraph">
              <wp:posOffset>14605</wp:posOffset>
            </wp:positionV>
            <wp:extent cx="291973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04">
                      <a:extLst>
                        <a:ext uri="{28A0092B-C50C-407E-A947-70E740481C1C}"/>
                      </a:extLst>
                    </a:blip>
                    <a:srcRect/>
                    <a:stretch>
                      <a:fillRect/>
                    </a:stretch>
                  </pic:blipFill>
                  <pic:spPr bwMode="auto">
                    <a:xfrm>
                      <a:off x="0" y="0"/>
                      <a:ext cx="2919730" cy="8255"/>
                    </a:xfrm>
                    <a:prstGeom prst="rect">
                      <a:avLst/>
                    </a:prstGeom>
                    <a:noFill/>
                  </pic:spPr>
                </pic:pic>
              </a:graphicData>
            </a:graphic>
          </wp:anchor>
        </w:drawing>
      </w:r>
    </w:p>
    <w:p>
      <w:pPr>
        <w:spacing w:after="0" w:line="12" w:lineRule="exact"/>
        <w:rPr>
          <w:sz w:val="20"/>
          <w:szCs w:val="20"/>
          <w:color w:val="auto"/>
        </w:rPr>
      </w:pPr>
    </w:p>
    <w:p>
      <w:pPr>
        <w:ind w:left="828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24"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58" w:right="339" w:bottom="1440" w:gutter="0" w:footer="0" w:header="0"/>
        </w:sectPr>
      </w:pPr>
    </w:p>
    <w:bookmarkStart w:id="245" w:name="page246"/>
    <w:bookmarkEnd w:id="24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Brighthouse Financial, Inc.;</w:t>
      </w:r>
    </w:p>
    <w:p>
      <w:pPr>
        <w:spacing w:after="0" w:line="9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8"/>
          <w:szCs w:val="18"/>
          <w:color w:val="auto"/>
        </w:rPr>
      </w:pPr>
    </w:p>
    <w:p>
      <w:pPr>
        <w:jc w:val="both"/>
        <w:ind w:firstLine="6"/>
        <w:spacing w:after="0" w:line="259" w:lineRule="auto"/>
        <w:tabs>
          <w:tab w:leader="none" w:pos="17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firstLine="6"/>
        <w:spacing w:after="0" w:line="274" w:lineRule="auto"/>
        <w:tabs>
          <w:tab w:leader="none" w:pos="19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7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32645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05">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Edward A. Spehar</w:t>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358" w:right="33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477"/>
        <w:spacing w:after="0" w:line="259" w:lineRule="auto"/>
        <w:rPr>
          <w:sz w:val="20"/>
          <w:szCs w:val="20"/>
          <w:color w:val="auto"/>
        </w:rPr>
      </w:pPr>
      <w:r>
        <w:rPr>
          <w:rFonts w:ascii="Times New Roman" w:cs="Times New Roman" w:eastAsia="Times New Roman" w:hAnsi="Times New Roman"/>
          <w:sz w:val="18"/>
          <w:szCs w:val="18"/>
          <w:color w:val="auto"/>
        </w:rPr>
        <w:t>I, Eric T. Steigerwalt, certify that, to my knowledge, (i) Brighthouse Financial, Inc.’s Annual Report on Form 10-K for the year ended December 31, 2025 (the “Form 10-K”) fully complies with the requirements of Section 13(a) or 15(d) of the Securities Exchange Act of 1934, and (ii) the information contained in the Form 10-K fairly presents, in all material respects, the financial condition and results of operations of Brighthouse Financial,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0" w:lineRule="exact"/>
        <w:rPr>
          <w:sz w:val="20"/>
          <w:szCs w:val="20"/>
          <w:color w:val="auto"/>
        </w:rPr>
      </w:pPr>
    </w:p>
    <w:p>
      <w:pPr>
        <w:spacing w:after="0" w:line="282"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300355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06">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1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24"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30"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Annual Report on Form 10-K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58"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244" w:lineRule="exact"/>
        <w:rPr>
          <w:sz w:val="20"/>
          <w:szCs w:val="20"/>
          <w:color w:val="auto"/>
        </w:rPr>
      </w:pPr>
    </w:p>
    <w:p>
      <w:pPr>
        <w:jc w:val="both"/>
        <w:ind w:firstLine="477"/>
        <w:spacing w:after="0" w:line="259" w:lineRule="auto"/>
        <w:rPr>
          <w:sz w:val="20"/>
          <w:szCs w:val="20"/>
          <w:color w:val="auto"/>
        </w:rPr>
      </w:pPr>
      <w:r>
        <w:rPr>
          <w:rFonts w:ascii="Times New Roman" w:cs="Times New Roman" w:eastAsia="Times New Roman" w:hAnsi="Times New Roman"/>
          <w:sz w:val="18"/>
          <w:szCs w:val="18"/>
          <w:color w:val="auto"/>
        </w:rPr>
        <w:t>I, Edward A. Spehar, certify that, to my knowledge, (i) Brighthouse Financial, Inc.’s Annual Report on Form 10-K for the year ended December 31, 2025 (the “Form 10-K”) fully complies with the requirements of Section 13(a) or 15(d) of the Securities Exchange Act of 1934, and (ii) the information contained in the Form 10-K fairly presents, in all material respects, the financial condition and results of operations of Brighthouse Financial, Inc.</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24, 2026</w:t>
      </w:r>
    </w:p>
    <w:p>
      <w:pPr>
        <w:spacing w:after="0" w:line="200" w:lineRule="exact"/>
        <w:rPr>
          <w:sz w:val="20"/>
          <w:szCs w:val="20"/>
          <w:color w:val="auto"/>
        </w:rPr>
      </w:pPr>
    </w:p>
    <w:p>
      <w:pPr>
        <w:spacing w:after="0" w:line="28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3865880</wp:posOffset>
            </wp:positionH>
            <wp:positionV relativeFrom="paragraph">
              <wp:posOffset>14605</wp:posOffset>
            </wp:positionV>
            <wp:extent cx="32727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07">
                      <a:extLst>
                        <a:ext uri="{28A0092B-C50C-407E-A947-70E740481C1C}"/>
                      </a:extLst>
                    </a:blip>
                    <a:srcRect/>
                    <a:stretch>
                      <a:fillRect/>
                    </a:stretch>
                  </pic:blipFill>
                  <pic:spPr bwMode="auto">
                    <a:xfrm>
                      <a:off x="0" y="0"/>
                      <a:ext cx="3272790" cy="8255"/>
                    </a:xfrm>
                    <a:prstGeom prst="rect">
                      <a:avLst/>
                    </a:prstGeom>
                    <a:noFill/>
                  </pic:spPr>
                </pic:pic>
              </a:graphicData>
            </a:graphic>
          </wp:anchor>
        </w:drawing>
      </w:r>
    </w:p>
    <w:p>
      <w:pPr>
        <w:spacing w:after="0" w:line="12"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Edward A. Spehar</w:t>
      </w:r>
    </w:p>
    <w:p>
      <w:pPr>
        <w:spacing w:after="0" w:line="2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04"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Annual Report on Form 10-K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emdash "/>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1)"/>
      <w:numFmt w:val="decimal"/>
      <w:start w:val="1"/>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1)"/>
      <w:numFmt w:val="decimal"/>
      <w:start w:val="1"/>
    </w:lvl>
  </w:abstractNum>
  <w:abstractNum w:abstractNumId="10">
    <w:nsid w:val="4F4EF005"/>
    <w:multiLevelType w:val="hybridMultilevel"/>
    <w:lvl w:ilvl="0">
      <w:lvlJc w:val="left"/>
      <w:lvlText w:val="(%1)"/>
      <w:numFmt w:val="lowerRoman"/>
      <w:start w:val="2"/>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1)"/>
      <w:numFmt w:val="lowerRoman"/>
      <w:start w:val="4"/>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emdash "/>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emdash "/>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1)"/>
      <w:numFmt w:val="decimal"/>
      <w:start w:val="1"/>
    </w:lvl>
  </w:abstractNum>
  <w:abstractNum w:abstractNumId="23">
    <w:nsid w:val="10233C99"/>
    <w:multiLevelType w:val="hybridMultilevel"/>
    <w:lvl w:ilvl="0">
      <w:lvlJc w:val="left"/>
      <w:lvlText w:val="\emdash "/>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1)"/>
      <w:numFmt w:val="lowerRoman"/>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lvl w:ilvl="1">
      <w:lvlJc w:val="left"/>
      <w:lvlText w:val="◦"/>
      <w:numFmt w:val="bullet"/>
      <w:start w:val="1"/>
    </w:lvl>
  </w:abstractNum>
  <w:abstractNum w:abstractNumId="31">
    <w:nsid w:val="2F305DEF"/>
    <w:multiLevelType w:val="hybridMultilevel"/>
    <w:lvl w:ilvl="0">
      <w:lvlJc w:val="left"/>
      <w:lvlText w:val="•"/>
      <w:numFmt w:val="bullet"/>
      <w:start w:val="1"/>
    </w:lvl>
    <w:lvl w:ilvl="1">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lvl w:ilvl="1">
      <w:lvlJc w:val="left"/>
      <w:lvlText w:val="◦"/>
      <w:numFmt w:val="bullet"/>
      <w:start w:val="1"/>
    </w:lvl>
  </w:abstractNum>
  <w:abstractNum w:abstractNumId="34">
    <w:nsid w:val="4AD084E9"/>
    <w:multiLevelType w:val="hybridMultilevel"/>
    <w:lvl w:ilvl="0">
      <w:lvlJc w:val="left"/>
      <w:lvlText w:val="•"/>
      <w:numFmt w:val="bullet"/>
      <w:start w:val="1"/>
    </w:lvl>
    <w:lvl w:ilvl="1">
      <w:lvlJc w:val="left"/>
      <w:lvlText w:val="◦"/>
      <w:numFmt w:val="bullet"/>
      <w:start w:val="1"/>
    </w:lvl>
  </w:abstractNum>
  <w:abstractNum w:abstractNumId="35">
    <w:nsid w:val="1F48EAA1"/>
    <w:multiLevelType w:val="hybridMultilevel"/>
    <w:lvl w:ilvl="0">
      <w:lvlJc w:val="left"/>
      <w:lvlText w:val="•"/>
      <w:numFmt w:val="bullet"/>
      <w:start w:val="1"/>
    </w:lvl>
    <w:lvl w:ilvl="1">
      <w:lvlJc w:val="left"/>
      <w:lvlText w:val="◦"/>
      <w:numFmt w:val="bullet"/>
      <w:start w:val="1"/>
    </w:lvl>
  </w:abstractNum>
  <w:abstractNum w:abstractNumId="36">
    <w:nsid w:val="1381823A"/>
    <w:multiLevelType w:val="hybridMultilevel"/>
    <w:lvl w:ilvl="0">
      <w:lvlJc w:val="left"/>
      <w:lvlText w:val="•"/>
      <w:numFmt w:val="bullet"/>
      <w:start w:val="1"/>
    </w:lvl>
    <w:lvl w:ilvl="1">
      <w:lvlJc w:val="left"/>
      <w:lvlText w:val="◦"/>
      <w:numFmt w:val="bullet"/>
      <w:start w:val="1"/>
    </w:lvl>
  </w:abstractNum>
  <w:abstractNum w:abstractNumId="37">
    <w:nsid w:val="5DB70AE5"/>
    <w:multiLevelType w:val="hybridMultilevel"/>
    <w:lvl w:ilvl="0">
      <w:lvlJc w:val="left"/>
      <w:lvlText w:val="•"/>
      <w:numFmt w:val="bullet"/>
      <w:start w:val="1"/>
    </w:lvl>
    <w:lvl w:ilvl="1">
      <w:lvlJc w:val="left"/>
      <w:lvlText w:val="◦"/>
      <w:numFmt w:val="bullet"/>
      <w:start w:val="1"/>
    </w:lvl>
  </w:abstractNum>
  <w:abstractNum w:abstractNumId="38">
    <w:nsid w:val="100F8FCA"/>
    <w:multiLevelType w:val="hybridMultilevel"/>
    <w:lvl w:ilvl="0">
      <w:lvlJc w:val="left"/>
      <w:lvlText w:val="•"/>
      <w:numFmt w:val="bullet"/>
      <w:start w:val="1"/>
    </w:lvl>
    <w:lvl w:ilvl="1">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lvl w:ilvl="1">
      <w:lvlJc w:val="left"/>
      <w:lvlText w:val="◦"/>
      <w:numFmt w:val="bullet"/>
      <w:start w:val="1"/>
    </w:lvl>
  </w:abstractNum>
  <w:abstractNum w:abstractNumId="41">
    <w:nsid w:val="5F5E7FD0"/>
    <w:multiLevelType w:val="hybridMultilevel"/>
    <w:lvl w:ilvl="0">
      <w:lvlJc w:val="left"/>
      <w:lvlText w:val="◦"/>
      <w:numFmt w:val="bullet"/>
      <w:start w:val="1"/>
    </w:lvl>
  </w:abstractNum>
  <w:abstractNum w:abstractNumId="42">
    <w:nsid w:val="98A3148"/>
    <w:multiLevelType w:val="hybridMultilevel"/>
    <w:lvl w:ilvl="0">
      <w:lvlJc w:val="left"/>
      <w:lvlText w:val="•"/>
      <w:numFmt w:val="bullet"/>
      <w:start w:val="1"/>
    </w:lvl>
    <w:lvl w:ilvl="1">
      <w:lvlJc w:val="left"/>
      <w:lvlText w:val="◦"/>
      <w:numFmt w:val="bullet"/>
      <w:start w:val="1"/>
    </w:lvl>
  </w:abstractNum>
  <w:abstractNum w:abstractNumId="43">
    <w:nsid w:val="799D0247"/>
    <w:multiLevelType w:val="hybridMultilevel"/>
    <w:lvl w:ilvl="0">
      <w:lvlJc w:val="left"/>
      <w:lvlText w:val="•"/>
      <w:numFmt w:val="bullet"/>
      <w:start w:val="1"/>
    </w:lvl>
    <w:lvl w:ilvl="1">
      <w:lvlJc w:val="left"/>
      <w:lvlText w:val="◦"/>
      <w:numFmt w:val="bullet"/>
      <w:start w:val="1"/>
    </w:lvl>
  </w:abstractNum>
  <w:abstractNum w:abstractNumId="44">
    <w:nsid w:val="6B94764"/>
    <w:multiLevelType w:val="hybridMultilevel"/>
    <w:lvl w:ilvl="0">
      <w:lvlJc w:val="left"/>
      <w:lvlText w:val="•"/>
      <w:numFmt w:val="bullet"/>
      <w:start w:val="1"/>
    </w:lvl>
    <w:lvl w:ilvl="1">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1)"/>
      <w:numFmt w:val="decimal"/>
      <w:start w:val="1"/>
    </w:lvl>
  </w:abstractNum>
  <w:abstractNum w:abstractNumId="53">
    <w:nsid w:val="613EFDC5"/>
    <w:multiLevelType w:val="hybridMultilevel"/>
    <w:lvl w:ilvl="0">
      <w:lvlJc w:val="left"/>
      <w:lvlText w:val="%1"/>
      <w:numFmt w:val="upperLetter"/>
      <w:start w:val="54"/>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1)"/>
      <w:numFmt w:val="decimal"/>
      <w:start w:val="1"/>
    </w:lvl>
  </w:abstractNum>
  <w:abstractNum w:abstractNumId="57">
    <w:nsid w:val="A0382C5"/>
    <w:multiLevelType w:val="hybridMultilevel"/>
    <w:lvl w:ilvl="0">
      <w:lvlJc w:val="left"/>
      <w:lvlText w:val="•"/>
      <w:numFmt w:val="bullet"/>
      <w:start w:val="1"/>
    </w:lvl>
  </w:abstractNum>
  <w:abstractNum w:abstractNumId="58">
    <w:nsid w:val="8F2B15E"/>
    <w:multiLevelType w:val="hybridMultilevel"/>
    <w:lvl w:ilvl="0">
      <w:lvlJc w:val="left"/>
      <w:lvlText w:val="•"/>
      <w:numFmt w:val="bullet"/>
      <w:start w:val="1"/>
    </w:lvl>
  </w:abstractNum>
  <w:abstractNum w:abstractNumId="59">
    <w:nsid w:val="1A32234B"/>
    <w:multiLevelType w:val="hybridMultilevel"/>
    <w:lvl w:ilvl="0">
      <w:lvlJc w:val="left"/>
      <w:lvlText w:val="•"/>
      <w:numFmt w:val="bullet"/>
      <w:start w:val="1"/>
    </w:lvl>
  </w:abstractNum>
  <w:abstractNum w:abstractNumId="60">
    <w:nsid w:val="3B0FD379"/>
    <w:multiLevelType w:val="hybridMultilevel"/>
    <w:lvl w:ilvl="0">
      <w:lvlJc w:val="left"/>
      <w:lvlText w:val="•"/>
      <w:numFmt w:val="bullet"/>
      <w:start w:val="1"/>
    </w:lvl>
  </w:abstractNum>
  <w:abstractNum w:abstractNumId="61">
    <w:nsid w:val="68EB2F63"/>
    <w:multiLevelType w:val="hybridMultilevel"/>
    <w:lvl w:ilvl="0">
      <w:lvlJc w:val="left"/>
      <w:lvlText w:val="•"/>
      <w:numFmt w:val="bullet"/>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decimal"/>
      <w:start w:val="1"/>
    </w:lvl>
  </w:abstractNum>
  <w:abstractNum w:abstractNumId="64">
    <w:nsid w:val="6A5EE64"/>
    <w:multiLevelType w:val="hybridMultilevel"/>
    <w:lvl w:ilvl="0">
      <w:lvlJc w:val="left"/>
      <w:lvlText w:val="(%1)"/>
      <w:numFmt w:val="decimal"/>
      <w:start w:val="1"/>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decimal"/>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8"/>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1)"/>
      <w:numFmt w:val="decimal"/>
      <w:start w:val="1"/>
    </w:lvl>
  </w:abstractNum>
  <w:abstractNum w:abstractNumId="73">
    <w:nsid w:val="94211F2"/>
    <w:multiLevelType w:val="hybridMultilevel"/>
    <w:lvl w:ilvl="0">
      <w:lvlJc w:val="left"/>
      <w:lvlText w:val="(%1)"/>
      <w:numFmt w:val="decimal"/>
      <w:start w:val="1"/>
    </w:lvl>
  </w:abstractNum>
  <w:abstractNum w:abstractNumId="74">
    <w:nsid w:val="885E1B"/>
    <w:multiLevelType w:val="hybridMultilevel"/>
    <w:lvl w:ilvl="0">
      <w:lvlJc w:val="left"/>
      <w:lvlText w:val="(%1)"/>
      <w:numFmt w:val="decimal"/>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lowerRoman"/>
      <w:start w:val="2"/>
    </w:lvl>
  </w:abstractNum>
  <w:abstractNum w:abstractNumId="77">
    <w:nsid w:val="1716703B"/>
    <w:multiLevelType w:val="hybridMultilevel"/>
    <w:lvl w:ilvl="0">
      <w:lvlJc w:val="left"/>
      <w:lvlText w:val="(%1)"/>
      <w:numFmt w:val="decimal"/>
      <w:start w:val="1"/>
    </w:lvl>
  </w:abstractNum>
  <w:abstractNum w:abstractNumId="78">
    <w:nsid w:val="14E17E33"/>
    <w:multiLevelType w:val="hybridMultilevel"/>
    <w:lvl w:ilvl="0">
      <w:lvlJc w:val="left"/>
      <w:lvlText w:val="(%1)"/>
      <w:numFmt w:val="decimal"/>
      <w:start w:val="1"/>
    </w:lvl>
  </w:abstractNum>
  <w:abstractNum w:abstractNumId="79">
    <w:nsid w:val="3222E7CD"/>
    <w:multiLevelType w:val="hybridMultilevel"/>
    <w:lvl w:ilvl="0">
      <w:lvlJc w:val="left"/>
      <w:lvlText w:val="(%1)"/>
      <w:numFmt w:val="lowerRoman"/>
      <w:start w:val="3"/>
    </w:lvl>
  </w:abstractNum>
  <w:abstractNum w:abstractNumId="80">
    <w:nsid w:val="74DE0EE3"/>
    <w:multiLevelType w:val="hybridMultilevel"/>
    <w:lvl w:ilvl="0">
      <w:lvlJc w:val="left"/>
      <w:lvlText w:val="(%1)"/>
      <w:numFmt w:val="decimal"/>
      <w:start w:val="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1)"/>
      <w:numFmt w:val="decimal"/>
      <w:start w:val="6"/>
    </w:lvl>
  </w:abstractNum>
  <w:abstractNum w:abstractNumId="83">
    <w:nsid w:val="46B7D447"/>
    <w:multiLevelType w:val="hybridMultilevel"/>
    <w:lvl w:ilvl="0">
      <w:lvlJc w:val="left"/>
      <w:lvlText w:val="(%1)"/>
      <w:numFmt w:val="decimal"/>
      <w:start w:val="1"/>
    </w:lvl>
  </w:abstractNum>
  <w:abstractNum w:abstractNumId="84">
    <w:nsid w:val="4A2AC315"/>
    <w:multiLevelType w:val="hybridMultilevel"/>
    <w:lvl w:ilvl="0">
      <w:lvlJc w:val="left"/>
      <w:lvlText w:val="(%1)"/>
      <w:numFmt w:val="decimal"/>
      <w:start w:val="3"/>
    </w:lvl>
  </w:abstractNum>
  <w:abstractNum w:abstractNumId="85">
    <w:nsid w:val="39EE015C"/>
    <w:multiLevelType w:val="hybridMultilevel"/>
    <w:lvl w:ilvl="0">
      <w:lvlJc w:val="left"/>
      <w:lvlText w:val="(%1)"/>
      <w:numFmt w:val="decimal"/>
      <w:start w:val="1"/>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decimal"/>
      <w:start w:val="1"/>
    </w:lvl>
  </w:abstractNum>
  <w:abstractNum w:abstractNumId="96">
    <w:nsid w:val="488AC1A"/>
    <w:multiLevelType w:val="hybridMultilevel"/>
    <w:lvl w:ilvl="0">
      <w:lvlJc w:val="left"/>
      <w:lvlText w:val="%1."/>
      <w:numFmt w:val="decimal"/>
      <w:start w:val="1"/>
    </w:lvl>
    <w:lvl w:ilvl="1">
      <w:lvlJc w:val="left"/>
      <w:lvlText w:val="%2)"/>
      <w:numFmt w:val="lowerLetter"/>
      <w:start w:val="1"/>
    </w:lvl>
  </w:abstractNum>
  <w:abstractNum w:abstractNumId="97">
    <w:nsid w:val="5FB8011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3" Type="http://schemas.openxmlformats.org/officeDocument/2006/relationships/image" Target="media/image305.png"/><Relationship Id="rId316" Type="http://schemas.openxmlformats.org/officeDocument/2006/relationships/image" Target="media/image306.png"/><Relationship Id="rId319" Type="http://schemas.openxmlformats.org/officeDocument/2006/relationships/image" Target="media/image307.png"/><Relationship Id="rId323" Type="http://schemas.openxmlformats.org/officeDocument/2006/relationships/image" Target="media/image308.png"/><Relationship Id="rId325" Type="http://schemas.openxmlformats.org/officeDocument/2006/relationships/image" Target="media/image309.png"/><Relationship Id="rId330" Type="http://schemas.openxmlformats.org/officeDocument/2006/relationships/image" Target="media/image310.png"/><Relationship Id="rId332" Type="http://schemas.openxmlformats.org/officeDocument/2006/relationships/image" Target="media/image311.png"/><Relationship Id="rId340" Type="http://schemas.openxmlformats.org/officeDocument/2006/relationships/image" Target="media/image312.png"/><Relationship Id="rId346" Type="http://schemas.openxmlformats.org/officeDocument/2006/relationships/image" Target="media/image313.png"/><Relationship Id="rId348" Type="http://schemas.openxmlformats.org/officeDocument/2006/relationships/image" Target="media/image314.png"/><Relationship Id="rId350" Type="http://schemas.openxmlformats.org/officeDocument/2006/relationships/image" Target="media/image315.png"/><Relationship Id="rId358" Type="http://schemas.openxmlformats.org/officeDocument/2006/relationships/image" Target="media/image316.png"/><Relationship Id="rId366" Type="http://schemas.openxmlformats.org/officeDocument/2006/relationships/image" Target="media/image317.png"/><Relationship Id="rId384" Type="http://schemas.openxmlformats.org/officeDocument/2006/relationships/image" Target="media/image318.png"/><Relationship Id="rId387" Type="http://schemas.openxmlformats.org/officeDocument/2006/relationships/image" Target="media/image319.png"/><Relationship Id="rId390" Type="http://schemas.openxmlformats.org/officeDocument/2006/relationships/image" Target="media/image320.png"/><Relationship Id="rId391" Type="http://schemas.openxmlformats.org/officeDocument/2006/relationships/image" Target="media/image321.png"/><Relationship Id="rId392" Type="http://schemas.openxmlformats.org/officeDocument/2006/relationships/image" Target="media/image322.png"/><Relationship Id="rId393" Type="http://schemas.openxmlformats.org/officeDocument/2006/relationships/image" Target="media/image323.png"/><Relationship Id="rId394" Type="http://schemas.openxmlformats.org/officeDocument/2006/relationships/image" Target="media/image324.png"/><Relationship Id="rId395" Type="http://schemas.openxmlformats.org/officeDocument/2006/relationships/image" Target="media/image325.png"/><Relationship Id="rId396" Type="http://schemas.openxmlformats.org/officeDocument/2006/relationships/image" Target="media/image326.png"/><Relationship Id="rId397" Type="http://schemas.openxmlformats.org/officeDocument/2006/relationships/image" Target="media/image327.png"/><Relationship Id="rId398" Type="http://schemas.openxmlformats.org/officeDocument/2006/relationships/image" Target="media/image328.png"/><Relationship Id="rId399" Type="http://schemas.openxmlformats.org/officeDocument/2006/relationships/image" Target="media/image329.png"/><Relationship Id="rId400" Type="http://schemas.openxmlformats.org/officeDocument/2006/relationships/image" Target="media/image330.png"/><Relationship Id="rId401" Type="http://schemas.openxmlformats.org/officeDocument/2006/relationships/image" Target="media/image331.png"/><Relationship Id="rId402" Type="http://schemas.openxmlformats.org/officeDocument/2006/relationships/image" Target="media/image332.png"/><Relationship Id="rId403" Type="http://schemas.openxmlformats.org/officeDocument/2006/relationships/image" Target="media/image333.png"/><Relationship Id="rId404" Type="http://schemas.openxmlformats.org/officeDocument/2006/relationships/image" Target="media/image334.png"/><Relationship Id="rId405" Type="http://schemas.openxmlformats.org/officeDocument/2006/relationships/image" Target="media/image335.png"/><Relationship Id="rId406" Type="http://schemas.openxmlformats.org/officeDocument/2006/relationships/image" Target="media/image336.png"/><Relationship Id="rId407" Type="http://schemas.openxmlformats.org/officeDocument/2006/relationships/image" Target="media/image337.png"/><Relationship Id="rId312" Type="http://schemas.openxmlformats.org/officeDocument/2006/relationships/hyperlink" Target="https://www.sec.gov/Archives/edgar/data/1685040/000119312517252871/d428466dex21.htm" TargetMode="External"/><Relationship Id="rId314" Type="http://schemas.openxmlformats.org/officeDocument/2006/relationships/hyperlink" Target="https://www.sec.gov/Archives/edgar/data/1685040/000168504025000065/ex21agreementandplanofmerg.htm" TargetMode="External"/><Relationship Id="rId315" Type="http://schemas.openxmlformats.org/officeDocument/2006/relationships/hyperlink" Target="https://www.sec.gov/Archives/edgar/data/1685040/000168504023000056/bhf-06302023xex33.htm" TargetMode="External"/><Relationship Id="rId317" Type="http://schemas.openxmlformats.org/officeDocument/2006/relationships/hyperlink" Target="https://www.sec.gov/Archives/edgar/data/1685040/000168504025000002/bhf-arbylawsjanuary2025xex.htm" TargetMode="External"/><Relationship Id="rId318" Type="http://schemas.openxmlformats.org/officeDocument/2006/relationships/hyperlink" Target="https://www.sec.gov/Archives/edgar/data/1685040/000119312517210853/d271055dex41.htm" TargetMode="External"/><Relationship Id="rId320" Type="http://schemas.openxmlformats.org/officeDocument/2006/relationships/hyperlink" Target="https://www.sec.gov/Archives/edgar/data/1685040/000119312520143991/d932451dex41.htm" TargetMode="External"/><Relationship Id="rId321" Type="http://schemas.openxmlformats.org/officeDocument/2006/relationships/hyperlink" Target="https://www.sec.gov/Archives/edgar/data/1685040/000119312520143991/d932451dex42.htm" TargetMode="External"/><Relationship Id="rId322" Type="http://schemas.openxmlformats.org/officeDocument/2006/relationships/hyperlink" Target="https://www.sec.gov/Archives/edgar/data/1685040/000119312521336813/d229967dex42.htm" TargetMode="External"/><Relationship Id="rId324" Type="http://schemas.openxmlformats.org/officeDocument/2006/relationships/hyperlink" Target="https://www.sec.gov/Archives/edgar/data/1685040/000119312518271784/d617704dex41.htm" TargetMode="External"/><Relationship Id="rId326" Type="http://schemas.openxmlformats.org/officeDocument/2006/relationships/hyperlink" Target="https://www.sec.gov/Archives/edgar/data/1685040/000119312518271784/d617704dex42.htm" TargetMode="External"/><Relationship Id="rId327" Type="http://schemas.openxmlformats.org/officeDocument/2006/relationships/hyperlink" Target="https://www.sec.gov/Archives/edgar/data/1685040/000119312519085295/d698537dex31.htm" TargetMode="External"/><Relationship Id="rId328" Type="http://schemas.openxmlformats.org/officeDocument/2006/relationships/hyperlink" Target="https://www.sec.gov/Archives/edgar/data/1685040/000119312520148692/d850256dex31.htm" TargetMode="External"/><Relationship Id="rId329" Type="http://schemas.openxmlformats.org/officeDocument/2006/relationships/hyperlink" Target="https://www.sec.gov/Archives/edgar/data/1685040/000119312520299412/d941849dex31.htm" TargetMode="External"/><Relationship Id="rId331" Type="http://schemas.openxmlformats.org/officeDocument/2006/relationships/hyperlink" Target="https://www.sec.gov/Archives/edgar/data/0001685040/000119312521336813/d229967dex31.htm" TargetMode="External"/><Relationship Id="rId333" Type="http://schemas.openxmlformats.org/officeDocument/2006/relationships/hyperlink" Target="https://www.sec.gov/Archives/edgar/data/1685040/000119312519085295/d698537dex42.htm" TargetMode="External"/><Relationship Id="rId334" Type="http://schemas.openxmlformats.org/officeDocument/2006/relationships/hyperlink" Target="https://www.sec.gov/Archives/edgar/data/1685040/000119312520148692/d850256dex42.htm" TargetMode="External"/><Relationship Id="rId335" Type="http://schemas.openxmlformats.org/officeDocument/2006/relationships/hyperlink" Target="https://www.sec.gov/Archives/edgar/data/1685040/000119312520299412/d941849dex42.htm" TargetMode="External"/><Relationship Id="rId336" Type="http://schemas.openxmlformats.org/officeDocument/2006/relationships/hyperlink" Target="https://www.sec.gov/Archives/edgar/data/0001685040/000119312521336813/d229967dex45.htm" TargetMode="External"/><Relationship Id="rId337" Type="http://schemas.openxmlformats.org/officeDocument/2006/relationships/hyperlink" Target="https://www.sec.gov/Archives/edgar/data/1685040/000119312521336813/d229967dex45.htm" TargetMode="External"/><Relationship Id="rId338" Type="http://schemas.openxmlformats.org/officeDocument/2006/relationships/hyperlink" Target="https://www.sec.gov/Archives/edgar/data/1685040/000168504024000007/bhf-12312023xex420.htm" TargetMode="External"/><Relationship Id="rId339" Type="http://schemas.openxmlformats.org/officeDocument/2006/relationships/hyperlink" Target="https://www.sec.gov/Archives/edgar/data/1685040/000119312517252871/d428466dex101.htm" TargetMode="External"/><Relationship Id="rId341" Type="http://schemas.openxmlformats.org/officeDocument/2006/relationships/hyperlink" Target="https://www.sec.gov/Archives/edgar/data/1685040/000119312517252871/d428466dex105.htm" TargetMode="External"/><Relationship Id="rId342" Type="http://schemas.openxmlformats.org/officeDocument/2006/relationships/hyperlink" Target="https://www.sec.gov/Archives/edgar/data/1685040/000119312517252871/d428466dex106.htm" TargetMode="External"/><Relationship Id="rId343" Type="http://schemas.openxmlformats.org/officeDocument/2006/relationships/hyperlink" Target="https://www.sec.gov/Archives/edgar/data/1685040/000168504022000013/brighthouse-xcreditagreeme.htm" TargetMode="External"/><Relationship Id="rId344" Type="http://schemas.openxmlformats.org/officeDocument/2006/relationships/hyperlink" Target="https://www.sec.gov/Archives/edgar/data/1685040/000116760917000067/bhfexhibit108.htm" TargetMode="External"/><Relationship Id="rId345" Type="http://schemas.openxmlformats.org/officeDocument/2006/relationships/hyperlink" Target="https://www.sec.gov/Archives/edgar/data/1685040/000116760917000067/bhfexhibit109.htm" TargetMode="External"/><Relationship Id="rId347" Type="http://schemas.openxmlformats.org/officeDocument/2006/relationships/hyperlink" Target="https://www.sec.gov/Archives/edgar/data/1685040/000116760918000005/bhf-12312017xex1092.htm" TargetMode="External"/><Relationship Id="rId349" Type="http://schemas.openxmlformats.org/officeDocument/2006/relationships/hyperlink" Target="https://www.sec.gov/Archives/edgar/data/1685040/000168504021000008/bhf-12312020xex1053nextgen.htm" TargetMode="External"/><Relationship Id="rId351" Type="http://schemas.openxmlformats.org/officeDocument/2006/relationships/hyperlink" Target="https://www.sec.gov/Archives/edgar/data/1685040/000168504020000007/bhf-12312019xex108.htm" TargetMode="External"/><Relationship Id="rId352" Type="http://schemas.openxmlformats.org/officeDocument/2006/relationships/hyperlink" Target="https://www.sec.gov/Archives/edgar/data/1685040/000116760917000103/brighthousevoldefcompplanf.htm" TargetMode="External"/><Relationship Id="rId353" Type="http://schemas.openxmlformats.org/officeDocument/2006/relationships/hyperlink" Target="https://www.sec.gov/Archives/edgar/data/1685040/000116760918000005/bhf-12312017xex10111.htm" TargetMode="External"/><Relationship Id="rId354" Type="http://schemas.openxmlformats.org/officeDocument/2006/relationships/hyperlink" Target="https://www.sec.gov/Archives/edgar/data/1685040/000168504019000009/bhf-12312018xex10102.htm" TargetMode="External"/><Relationship Id="rId355" Type="http://schemas.openxmlformats.org/officeDocument/2006/relationships/hyperlink" Target="https://www.sec.gov/Archives/edgar/data/1685040/000168504021000008/bhf-12312020xex1073nextgen.htm" TargetMode="External"/><Relationship Id="rId356" Type="http://schemas.openxmlformats.org/officeDocument/2006/relationships/hyperlink" Target="https://www.sec.gov/Archives/edgar/data/1685040/000168504023000028/bhf-03312023xex101.htm" TargetMode="External"/><Relationship Id="rId357" Type="http://schemas.openxmlformats.org/officeDocument/2006/relationships/hyperlink" Target="https://www.sec.gov/Archives/edgar/data/1685040/000168504025000010/bhf-12312024xex1075.htm" TargetMode="External"/><Relationship Id="rId359" Type="http://schemas.openxmlformats.org/officeDocument/2006/relationships/hyperlink" Target="https://www.sec.gov/Archives/edgar/data/1685040/000168504025000010/bhf-12312024xex1076.htm" TargetMode="External"/><Relationship Id="rId360" Type="http://schemas.openxmlformats.org/officeDocument/2006/relationships/hyperlink" Target="https://www.sec.gov/Archives/edgar/data/1685040/000168504025000038/exhibit101-brighthousefina.htm" TargetMode="External"/><Relationship Id="rId361" Type="http://schemas.openxmlformats.org/officeDocument/2006/relationships/hyperlink" Target="https://www.sec.gov/Archives/edgar/data/1685040/000168504019000009/bhf-12312018xex1012.htm" TargetMode="External"/><Relationship Id="rId362" Type="http://schemas.openxmlformats.org/officeDocument/2006/relationships/hyperlink" Target="https://www.sec.gov/Archives/edgar/data/1685040/000168504024000023/exhibit101-brighthousefina.htm" TargetMode="External"/><Relationship Id="rId363" Type="http://schemas.openxmlformats.org/officeDocument/2006/relationships/hyperlink" Target="https://www.sec.gov/Archives/edgar/data/1685040/000168504019000009/bhf-12312018xex1015.htm" TargetMode="External"/><Relationship Id="rId364" Type="http://schemas.openxmlformats.org/officeDocument/2006/relationships/hyperlink" Target="https://www.sec.gov/Archives/edgar/data/1685040/000168504019000009/bhf-12312018xex1017.htm" TargetMode="External"/><Relationship Id="rId365" Type="http://schemas.openxmlformats.org/officeDocument/2006/relationships/hyperlink" Target="https://www.sec.gov/Archives/edgar/data/1685040/000168504019000009/bhf-12312018xex1018.htm" TargetMode="External"/><Relationship Id="rId367" Type="http://schemas.openxmlformats.org/officeDocument/2006/relationships/hyperlink" Target="https://www.sec.gov/Archives/edgar/data/1685040/000119312518173741/d591162dex106.htm" TargetMode="External"/><Relationship Id="rId368" Type="http://schemas.openxmlformats.org/officeDocument/2006/relationships/hyperlink" Target="https://www.sec.gov/Archives/edgar/data/1685040/000168504019000009/bhf-12312018xex1020.htm" TargetMode="External"/><Relationship Id="rId369" Type="http://schemas.openxmlformats.org/officeDocument/2006/relationships/hyperlink" Target="https://www.sec.gov/Archives/edgar/data/1685040/000168504024000019/bhf-03312024xex101.htm" TargetMode="External"/><Relationship Id="rId370" Type="http://schemas.openxmlformats.org/officeDocument/2006/relationships/hyperlink" Target="https://www.sec.gov/Archives/edgar/data/1685040/000168504019000009/bhf-12312018xex1022.htm" TargetMode="External"/><Relationship Id="rId371" Type="http://schemas.openxmlformats.org/officeDocument/2006/relationships/hyperlink" Target="https://www.sec.gov/Archives/edgar/data/1685040/000168504019000009/bhf-12312018xex1023.htm" TargetMode="External"/><Relationship Id="rId372" Type="http://schemas.openxmlformats.org/officeDocument/2006/relationships/hyperlink" Target="https://www.sec.gov/Archives/edgar/data/1685040/000168504024000019/bhf-03312024xex102.htm" TargetMode="External"/><Relationship Id="rId373" Type="http://schemas.openxmlformats.org/officeDocument/2006/relationships/hyperlink" Target="https://www.sec.gov/Archives/edgar/data/1685040/000168504020000018/bhf-20200331xex102.htm" TargetMode="External"/><Relationship Id="rId374" Type="http://schemas.openxmlformats.org/officeDocument/2006/relationships/hyperlink" Target="https://www.sec.gov/Archives/edgar/data/1685040/000168504020000018/bhf-20200331xex103.htm" TargetMode="External"/><Relationship Id="rId375" Type="http://schemas.openxmlformats.org/officeDocument/2006/relationships/hyperlink" Target="https://www.sec.gov/Archives/edgar/data/1685040/000168504019000032/bhf-20190630xex103.htm" TargetMode="External"/><Relationship Id="rId376" Type="http://schemas.openxmlformats.org/officeDocument/2006/relationships/hyperlink" Target="https://www.sec.gov/Archives/edgar/data/1685040/000119312519295557/d799375dex101.htm" TargetMode="External"/><Relationship Id="rId377" Type="http://schemas.openxmlformats.org/officeDocument/2006/relationships/hyperlink" Target="https://www.sec.gov/Archives/edgar/data/1685040/000168504023000056/bhf-06302023xex103.htm" TargetMode="External"/><Relationship Id="rId378" Type="http://schemas.openxmlformats.org/officeDocument/2006/relationships/hyperlink" Target="https://www.sec.gov/Archives/edgar/data/1685040/000168504018000034/ex102brighthouseservicesll.htm" TargetMode="External"/><Relationship Id="rId379" Type="http://schemas.openxmlformats.org/officeDocument/2006/relationships/hyperlink" Target="https://www.sec.gov/Archives/edgar/data/1685040/000168504023000056/bhf-06302023xex104.htm" TargetMode="External"/><Relationship Id="rId380" Type="http://schemas.openxmlformats.org/officeDocument/2006/relationships/hyperlink" Target="https://www.sec.gov/Archives/edgar/data/1685040/000119312519322620/d823236dex101.htm" TargetMode="External"/><Relationship Id="rId381" Type="http://schemas.openxmlformats.org/officeDocument/2006/relationships/hyperlink" Target="https://www.sec.gov/Archives/edgar/data/1685040/000168504020000007/bhf-12312019xex1032.htm" TargetMode="External"/><Relationship Id="rId382" Type="http://schemas.openxmlformats.org/officeDocument/2006/relationships/hyperlink" Target="https://www.sec.gov/Archives/edgar/data/1685040/000168504023000028/bhf-03312023xex102.htm" TargetMode="External"/><Relationship Id="rId383" Type="http://schemas.openxmlformats.org/officeDocument/2006/relationships/hyperlink" Target="https://www.sec.gov/Archives/edgar/data/1685040/000168504023000011/bhf-12312022xex1025.htm" TargetMode="External"/><Relationship Id="rId385" Type="http://schemas.openxmlformats.org/officeDocument/2006/relationships/hyperlink" Target="https://www.sec.gov/Archives/edgar/data/1685040/000168504025000052/exhibit101.htm" TargetMode="External"/><Relationship Id="rId386" Type="http://schemas.openxmlformats.org/officeDocument/2006/relationships/hyperlink" Target="https://www.sec.gov/Archives/edgar/data/1685040/000168504025000052/exhibit102.htm" TargetMode="External"/><Relationship Id="rId388" Type="http://schemas.openxmlformats.org/officeDocument/2006/relationships/hyperlink" Target="https://www.sec.gov/Archives/edgar/data/1685040/000168504025000010/bhf-12312024xex191.htm" TargetMode="External"/><Relationship Id="rId389" Type="http://schemas.openxmlformats.org/officeDocument/2006/relationships/hyperlink" Target="https://www.sec.gov/Archives/edgar/data/1685040/000168504024000007/bhf-12312023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2026-02-24T16:32:46Z</dcterms:created>
  <dcterms:modified xsi:type="dcterms:W3CDTF">2026-02-24T16:32:46Z</dcterms:modified>
</cp:coreProperties>
</file>