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826135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169545</wp:posOffset>
            </wp:positionV>
            <wp:extent cx="2391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51" w:lineRule="exact"/>
        <w:rPr>
          <w:sz w:val="24"/>
          <w:szCs w:val="24"/>
          <w:color w:val="auto"/>
        </w:rPr>
      </w:pPr>
    </w:p>
    <w:p>
      <w:pPr>
        <w:ind w:left="1560" w:hanging="371"/>
        <w:spacing w:after="0"/>
        <w:tabs>
          <w:tab w:leader="none" w:pos="15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44" w:lineRule="exact"/>
        <w:rPr>
          <w:sz w:val="24"/>
          <w:szCs w:val="24"/>
          <w:color w:val="auto"/>
        </w:rPr>
      </w:pPr>
    </w:p>
    <w:p>
      <w:pPr>
        <w:ind w:left="1560" w:hanging="371"/>
        <w:spacing w:after="0"/>
        <w:tabs>
          <w:tab w:leader="none" w:pos="15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000-55705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194945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272415</wp:posOffset>
            </wp:positionV>
            <wp:extent cx="221170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170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Life Insurance Company of NY</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6" w:lineRule="exact"/>
        <w:rPr>
          <w:sz w:val="24"/>
          <w:szCs w:val="24"/>
          <w:color w:val="auto"/>
        </w:rPr>
      </w:pPr>
    </w:p>
    <w:tbl>
      <w:tblPr>
        <w:tblLayout w:type="fixed"/>
        <w:tblInd w:w="1500" w:type="dxa"/>
        <w:tblCellMar>
          <w:top w:w="0" w:type="dxa"/>
          <w:left w:w="0" w:type="dxa"/>
          <w:bottom w:w="0" w:type="dxa"/>
          <w:right w:w="0" w:type="dxa"/>
        </w:tblCellMar>
      </w:tblPr>
      <w:tr>
        <w:trPr>
          <w:trHeight w:val="186"/>
        </w:trPr>
        <w:tc>
          <w:tcPr>
            <w:tcW w:w="4560" w:type="dxa"/>
            <w:vAlign w:val="bottom"/>
          </w:tcPr>
          <w:p>
            <w:pPr>
              <w:jc w:val="center"/>
              <w:ind w:right="988"/>
              <w:spacing w:after="0"/>
              <w:rPr>
                <w:sz w:val="20"/>
                <w:szCs w:val="20"/>
                <w:color w:val="auto"/>
              </w:rPr>
            </w:pPr>
            <w:r>
              <w:rPr>
                <w:rFonts w:ascii="Arial" w:cs="Arial" w:eastAsia="Arial" w:hAnsi="Arial"/>
                <w:sz w:val="14"/>
                <w:szCs w:val="14"/>
                <w:b w:val="1"/>
                <w:bCs w:val="1"/>
                <w:color w:val="auto"/>
                <w:w w:val="97"/>
              </w:rPr>
              <w:t>New York</w:t>
            </w:r>
          </w:p>
        </w:tc>
        <w:tc>
          <w:tcPr>
            <w:tcW w:w="3120" w:type="dxa"/>
            <w:vAlign w:val="bottom"/>
          </w:tcPr>
          <w:p>
            <w:pPr>
              <w:jc w:val="right"/>
              <w:ind w:right="608"/>
              <w:spacing w:after="0"/>
              <w:rPr>
                <w:sz w:val="20"/>
                <w:szCs w:val="20"/>
                <w:color w:val="auto"/>
              </w:rPr>
            </w:pPr>
            <w:r>
              <w:rPr>
                <w:rFonts w:ascii="Arial" w:cs="Arial" w:eastAsia="Arial" w:hAnsi="Arial"/>
                <w:sz w:val="14"/>
                <w:szCs w:val="14"/>
                <w:b w:val="1"/>
                <w:bCs w:val="1"/>
                <w:color w:val="auto"/>
              </w:rPr>
              <w:t>13-3690700</w:t>
            </w:r>
          </w:p>
        </w:tc>
      </w:tr>
      <w:tr>
        <w:trPr>
          <w:trHeight w:val="203"/>
        </w:trPr>
        <w:tc>
          <w:tcPr>
            <w:tcW w:w="4560" w:type="dxa"/>
            <w:vAlign w:val="bottom"/>
          </w:tcPr>
          <w:p>
            <w:pPr>
              <w:jc w:val="center"/>
              <w:ind w:right="988"/>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120" w:type="dxa"/>
            <w:vAlign w:val="bottom"/>
          </w:tcPr>
          <w:p>
            <w:pPr>
              <w:jc w:val="center"/>
              <w:ind w:left="98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297"/>
        </w:trPr>
        <w:tc>
          <w:tcPr>
            <w:tcW w:w="4560" w:type="dxa"/>
            <w:vAlign w:val="bottom"/>
          </w:tcPr>
          <w:p>
            <w:pPr>
              <w:jc w:val="center"/>
              <w:ind w:right="988"/>
              <w:spacing w:after="0"/>
              <w:rPr>
                <w:sz w:val="20"/>
                <w:szCs w:val="20"/>
                <w:color w:val="auto"/>
              </w:rPr>
            </w:pPr>
            <w:r>
              <w:rPr>
                <w:rFonts w:ascii="Arial" w:cs="Arial" w:eastAsia="Arial" w:hAnsi="Arial"/>
                <w:sz w:val="14"/>
                <w:szCs w:val="14"/>
                <w:b w:val="1"/>
                <w:bCs w:val="1"/>
                <w:color w:val="auto"/>
                <w:w w:val="93"/>
              </w:rPr>
              <w:t>285 Madison Avenue, 14th Floor, New York, New York</w:t>
            </w:r>
          </w:p>
        </w:tc>
        <w:tc>
          <w:tcPr>
            <w:tcW w:w="3120" w:type="dxa"/>
            <w:vAlign w:val="bottom"/>
          </w:tcPr>
          <w:p>
            <w:pPr>
              <w:jc w:val="right"/>
              <w:ind w:right="788"/>
              <w:spacing w:after="0"/>
              <w:rPr>
                <w:sz w:val="20"/>
                <w:szCs w:val="20"/>
                <w:color w:val="auto"/>
              </w:rPr>
            </w:pPr>
            <w:r>
              <w:rPr>
                <w:rFonts w:ascii="Arial" w:cs="Arial" w:eastAsia="Arial" w:hAnsi="Arial"/>
                <w:sz w:val="14"/>
                <w:szCs w:val="14"/>
                <w:b w:val="1"/>
                <w:bCs w:val="1"/>
                <w:color w:val="auto"/>
              </w:rPr>
              <w:t>10017</w:t>
            </w:r>
          </w:p>
        </w:tc>
      </w:tr>
      <w:tr>
        <w:trPr>
          <w:trHeight w:val="203"/>
        </w:trPr>
        <w:tc>
          <w:tcPr>
            <w:tcW w:w="4560" w:type="dxa"/>
            <w:vAlign w:val="bottom"/>
          </w:tcPr>
          <w:p>
            <w:pPr>
              <w:jc w:val="center"/>
              <w:ind w:right="98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120" w:type="dxa"/>
            <w:vAlign w:val="bottom"/>
          </w:tcPr>
          <w:p>
            <w:pPr>
              <w:jc w:val="center"/>
              <w:ind w:left="988"/>
              <w:spacing w:after="0"/>
              <w:rPr>
                <w:sz w:val="20"/>
                <w:szCs w:val="20"/>
                <w:color w:val="auto"/>
              </w:rPr>
            </w:pPr>
            <w:r>
              <w:rPr>
                <w:rFonts w:ascii="Arial" w:cs="Arial" w:eastAsia="Arial" w:hAnsi="Arial"/>
                <w:sz w:val="14"/>
                <w:szCs w:val="14"/>
                <w:i w:val="1"/>
                <w:iCs w:val="1"/>
                <w:color w:val="auto"/>
                <w:w w:val="93"/>
              </w:rPr>
              <w:t>(Zip Code)</w:t>
            </w:r>
          </w:p>
        </w:tc>
      </w:tr>
    </w:tbl>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(980) 365-7100</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Securities registered pursuant to Section 12(b) of the Act: None</w:t>
      </w:r>
    </w:p>
    <w:p>
      <w:pPr>
        <w:spacing w:after="0" w:line="242" w:lineRule="exact"/>
        <w:rPr>
          <w:sz w:val="24"/>
          <w:szCs w:val="24"/>
          <w:color w:val="auto"/>
        </w:rPr>
      </w:pPr>
    </w:p>
    <w:p>
      <w:pPr>
        <w:ind w:left="2440"/>
        <w:spacing w:after="0"/>
        <w:tabs>
          <w:tab w:leader="none" w:pos="5500" w:val="left"/>
          <w:tab w:leader="none" w:pos="7560" w:val="left"/>
        </w:tabs>
        <w:rPr>
          <w:sz w:val="20"/>
          <w:szCs w:val="20"/>
          <w:color w:val="auto"/>
        </w:rPr>
      </w:pPr>
      <w:r>
        <w:rPr>
          <w:rFonts w:ascii="Arial" w:cs="Arial" w:eastAsia="Arial" w:hAnsi="Arial"/>
          <w:sz w:val="13"/>
          <w:szCs w:val="13"/>
          <w:u w:val="single" w:color="auto"/>
          <w:color w:val="auto"/>
        </w:rPr>
        <w:t>Title of each class</w:t>
      </w:r>
      <w:r>
        <w:rPr>
          <w:sz w:val="20"/>
          <w:szCs w:val="20"/>
          <w:color w:val="auto"/>
        </w:rPr>
        <w:tab/>
      </w:r>
      <w:r>
        <w:rPr>
          <w:rFonts w:ascii="Arial" w:cs="Arial" w:eastAsia="Arial" w:hAnsi="Arial"/>
          <w:sz w:val="13"/>
          <w:szCs w:val="13"/>
          <w:u w:val="single" w:color="auto"/>
          <w:color w:val="auto"/>
        </w:rPr>
        <w:t>Trading symbol(s)</w:t>
      </w:r>
      <w:r>
        <w:rPr>
          <w:sz w:val="20"/>
          <w:szCs w:val="20"/>
          <w:color w:val="auto"/>
        </w:rPr>
        <w:tab/>
      </w:r>
      <w:r>
        <w:rPr>
          <w:rFonts w:ascii="Arial" w:cs="Arial" w:eastAsia="Arial" w:hAnsi="Arial"/>
          <w:sz w:val="10"/>
          <w:szCs w:val="10"/>
          <w:u w:val="single" w:color="auto"/>
          <w:color w:val="auto"/>
        </w:rPr>
        <w:t>Name of each exchange on which registered</w:t>
      </w:r>
    </w:p>
    <w:p>
      <w:pPr>
        <w:spacing w:after="0" w:line="229"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1080" w:type="dxa"/>
        <w:tblCellMar>
          <w:top w:w="0" w:type="dxa"/>
          <w:left w:w="0" w:type="dxa"/>
          <w:bottom w:w="0" w:type="dxa"/>
          <w:right w:w="0" w:type="dxa"/>
        </w:tblCellMar>
      </w:tblPr>
      <w:tr>
        <w:trPr>
          <w:trHeight w:val="199"/>
        </w:trPr>
        <w:tc>
          <w:tcPr>
            <w:tcW w:w="1200" w:type="dxa"/>
            <w:vAlign w:val="bottom"/>
          </w:tcPr>
          <w:p>
            <w:pPr>
              <w:spacing w:after="0"/>
              <w:rPr>
                <w:sz w:val="20"/>
                <w:szCs w:val="20"/>
                <w:color w:val="auto"/>
              </w:rPr>
            </w:pPr>
            <w:r>
              <w:rPr>
                <w:rFonts w:ascii="Arial" w:cs="Arial" w:eastAsia="Arial" w:hAnsi="Arial"/>
                <w:sz w:val="13"/>
                <w:szCs w:val="13"/>
                <w:color w:val="auto"/>
                <w:w w:val="91"/>
              </w:rPr>
              <w:t>Large accelerated filer</w:t>
            </w:r>
          </w:p>
        </w:tc>
        <w:tc>
          <w:tcPr>
            <w:tcW w:w="294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78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3"/>
                <w:szCs w:val="13"/>
                <w:color w:val="auto"/>
                <w:w w:val="98"/>
              </w:rPr>
              <w:t>Non-accelerated filer</w:t>
            </w:r>
          </w:p>
        </w:tc>
        <w:tc>
          <w:tcPr>
            <w:tcW w:w="294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780"/>
              <w:spacing w:after="0"/>
              <w:rPr>
                <w:sz w:val="20"/>
                <w:szCs w:val="20"/>
                <w:color w:val="auto"/>
              </w:rPr>
            </w:pPr>
            <w:r>
              <w:rPr>
                <w:rFonts w:ascii="Arial" w:cs="Arial" w:eastAsia="Arial" w:hAnsi="Arial"/>
                <w:sz w:val="13"/>
                <w:szCs w:val="13"/>
                <w:color w:val="auto"/>
                <w:w w:val="95"/>
              </w:rPr>
              <w:t>Smaller reporting 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780"/>
              <w:spacing w:after="0"/>
              <w:rPr>
                <w:sz w:val="20"/>
                <w:szCs w:val="20"/>
                <w:color w:val="auto"/>
              </w:rPr>
            </w:pPr>
            <w:r>
              <w:rPr>
                <w:rFonts w:ascii="Arial" w:cs="Arial" w:eastAsia="Arial" w:hAnsi="Arial"/>
                <w:sz w:val="13"/>
                <w:szCs w:val="13"/>
                <w:color w:val="auto"/>
                <w:w w:val="95"/>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0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1" w:lineRule="exact"/>
        <w:rPr>
          <w:sz w:val="24"/>
          <w:szCs w:val="24"/>
          <w:color w:val="auto"/>
        </w:rPr>
      </w:pPr>
    </w:p>
    <w:p>
      <w:pPr>
        <w:spacing w:after="0" w:line="161" w:lineRule="exact"/>
        <w:tabs>
          <w:tab w:leader="none" w:pos="5840" w:val="left"/>
          <w:tab w:leader="none" w:pos="63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3859530</wp:posOffset>
            </wp:positionH>
            <wp:positionV relativeFrom="paragraph">
              <wp:posOffset>-65405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21" w:lineRule="exact"/>
        <w:rPr>
          <w:sz w:val="24"/>
          <w:szCs w:val="24"/>
          <w:color w:val="auto"/>
        </w:rPr>
      </w:pPr>
    </w:p>
    <w:p>
      <w:pPr>
        <w:spacing w:after="0"/>
        <w:rPr>
          <w:sz w:val="20"/>
          <w:szCs w:val="20"/>
          <w:color w:val="auto"/>
        </w:rPr>
      </w:pPr>
      <w:r>
        <w:rPr>
          <w:rFonts w:ascii="Arial" w:cs="Arial" w:eastAsia="Arial" w:hAnsi="Arial"/>
          <w:sz w:val="13"/>
          <w:szCs w:val="13"/>
          <w:color w:val="auto"/>
        </w:rPr>
        <w:t>As of August 11, 2020, 200,000 shares of the registrant’s common stock were outstanding, all of which were owned indirectly by Brighthouse Financial, Inc.</w:t>
      </w:r>
    </w:p>
    <w:p>
      <w:pPr>
        <w:spacing w:after="0" w:line="103" w:lineRule="exact"/>
        <w:rPr>
          <w:sz w:val="24"/>
          <w:szCs w:val="24"/>
          <w:color w:val="auto"/>
        </w:rPr>
      </w:pPr>
    </w:p>
    <w:p>
      <w:pPr>
        <w:ind w:left="4600"/>
        <w:spacing w:after="0"/>
        <w:rPr>
          <w:sz w:val="20"/>
          <w:szCs w:val="20"/>
          <w:color w:val="auto"/>
        </w:rPr>
      </w:pPr>
      <w:r>
        <w:rPr>
          <w:rFonts w:ascii="Arial" w:cs="Arial" w:eastAsia="Arial" w:hAnsi="Arial"/>
          <w:sz w:val="13"/>
          <w:szCs w:val="13"/>
          <w:b w:val="1"/>
          <w:bCs w:val="1"/>
          <w:color w:val="auto"/>
        </w:rPr>
        <w:t>REDUCED DISCLOSURE FORMAT</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p>
      <w:pPr>
        <w:ind w:left="10460"/>
        <w:spacing w:after="0"/>
        <w:rPr>
          <w:sz w:val="20"/>
          <w:szCs w:val="20"/>
          <w:color w:val="auto"/>
        </w:rPr>
      </w:pPr>
      <w:r>
        <w:rPr>
          <w:rFonts w:ascii="Arial" w:cs="Arial" w:eastAsia="Arial" w:hAnsi="Arial"/>
          <w:sz w:val="18"/>
          <w:szCs w:val="18"/>
          <w:b w:val="1"/>
          <w:bCs w:val="1"/>
          <w:u w:val="single" w:color="auto"/>
          <w:color w:val="auto"/>
        </w:rPr>
        <w:t>Page</w:t>
      </w:r>
    </w:p>
    <w:p>
      <w:pPr>
        <w:spacing w:after="0" w:line="50"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bl>
      <w:tblPr>
        <w:tblLayout w:type="fixed"/>
        <w:tblInd w:w="0" w:type="dxa"/>
        <w:tblCellMar>
          <w:top w:w="0" w:type="dxa"/>
          <w:left w:w="0" w:type="dxa"/>
          <w:bottom w:w="0" w:type="dxa"/>
          <w:right w:w="0" w:type="dxa"/>
        </w:tblCellMar>
      </w:tblPr>
      <w:tr>
        <w:trPr>
          <w:trHeight w:val="203"/>
        </w:trPr>
        <w:tc>
          <w:tcPr>
            <w:tcW w:w="10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Item 1.</w:t>
            </w:r>
          </w:p>
        </w:tc>
        <w:tc>
          <w:tcPr>
            <w:tcW w:w="9120" w:type="dxa"/>
            <w:vAlign w:val="bottom"/>
          </w:tcPr>
          <w:p>
            <w:pPr>
              <w:ind w:left="220"/>
              <w:spacing w:after="0" w:line="203" w:lineRule="exact"/>
              <w:rPr>
                <w:sz w:val="20"/>
                <w:szCs w:val="20"/>
                <w:color w:val="auto"/>
              </w:rPr>
            </w:pPr>
            <w:r>
              <w:rPr>
                <w:rFonts w:ascii="Arial" w:cs="Arial" w:eastAsia="Arial" w:hAnsi="Arial"/>
                <w:sz w:val="18"/>
                <w:szCs w:val="18"/>
                <w:color w:val="auto"/>
                <w:w w:val="93"/>
              </w:rPr>
              <w:t>Financial Statements (at June 30, 2020 (Unaudited) and December 31, 2019 and for the Three Months and Six Months</w:t>
            </w:r>
          </w:p>
        </w:tc>
        <w:tc>
          <w:tcPr>
            <w:tcW w:w="1040" w:type="dxa"/>
            <w:vAlign w:val="bottom"/>
          </w:tcPr>
          <w:p>
            <w:pPr>
              <w:spacing w:after="0"/>
              <w:rPr>
                <w:sz w:val="17"/>
                <w:szCs w:val="17"/>
                <w:color w:val="auto"/>
              </w:rPr>
            </w:pPr>
          </w:p>
        </w:tc>
      </w:tr>
      <w:tr>
        <w:trPr>
          <w:trHeight w:val="229"/>
        </w:trPr>
        <w:tc>
          <w:tcPr>
            <w:tcW w:w="1080" w:type="dxa"/>
            <w:vAlign w:val="bottom"/>
          </w:tcPr>
          <w:p>
            <w:pPr>
              <w:spacing w:after="0"/>
              <w:rPr>
                <w:sz w:val="19"/>
                <w:szCs w:val="19"/>
                <w:color w:val="auto"/>
              </w:rPr>
            </w:pPr>
          </w:p>
        </w:tc>
        <w:tc>
          <w:tcPr>
            <w:tcW w:w="9120" w:type="dxa"/>
            <w:vAlign w:val="bottom"/>
          </w:tcPr>
          <w:p>
            <w:pPr>
              <w:ind w:left="380"/>
              <w:spacing w:after="0"/>
              <w:rPr>
                <w:sz w:val="20"/>
                <w:szCs w:val="20"/>
                <w:color w:val="auto"/>
              </w:rPr>
            </w:pPr>
            <w:r>
              <w:rPr>
                <w:rFonts w:ascii="Arial" w:cs="Arial" w:eastAsia="Arial" w:hAnsi="Arial"/>
                <w:sz w:val="18"/>
                <w:szCs w:val="18"/>
                <w:color w:val="auto"/>
              </w:rPr>
              <w:t>Ended June 30, 2020 and 2019 (Unaudited)):</w:t>
            </w:r>
          </w:p>
        </w:tc>
        <w:tc>
          <w:tcPr>
            <w:tcW w:w="1040" w:type="dxa"/>
            <w:vAlign w:val="bottom"/>
          </w:tcPr>
          <w:p>
            <w:pPr>
              <w:spacing w:after="0"/>
              <w:rPr>
                <w:sz w:val="19"/>
                <w:szCs w:val="19"/>
                <w:color w:val="auto"/>
              </w:rPr>
            </w:pPr>
          </w:p>
        </w:tc>
      </w:tr>
      <w:tr>
        <w:trPr>
          <w:trHeight w:val="230"/>
        </w:trPr>
        <w:tc>
          <w:tcPr>
            <w:tcW w:w="1080" w:type="dxa"/>
            <w:vAlign w:val="bottom"/>
          </w:tcPr>
          <w:p>
            <w:pPr>
              <w:spacing w:after="0"/>
              <w:rPr>
                <w:sz w:val="19"/>
                <w:szCs w:val="19"/>
                <w:color w:val="auto"/>
              </w:rPr>
            </w:pPr>
          </w:p>
        </w:tc>
        <w:tc>
          <w:tcPr>
            <w:tcW w:w="912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Interim Condensed Balance Sheets</w:t>
              </w:r>
            </w:hyperlink>
          </w:p>
        </w:tc>
        <w:tc>
          <w:tcPr>
            <w:tcW w:w="1040" w:type="dxa"/>
            <w:vAlign w:val="bottom"/>
          </w:tcPr>
          <w:p>
            <w:pPr>
              <w:jc w:val="center"/>
              <w:ind w:right="5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2</w:t>
              </w:r>
            </w:hyperlink>
          </w:p>
        </w:tc>
      </w:tr>
      <w:tr>
        <w:trPr>
          <w:trHeight w:val="229"/>
        </w:trPr>
        <w:tc>
          <w:tcPr>
            <w:tcW w:w="1080" w:type="dxa"/>
            <w:vAlign w:val="bottom"/>
          </w:tcPr>
          <w:p>
            <w:pPr>
              <w:spacing w:after="0"/>
              <w:rPr>
                <w:sz w:val="19"/>
                <w:szCs w:val="19"/>
                <w:color w:val="auto"/>
              </w:rPr>
            </w:pPr>
          </w:p>
        </w:tc>
        <w:tc>
          <w:tcPr>
            <w:tcW w:w="912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Interim Condensed Statements of Operations and Comprehensive Income (Loss)</w:t>
              </w:r>
            </w:hyperlink>
          </w:p>
        </w:tc>
        <w:tc>
          <w:tcPr>
            <w:tcW w:w="1040" w:type="dxa"/>
            <w:vAlign w:val="bottom"/>
          </w:tcPr>
          <w:p>
            <w:pPr>
              <w:jc w:val="center"/>
              <w:ind w:right="5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1080" w:type="dxa"/>
            <w:vAlign w:val="bottom"/>
          </w:tcPr>
          <w:p>
            <w:pPr>
              <w:spacing w:after="0"/>
              <w:rPr>
                <w:sz w:val="19"/>
                <w:szCs w:val="19"/>
                <w:color w:val="auto"/>
              </w:rPr>
            </w:pPr>
          </w:p>
        </w:tc>
        <w:tc>
          <w:tcPr>
            <w:tcW w:w="912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Interim Condensed Statements of Stockholder’s Equity</w:t>
              </w:r>
            </w:hyperlink>
          </w:p>
        </w:tc>
        <w:tc>
          <w:tcPr>
            <w:tcW w:w="1040" w:type="dxa"/>
            <w:vAlign w:val="bottom"/>
          </w:tcPr>
          <w:p>
            <w:pPr>
              <w:jc w:val="center"/>
              <w:ind w:right="5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r>
      <w:tr>
        <w:trPr>
          <w:trHeight w:val="230"/>
        </w:trPr>
        <w:tc>
          <w:tcPr>
            <w:tcW w:w="1080" w:type="dxa"/>
            <w:vAlign w:val="bottom"/>
          </w:tcPr>
          <w:p>
            <w:pPr>
              <w:spacing w:after="0"/>
              <w:rPr>
                <w:sz w:val="19"/>
                <w:szCs w:val="19"/>
                <w:color w:val="auto"/>
              </w:rPr>
            </w:pPr>
          </w:p>
        </w:tc>
        <w:tc>
          <w:tcPr>
            <w:tcW w:w="9120" w:type="dxa"/>
            <w:vAlign w:val="bottom"/>
          </w:tcPr>
          <w:p>
            <w:pPr>
              <w:ind w:left="3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Interim Condensed Statements of Cash Flows</w:t>
              </w:r>
            </w:hyperlink>
          </w:p>
        </w:tc>
        <w:tc>
          <w:tcPr>
            <w:tcW w:w="1040" w:type="dxa"/>
            <w:vAlign w:val="bottom"/>
          </w:tcPr>
          <w:p>
            <w:pPr>
              <w:jc w:val="center"/>
              <w:ind w:right="5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229"/>
        </w:trPr>
        <w:tc>
          <w:tcPr>
            <w:tcW w:w="1080" w:type="dxa"/>
            <w:vAlign w:val="bottom"/>
          </w:tcPr>
          <w:p>
            <w:pPr>
              <w:spacing w:after="0"/>
              <w:rPr>
                <w:sz w:val="19"/>
                <w:szCs w:val="19"/>
                <w:color w:val="auto"/>
              </w:rPr>
            </w:pPr>
          </w:p>
        </w:tc>
        <w:tc>
          <w:tcPr>
            <w:tcW w:w="9120" w:type="dxa"/>
            <w:vAlign w:val="bottom"/>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the Interim Condensed Financial Statements (Unaudited):</w:t>
              </w:r>
            </w:hyperlink>
          </w:p>
        </w:tc>
        <w:tc>
          <w:tcPr>
            <w:tcW w:w="1040" w:type="dxa"/>
            <w:vAlign w:val="bottom"/>
          </w:tcPr>
          <w:p>
            <w:pPr>
              <w:spacing w:after="0"/>
              <w:rPr>
                <w:sz w:val="19"/>
                <w:szCs w:val="19"/>
                <w:color w:val="auto"/>
              </w:rPr>
            </w:pPr>
          </w:p>
        </w:tc>
      </w:tr>
      <w:tr>
        <w:trPr>
          <w:trHeight w:val="230"/>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 1 — Business, Basis of Presentation and Summary of Significant Accounting Policies</w:t>
              </w:r>
            </w:hyperlink>
          </w:p>
        </w:tc>
        <w:tc>
          <w:tcPr>
            <w:tcW w:w="1040" w:type="dxa"/>
            <w:vAlign w:val="bottom"/>
          </w:tcPr>
          <w:p>
            <w:pPr>
              <w:jc w:val="center"/>
              <w:ind w:right="5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6</w:t>
              </w:r>
            </w:hyperlink>
          </w:p>
        </w:tc>
      </w:tr>
      <w:tr>
        <w:trPr>
          <w:trHeight w:val="229"/>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 2 — Segment Information</w:t>
              </w:r>
            </w:hyperlink>
          </w:p>
        </w:tc>
        <w:tc>
          <w:tcPr>
            <w:tcW w:w="1040" w:type="dxa"/>
            <w:vAlign w:val="bottom"/>
          </w:tcPr>
          <w:p>
            <w:pPr>
              <w:jc w:val="center"/>
              <w:ind w:right="5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7</w:t>
              </w:r>
            </w:hyperlink>
          </w:p>
        </w:tc>
      </w:tr>
      <w:tr>
        <w:trPr>
          <w:trHeight w:val="229"/>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 3 — Insurance</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11">
              <w:r>
                <w:rPr>
                  <w:rFonts w:ascii="Arial" w:cs="Arial" w:eastAsia="Arial" w:hAnsi="Arial"/>
                  <w:sz w:val="18"/>
                  <w:szCs w:val="18"/>
                  <w:u w:val="single" w:color="auto"/>
                  <w:color w:val="0000FF"/>
                  <w:w w:val="89"/>
                </w:rPr>
                <w:t>10</w:t>
              </w:r>
            </w:hyperlink>
          </w:p>
        </w:tc>
      </w:tr>
      <w:tr>
        <w:trPr>
          <w:trHeight w:val="230"/>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 4 — Investments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12">
              <w:r>
                <w:rPr>
                  <w:rFonts w:ascii="Arial" w:cs="Arial" w:eastAsia="Arial" w:hAnsi="Arial"/>
                  <w:sz w:val="18"/>
                  <w:szCs w:val="18"/>
                  <w:u w:val="single" w:color="auto"/>
                  <w:color w:val="0000FF"/>
                  <w:w w:val="89"/>
                </w:rPr>
                <w:t>11</w:t>
              </w:r>
            </w:hyperlink>
          </w:p>
        </w:tc>
      </w:tr>
      <w:tr>
        <w:trPr>
          <w:trHeight w:val="229"/>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5 — Derivatives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19</w:t>
              </w:r>
            </w:hyperlink>
          </w:p>
        </w:tc>
      </w:tr>
      <w:tr>
        <w:trPr>
          <w:trHeight w:val="229"/>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Note 6 — Fair Value</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24</w:t>
              </w:r>
            </w:hyperlink>
          </w:p>
        </w:tc>
      </w:tr>
      <w:tr>
        <w:trPr>
          <w:trHeight w:val="230"/>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Note 7 — Short-term Debt</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33</w:t>
              </w:r>
            </w:hyperlink>
          </w:p>
        </w:tc>
      </w:tr>
      <w:tr>
        <w:trPr>
          <w:trHeight w:val="229"/>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Note 8 — Equity</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33</w:t>
              </w:r>
            </w:hyperlink>
          </w:p>
        </w:tc>
      </w:tr>
      <w:tr>
        <w:trPr>
          <w:trHeight w:val="230"/>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Note 9 — Other Revenues and Other Expenses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35</w:t>
              </w:r>
            </w:hyperlink>
          </w:p>
        </w:tc>
      </w:tr>
      <w:tr>
        <w:trPr>
          <w:trHeight w:val="229"/>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Note 10 — Contingencies, Commitments and Guarantees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35</w:t>
              </w:r>
            </w:hyperlink>
          </w:p>
        </w:tc>
      </w:tr>
      <w:tr>
        <w:trPr>
          <w:trHeight w:val="225"/>
        </w:trPr>
        <w:tc>
          <w:tcPr>
            <w:tcW w:w="1080" w:type="dxa"/>
            <w:vAlign w:val="bottom"/>
          </w:tcPr>
          <w:p>
            <w:pPr>
              <w:spacing w:after="0"/>
              <w:rPr>
                <w:sz w:val="19"/>
                <w:szCs w:val="19"/>
                <w:color w:val="auto"/>
              </w:rPr>
            </w:pPr>
          </w:p>
        </w:tc>
        <w:tc>
          <w:tcPr>
            <w:tcW w:w="9120" w:type="dxa"/>
            <w:vAlign w:val="bottom"/>
          </w:tcPr>
          <w:p>
            <w:pPr>
              <w:ind w:left="5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Note 11 — Related Party Transactions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37</w:t>
              </w:r>
            </w:hyperlink>
          </w:p>
        </w:tc>
      </w:tr>
      <w:tr>
        <w:trPr>
          <w:trHeight w:val="230"/>
        </w:trPr>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Item 2.</w:t>
            </w:r>
          </w:p>
        </w:tc>
        <w:tc>
          <w:tcPr>
            <w:tcW w:w="9120" w:type="dxa"/>
            <w:vAlign w:val="bottom"/>
          </w:tcPr>
          <w:p>
            <w:pPr>
              <w:ind w:left="2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39</w:t>
              </w:r>
            </w:hyperlink>
          </w:p>
        </w:tc>
      </w:tr>
      <w:tr>
        <w:trPr>
          <w:trHeight w:val="234"/>
        </w:trPr>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Item 4.</w:t>
            </w:r>
          </w:p>
        </w:tc>
        <w:tc>
          <w:tcPr>
            <w:tcW w:w="9120" w:type="dxa"/>
            <w:vAlign w:val="bottom"/>
          </w:tcPr>
          <w:p>
            <w:pPr>
              <w:ind w:left="22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Controls and Procedures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r>
      <w:tr>
        <w:trPr>
          <w:trHeight w:val="279"/>
        </w:trPr>
        <w:tc>
          <w:tcPr>
            <w:tcW w:w="10200" w:type="dxa"/>
            <w:vAlign w:val="bottom"/>
            <w:gridSpan w:val="2"/>
          </w:tcPr>
          <w:p>
            <w:pPr>
              <w:ind w:left="2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Part II — Other Information</w:t>
              </w:r>
            </w:hyperlink>
          </w:p>
        </w:tc>
        <w:tc>
          <w:tcPr>
            <w:tcW w:w="1040" w:type="dxa"/>
            <w:vAlign w:val="bottom"/>
          </w:tcPr>
          <w:p>
            <w:pPr>
              <w:spacing w:after="0"/>
              <w:rPr>
                <w:sz w:val="24"/>
                <w:szCs w:val="24"/>
                <w:color w:val="auto"/>
              </w:rPr>
            </w:pPr>
          </w:p>
        </w:tc>
      </w:tr>
      <w:tr>
        <w:trPr>
          <w:trHeight w:val="229"/>
        </w:trPr>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Item 1.</w:t>
            </w:r>
          </w:p>
        </w:tc>
        <w:tc>
          <w:tcPr>
            <w:tcW w:w="9120" w:type="dxa"/>
            <w:vAlign w:val="bottom"/>
          </w:tcPr>
          <w:p>
            <w:pPr>
              <w:ind w:left="22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Legal Proceedings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r>
      <w:tr>
        <w:trPr>
          <w:trHeight w:val="230"/>
        </w:trPr>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Item 1A.</w:t>
            </w:r>
          </w:p>
        </w:tc>
        <w:tc>
          <w:tcPr>
            <w:tcW w:w="9120" w:type="dxa"/>
            <w:vAlign w:val="bottom"/>
          </w:tcPr>
          <w:p>
            <w:pPr>
              <w:ind w:left="22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Risk Factors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r>
      <w:tr>
        <w:trPr>
          <w:trHeight w:val="234"/>
        </w:trPr>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Item 6.</w:t>
            </w:r>
          </w:p>
        </w:tc>
        <w:tc>
          <w:tcPr>
            <w:tcW w:w="9120" w:type="dxa"/>
            <w:vAlign w:val="bottom"/>
          </w:tcPr>
          <w:p>
            <w:pPr>
              <w:ind w:left="22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Exhibits</w:t>
              </w:r>
            </w:hyperlink>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50</w:t>
              </w:r>
            </w:hyperlink>
          </w:p>
        </w:tc>
      </w:tr>
      <w:tr>
        <w:trPr>
          <w:trHeight w:val="283"/>
        </w:trPr>
        <w:tc>
          <w:tcPr>
            <w:tcW w:w="1080" w:type="dxa"/>
            <w:vAlign w:val="bottom"/>
          </w:tcPr>
          <w:p>
            <w:pPr>
              <w:ind w:left="20"/>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Signature</w:t>
              </w:r>
            </w:hyperlink>
          </w:p>
        </w:tc>
        <w:tc>
          <w:tcPr>
            <w:tcW w:w="9120" w:type="dxa"/>
            <w:vAlign w:val="bottom"/>
          </w:tcPr>
          <w:p>
            <w:pPr>
              <w:spacing w:after="0"/>
              <w:rPr>
                <w:sz w:val="24"/>
                <w:szCs w:val="24"/>
                <w:color w:val="auto"/>
              </w:rPr>
            </w:pPr>
          </w:p>
        </w:tc>
        <w:tc>
          <w:tcPr>
            <w:tcW w:w="1040" w:type="dxa"/>
            <w:vAlign w:val="bottom"/>
          </w:tcPr>
          <w:p>
            <w:pPr>
              <w:jc w:val="center"/>
              <w:ind w:right="50"/>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r>
      <w:tr>
        <w:trPr>
          <w:trHeight w:val="1006"/>
        </w:trPr>
        <w:tc>
          <w:tcPr>
            <w:tcW w:w="10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 (Unaudited) and December 31,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0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2"/>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9"/>
              </w:rPr>
              <w:t>Fixed maturity securities available-for-sale, at estimated fair value (amortized cost: $3,055 and $2,897, respectively;</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3,067</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allowance for credit losses of $0 and $0, respectively)</w:t>
            </w:r>
          </w:p>
        </w:tc>
        <w:tc>
          <w:tcPr>
            <w:tcW w:w="2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140" w:type="dxa"/>
            <w:vAlign w:val="bottom"/>
          </w:tcPr>
          <w:p>
            <w:pPr>
              <w:ind w:left="20"/>
              <w:spacing w:after="0"/>
              <w:rPr>
                <w:sz w:val="20"/>
                <w:szCs w:val="20"/>
                <w:color w:val="auto"/>
              </w:rPr>
            </w:pPr>
            <w:r>
              <w:rPr>
                <w:rFonts w:ascii="Arial" w:cs="Arial" w:eastAsia="Arial" w:hAnsi="Arial"/>
                <w:sz w:val="16"/>
                <w:szCs w:val="16"/>
                <w:color w:val="auto"/>
              </w:rPr>
              <w:t>Mortgage loans (net of allowance for credit losses of $4 and $3, respectively)</w:t>
            </w:r>
          </w:p>
        </w:tc>
        <w:tc>
          <w:tcPr>
            <w:tcW w:w="20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investments, principally at estimated fair value</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Other invested assets, principally at estimated fair value</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8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investment income</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policy acquisition costs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4,676</w:t>
            </w:r>
          </w:p>
        </w:tc>
        <w:tc>
          <w:tcPr>
            <w:tcW w:w="0" w:type="dxa"/>
            <w:vAlign w:val="bottom"/>
          </w:tcPr>
          <w:p>
            <w:pPr>
              <w:spacing w:after="0"/>
              <w:rPr>
                <w:sz w:val="1"/>
                <w:szCs w:val="1"/>
                <w:color w:val="auto"/>
              </w:rPr>
            </w:pPr>
          </w:p>
        </w:tc>
      </w:tr>
      <w:tr>
        <w:trPr>
          <w:trHeight w:val="217"/>
        </w:trPr>
        <w:tc>
          <w:tcPr>
            <w:tcW w:w="8140" w:type="dxa"/>
            <w:vAlign w:val="bottom"/>
            <w:vMerge w:val="restart"/>
          </w:tcPr>
          <w:p>
            <w:pPr>
              <w:ind w:left="18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10,204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9,957</w:t>
            </w:r>
          </w:p>
        </w:tc>
        <w:tc>
          <w:tcPr>
            <w:tcW w:w="0" w:type="dxa"/>
            <w:vAlign w:val="bottom"/>
          </w:tcPr>
          <w:p>
            <w:pPr>
              <w:spacing w:after="0"/>
              <w:rPr>
                <w:sz w:val="1"/>
                <w:szCs w:val="1"/>
                <w:color w:val="auto"/>
              </w:rPr>
            </w:pPr>
          </w:p>
        </w:tc>
      </w:tr>
      <w:tr>
        <w:trPr>
          <w:trHeight w:val="33"/>
        </w:trPr>
        <w:tc>
          <w:tcPr>
            <w:tcW w:w="814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Future policy benefits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Policyholder account balances</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policy-related balances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Payables for collateral under derivative transactions</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income tax payable</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Deferred income tax liability</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4,676</w:t>
            </w:r>
          </w:p>
        </w:tc>
        <w:tc>
          <w:tcPr>
            <w:tcW w:w="0" w:type="dxa"/>
            <w:vAlign w:val="bottom"/>
          </w:tcPr>
          <w:p>
            <w:pPr>
              <w:spacing w:after="0"/>
              <w:rPr>
                <w:sz w:val="1"/>
                <w:szCs w:val="1"/>
                <w:color w:val="auto"/>
              </w:rPr>
            </w:pPr>
          </w:p>
        </w:tc>
      </w:tr>
      <w:tr>
        <w:trPr>
          <w:trHeight w:val="33"/>
        </w:trPr>
        <w:tc>
          <w:tcPr>
            <w:tcW w:w="8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8,908</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Contingencies, Commitments and Guarantees (Note 10)</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40" w:type="dxa"/>
            <w:vAlign w:val="bottom"/>
          </w:tcPr>
          <w:p>
            <w:pPr>
              <w:ind w:left="20"/>
              <w:spacing w:after="0"/>
              <w:rPr>
                <w:sz w:val="20"/>
                <w:szCs w:val="20"/>
                <w:color w:val="auto"/>
              </w:rPr>
            </w:pPr>
            <w:r>
              <w:rPr>
                <w:rFonts w:ascii="Arial" w:cs="Arial" w:eastAsia="Arial" w:hAnsi="Arial"/>
                <w:sz w:val="16"/>
                <w:szCs w:val="16"/>
                <w:color w:val="auto"/>
              </w:rPr>
              <w:t>Common stock, par value $10 per share; 200,000 shares authorized, issued and outstanding</w:t>
            </w:r>
          </w:p>
        </w:tc>
        <w:tc>
          <w:tcPr>
            <w:tcW w:w="20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Retained earnings (deficit)</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47"/>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stockholder</w:t>
            </w:r>
            <w:r>
              <w:rPr>
                <w:rFonts w:ascii="Arial" w:cs="Arial" w:eastAsia="Arial" w:hAnsi="Arial"/>
                <w:sz w:val="16"/>
                <w:szCs w:val="16"/>
                <w:b w:val="1"/>
                <w:bCs w:val="1"/>
                <w:color w:val="auto"/>
              </w:rPr>
              <w:t>’</w:t>
            </w:r>
            <w:r>
              <w:rPr>
                <w:rFonts w:ascii="Arial" w:cs="Arial" w:eastAsia="Arial" w:hAnsi="Arial"/>
                <w:sz w:val="16"/>
                <w:szCs w:val="16"/>
                <w:color w:val="auto"/>
              </w:rPr>
              <w:t>s equity</w:t>
            </w:r>
          </w:p>
        </w:tc>
        <w:tc>
          <w:tcPr>
            <w:tcW w:w="2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78"/>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w:t>
            </w:r>
            <w:r>
              <w:rPr>
                <w:rFonts w:ascii="Arial" w:cs="Arial" w:eastAsia="Arial" w:hAnsi="Arial"/>
                <w:sz w:val="16"/>
                <w:szCs w:val="16"/>
                <w:b w:val="1"/>
                <w:bCs w:val="1"/>
                <w:color w:val="auto"/>
              </w:rPr>
              <w:t>’</w:t>
            </w:r>
            <w:r>
              <w:rPr>
                <w:rFonts w:ascii="Arial" w:cs="Arial" w:eastAsia="Arial" w:hAnsi="Arial"/>
                <w:sz w:val="16"/>
                <w:szCs w:val="16"/>
                <w:color w:val="auto"/>
              </w:rPr>
              <w:t>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10,204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9,957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See accompanying notes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Interim Condensed Statements of Operations and Comprehensive Income (Loss)</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For the Three Months and Six Months Ended June 30, 2020 and 2019 (Unaudited)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90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540" w:type="dxa"/>
            <w:vAlign w:val="bottom"/>
          </w:tcPr>
          <w:p>
            <w:pPr>
              <w:ind w:left="20"/>
              <w:spacing w:after="0"/>
              <w:rPr>
                <w:sz w:val="20"/>
                <w:szCs w:val="20"/>
                <w:color w:val="auto"/>
              </w:rPr>
            </w:pPr>
            <w:r>
              <w:rPr>
                <w:rFonts w:ascii="Arial" w:cs="Arial" w:eastAsia="Arial" w:hAnsi="Arial"/>
                <w:sz w:val="16"/>
                <w:szCs w:val="16"/>
                <w:color w:val="auto"/>
              </w:rPr>
              <w:t>Premiums</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700" w:type="dxa"/>
            <w:vAlign w:val="bottom"/>
          </w:tcPr>
          <w:p>
            <w:pPr>
              <w:jc w:val="right"/>
              <w:ind w:right="52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54"/>
        </w:trPr>
        <w:tc>
          <w:tcPr>
            <w:tcW w:w="654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700" w:type="dxa"/>
            <w:vAlign w:val="bottom"/>
          </w:tcPr>
          <w:p>
            <w:pPr>
              <w:spacing w:after="0"/>
              <w:rPr>
                <w:sz w:val="22"/>
                <w:szCs w:val="22"/>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1"/>
              </w:rPr>
              <w:t>(18)</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4"/>
        </w:trPr>
        <w:tc>
          <w:tcPr>
            <w:tcW w:w="654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700" w:type="dxa"/>
            <w:vAlign w:val="bottom"/>
          </w:tcPr>
          <w:p>
            <w:pPr>
              <w:spacing w:after="0"/>
              <w:rPr>
                <w:sz w:val="22"/>
                <w:szCs w:val="22"/>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7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0"/>
        </w:trPr>
        <w:tc>
          <w:tcPr>
            <w:tcW w:w="654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700" w:type="dxa"/>
            <w:vAlign w:val="bottom"/>
          </w:tcPr>
          <w:p>
            <w:pPr>
              <w:spacing w:after="0"/>
              <w:rPr>
                <w:sz w:val="21"/>
                <w:szCs w:val="21"/>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54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700" w:type="dxa"/>
            <w:vAlign w:val="bottom"/>
          </w:tcPr>
          <w:p>
            <w:pPr>
              <w:spacing w:after="0"/>
              <w:rPr>
                <w:sz w:val="22"/>
                <w:szCs w:val="22"/>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3"/>
        </w:trPr>
        <w:tc>
          <w:tcPr>
            <w:tcW w:w="6540" w:type="dxa"/>
            <w:vAlign w:val="bottom"/>
          </w:tcPr>
          <w:p>
            <w:pPr>
              <w:ind w:left="20"/>
              <w:spacing w:after="0"/>
              <w:rPr>
                <w:sz w:val="20"/>
                <w:szCs w:val="20"/>
                <w:color w:val="auto"/>
              </w:rPr>
            </w:pPr>
            <w:r>
              <w:rPr>
                <w:rFonts w:ascii="Arial" w:cs="Arial" w:eastAsia="Arial" w:hAnsi="Arial"/>
                <w:sz w:val="15"/>
                <w:szCs w:val="15"/>
                <w:color w:val="auto"/>
              </w:rPr>
              <w:t>Amortization of deferred policy acquisition costs</w:t>
            </w:r>
          </w:p>
        </w:tc>
        <w:tc>
          <w:tcPr>
            <w:tcW w:w="700" w:type="dxa"/>
            <w:vAlign w:val="bottom"/>
          </w:tcPr>
          <w:p>
            <w:pPr>
              <w:spacing w:after="0"/>
              <w:rPr>
                <w:sz w:val="21"/>
                <w:szCs w:val="21"/>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8"/>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7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5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8"/>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00" w:type="dxa"/>
            <w:vAlign w:val="bottom"/>
            <w:tcBorders>
              <w:bottom w:val="single" w:sz="8" w:color="CCEEFF"/>
            </w:tcBorders>
            <w:shd w:val="clear" w:color="auto" w:fill="CCEEFF"/>
          </w:tcPr>
          <w:p>
            <w:pPr>
              <w:jc w:val="right"/>
              <w:ind w:right="5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restart"/>
          </w:tcPr>
          <w:p>
            <w:pPr>
              <w:ind w:left="180"/>
              <w:spacing w:after="0"/>
              <w:rPr>
                <w:sz w:val="20"/>
                <w:szCs w:val="20"/>
                <w:color w:val="auto"/>
              </w:rPr>
            </w:pPr>
            <w:r>
              <w:rPr>
                <w:rFonts w:ascii="Arial" w:cs="Arial" w:eastAsia="Arial" w:hAnsi="Arial"/>
                <w:sz w:val="16"/>
                <w:szCs w:val="16"/>
                <w:color w:val="auto"/>
              </w:rPr>
              <w:t>Comprehensive income (loss)</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w w:val="82"/>
              </w:rPr>
              <w:t>154</w:t>
            </w:r>
          </w:p>
        </w:tc>
        <w:tc>
          <w:tcPr>
            <w:tcW w:w="100" w:type="dxa"/>
            <w:vAlign w:val="bottom"/>
          </w:tcPr>
          <w:p>
            <w:pPr>
              <w:spacing w:after="0"/>
              <w:rPr>
                <w:sz w:val="17"/>
                <w:szCs w:val="17"/>
                <w:color w:val="auto"/>
              </w:rPr>
            </w:pPr>
          </w:p>
        </w:tc>
        <w:tc>
          <w:tcPr>
            <w:tcW w:w="700" w:type="dxa"/>
            <w:vAlign w:val="bottom"/>
          </w:tcPr>
          <w:p>
            <w:pPr>
              <w:jc w:val="right"/>
              <w:ind w:right="52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6540" w:type="dxa"/>
            <w:vAlign w:val="bottom"/>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See accompanying notes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Six Months Ended June 30, 2020 and 2019 (Unaudited)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040" w:type="dxa"/>
            <w:vAlign w:val="bottom"/>
            <w:vMerge w:val="restart"/>
          </w:tcPr>
          <w:p>
            <w:pPr>
              <w:jc w:val="center"/>
              <w:ind w:left="224"/>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04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(Deficit)</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06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040" w:type="dxa"/>
            <w:vAlign w:val="bottom"/>
            <w:tcBorders>
              <w:top w:val="single" w:sz="8" w:color="auto"/>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income tax</w:t>
            </w: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452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income tax</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4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040" w:type="dxa"/>
            <w:vAlign w:val="bottom"/>
            <w:vMerge w:val="restart"/>
          </w:tcPr>
          <w:p>
            <w:pPr>
              <w:jc w:val="center"/>
              <w:ind w:left="224"/>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104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(Deficit)</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06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040" w:type="dxa"/>
            <w:vAlign w:val="bottom"/>
            <w:tcBorders>
              <w:top w:val="single" w:sz="8" w:color="auto"/>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color w:val="auto"/>
              </w:rPr>
              <w:t>Capital contribution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income tax</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income tax</w:t>
            </w: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7"/>
        </w:trPr>
        <w:tc>
          <w:tcPr>
            <w:tcW w:w="4520" w:type="dxa"/>
            <w:vAlign w:val="bottom"/>
          </w:tcPr>
          <w:p>
            <w:pPr>
              <w:ind w:left="20"/>
              <w:spacing w:after="0"/>
              <w:rPr>
                <w:sz w:val="20"/>
                <w:szCs w:val="20"/>
                <w:color w:val="auto"/>
              </w:rPr>
            </w:pPr>
            <w:r>
              <w:rPr>
                <w:rFonts w:ascii="Arial" w:cs="Arial" w:eastAsia="Arial" w:hAnsi="Arial"/>
                <w:sz w:val="16"/>
                <w:szCs w:val="16"/>
                <w:color w:val="auto"/>
              </w:rPr>
              <w:t>Balance at June 30, 2019</w:t>
            </w:r>
          </w:p>
        </w:tc>
        <w:tc>
          <w:tcPr>
            <w:tcW w:w="104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See accompanying notes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 (Unaudited)</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261"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13335</wp:posOffset>
            </wp:positionV>
            <wp:extent cx="1868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maturities and repayments of:</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120"/>
              <w:spacing w:after="0"/>
              <w:rPr>
                <w:sz w:val="20"/>
                <w:szCs w:val="20"/>
                <w:color w:val="auto"/>
              </w:rPr>
            </w:pPr>
            <w:r>
              <w:rPr>
                <w:rFonts w:ascii="Arial" w:cs="Arial" w:eastAsia="Arial" w:hAnsi="Arial"/>
                <w:sz w:val="16"/>
                <w:szCs w:val="16"/>
                <w:color w:val="auto"/>
              </w:rPr>
              <w:t>Fixed maturity securities</w:t>
            </w:r>
          </w:p>
        </w:tc>
        <w:tc>
          <w:tcPr>
            <w:tcW w:w="90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Mortgage loans</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Arial" w:cs="Arial" w:eastAsia="Arial" w:hAnsi="Arial"/>
                <w:sz w:val="16"/>
                <w:szCs w:val="16"/>
                <w:color w:val="auto"/>
              </w:rPr>
              <w:t>Purchases of:</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Fixed maturity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23"/>
        </w:trPr>
        <w:tc>
          <w:tcPr>
            <w:tcW w:w="8300" w:type="dxa"/>
            <w:vAlign w:val="bottom"/>
          </w:tcPr>
          <w:p>
            <w:pPr>
              <w:ind w:left="120"/>
              <w:spacing w:after="0"/>
              <w:rPr>
                <w:sz w:val="20"/>
                <w:szCs w:val="20"/>
                <w:color w:val="auto"/>
              </w:rPr>
            </w:pPr>
            <w:r>
              <w:rPr>
                <w:rFonts w:ascii="Arial" w:cs="Arial" w:eastAsia="Arial" w:hAnsi="Arial"/>
                <w:sz w:val="16"/>
                <w:szCs w:val="16"/>
                <w:color w:val="auto"/>
              </w:rPr>
              <w:t>Mortgage loans</w:t>
            </w: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received in connection with freestanding derivatives</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Arial" w:cs="Arial" w:eastAsia="Arial" w:hAnsi="Arial"/>
                <w:sz w:val="16"/>
                <w:szCs w:val="16"/>
                <w:color w:val="auto"/>
              </w:rPr>
              <w:t>Cash paid in connection with freestanding derivatives</w:t>
            </w: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short-term investments</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6"/>
                <w:szCs w:val="16"/>
                <w:color w:val="auto"/>
              </w:rPr>
              <w:t>Net change in other invested assets</w:t>
            </w:r>
          </w:p>
        </w:tc>
        <w:tc>
          <w:tcPr>
            <w:tcW w:w="90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00" w:type="dxa"/>
            <w:vAlign w:val="bottom"/>
          </w:tcPr>
          <w:p>
            <w:pPr>
              <w:ind w:left="120"/>
              <w:spacing w:after="0"/>
              <w:rPr>
                <w:sz w:val="20"/>
                <w:szCs w:val="20"/>
                <w:color w:val="auto"/>
              </w:rPr>
            </w:pPr>
            <w:r>
              <w:rPr>
                <w:rFonts w:ascii="Arial" w:cs="Arial" w:eastAsia="Arial" w:hAnsi="Arial"/>
                <w:sz w:val="16"/>
                <w:szCs w:val="16"/>
                <w:color w:val="auto"/>
              </w:rPr>
              <w:t>Deposits</w:t>
            </w:r>
          </w:p>
        </w:tc>
        <w:tc>
          <w:tcPr>
            <w:tcW w:w="90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Withdrawals</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6"/>
                <w:szCs w:val="16"/>
                <w:color w:val="auto"/>
              </w:rPr>
              <w:t>Net change in payables for collateral under derivative transactions</w:t>
            </w:r>
          </w:p>
        </w:tc>
        <w:tc>
          <w:tcPr>
            <w:tcW w:w="90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debt issued</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6"/>
                <w:szCs w:val="16"/>
                <w:color w:val="auto"/>
              </w:rPr>
              <w:t>Short-term debt repaid</w:t>
            </w:r>
          </w:p>
        </w:tc>
        <w:tc>
          <w:tcPr>
            <w:tcW w:w="9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contribution</w:t>
            </w: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830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0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paid (received) for:</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300" w:type="dxa"/>
            <w:vAlign w:val="bottom"/>
          </w:tcPr>
          <w:p>
            <w:pPr>
              <w:ind w:left="120"/>
              <w:spacing w:after="0"/>
              <w:rPr>
                <w:sz w:val="20"/>
                <w:szCs w:val="20"/>
                <w:color w:val="auto"/>
              </w:rPr>
            </w:pPr>
            <w:r>
              <w:rPr>
                <w:rFonts w:ascii="Arial" w:cs="Arial" w:eastAsia="Arial" w:hAnsi="Arial"/>
                <w:sz w:val="16"/>
                <w:szCs w:val="16"/>
                <w:color w:val="auto"/>
              </w:rPr>
              <w:t>Interest</w:t>
            </w:r>
          </w:p>
        </w:tc>
        <w:tc>
          <w:tcPr>
            <w:tcW w:w="9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960"/>
        <w:spacing w:after="0" w:line="377"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spacing w:after="0" w:line="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“BHNY” and the “Company” refer to Brighthouse Life Insurance Company of NY, a New York domiciled life insurance company. Brighthouse Life Insurance Company of NY is a wholly-owned subsidiary of Brighthouse Life Insurance Company, which is an indirect wholly-owned subsidiary of Brighthouse Financial, Inc. (“BHF” together with its subsidiaries and affiliates, “Brighthouse Financial”). The Company is licensed to transact business in the state of New York.</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BHNY markets and/or administers traditional life, universal life, variable annuity and fixed annuity products to individuals. The Company is organized into two segments: Annuities and Life. In addition, the Company reports certain of its results of operations in Corporate &amp;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right="40" w:firstLine="324"/>
        <w:spacing w:after="0" w:line="308" w:lineRule="auto"/>
        <w:rPr>
          <w:sz w:val="20"/>
          <w:szCs w:val="20"/>
          <w:color w:val="auto"/>
        </w:rPr>
      </w:pPr>
      <w:r>
        <w:rPr>
          <w:rFonts w:ascii="Arial" w:cs="Arial" w:eastAsia="Arial" w:hAnsi="Arial"/>
          <w:sz w:val="17"/>
          <w:szCs w:val="17"/>
          <w:color w:val="auto"/>
        </w:rPr>
        <w:t>Certain amounts in the prior year periods’ interim condensed financial statements and related footnotes thereto have been reclassified to conform with the current period presentation as may be discussed when applicable in the Notes to the Interim Condensed Financial Statements.</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Since the Company is a member of a controlled group of affiliated companies, its results may not be indicative of those of a stand-alone entity.</w:t>
      </w:r>
    </w:p>
    <w:p>
      <w:pPr>
        <w:spacing w:after="0" w:line="129" w:lineRule="exact"/>
        <w:rPr>
          <w:sz w:val="20"/>
          <w:szCs w:val="20"/>
          <w:color w:val="auto"/>
        </w:rPr>
      </w:pPr>
    </w:p>
    <w:p>
      <w:pPr>
        <w:jc w:val="both"/>
        <w:ind w:left="180" w:right="20" w:firstLine="324"/>
        <w:spacing w:after="0" w:line="273" w:lineRule="auto"/>
        <w:rPr>
          <w:sz w:val="20"/>
          <w:szCs w:val="20"/>
          <w:color w:val="auto"/>
        </w:rPr>
      </w:pPr>
      <w:r>
        <w:rPr>
          <w:rFonts w:ascii="Arial" w:cs="Arial" w:eastAsia="Arial" w:hAnsi="Arial"/>
          <w:sz w:val="17"/>
          <w:szCs w:val="17"/>
          <w:color w:val="auto"/>
        </w:rPr>
        <w:t>The accompanying interim condensed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2019 balance sheet data was derived from audited financial statements included in Brighthouse Life Insurance Company of NY’s Annual Report on Form 10-K for the year ended December 31, 2019 (the “2019 Annual Report”), which include all disclosures required by GAAP. Therefore, these interim condensed financial statements should be read in conjunction with the financial statements of the Company included in the 2019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financial statements. ASUs adopted as of June 30, 2020 are summarized as follows:</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16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Effective Date</w:t>
            </w:r>
          </w:p>
        </w:tc>
        <w:tc>
          <w:tcPr>
            <w:tcW w:w="2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Impact on Financial Statements</w:t>
            </w:r>
          </w:p>
        </w:tc>
        <w:tc>
          <w:tcPr>
            <w:tcW w:w="0" w:type="dxa"/>
            <w:vAlign w:val="bottom"/>
          </w:tcPr>
          <w:p>
            <w:pPr>
              <w:spacing w:after="0"/>
              <w:rPr>
                <w:sz w:val="1"/>
                <w:szCs w:val="1"/>
                <w:color w:val="auto"/>
              </w:rPr>
            </w:pPr>
          </w:p>
        </w:tc>
      </w:tr>
      <w:tr>
        <w:trPr>
          <w:trHeight w:val="3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ASU 2016-13, Financial</w:t>
            </w:r>
          </w:p>
        </w:tc>
        <w:tc>
          <w:tcPr>
            <w:tcW w:w="4440" w:type="dxa"/>
            <w:vAlign w:val="bottom"/>
            <w:tcBorders>
              <w:right w:val="single" w:sz="8" w:color="auto"/>
            </w:tcBorders>
          </w:tcPr>
          <w:p>
            <w:pPr>
              <w:spacing w:after="0" w:line="169" w:lineRule="exact"/>
              <w:rPr>
                <w:sz w:val="20"/>
                <w:szCs w:val="20"/>
                <w:color w:val="auto"/>
              </w:rPr>
            </w:pPr>
            <w:r>
              <w:rPr>
                <w:rFonts w:ascii="Arial" w:cs="Arial" w:eastAsia="Arial" w:hAnsi="Arial"/>
                <w:sz w:val="16"/>
                <w:szCs w:val="16"/>
                <w:color w:val="auto"/>
                <w:w w:val="91"/>
              </w:rPr>
              <w:t>The amendments to Topic 326 replace the incurred loss impairment</w:t>
            </w:r>
          </w:p>
        </w:tc>
        <w:tc>
          <w:tcPr>
            <w:tcW w:w="1620" w:type="dxa"/>
            <w:vAlign w:val="bottom"/>
            <w:tcBorders>
              <w:right w:val="single" w:sz="8" w:color="auto"/>
            </w:tcBorders>
          </w:tcPr>
          <w:p>
            <w:pPr>
              <w:spacing w:after="0" w:line="169" w:lineRule="exact"/>
              <w:rPr>
                <w:sz w:val="20"/>
                <w:szCs w:val="20"/>
                <w:color w:val="auto"/>
              </w:rPr>
            </w:pPr>
            <w:r>
              <w:rPr>
                <w:rFonts w:ascii="Arial" w:cs="Arial" w:eastAsia="Arial" w:hAnsi="Arial"/>
                <w:sz w:val="16"/>
                <w:szCs w:val="16"/>
                <w:color w:val="auto"/>
              </w:rPr>
              <w:t>January 1, 2020 using</w:t>
            </w:r>
          </w:p>
        </w:tc>
        <w:tc>
          <w:tcPr>
            <w:tcW w:w="29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The Company recorded an after tax net</w:t>
            </w:r>
          </w:p>
        </w:tc>
        <w:tc>
          <w:tcPr>
            <w:tcW w:w="0" w:type="dxa"/>
            <w:vAlign w:val="bottom"/>
          </w:tcPr>
          <w:p>
            <w:pPr>
              <w:spacing w:after="0"/>
              <w:rPr>
                <w:sz w:val="1"/>
                <w:szCs w:val="1"/>
                <w:color w:val="auto"/>
              </w:rPr>
            </w:pPr>
          </w:p>
        </w:tc>
      </w:tr>
      <w:tr>
        <w:trPr>
          <w:trHeight w:val="152"/>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Instruments-Credit Losses</w:t>
            </w:r>
          </w:p>
        </w:tc>
        <w:tc>
          <w:tcPr>
            <w:tcW w:w="4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methodology for certain financial instruments with one that reflects</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the modified</w:t>
            </w:r>
          </w:p>
        </w:tc>
        <w:tc>
          <w:tcPr>
            <w:tcW w:w="298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w w:val="92"/>
              </w:rPr>
              <w:t>increase to retained earnings of less than $1</w:t>
            </w:r>
          </w:p>
        </w:tc>
        <w:tc>
          <w:tcPr>
            <w:tcW w:w="0" w:type="dxa"/>
            <w:vAlign w:val="bottom"/>
          </w:tcPr>
          <w:p>
            <w:pPr>
              <w:spacing w:after="0"/>
              <w:rPr>
                <w:sz w:val="1"/>
                <w:szCs w:val="1"/>
                <w:color w:val="auto"/>
              </w:rPr>
            </w:pPr>
          </w:p>
        </w:tc>
      </w:tr>
      <w:tr>
        <w:trPr>
          <w:trHeight w:val="95"/>
        </w:trPr>
        <w:tc>
          <w:tcPr>
            <w:tcW w:w="2220" w:type="dxa"/>
            <w:vAlign w:val="bottom"/>
            <w:tcBorders>
              <w:left w:val="single" w:sz="8" w:color="auto"/>
              <w:right w:val="single" w:sz="8" w:color="auto"/>
            </w:tcBorders>
            <w:vMerge w:val="continue"/>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29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million for the cumulative effect of</w:t>
            </w:r>
          </w:p>
        </w:tc>
        <w:tc>
          <w:tcPr>
            <w:tcW w:w="0" w:type="dxa"/>
            <w:vAlign w:val="bottom"/>
          </w:tcPr>
          <w:p>
            <w:pPr>
              <w:spacing w:after="0"/>
              <w:rPr>
                <w:sz w:val="1"/>
                <w:szCs w:val="1"/>
                <w:color w:val="auto"/>
              </w:rPr>
            </w:pPr>
          </w:p>
        </w:tc>
      </w:tr>
      <w:tr>
        <w:trPr>
          <w:trHeight w:val="68"/>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(Topic 326): Measurement of</w:t>
            </w:r>
          </w:p>
        </w:tc>
        <w:tc>
          <w:tcPr>
            <w:tcW w:w="4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expected credit losses based on historical loss information, current</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retrospective method</w:t>
            </w:r>
          </w:p>
        </w:tc>
        <w:tc>
          <w:tcPr>
            <w:tcW w:w="2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right w:val="single" w:sz="8" w:color="auto"/>
            </w:tcBorders>
            <w:vMerge w:val="continue"/>
          </w:tcPr>
          <w:p>
            <w:pPr>
              <w:spacing w:after="0"/>
              <w:rPr>
                <w:sz w:val="11"/>
                <w:szCs w:val="11"/>
                <w:color w:val="auto"/>
              </w:rPr>
            </w:pPr>
          </w:p>
        </w:tc>
        <w:tc>
          <w:tcPr>
            <w:tcW w:w="44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29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adoption. The adjustment included</w:t>
            </w:r>
          </w:p>
        </w:tc>
        <w:tc>
          <w:tcPr>
            <w:tcW w:w="0" w:type="dxa"/>
            <w:vAlign w:val="bottom"/>
          </w:tcPr>
          <w:p>
            <w:pPr>
              <w:spacing w:after="0"/>
              <w:rPr>
                <w:sz w:val="1"/>
                <w:szCs w:val="1"/>
                <w:color w:val="auto"/>
              </w:rPr>
            </w:pPr>
          </w:p>
        </w:tc>
      </w:tr>
      <w:tr>
        <w:trPr>
          <w:trHeight w:val="27"/>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Credit Losses on Financial</w:t>
            </w:r>
          </w:p>
        </w:tc>
        <w:tc>
          <w:tcPr>
            <w:tcW w:w="4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conditions, and reasonable and supportable forecasts. The new</w:t>
            </w:r>
          </w:p>
        </w:tc>
        <w:tc>
          <w:tcPr>
            <w:tcW w:w="1620" w:type="dxa"/>
            <w:vAlign w:val="bottom"/>
            <w:tcBorders>
              <w:right w:val="single" w:sz="8" w:color="auto"/>
            </w:tcBorders>
          </w:tcPr>
          <w:p>
            <w:pPr>
              <w:spacing w:after="0"/>
              <w:rPr>
                <w:sz w:val="2"/>
                <w:szCs w:val="2"/>
                <w:color w:val="auto"/>
              </w:rPr>
            </w:pPr>
          </w:p>
        </w:tc>
        <w:tc>
          <w:tcPr>
            <w:tcW w:w="29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20" w:type="dxa"/>
            <w:vAlign w:val="bottom"/>
            <w:tcBorders>
              <w:left w:val="single" w:sz="8" w:color="auto"/>
              <w:right w:val="single" w:sz="8" w:color="auto"/>
            </w:tcBorders>
            <w:vMerge w:val="continue"/>
          </w:tcPr>
          <w:p>
            <w:pPr>
              <w:spacing w:after="0"/>
              <w:rPr>
                <w:sz w:val="14"/>
                <w:szCs w:val="14"/>
                <w:color w:val="auto"/>
              </w:rPr>
            </w:pPr>
          </w:p>
        </w:tc>
        <w:tc>
          <w:tcPr>
            <w:tcW w:w="444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9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9"/>
              </w:rPr>
              <w:t>establishing or updating the allowance for</w:t>
            </w:r>
          </w:p>
        </w:tc>
        <w:tc>
          <w:tcPr>
            <w:tcW w:w="0" w:type="dxa"/>
            <w:vAlign w:val="bottom"/>
          </w:tcPr>
          <w:p>
            <w:pPr>
              <w:spacing w:after="0"/>
              <w:rPr>
                <w:sz w:val="1"/>
                <w:szCs w:val="1"/>
                <w:color w:val="auto"/>
              </w:rPr>
            </w:pPr>
          </w:p>
        </w:tc>
      </w:tr>
      <w:tr>
        <w:trPr>
          <w:trHeight w:val="172"/>
        </w:trPr>
        <w:tc>
          <w:tcPr>
            <w:tcW w:w="222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Instruments</w:t>
            </w:r>
          </w:p>
        </w:tc>
        <w:tc>
          <w:tcPr>
            <w:tcW w:w="4440" w:type="dxa"/>
            <w:vAlign w:val="bottom"/>
            <w:tcBorders>
              <w:right w:val="single" w:sz="8" w:color="auto"/>
            </w:tcBorders>
          </w:tcPr>
          <w:p>
            <w:pPr>
              <w:spacing w:after="0" w:line="172" w:lineRule="exact"/>
              <w:rPr>
                <w:sz w:val="20"/>
                <w:szCs w:val="20"/>
                <w:color w:val="auto"/>
              </w:rPr>
            </w:pPr>
            <w:r>
              <w:rPr>
                <w:rFonts w:ascii="Arial" w:cs="Arial" w:eastAsia="Arial" w:hAnsi="Arial"/>
                <w:sz w:val="16"/>
                <w:szCs w:val="16"/>
                <w:color w:val="auto"/>
                <w:w w:val="92"/>
              </w:rPr>
              <w:t>guidance also requires that an other-than-temporary impairment on</w:t>
            </w:r>
          </w:p>
        </w:tc>
        <w:tc>
          <w:tcPr>
            <w:tcW w:w="1620" w:type="dxa"/>
            <w:vAlign w:val="bottom"/>
            <w:tcBorders>
              <w:right w:val="single" w:sz="8" w:color="auto"/>
            </w:tcBorders>
          </w:tcPr>
          <w:p>
            <w:pPr>
              <w:spacing w:after="0"/>
              <w:rPr>
                <w:sz w:val="14"/>
                <w:szCs w:val="14"/>
                <w:color w:val="auto"/>
              </w:rPr>
            </w:pPr>
          </w:p>
        </w:tc>
        <w:tc>
          <w:tcPr>
            <w:tcW w:w="298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rPr>
              <w:t>credit losses on fixed maturity securities,</w:t>
            </w: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a debt security will be recognized as an allowance going forward,</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mortgage loans, and other invested assets.</w:t>
            </w:r>
          </w:p>
        </w:tc>
        <w:tc>
          <w:tcPr>
            <w:tcW w:w="0" w:type="dxa"/>
            <w:vAlign w:val="bottom"/>
          </w:tcPr>
          <w:p>
            <w:pPr>
              <w:spacing w:after="0"/>
              <w:rPr>
                <w:sz w:val="1"/>
                <w:szCs w:val="1"/>
                <w:color w:val="auto"/>
              </w:rPr>
            </w:pPr>
          </w:p>
        </w:tc>
      </w:tr>
      <w:tr>
        <w:trPr>
          <w:trHeight w:val="44"/>
        </w:trPr>
        <w:tc>
          <w:tcPr>
            <w:tcW w:w="2220" w:type="dxa"/>
            <w:vAlign w:val="bottom"/>
            <w:tcBorders>
              <w:left w:val="single" w:sz="8" w:color="auto"/>
              <w:right w:val="single" w:sz="8" w:color="auto"/>
            </w:tcBorders>
          </w:tcPr>
          <w:p>
            <w:pPr>
              <w:spacing w:after="0"/>
              <w:rPr>
                <w:sz w:val="3"/>
                <w:szCs w:val="3"/>
                <w:color w:val="auto"/>
              </w:rPr>
            </w:pPr>
          </w:p>
        </w:tc>
        <w:tc>
          <w:tcPr>
            <w:tcW w:w="4440" w:type="dxa"/>
            <w:vAlign w:val="bottom"/>
            <w:tcBorders>
              <w:right w:val="single" w:sz="8" w:color="auto"/>
            </w:tcBorders>
            <w:vMerge w:val="continue"/>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29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such that improvements in expected future cash flows after an</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impairment will no longer be reflected as a prospective yield</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adjustment through net investment income, but rather a reversal of</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previous impairment and recognized through realized</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investment gains and losses.</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34" w:right="31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ind w:left="340" w:right="4040" w:hanging="332"/>
        <w:spacing w:after="0" w:line="716" w:lineRule="auto"/>
        <w:tabs>
          <w:tab w:leader="none" w:pos="19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Basis of Presentation and Summary of Significant Accounting Policies (continued) </w:t>
      </w:r>
      <w:r>
        <w:rPr>
          <w:rFonts w:ascii="Arial" w:cs="Arial" w:eastAsia="Arial" w:hAnsi="Arial"/>
          <w:sz w:val="16"/>
          <w:szCs w:val="16"/>
          <w:color w:val="auto"/>
        </w:rPr>
        <w:t>ASUs issued but not yet adopted as of June 30, 2020 are summarized as follows</w:t>
      </w:r>
      <w:r>
        <w:rPr>
          <w:rFonts w:ascii="Arial" w:cs="Arial" w:eastAsia="Arial" w:hAnsi="Arial"/>
          <w:sz w:val="16"/>
          <w:szCs w:val="16"/>
          <w:b w:val="1"/>
          <w:bCs w:val="1"/>
          <w:color w:val="auto"/>
        </w:rPr>
        <w:t>:</w:t>
      </w:r>
    </w:p>
    <w:tbl>
      <w:tblPr>
        <w:tblLayout w:type="fixed"/>
        <w:tblInd w:w="10" w:type="dxa"/>
        <w:tblCellMar>
          <w:top w:w="0" w:type="dxa"/>
          <w:left w:w="0" w:type="dxa"/>
          <w:bottom w:w="0" w:type="dxa"/>
          <w:right w:w="0" w:type="dxa"/>
        </w:tblCellMar>
      </w:tblPr>
      <w:tr>
        <w:trPr>
          <w:trHeight w:val="218"/>
        </w:trPr>
        <w:tc>
          <w:tcPr>
            <w:tcW w:w="2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c>
          <w:tcPr>
            <w:tcW w:w="16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Effective Date</w:t>
            </w:r>
          </w:p>
        </w:tc>
        <w:tc>
          <w:tcPr>
            <w:tcW w:w="2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13"/>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2018-12, Financial</w:t>
            </w: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The amendments to Topic 944 will result in significant changes to</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amendments are</w:t>
            </w: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The Company continues to evaluate the new</w:t>
            </w:r>
          </w:p>
        </w:tc>
      </w:tr>
      <w:tr>
        <w:trPr>
          <w:trHeight w:val="203"/>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Services-Insurance (Topic 944):</w:t>
            </w: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accounting for long-duration insurance contracts. These</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currently effective for</w:t>
            </w: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guidance and therefore is unable to estimate</w:t>
            </w:r>
          </w:p>
        </w:tc>
      </w:tr>
      <w:tr>
        <w:trPr>
          <w:trHeight w:val="203"/>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Targeted Improvements to the</w:t>
            </w: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changes (1) require all guarantees that qualify as market risk</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Company on</w:t>
            </w: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the impact to its financial statements. The</w:t>
            </w:r>
          </w:p>
        </w:tc>
      </w:tr>
      <w:tr>
        <w:trPr>
          <w:trHeight w:val="203"/>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Accounting for Long-Duration</w:t>
            </w: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benefits to be measured at fair value, (2) require more frequent</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January 1, 2022. On</w:t>
            </w: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most significant impact is expected to be the</w:t>
            </w:r>
          </w:p>
        </w:tc>
      </w:tr>
      <w:tr>
        <w:trPr>
          <w:trHeight w:val="203"/>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Contracts</w:t>
            </w: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updating of assumptions and modify existing discount rate</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July 7, the FASB</w:t>
            </w: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measurement of liabilities for variable</w:t>
            </w: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requirements for certain insurance liabilities, (3) modify the</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released an exposure</w:t>
            </w: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annuity guarantees.</w:t>
            </w: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methods of amortization for deferred policy acquisition costs</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draft which if adopted,</w:t>
            </w:r>
          </w:p>
        </w:tc>
        <w:tc>
          <w:tcPr>
            <w:tcW w:w="298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(“DAC”), and (4) require new qualitative and quantitative</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will change the</w:t>
            </w:r>
          </w:p>
        </w:tc>
        <w:tc>
          <w:tcPr>
            <w:tcW w:w="298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4"/>
              </w:rPr>
              <w:t>disclosures around insurance contract asset and liability balances</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effective date of the</w:t>
            </w:r>
          </w:p>
        </w:tc>
        <w:tc>
          <w:tcPr>
            <w:tcW w:w="298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and the judgments, assumptions and methods used to measure</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2"/>
              </w:rPr>
              <w:t>amendments to January</w:t>
            </w:r>
          </w:p>
        </w:tc>
        <w:tc>
          <w:tcPr>
            <w:tcW w:w="298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4"/>
              </w:rPr>
              <w:t>those balances. The market risk benefit guidance is required to be</w:t>
            </w:r>
          </w:p>
        </w:tc>
        <w:tc>
          <w:tcPr>
            <w:tcW w:w="16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1, 2023.</w:t>
            </w:r>
          </w:p>
        </w:tc>
        <w:tc>
          <w:tcPr>
            <w:tcW w:w="298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applied on a retrospective basis, while the changes to guidance for</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insurance liabilities and DAC may be applied to existing carrying</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r>
      <w:tr>
        <w:trPr>
          <w:trHeight w:val="206"/>
        </w:trPr>
        <w:tc>
          <w:tcPr>
            <w:tcW w:w="2220" w:type="dxa"/>
            <w:vAlign w:val="bottom"/>
            <w:tcBorders>
              <w:left w:val="single" w:sz="8" w:color="auto"/>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amounts on the effective date or on a retrospective basis.</w:t>
            </w:r>
          </w:p>
        </w:tc>
        <w:tc>
          <w:tcPr>
            <w:tcW w:w="16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r>
      <w:tr>
        <w:trPr>
          <w:trHeight w:val="3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CARES Act</w:t>
      </w:r>
    </w:p>
    <w:p>
      <w:pPr>
        <w:spacing w:after="0" w:line="11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In response to the worldwide pandemic sparked by the novel coronavirus (the “COVID-19 pandemic”), on March 27, 2020, Congress enacted the Coronavirus Aid, Relief, and Economic Security Act (the “CARES Act”). The CARES Act contains numerous provisions intended to provide swift aid, including through tax relief, to businesses and individuals affected by the COVID-19 pandemic. The Company does not believe that the CARES Act will have a material impact to its financial statements at this time. The Company will continue to closely monitor developments related to the COVID-19 pandemic and the CARES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organized into two segments: Annuities and Life.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ind w:left="180" w:right="4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whole and universal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ind w:left="180" w:right="20" w:firstLine="324"/>
        <w:spacing w:after="0" w:line="342" w:lineRule="auto"/>
        <w:rPr>
          <w:sz w:val="20"/>
          <w:szCs w:val="20"/>
          <w:color w:val="auto"/>
        </w:rPr>
      </w:pPr>
      <w:r>
        <w:rPr>
          <w:rFonts w:ascii="Arial" w:cs="Arial" w:eastAsia="Arial" w:hAnsi="Arial"/>
          <w:sz w:val="16"/>
          <w:szCs w:val="16"/>
          <w:color w:val="auto"/>
        </w:rPr>
        <w:t>Corporate &amp; Other contains the excess capital not allocated to the segments and expenses associated with certain legal proceedings and income tax audit issues. Corporate &amp; Other also includes term life insurance sold direct to consumers, which is no longer being offered for new sales.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highlighting the results of operations and the underlying profitability drivers of the business. Adjusted earnings should not be viewed as a substitute for net income (loss).</w:t>
      </w:r>
    </w:p>
    <w:p>
      <w:pPr>
        <w:spacing w:after="0" w:line="80"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Adjusted earnings, which may be positive or negative, focuses on the Company’s primary businesses principally by excluding the impact of market volatility, which could distort trends.</w:t>
      </w:r>
    </w:p>
    <w:p>
      <w:pPr>
        <w:sectPr>
          <w:pgSz w:w="11900" w:h="16838" w:orient="portrait"/>
          <w:cols w:equalWidth="0" w:num="1">
            <w:col w:w="11260"/>
          </w:cols>
          <w:pgMar w:left="320" w:top="23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34" w:right="31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(“GMIBs”) fees (“GMIB Fees”).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DAC related to: (i) net investment gains (losses), (ii) net derivative gains (losses), (iii) GMIB Fees and GMIB Costs and (iv) Market Value Adjustments.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is calculated net of the statutory tax rate, which could differ from the Company’s effective tax rate.</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segment accounting policies are the same as those used to prepare the Company’s interim condensed financial statements, except for the adjustments to calculate adjusted earnings described above. In addition, segment accounting policies include the methods of capital allocation described below.</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ectPr>
          <w:pgSz w:w="11900" w:h="16838" w:orient="portrait"/>
          <w:cols w:equalWidth="0" w:num="1">
            <w:col w:w="11240"/>
          </w:cols>
          <w:pgMar w:left="320" w:top="234" w:right="339" w:bottom="1440" w:gutter="0" w:footer="0" w:header="0"/>
        </w:sectPr>
      </w:pP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results by segment, as well as Corporate &amp; Other,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Pre-tax adjusted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gains (losses)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derivative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adjustments to net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7171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4"/>
                <w:szCs w:val="14"/>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5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
        </w:trPr>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280"/>
          </w:cols>
          <w:pgMar w:left="320" w:top="234" w:right="339" w:bottom="1440" w:gutter="0" w:footer="0" w:header="0"/>
          <w:type w:val="continuous"/>
        </w:sectPr>
      </w:pPr>
    </w:p>
    <w:p>
      <w:pPr>
        <w:spacing w:after="0" w:line="47" w:lineRule="exact"/>
        <w:rPr>
          <w:sz w:val="20"/>
          <w:szCs w:val="20"/>
          <w:color w:val="auto"/>
        </w:rPr>
      </w:pPr>
    </w:p>
    <w:p>
      <w:pPr>
        <w:ind w:left="20"/>
        <w:spacing w:after="0"/>
        <w:tabs>
          <w:tab w:leader="none" w:pos="6960" w:val="left"/>
          <w:tab w:leader="none" w:pos="7620" w:val="left"/>
          <w:tab w:leader="none" w:pos="8060" w:val="left"/>
          <w:tab w:leader="none" w:pos="8800" w:val="left"/>
          <w:tab w:leader="none" w:pos="9160" w:val="left"/>
          <w:tab w:leader="none" w:pos="9900" w:val="left"/>
        </w:tabs>
        <w:rPr>
          <w:sz w:val="20"/>
          <w:szCs w:val="20"/>
          <w:color w:val="auto"/>
        </w:rPr>
      </w:pPr>
      <w:r>
        <w:rPr>
          <w:rFonts w:ascii="Arial" w:cs="Arial" w:eastAsia="Arial" w:hAnsi="Arial"/>
          <w:sz w:val="16"/>
          <w:szCs w:val="16"/>
          <w:color w:val="auto"/>
        </w:rPr>
        <w:t>Interest revenue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Notes to the Interim Condensed Financial Statements (Unaudited)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ectPr>
          <w:pgSz w:w="11900" w:h="16838" w:orient="portrait"/>
          <w:cols w:equalWidth="0" w:num="1">
            <w:col w:w="11240"/>
          </w:cols>
          <w:pgMar w:left="320" w:top="234" w:right="33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Pre-tax adjusted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 expense (benefit)</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for: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gains (losses)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derivative gains (losses)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adjustments to net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 (expense) benefit</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Pre-tax adjusted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 expense (benefit)</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for: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gains (losses)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derivative gains (losses)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adjustments to net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 (expense) benefit</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Pre-tax adjusted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 expense (benefit)</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for: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gains (losses)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derivative gains (losses)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adjustments to net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 (expense) benefit</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717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4"/>
                <w:szCs w:val="14"/>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6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8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1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8"/>
              </w:rPr>
              <w:t>Six Months Ended June 30, 2020</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6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82"/>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8"/>
              </w:rPr>
              <w:t>Six Months Ended June 30, 2019</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-6891655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-6565900</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-6240145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-5914390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-5588635</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-5236845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-4199890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-3874135</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-3548380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-3222625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-2896870</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-2545080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-1508125</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-1182370</wp:posOffset>
            </wp:positionV>
            <wp:extent cx="71323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-856615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-530860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-205105</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146050</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234" w:right="339" w:bottom="1041" w:gutter="0" w:footer="0" w:header="0"/>
          <w:type w:val="continuous"/>
        </w:sectPr>
      </w:pPr>
    </w:p>
    <w:p>
      <w:pPr>
        <w:spacing w:after="0" w:line="47" w:lineRule="exact"/>
        <w:rPr>
          <w:sz w:val="20"/>
          <w:szCs w:val="20"/>
          <w:color w:val="auto"/>
        </w:rPr>
      </w:pPr>
    </w:p>
    <w:p>
      <w:pPr>
        <w:ind w:left="20"/>
        <w:spacing w:after="0"/>
        <w:tabs>
          <w:tab w:leader="none" w:pos="6960" w:val="left"/>
          <w:tab w:leader="none" w:pos="7620" w:val="left"/>
          <w:tab w:leader="none" w:pos="8060" w:val="left"/>
          <w:tab w:leader="none" w:pos="8720" w:val="left"/>
          <w:tab w:leader="none" w:pos="9160" w:val="left"/>
          <w:tab w:leader="none" w:pos="9900" w:val="left"/>
        </w:tabs>
        <w:rPr>
          <w:sz w:val="20"/>
          <w:szCs w:val="20"/>
          <w:color w:val="auto"/>
        </w:rPr>
      </w:pPr>
      <w:r>
        <w:rPr>
          <w:rFonts w:ascii="Arial" w:cs="Arial" w:eastAsia="Arial" w:hAnsi="Arial"/>
          <w:sz w:val="16"/>
          <w:szCs w:val="16"/>
          <w:color w:val="auto"/>
        </w:rPr>
        <w:t>Interest revenue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w:t>
      </w:r>
    </w:p>
    <w:p>
      <w:pPr>
        <w:sectPr>
          <w:pgSz w:w="11900" w:h="16838" w:orient="portrait"/>
          <w:cols w:equalWidth="0" w:num="1">
            <w:col w:w="11240"/>
          </w:cols>
          <w:pgMar w:left="320" w:top="234" w:right="339" w:bottom="104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041"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34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2"/>
        </w:trPr>
        <w:tc>
          <w:tcPr>
            <w:tcW w:w="55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5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6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22</w:t>
            </w:r>
          </w:p>
        </w:tc>
        <w:tc>
          <w:tcPr>
            <w:tcW w:w="1140" w:type="dxa"/>
            <w:vAlign w:val="bottom"/>
            <w:gridSpan w:val="3"/>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r>
      <w:tr>
        <w:trPr>
          <w:trHeight w:val="253"/>
        </w:trPr>
        <w:tc>
          <w:tcPr>
            <w:tcW w:w="5560" w:type="dxa"/>
            <w:vAlign w:val="bottom"/>
          </w:tcPr>
          <w:p>
            <w:pPr>
              <w:ind w:left="20"/>
              <w:spacing w:after="0"/>
              <w:rPr>
                <w:sz w:val="20"/>
                <w:szCs w:val="20"/>
                <w:color w:val="auto"/>
              </w:rPr>
            </w:pPr>
            <w:r>
              <w:rPr>
                <w:rFonts w:ascii="Arial" w:cs="Arial" w:eastAsia="Arial" w:hAnsi="Arial"/>
                <w:sz w:val="16"/>
                <w:szCs w:val="16"/>
                <w:color w:val="auto"/>
              </w:rPr>
              <w:t>Life</w:t>
            </w:r>
          </w:p>
        </w:tc>
        <w:tc>
          <w:tcPr>
            <w:tcW w:w="920" w:type="dxa"/>
            <w:vAlign w:val="bottom"/>
          </w:tcPr>
          <w:p>
            <w:pPr>
              <w:spacing w:after="0"/>
              <w:rPr>
                <w:sz w:val="22"/>
                <w:szCs w:val="22"/>
                <w:color w:val="auto"/>
              </w:rPr>
            </w:pP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gridSpan w:val="3"/>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26</w:t>
            </w:r>
          </w:p>
        </w:tc>
      </w:tr>
      <w:tr>
        <w:trPr>
          <w:trHeight w:val="23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920" w:type="dxa"/>
            <w:vAlign w:val="bottom"/>
          </w:tcPr>
          <w:p>
            <w:pPr>
              <w:spacing w:after="0"/>
              <w:rPr>
                <w:sz w:val="19"/>
                <w:szCs w:val="19"/>
                <w:color w:val="auto"/>
              </w:rPr>
            </w:pPr>
          </w:p>
        </w:tc>
        <w:tc>
          <w:tcPr>
            <w:tcW w:w="42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3"/>
          </w:tcPr>
          <w:p>
            <w:pPr>
              <w:jc w:val="right"/>
              <w:ind w:right="79"/>
              <w:spacing w:after="0"/>
              <w:rPr>
                <w:sz w:val="20"/>
                <w:szCs w:val="20"/>
                <w:color w:val="auto"/>
              </w:rPr>
            </w:pPr>
            <w:r>
              <w:rPr>
                <w:rFonts w:ascii="Arial" w:cs="Arial" w:eastAsia="Arial" w:hAnsi="Arial"/>
                <w:sz w:val="16"/>
                <w:szCs w:val="16"/>
                <w:color w:val="auto"/>
                <w:w w:val="89"/>
              </w:rPr>
              <w:t>167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35</w:t>
            </w:r>
          </w:p>
        </w:tc>
      </w:tr>
      <w:tr>
        <w:trPr>
          <w:trHeight w:val="33"/>
        </w:trPr>
        <w:tc>
          <w:tcPr>
            <w:tcW w:w="55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71</w:t>
            </w:r>
          </w:p>
        </w:tc>
        <w:tc>
          <w:tcPr>
            <w:tcW w:w="1140" w:type="dxa"/>
            <w:vAlign w:val="bottom"/>
            <w:tcBorders>
              <w:bottom w:val="single" w:sz="8" w:color="CCEEFF"/>
            </w:tcBorders>
            <w:gridSpan w:val="3"/>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w w:val="89"/>
              </w:rPr>
              <w:t>251</w:t>
            </w:r>
          </w:p>
        </w:tc>
        <w:tc>
          <w:tcPr>
            <w:tcW w:w="6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6480" w:type="dxa"/>
            <w:vAlign w:val="bottom"/>
            <w:gridSpan w:val="2"/>
          </w:tcPr>
          <w:p>
            <w:pPr>
              <w:jc w:val="right"/>
              <w:ind w:right="744"/>
              <w:spacing w:after="0"/>
              <w:rPr>
                <w:sz w:val="20"/>
                <w:szCs w:val="20"/>
                <w:color w:val="auto"/>
              </w:rPr>
            </w:pPr>
            <w:r>
              <w:rPr>
                <w:rFonts w:ascii="Arial" w:cs="Arial" w:eastAsia="Arial" w:hAnsi="Arial"/>
                <w:sz w:val="18"/>
                <w:szCs w:val="18"/>
                <w:color w:val="auto"/>
                <w:w w:val="94"/>
              </w:rPr>
              <w:t>Total assets by segment, as well as Corporate &amp; Other, were as follows at: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5"/>
        </w:trPr>
        <w:tc>
          <w:tcPr>
            <w:tcW w:w="5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4"/>
              </w:rPr>
              <w:t>June 30, 2020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5"/>
              </w:rPr>
              <w:t>December 31, 2019</w:t>
            </w:r>
          </w:p>
        </w:tc>
      </w:tr>
      <w:tr>
        <w:trPr>
          <w:trHeight w:val="196"/>
        </w:trPr>
        <w:tc>
          <w:tcPr>
            <w:tcW w:w="5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8,178</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7,888</w:t>
            </w: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color w:val="auto"/>
              </w:rPr>
              <w:t>Life</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1,889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1,933</w:t>
            </w:r>
          </w:p>
        </w:tc>
      </w:tr>
      <w:tr>
        <w:trPr>
          <w:trHeight w:val="33"/>
        </w:trPr>
        <w:tc>
          <w:tcPr>
            <w:tcW w:w="5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r>
      <w:tr>
        <w:trPr>
          <w:trHeight w:val="247"/>
        </w:trPr>
        <w:tc>
          <w:tcPr>
            <w:tcW w:w="5560" w:type="dxa"/>
            <w:vAlign w:val="bottom"/>
          </w:tcPr>
          <w:p>
            <w:pPr>
              <w:ind w:left="180"/>
              <w:spacing w:after="0"/>
              <w:rPr>
                <w:sz w:val="20"/>
                <w:szCs w:val="20"/>
                <w:color w:val="auto"/>
              </w:rPr>
            </w:pPr>
            <w:r>
              <w:rPr>
                <w:rFonts w:ascii="Arial" w:cs="Arial" w:eastAsia="Arial" w:hAnsi="Arial"/>
                <w:sz w:val="16"/>
                <w:szCs w:val="16"/>
                <w:color w:val="auto"/>
              </w:rPr>
              <w:t>Total</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10,204</w:t>
            </w: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9,957</w:t>
            </w:r>
          </w:p>
        </w:tc>
      </w:tr>
      <w:tr>
        <w:trPr>
          <w:trHeight w:val="24"/>
        </w:trPr>
        <w:tc>
          <w:tcPr>
            <w:tcW w:w="5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3 of the Notes to the Financial Statements included in the 2019 Annual Report, the Company issues variable annuity contracts with guaranteed minimum benefits. Guaranteed minimum accumulation benefits (“GMABs”), the non-life-contingent portion of guaranteed minimum withdrawal benefits (“GMWBs”) and the portion of certain GMIBs that do not require annuitization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23"/>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center"/>
              <w:ind w:right="82"/>
              <w:spacing w:after="0"/>
              <w:rPr>
                <w:sz w:val="20"/>
                <w:szCs w:val="20"/>
                <w:color w:val="auto"/>
              </w:rPr>
            </w:pPr>
            <w:r>
              <w:rPr>
                <w:rFonts w:ascii="Arial" w:cs="Arial" w:eastAsia="Arial" w:hAnsi="Arial"/>
                <w:sz w:val="14"/>
                <w:szCs w:val="14"/>
                <w:b w:val="1"/>
                <w:bCs w:val="1"/>
                <w:color w:val="auto"/>
                <w:w w:val="91"/>
              </w:rPr>
              <w:t>December 31, 2019</w:t>
            </w:r>
          </w:p>
        </w:tc>
        <w:tc>
          <w:tcPr>
            <w:tcW w:w="420" w:type="dxa"/>
            <w:vAlign w:val="bottom"/>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383"/>
              <w:spacing w:after="0" w:line="153" w:lineRule="exact"/>
              <w:rPr>
                <w:sz w:val="20"/>
                <w:szCs w:val="20"/>
                <w:color w:val="auto"/>
              </w:rPr>
            </w:pPr>
            <w:r>
              <w:rPr>
                <w:rFonts w:ascii="Arial" w:cs="Arial" w:eastAsia="Arial" w:hAnsi="Arial"/>
                <w:sz w:val="14"/>
                <w:szCs w:val="14"/>
                <w:b w:val="1"/>
                <w:bCs w:val="1"/>
                <w:color w:val="auto"/>
              </w:rPr>
              <w:t>In the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443"/>
              <w:spacing w:after="0" w:line="153" w:lineRule="exact"/>
              <w:rPr>
                <w:sz w:val="20"/>
                <w:szCs w:val="20"/>
                <w:color w:val="auto"/>
              </w:rPr>
            </w:pPr>
            <w:r>
              <w:rPr>
                <w:rFonts w:ascii="Arial" w:cs="Arial" w:eastAsia="Arial" w:hAnsi="Arial"/>
                <w:sz w:val="14"/>
                <w:szCs w:val="14"/>
                <w:b w:val="1"/>
                <w:bCs w:val="1"/>
                <w:color w:val="auto"/>
              </w:rPr>
              <w:t>At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363"/>
              <w:spacing w:after="0" w:line="153" w:lineRule="exact"/>
              <w:rPr>
                <w:sz w:val="20"/>
                <w:szCs w:val="20"/>
                <w:color w:val="auto"/>
              </w:rPr>
            </w:pPr>
            <w:r>
              <w:rPr>
                <w:rFonts w:ascii="Arial" w:cs="Arial" w:eastAsia="Arial" w:hAnsi="Arial"/>
                <w:sz w:val="14"/>
                <w:szCs w:val="14"/>
                <w:b w:val="1"/>
                <w:bCs w:val="1"/>
                <w:color w:val="auto"/>
              </w:rPr>
              <w:t>In the</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At</w:t>
            </w:r>
          </w:p>
        </w:tc>
        <w:tc>
          <w:tcPr>
            <w:tcW w:w="420" w:type="dxa"/>
            <w:vAlign w:val="bottom"/>
          </w:tcPr>
          <w:p>
            <w:pPr>
              <w:spacing w:after="0"/>
              <w:rPr>
                <w:sz w:val="13"/>
                <w:szCs w:val="13"/>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5"/>
              </w:rPr>
              <w:t>Event of Death</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6"/>
              </w:rPr>
              <w:t>Annuitization</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7"/>
              </w:rPr>
              <w:t>Event of Death</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Annuitization</w:t>
            </w:r>
          </w:p>
        </w:tc>
        <w:tc>
          <w:tcPr>
            <w:tcW w:w="42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4,380</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3,444</w:t>
            </w: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4,683</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3,742</w:t>
            </w:r>
          </w:p>
        </w:tc>
        <w:tc>
          <w:tcPr>
            <w:tcW w:w="420" w:type="dxa"/>
            <w:vAlign w:val="bottom"/>
            <w:tcBorders>
              <w:bottom w:val="single" w:sz="8" w:color="CCEEFF"/>
            </w:tcBorders>
            <w:shd w:val="clear" w:color="auto" w:fill="CCEEFF"/>
          </w:tcPr>
          <w:p>
            <w:pPr>
              <w:spacing w:after="0"/>
              <w:rPr>
                <w:sz w:val="20"/>
                <w:szCs w:val="20"/>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color w:val="auto"/>
              </w:rPr>
              <w:t>Separate account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4,372</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3,443</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4,675</w:t>
            </w:r>
          </w:p>
        </w:tc>
        <w:tc>
          <w:tcPr>
            <w:tcW w:w="3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3,741</w:t>
            </w:r>
          </w:p>
        </w:tc>
        <w:tc>
          <w:tcPr>
            <w:tcW w:w="420" w:type="dxa"/>
            <w:vAlign w:val="bottom"/>
          </w:tcPr>
          <w:p>
            <w:pPr>
              <w:spacing w:after="0"/>
              <w:rPr>
                <w:sz w:val="19"/>
                <w:szCs w:val="19"/>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530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1"/>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310</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(5)</w:t>
            </w: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 years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99"/>
              <w:spacing w:after="0"/>
              <w:rPr>
                <w:sz w:val="20"/>
                <w:szCs w:val="20"/>
                <w:color w:val="auto"/>
              </w:rPr>
            </w:pPr>
            <w:r>
              <w:rPr>
                <w:rFonts w:ascii="Arial" w:cs="Arial" w:eastAsia="Arial" w:hAnsi="Arial"/>
                <w:sz w:val="16"/>
                <w:szCs w:val="16"/>
                <w:color w:val="auto"/>
              </w:rPr>
              <w:t>68 years</w:t>
            </w:r>
          </w:p>
        </w:tc>
        <w:tc>
          <w:tcPr>
            <w:tcW w:w="160" w:type="dxa"/>
            <w:vAlign w:val="bottom"/>
          </w:tcPr>
          <w:p>
            <w:pPr>
              <w:spacing w:after="0"/>
              <w:rPr>
                <w:sz w:val="19"/>
                <w:szCs w:val="19"/>
                <w:color w:val="auto"/>
              </w:rPr>
            </w:pPr>
          </w:p>
        </w:tc>
        <w:tc>
          <w:tcPr>
            <w:tcW w:w="1480" w:type="dxa"/>
            <w:vAlign w:val="bottom"/>
            <w:gridSpan w:val="2"/>
          </w:tcPr>
          <w:p>
            <w:pPr>
              <w:ind w:left="620"/>
              <w:spacing w:after="0"/>
              <w:rPr>
                <w:sz w:val="20"/>
                <w:szCs w:val="20"/>
                <w:color w:val="auto"/>
              </w:rPr>
            </w:pPr>
            <w:r>
              <w:rPr>
                <w:rFonts w:ascii="Arial" w:cs="Arial" w:eastAsia="Arial" w:hAnsi="Arial"/>
                <w:sz w:val="16"/>
                <w:szCs w:val="16"/>
                <w:color w:val="auto"/>
              </w:rPr>
              <w:t>68 years</w:t>
            </w:r>
          </w:p>
        </w:tc>
        <w:tc>
          <w:tcPr>
            <w:tcW w:w="200" w:type="dxa"/>
            <w:vAlign w:val="bottom"/>
          </w:tcPr>
          <w:p>
            <w:pPr>
              <w:spacing w:after="0"/>
              <w:rPr>
                <w:sz w:val="19"/>
                <w:szCs w:val="19"/>
                <w:color w:val="auto"/>
              </w:rPr>
            </w:pPr>
          </w:p>
        </w:tc>
        <w:tc>
          <w:tcPr>
            <w:tcW w:w="1500" w:type="dxa"/>
            <w:vAlign w:val="bottom"/>
            <w:gridSpan w:val="2"/>
          </w:tcPr>
          <w:p>
            <w:pPr>
              <w:jc w:val="right"/>
              <w:ind w:right="359"/>
              <w:spacing w:after="0"/>
              <w:rPr>
                <w:sz w:val="20"/>
                <w:szCs w:val="20"/>
                <w:color w:val="auto"/>
              </w:rPr>
            </w:pPr>
            <w:r>
              <w:rPr>
                <w:rFonts w:ascii="Arial" w:cs="Arial" w:eastAsia="Arial" w:hAnsi="Arial"/>
                <w:sz w:val="16"/>
                <w:szCs w:val="16"/>
                <w:color w:val="auto"/>
              </w:rPr>
              <w:t>68 years</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340" w:hanging="332"/>
        <w:spacing w:after="0" w:line="311" w:lineRule="auto"/>
        <w:tabs>
          <w:tab w:leader="none" w:pos="33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Financial Statements included in the 2019 Annual Report for a discussion of guaranteed minimum benefits which have been reinsured.</w:t>
      </w:r>
    </w:p>
    <w:p>
      <w:pPr>
        <w:spacing w:after="0" w:line="40"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26" w:lineRule="exact"/>
        <w:rPr>
          <w:sz w:val="20"/>
          <w:szCs w:val="20"/>
          <w:color w:val="auto"/>
        </w:rPr>
      </w:pPr>
    </w:p>
    <w:p>
      <w:pPr>
        <w:jc w:val="both"/>
        <w:ind w:left="340" w:hanging="332"/>
        <w:spacing w:after="0" w:line="263"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5" w:lineRule="exact"/>
        <w:rPr>
          <w:rFonts w:ascii="Arial" w:cs="Arial" w:eastAsia="Arial" w:hAnsi="Arial"/>
          <w:sz w:val="18"/>
          <w:szCs w:val="18"/>
          <w:color w:val="auto"/>
        </w:rPr>
      </w:pPr>
    </w:p>
    <w:p>
      <w:pPr>
        <w:jc w:val="both"/>
        <w:ind w:left="340" w:hanging="332"/>
        <w:spacing w:after="0" w:line="301" w:lineRule="auto"/>
        <w:tabs>
          <w:tab w:leader="none" w:pos="334" w:val="left"/>
        </w:tabs>
        <w:numPr>
          <w:ilvl w:val="0"/>
          <w:numId w:val="7"/>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Note 1 of the Notes to the Financial Statements included in the 2019 Annual Report for a description of the Company’s accounting policies for investments and Note 6 for information about the fair value hierarchy for investments and the related valuation methodologies. In connection with the adoption of new guidance related to the credit losses (see Note 1), effective January 1, 2020, the Company updated its accounting policies on certain investments. Any accounting policy updates required by the new guidance are described in this footnote.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Fixed maturity securities by sector were as follows at: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740"/>
              <w:spacing w:after="0"/>
              <w:rPr>
                <w:sz w:val="20"/>
                <w:szCs w:val="20"/>
                <w:color w:val="auto"/>
              </w:rPr>
            </w:pPr>
            <w:r>
              <w:rPr>
                <w:rFonts w:ascii="Arial" w:cs="Arial" w:eastAsia="Arial" w:hAnsi="Arial"/>
                <w:sz w:val="13"/>
                <w:szCs w:val="13"/>
                <w:b w:val="1"/>
                <w:bCs w:val="1"/>
                <w:color w:val="auto"/>
              </w:rPr>
              <w:t>June 30, 2020</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560"/>
              <w:spacing w:after="0"/>
              <w:rPr>
                <w:sz w:val="20"/>
                <w:szCs w:val="20"/>
                <w:color w:val="auto"/>
              </w:rPr>
            </w:pPr>
            <w:r>
              <w:rPr>
                <w:rFonts w:ascii="Arial" w:cs="Arial" w:eastAsia="Arial" w:hAnsi="Arial"/>
                <w:sz w:val="13"/>
                <w:szCs w:val="13"/>
                <w:b w:val="1"/>
                <w:bCs w:val="1"/>
                <w:color w:val="auto"/>
                <w:w w:val="90"/>
              </w:rPr>
              <w:t>December 31, 2019</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Allowance for</w:t>
            </w:r>
          </w:p>
        </w:tc>
        <w:tc>
          <w:tcPr>
            <w:tcW w:w="120" w:type="dxa"/>
            <w:vAlign w:val="bottom"/>
          </w:tcPr>
          <w:p>
            <w:pPr>
              <w:spacing w:after="0"/>
              <w:rPr>
                <w:sz w:val="14"/>
                <w:szCs w:val="14"/>
                <w:color w:val="auto"/>
              </w:rPr>
            </w:pPr>
          </w:p>
        </w:tc>
        <w:tc>
          <w:tcPr>
            <w:tcW w:w="1340" w:type="dxa"/>
            <w:vAlign w:val="bottom"/>
            <w:gridSpan w:val="5"/>
          </w:tcPr>
          <w:p>
            <w:pPr>
              <w:ind w:left="100"/>
              <w:spacing w:after="0"/>
              <w:rPr>
                <w:sz w:val="20"/>
                <w:szCs w:val="20"/>
                <w:color w:val="auto"/>
              </w:rPr>
            </w:pPr>
            <w:r>
              <w:rPr>
                <w:rFonts w:ascii="Arial" w:cs="Arial" w:eastAsia="Arial" w:hAnsi="Arial"/>
                <w:sz w:val="13"/>
                <w:szCs w:val="13"/>
                <w:b w:val="1"/>
                <w:bCs w:val="1"/>
                <w:color w:val="auto"/>
              </w:rPr>
              <w:t>Gross Unrealized</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ind w:left="80"/>
              <w:spacing w:after="0"/>
              <w:rPr>
                <w:sz w:val="20"/>
                <w:szCs w:val="20"/>
                <w:color w:val="auto"/>
              </w:rPr>
            </w:pPr>
            <w:r>
              <w:rPr>
                <w:rFonts w:ascii="Arial" w:cs="Arial" w:eastAsia="Arial" w:hAnsi="Arial"/>
                <w:sz w:val="13"/>
                <w:szCs w:val="13"/>
                <w:b w:val="1"/>
                <w:bCs w:val="1"/>
                <w:color w:val="auto"/>
              </w:rPr>
              <w:t>Gross Unrealized</w:t>
            </w:r>
          </w:p>
        </w:tc>
        <w:tc>
          <w:tcPr>
            <w:tcW w:w="140" w:type="dxa"/>
            <w:vAlign w:val="bottom"/>
          </w:tcPr>
          <w:p>
            <w:pPr>
              <w:spacing w:after="0"/>
              <w:rPr>
                <w:sz w:val="14"/>
                <w:szCs w:val="14"/>
                <w:color w:val="auto"/>
              </w:rPr>
            </w:pPr>
          </w:p>
        </w:tc>
        <w:tc>
          <w:tcPr>
            <w:tcW w:w="760" w:type="dxa"/>
            <w:vAlign w:val="bottom"/>
          </w:tcPr>
          <w:p>
            <w:pPr>
              <w:jc w:val="center"/>
              <w:ind w:right="7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54"/>
        </w:trPr>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4"/>
                <w:szCs w:val="4"/>
                <w:color w:val="auto"/>
              </w:rPr>
            </w:pPr>
          </w:p>
        </w:tc>
        <w:tc>
          <w:tcPr>
            <w:tcW w:w="940" w:type="dxa"/>
            <w:vAlign w:val="bottom"/>
            <w:gridSpan w:val="2"/>
            <w:vMerge w:val="restart"/>
          </w:tcPr>
          <w:p>
            <w:pPr>
              <w:jc w:val="center"/>
              <w:ind w:right="180"/>
              <w:spacing w:after="0" w:line="117" w:lineRule="exact"/>
              <w:rPr>
                <w:sz w:val="20"/>
                <w:szCs w:val="20"/>
                <w:color w:val="auto"/>
              </w:rPr>
            </w:pPr>
            <w:r>
              <w:rPr>
                <w:rFonts w:ascii="Arial" w:cs="Arial" w:eastAsia="Arial" w:hAnsi="Arial"/>
                <w:sz w:val="13"/>
                <w:szCs w:val="13"/>
                <w:b w:val="1"/>
                <w:bCs w:val="1"/>
                <w:color w:val="auto"/>
                <w:w w:val="83"/>
              </w:rPr>
              <w:t>Credit Losses</w:t>
            </w: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gridSpan w:val="3"/>
            <w:vMerge w:val="restart"/>
          </w:tcPr>
          <w:p>
            <w:pPr>
              <w:ind w:left="80"/>
              <w:spacing w:after="0" w:line="117" w:lineRule="exact"/>
              <w:rPr>
                <w:sz w:val="20"/>
                <w:szCs w:val="20"/>
                <w:color w:val="auto"/>
              </w:rPr>
            </w:pPr>
            <w:r>
              <w:rPr>
                <w:rFonts w:ascii="Arial" w:cs="Arial" w:eastAsia="Arial" w:hAnsi="Arial"/>
                <w:sz w:val="13"/>
                <w:szCs w:val="13"/>
                <w:b w:val="1"/>
                <w:bCs w:val="1"/>
                <w:color w:val="auto"/>
              </w:rPr>
              <w:t>Allowance for</w:t>
            </w: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restart"/>
          </w:tcPr>
          <w:p>
            <w:pPr>
              <w:jc w:val="center"/>
              <w:ind w:right="70"/>
              <w:spacing w:after="0" w:line="117"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43"/>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Losses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Cost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Credit Losses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ind w:left="46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ind w:right="9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ind w:right="90"/>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RMBS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ABS</w:t>
            </w:r>
          </w:p>
        </w:tc>
        <w:tc>
          <w:tcPr>
            <w:tcW w:w="12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ind w:right="9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7"/>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2"/>
        </w:trPr>
        <w:tc>
          <w:tcPr>
            <w:tcW w:w="2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2,897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 The allowance for credit losses on total fixed maturity securities was less than $1 million at June 30,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did not hold any non-income producing fixed maturity securities at either June 30, 2020 or December 31,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2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estimated fair value of fixed maturity securities, by contractual maturity date, were as follows at June 30,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Due in One</w:t>
            </w:r>
          </w:p>
        </w:tc>
        <w:tc>
          <w:tcPr>
            <w:tcW w:w="260" w:type="dxa"/>
            <w:vAlign w:val="bottom"/>
          </w:tcPr>
          <w:p>
            <w:pPr>
              <w:spacing w:after="0"/>
              <w:rPr>
                <w:sz w:val="14"/>
                <w:szCs w:val="14"/>
                <w:color w:val="auto"/>
              </w:rPr>
            </w:pPr>
          </w:p>
        </w:tc>
        <w:tc>
          <w:tcPr>
            <w:tcW w:w="112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Due After One</w:t>
            </w:r>
          </w:p>
        </w:tc>
        <w:tc>
          <w:tcPr>
            <w:tcW w:w="160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3"/>
              </w:rPr>
              <w:t>Due After Five Years</w:t>
            </w:r>
          </w:p>
        </w:tc>
        <w:tc>
          <w:tcPr>
            <w:tcW w:w="220" w:type="dxa"/>
            <w:vAlign w:val="bottom"/>
          </w:tcPr>
          <w:p>
            <w:pPr>
              <w:spacing w:after="0"/>
              <w:rPr>
                <w:sz w:val="14"/>
                <w:szCs w:val="14"/>
                <w:color w:val="auto"/>
              </w:rPr>
            </w:pPr>
          </w:p>
        </w:tc>
        <w:tc>
          <w:tcPr>
            <w:tcW w:w="11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1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Total Fixed</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Year Through</w:t>
            </w:r>
          </w:p>
        </w:tc>
        <w:tc>
          <w:tcPr>
            <w:tcW w:w="116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w w:val="98"/>
              </w:rPr>
              <w:t>Through</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7"/>
              </w:rPr>
              <w:t>Year or Less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Five Years</w:t>
            </w:r>
          </w:p>
        </w:tc>
        <w:tc>
          <w:tcPr>
            <w:tcW w:w="116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89"/>
              </w:rPr>
              <w:t>Ten Years</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7"/>
              </w:rPr>
              <w:t>Securities (1)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532</w:t>
            </w:r>
          </w:p>
        </w:tc>
        <w:tc>
          <w:tcPr>
            <w:tcW w:w="116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896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779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806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3,055</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64"/>
              <w:spacing w:after="0"/>
              <w:rPr>
                <w:sz w:val="20"/>
                <w:szCs w:val="20"/>
                <w:color w:val="auto"/>
              </w:rPr>
            </w:pPr>
            <w:r>
              <w:rPr>
                <w:rFonts w:ascii="Arial" w:cs="Arial" w:eastAsia="Arial" w:hAnsi="Arial"/>
                <w:sz w:val="16"/>
                <w:szCs w:val="16"/>
                <w:color w:val="auto"/>
              </w:rPr>
              <w:t>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563</w:t>
            </w:r>
          </w:p>
        </w:tc>
        <w:tc>
          <w:tcPr>
            <w:tcW w:w="11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974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922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4"/>
              <w:spacing w:after="0"/>
              <w:rPr>
                <w:sz w:val="20"/>
                <w:szCs w:val="20"/>
                <w:color w:val="auto"/>
              </w:rPr>
            </w:pPr>
            <w:r>
              <w:rPr>
                <w:rFonts w:ascii="Arial" w:cs="Arial" w:eastAsia="Arial" w:hAnsi="Arial"/>
                <w:sz w:val="16"/>
                <w:szCs w:val="16"/>
                <w:color w:val="auto"/>
              </w:rPr>
              <w:t>852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4"/>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pacing w:after="0" w:line="62"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June 30, 2020</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3"/>
                <w:szCs w:val="13"/>
                <w:b w:val="1"/>
                <w:bCs w:val="1"/>
                <w:color w:val="auto"/>
              </w:rPr>
              <w:t>12 Months or Greater</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3"/>
                <w:szCs w:val="13"/>
                <w:b w:val="1"/>
                <w:bCs w:val="1"/>
                <w:color w:val="auto"/>
              </w:rPr>
              <w:t>12 Months or Greater</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Estimated</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Gross</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Estimated</w:t>
            </w:r>
          </w:p>
        </w:tc>
        <w:tc>
          <w:tcPr>
            <w:tcW w:w="140" w:type="dxa"/>
            <w:vAlign w:val="bottom"/>
          </w:tcPr>
          <w:p>
            <w:pPr>
              <w:spacing w:after="0"/>
              <w:rPr>
                <w:sz w:val="12"/>
                <w:szCs w:val="12"/>
                <w:color w:val="auto"/>
              </w:rPr>
            </w:pPr>
          </w:p>
        </w:tc>
        <w:tc>
          <w:tcPr>
            <w:tcW w:w="80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85"/>
              </w:rPr>
              <w:t>Gross</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Fair</w:t>
            </w:r>
          </w:p>
        </w:tc>
        <w:tc>
          <w:tcPr>
            <w:tcW w:w="140" w:type="dxa"/>
            <w:vAlign w:val="bottom"/>
          </w:tcPr>
          <w:p>
            <w:pPr>
              <w:spacing w:after="0"/>
              <w:rPr>
                <w:sz w:val="11"/>
                <w:szCs w:val="11"/>
                <w:color w:val="auto"/>
              </w:rPr>
            </w:pPr>
          </w:p>
        </w:tc>
        <w:tc>
          <w:tcPr>
            <w:tcW w:w="8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3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181"/>
        </w:trPr>
        <w:tc>
          <w:tcPr>
            <w:tcW w:w="3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ind w:left="28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06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60" w:type="dxa"/>
            <w:vAlign w:val="bottom"/>
          </w:tcPr>
          <w:p>
            <w:pPr>
              <w:spacing w:after="0"/>
              <w:rPr>
                <w:sz w:val="17"/>
                <w:szCs w:val="17"/>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060" w:type="dxa"/>
            <w:vAlign w:val="bottom"/>
          </w:tcPr>
          <w:p>
            <w:pPr>
              <w:ind w:left="20"/>
              <w:spacing w:after="0"/>
              <w:rPr>
                <w:sz w:val="20"/>
                <w:szCs w:val="20"/>
                <w:color w:val="auto"/>
              </w:rPr>
            </w:pPr>
            <w:r>
              <w:rPr>
                <w:rFonts w:ascii="Arial" w:cs="Arial" w:eastAsia="Arial" w:hAnsi="Arial"/>
                <w:sz w:val="14"/>
                <w:szCs w:val="14"/>
                <w:color w:val="auto"/>
              </w:rPr>
              <w:t>RMBS</w:t>
            </w:r>
          </w:p>
        </w:tc>
        <w:tc>
          <w:tcPr>
            <w:tcW w:w="160" w:type="dxa"/>
            <w:vAlign w:val="bottom"/>
          </w:tcPr>
          <w:p>
            <w:pPr>
              <w:spacing w:after="0"/>
              <w:rPr>
                <w:sz w:val="17"/>
                <w:szCs w:val="17"/>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306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60" w:type="dxa"/>
            <w:vAlign w:val="bottom"/>
          </w:tcPr>
          <w:p>
            <w:pPr>
              <w:spacing w:after="0"/>
              <w:rPr>
                <w:sz w:val="17"/>
                <w:szCs w:val="17"/>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4"/>
                <w:szCs w:val="14"/>
                <w:color w:val="auto"/>
              </w:rPr>
              <w:t>Total fixed maturity securities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60" w:type="dxa"/>
            <w:vAlign w:val="bottom"/>
            <w:shd w:val="clear" w:color="auto" w:fill="CCEEFF"/>
          </w:tcPr>
          <w:p>
            <w:pPr>
              <w:ind w:left="180"/>
              <w:spacing w:after="0" w:line="102" w:lineRule="exact"/>
              <w:rPr>
                <w:sz w:val="20"/>
                <w:szCs w:val="20"/>
                <w:color w:val="auto"/>
              </w:rPr>
            </w:pPr>
            <w:r>
              <w:rPr>
                <w:rFonts w:ascii="Arial" w:cs="Arial" w:eastAsia="Arial" w:hAnsi="Arial"/>
                <w:sz w:val="11"/>
                <w:szCs w:val="11"/>
                <w:color w:val="auto"/>
              </w:rPr>
              <w:t>Total number of securities in an unrealized loss</w:t>
            </w:r>
          </w:p>
        </w:tc>
        <w:tc>
          <w:tcPr>
            <w:tcW w:w="1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position</w:t>
            </w: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88" w:lineRule="auto"/>
        <w:rPr>
          <w:sz w:val="20"/>
          <w:szCs w:val="20"/>
          <w:color w:val="auto"/>
        </w:rPr>
      </w:pPr>
      <w:r>
        <w:rPr>
          <w:rFonts w:ascii="Arial" w:cs="Arial" w:eastAsia="Arial" w:hAnsi="Arial"/>
          <w:sz w:val="16"/>
          <w:szCs w:val="16"/>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2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(loss) (“OCI”).</w:t>
      </w:r>
    </w:p>
    <w:p>
      <w:pPr>
        <w:spacing w:after="0" w:line="79"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6"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6"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$23 million at June 30, 2020 and is included in accrued investment income.</w:t>
      </w:r>
    </w:p>
    <w:p>
      <w:pPr>
        <w:spacing w:after="0" w:line="79"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Based on the Company’s current evaluation of its fixed maturity securities in an unrealized loss position and the current intent or requirement to sell, the Company recorded an allowance for credit losses of less than $1 million, relating to two securities at June 30, 2020. Management concluded that for all other fixed maturity securities in an unrealized loss position, the unrealized loss was not due to issuer 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non-issuer-specific credit spreads. These issuers continued to make timely principal and interest payments and the estimated fair value is expected to recover as the securities approach maturity.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8"/>
              </w:rPr>
              <w:t>June 30, 2020</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December 31, 2019</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52"/>
        </w:trPr>
        <w:tc>
          <w:tcPr>
            <w:tcW w:w="5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center"/>
              <w:ind w:right="740"/>
              <w:spacing w:after="0" w:line="153" w:lineRule="exact"/>
              <w:rPr>
                <w:sz w:val="20"/>
                <w:szCs w:val="20"/>
                <w:color w:val="auto"/>
              </w:rPr>
            </w:pPr>
            <w:r>
              <w:rPr>
                <w:rFonts w:ascii="Arial" w:cs="Arial" w:eastAsia="Arial" w:hAnsi="Arial"/>
                <w:sz w:val="14"/>
                <w:szCs w:val="14"/>
                <w:b w:val="1"/>
                <w:bCs w:val="1"/>
                <w:color w:val="auto"/>
                <w:w w:val="97"/>
              </w:rPr>
              <w:t>Carrying</w:t>
            </w:r>
          </w:p>
        </w:tc>
        <w:tc>
          <w:tcPr>
            <w:tcW w:w="680" w:type="dxa"/>
            <w:vAlign w:val="bottom"/>
          </w:tcPr>
          <w:p>
            <w:pPr>
              <w:jc w:val="right"/>
              <w:ind w:right="222"/>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center"/>
              <w:ind w:right="820"/>
              <w:spacing w:after="0" w:line="153" w:lineRule="exact"/>
              <w:rPr>
                <w:sz w:val="20"/>
                <w:szCs w:val="20"/>
                <w:color w:val="auto"/>
              </w:rPr>
            </w:pPr>
            <w:r>
              <w:rPr>
                <w:rFonts w:ascii="Arial" w:cs="Arial" w:eastAsia="Arial" w:hAnsi="Arial"/>
                <w:sz w:val="14"/>
                <w:szCs w:val="14"/>
                <w:b w:val="1"/>
                <w:bCs w:val="1"/>
                <w:color w:val="auto"/>
                <w:w w:val="97"/>
              </w:rPr>
              <w:t>Carrying</w:t>
            </w:r>
          </w:p>
        </w:tc>
        <w:tc>
          <w:tcPr>
            <w:tcW w:w="620" w:type="dxa"/>
            <w:vAlign w:val="bottom"/>
          </w:tcPr>
          <w:p>
            <w:pPr>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r>
      <w:tr>
        <w:trPr>
          <w:trHeight w:val="192"/>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4"/>
                <w:szCs w:val="14"/>
                <w:b w:val="1"/>
                <w:bCs w:val="1"/>
                <w:color w:val="auto"/>
                <w:w w:val="96"/>
              </w:rPr>
              <w:t>Value</w:t>
            </w: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840"/>
              <w:spacing w:after="0"/>
              <w:rPr>
                <w:sz w:val="20"/>
                <w:szCs w:val="20"/>
                <w:color w:val="auto"/>
              </w:rPr>
            </w:pPr>
            <w:r>
              <w:rPr>
                <w:rFonts w:ascii="Arial" w:cs="Arial" w:eastAsia="Arial" w:hAnsi="Arial"/>
                <w:sz w:val="14"/>
                <w:szCs w:val="14"/>
                <w:b w:val="1"/>
                <w:bCs w:val="1"/>
                <w:color w:val="auto"/>
                <w:w w:val="90"/>
              </w:rPr>
              <w:t>Value</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gridSpan w:val="7"/>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566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60" w:type="dxa"/>
            <w:vAlign w:val="bottom"/>
          </w:tcPr>
          <w:p>
            <w:pPr>
              <w:spacing w:after="0"/>
              <w:rPr>
                <w:sz w:val="19"/>
                <w:szCs w:val="19"/>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Pr>
          <w:p>
            <w:pPr>
              <w:spacing w:after="0"/>
              <w:rPr>
                <w:sz w:val="19"/>
                <w:szCs w:val="19"/>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mortgage loans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660" w:type="dxa"/>
            <w:vAlign w:val="bottom"/>
          </w:tcPr>
          <w:p>
            <w:pPr>
              <w:ind w:left="20"/>
              <w:spacing w:after="0"/>
              <w:rPr>
                <w:sz w:val="20"/>
                <w:szCs w:val="20"/>
                <w:color w:val="auto"/>
              </w:rPr>
            </w:pPr>
            <w:r>
              <w:rPr>
                <w:rFonts w:ascii="Arial" w:cs="Arial" w:eastAsia="Arial" w:hAnsi="Arial"/>
                <w:sz w:val="16"/>
                <w:szCs w:val="16"/>
                <w:color w:val="auto"/>
              </w:rPr>
              <w:t>Allowance for credit losses</w:t>
            </w:r>
          </w:p>
        </w:tc>
        <w:tc>
          <w:tcPr>
            <w:tcW w:w="26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9"/>
                <w:szCs w:val="19"/>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72"/>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mortgage loans,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6"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For mortgage loans that are granted payment deferrals due to the COVID-19 pandemic, interest continues to be accrued during the deferral period if the loan was less than 30 days past due at December 31, 2019 and performing at the onset of the pandemic. Accrued interest on COVID-19 pandemic impacted loans was not significant at June 30, 2020. The accrued interest receivable on mortgage loans is included in accrued investment income and totaled $3 million at June 30, 2020.</w:t>
      </w:r>
    </w:p>
    <w:p>
      <w:pPr>
        <w:spacing w:after="0" w:line="56"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Mortgage loans are evaluated in both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(“TDRs”), foreclosure probable loans, and loans with dissimilar risk characteristics.</w:t>
      </w:r>
    </w:p>
    <w:p>
      <w:pPr>
        <w:spacing w:after="0" w:line="84" w:lineRule="exact"/>
        <w:rPr>
          <w:sz w:val="20"/>
          <w:szCs w:val="20"/>
          <w:color w:val="auto"/>
        </w:rPr>
      </w:pPr>
    </w:p>
    <w:p>
      <w:pPr>
        <w:jc w:val="right"/>
        <w:ind w:left="340" w:right="4440"/>
        <w:spacing w:after="0" w:line="483" w:lineRule="auto"/>
        <w:rPr>
          <w:sz w:val="20"/>
          <w:szCs w:val="20"/>
          <w:color w:val="auto"/>
        </w:rPr>
      </w:pPr>
      <w:r>
        <w:rPr>
          <w:rFonts w:ascii="Arial" w:cs="Arial" w:eastAsia="Arial" w:hAnsi="Arial"/>
          <w:sz w:val="16"/>
          <w:szCs w:val="16"/>
          <w:i w:val="1"/>
          <w:iCs w:val="1"/>
          <w:u w:val="single" w:color="auto"/>
          <w:color w:val="auto"/>
        </w:rPr>
        <w:t xml:space="preserve">Rollforward of the Allowance for Credit Losses for Mortgage Loans by Portfolio Segment </w:t>
      </w:r>
      <w:r>
        <w:rPr>
          <w:rFonts w:ascii="Arial" w:cs="Arial" w:eastAsia="Arial" w:hAnsi="Arial"/>
          <w:sz w:val="16"/>
          <w:szCs w:val="16"/>
          <w:color w:val="auto"/>
        </w:rPr>
        <w:t>The changes in the allowance for credit losses by portfolio segment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Agricultural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7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center"/>
              <w:ind w:left="681"/>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center"/>
              <w:ind w:left="601"/>
              <w:spacing w:after="0"/>
              <w:rPr>
                <w:sz w:val="20"/>
                <w:szCs w:val="20"/>
                <w:color w:val="auto"/>
              </w:rPr>
            </w:pPr>
            <w:r>
              <w:rPr>
                <w:rFonts w:ascii="Arial" w:cs="Arial" w:eastAsia="Arial" w:hAnsi="Arial"/>
                <w:sz w:val="16"/>
                <w:szCs w:val="16"/>
                <w:color w:val="auto"/>
                <w:w w:val="89"/>
              </w:rPr>
              <w:t>3</w:t>
            </w:r>
          </w:p>
        </w:tc>
      </w:tr>
      <w:tr>
        <w:trPr>
          <w:trHeight w:val="253"/>
        </w:trPr>
        <w:tc>
          <w:tcPr>
            <w:tcW w:w="7020" w:type="dxa"/>
            <w:vAlign w:val="bottom"/>
          </w:tcPr>
          <w:p>
            <w:pPr>
              <w:ind w:left="20"/>
              <w:spacing w:after="0"/>
              <w:rPr>
                <w:sz w:val="20"/>
                <w:szCs w:val="20"/>
                <w:color w:val="auto"/>
              </w:rPr>
            </w:pPr>
            <w:r>
              <w:rPr>
                <w:rFonts w:ascii="Arial" w:cs="Arial" w:eastAsia="Arial" w:hAnsi="Arial"/>
                <w:sz w:val="16"/>
                <w:szCs w:val="16"/>
                <w:color w:val="auto"/>
              </w:rPr>
              <w:t>Cumulative effect of change in accounting principle</w:t>
            </w:r>
          </w:p>
        </w:tc>
        <w:tc>
          <w:tcPr>
            <w:tcW w:w="180" w:type="dxa"/>
            <w:vAlign w:val="bottom"/>
          </w:tcPr>
          <w:p>
            <w:pPr>
              <w:spacing w:after="0"/>
              <w:rPr>
                <w:sz w:val="22"/>
                <w:szCs w:val="22"/>
                <w:color w:val="auto"/>
              </w:rPr>
            </w:pPr>
          </w:p>
        </w:tc>
        <w:tc>
          <w:tcPr>
            <w:tcW w:w="1160" w:type="dxa"/>
            <w:vAlign w:val="bottom"/>
          </w:tcPr>
          <w:p>
            <w:pPr>
              <w:jc w:val="center"/>
              <w:ind w:left="661"/>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center"/>
              <w:ind w:left="561"/>
              <w:spacing w:after="0"/>
              <w:rPr>
                <w:sz w:val="20"/>
                <w:szCs w:val="20"/>
                <w:color w:val="auto"/>
              </w:rPr>
            </w:pPr>
            <w:r>
              <w:rPr>
                <w:rFonts w:ascii="Arial" w:cs="Arial" w:eastAsia="Arial" w:hAnsi="Arial"/>
                <w:sz w:val="16"/>
                <w:szCs w:val="16"/>
                <w:color w:val="auto"/>
              </w:rPr>
              <w:t>(1)</w:t>
            </w:r>
          </w:p>
        </w:tc>
      </w:tr>
      <w:tr>
        <w:trPr>
          <w:trHeight w:val="25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2020</w:t>
            </w: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center"/>
              <w:ind w:left="681"/>
              <w:spacing w:after="0"/>
              <w:rPr>
                <w:sz w:val="20"/>
                <w:szCs w:val="20"/>
                <w:color w:val="auto"/>
              </w:rPr>
            </w:pPr>
            <w:r>
              <w:rPr>
                <w:rFonts w:ascii="Arial" w:cs="Arial" w:eastAsia="Arial" w:hAnsi="Arial"/>
                <w:sz w:val="16"/>
                <w:szCs w:val="16"/>
                <w:color w:val="auto"/>
                <w:w w:val="89"/>
              </w:rPr>
              <w:t>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center"/>
              <w:ind w:left="601"/>
              <w:spacing w:after="0"/>
              <w:rPr>
                <w:sz w:val="20"/>
                <w:szCs w:val="20"/>
                <w:color w:val="auto"/>
              </w:rPr>
            </w:pPr>
            <w:r>
              <w:rPr>
                <w:rFonts w:ascii="Arial" w:cs="Arial" w:eastAsia="Arial" w:hAnsi="Arial"/>
                <w:sz w:val="16"/>
                <w:szCs w:val="16"/>
                <w:color w:val="auto"/>
                <w:w w:val="89"/>
              </w:rPr>
              <w:t>2</w:t>
            </w:r>
          </w:p>
        </w:tc>
      </w:tr>
      <w:tr>
        <w:trPr>
          <w:trHeight w:val="25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period provision</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left="681"/>
              <w:spacing w:after="0"/>
              <w:rPr>
                <w:sz w:val="20"/>
                <w:szCs w:val="20"/>
                <w:color w:val="auto"/>
              </w:rPr>
            </w:pPr>
            <w:r>
              <w:rPr>
                <w:rFonts w:ascii="Arial" w:cs="Arial" w:eastAsia="Arial" w:hAnsi="Arial"/>
                <w:sz w:val="16"/>
                <w:szCs w:val="16"/>
                <w:color w:val="auto"/>
                <w:w w:val="89"/>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color w:val="auto"/>
                <w:w w:val="89"/>
              </w:rPr>
              <w:t>2</w:t>
            </w:r>
          </w:p>
        </w:tc>
      </w:tr>
      <w:tr>
        <w:trPr>
          <w:trHeight w:val="27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center"/>
              <w:ind w:left="681"/>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center"/>
              <w:ind w:left="601"/>
              <w:spacing w:after="0"/>
              <w:rPr>
                <w:sz w:val="20"/>
                <w:szCs w:val="20"/>
                <w:color w:val="auto"/>
              </w:rPr>
            </w:pPr>
            <w:r>
              <w:rPr>
                <w:rFonts w:ascii="Arial" w:cs="Arial" w:eastAsia="Arial" w:hAnsi="Arial"/>
                <w:sz w:val="16"/>
                <w:szCs w:val="16"/>
                <w:color w:val="auto"/>
                <w:w w:val="89"/>
              </w:rPr>
              <w:t>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3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387</w:t>
            </w:r>
          </w:p>
        </w:tc>
      </w:tr>
      <w:tr>
        <w:trPr>
          <w:trHeight w:val="33"/>
        </w:trPr>
        <w:tc>
          <w:tcPr>
            <w:tcW w:w="3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r>
      <w:tr>
        <w:trPr>
          <w:trHeight w:val="223"/>
        </w:trPr>
        <w:tc>
          <w:tcPr>
            <w:tcW w:w="3620" w:type="dxa"/>
            <w:vAlign w:val="bottom"/>
          </w:tcPr>
          <w:p>
            <w:pPr>
              <w:ind w:left="20"/>
              <w:spacing w:after="0"/>
              <w:rPr>
                <w:sz w:val="20"/>
                <w:szCs w:val="20"/>
                <w:color w:val="auto"/>
              </w:rPr>
            </w:pPr>
            <w:r>
              <w:rPr>
                <w:rFonts w:ascii="Arial" w:cs="Arial" w:eastAsia="Arial" w:hAnsi="Arial"/>
                <w:sz w:val="16"/>
                <w:szCs w:val="16"/>
                <w:color w:val="auto"/>
              </w:rPr>
              <w:t>76% to 80%</w:t>
            </w:r>
          </w:p>
        </w:tc>
        <w:tc>
          <w:tcPr>
            <w:tcW w:w="64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w:t>
            </w:r>
          </w:p>
        </w:tc>
      </w:tr>
      <w:tr>
        <w:trPr>
          <w:trHeight w:val="33"/>
        </w:trPr>
        <w:tc>
          <w:tcPr>
            <w:tcW w:w="3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247"/>
        </w:trPr>
        <w:tc>
          <w:tcPr>
            <w:tcW w:w="3620" w:type="dxa"/>
            <w:vAlign w:val="bottom"/>
          </w:tcPr>
          <w:p>
            <w:pPr>
              <w:ind w:left="180"/>
              <w:spacing w:after="0"/>
              <w:rPr>
                <w:sz w:val="20"/>
                <w:szCs w:val="20"/>
                <w:color w:val="auto"/>
              </w:rPr>
            </w:pPr>
            <w:r>
              <w:rPr>
                <w:rFonts w:ascii="Arial" w:cs="Arial" w:eastAsia="Arial" w:hAnsi="Arial"/>
                <w:sz w:val="16"/>
                <w:szCs w:val="16"/>
                <w:color w:val="auto"/>
              </w:rPr>
              <w:t>Total commercial mortgage loans</w:t>
            </w:r>
          </w:p>
        </w:tc>
        <w:tc>
          <w:tcPr>
            <w:tcW w:w="6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459</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6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3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r>
      <w:tr>
        <w:trPr>
          <w:trHeight w:val="223"/>
        </w:trPr>
        <w:tc>
          <w:tcPr>
            <w:tcW w:w="3620" w:type="dxa"/>
            <w:vAlign w:val="bottom"/>
          </w:tcPr>
          <w:p>
            <w:pPr>
              <w:ind w:left="20"/>
              <w:spacing w:after="0"/>
              <w:rPr>
                <w:sz w:val="20"/>
                <w:szCs w:val="20"/>
                <w:color w:val="auto"/>
              </w:rPr>
            </w:pPr>
            <w:r>
              <w:rPr>
                <w:rFonts w:ascii="Arial" w:cs="Arial" w:eastAsia="Arial" w:hAnsi="Arial"/>
                <w:sz w:val="16"/>
                <w:szCs w:val="16"/>
                <w:color w:val="auto"/>
              </w:rPr>
              <w:t>65% to 75%</w:t>
            </w:r>
          </w:p>
        </w:tc>
        <w:tc>
          <w:tcPr>
            <w:tcW w:w="64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7</w:t>
            </w:r>
          </w:p>
        </w:tc>
      </w:tr>
      <w:tr>
        <w:trPr>
          <w:trHeight w:val="33"/>
        </w:trPr>
        <w:tc>
          <w:tcPr>
            <w:tcW w:w="36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w:t>
            </w:r>
          </w:p>
        </w:tc>
      </w:tr>
      <w:tr>
        <w:trPr>
          <w:trHeight w:val="247"/>
        </w:trPr>
        <w:tc>
          <w:tcPr>
            <w:tcW w:w="3620" w:type="dxa"/>
            <w:vAlign w:val="bottom"/>
          </w:tcPr>
          <w:p>
            <w:pPr>
              <w:ind w:left="180"/>
              <w:spacing w:after="0"/>
              <w:rPr>
                <w:sz w:val="20"/>
                <w:szCs w:val="20"/>
                <w:color w:val="auto"/>
              </w:rPr>
            </w:pPr>
            <w:r>
              <w:rPr>
                <w:rFonts w:ascii="Arial" w:cs="Arial" w:eastAsia="Arial" w:hAnsi="Arial"/>
                <w:sz w:val="16"/>
                <w:szCs w:val="16"/>
                <w:color w:val="auto"/>
              </w:rPr>
              <w:t>Total</w:t>
            </w:r>
          </w:p>
        </w:tc>
        <w:tc>
          <w:tcPr>
            <w:tcW w:w="6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635</w:t>
            </w:r>
          </w:p>
        </w:tc>
      </w:tr>
      <w:tr>
        <w:trPr>
          <w:trHeight w:val="23"/>
        </w:trPr>
        <w:tc>
          <w:tcPr>
            <w:tcW w:w="3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4"/>
              </w:rPr>
              <w:t>June 30, 2020</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640" w:type="dxa"/>
            <w:vAlign w:val="bottom"/>
          </w:tcPr>
          <w:p>
            <w:pPr>
              <w:jc w:val="right"/>
              <w:ind w:right="223"/>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80" w:type="dxa"/>
            <w:vAlign w:val="bottom"/>
          </w:tcPr>
          <w:p>
            <w:pPr>
              <w:jc w:val="right"/>
              <w:ind w:right="222"/>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60" w:type="dxa"/>
            <w:vAlign w:val="bottom"/>
            <w:gridSpan w:val="6"/>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Pr>
          <w:p>
            <w:pPr>
              <w:spacing w:after="0"/>
              <w:rPr>
                <w:sz w:val="19"/>
                <w:szCs w:val="19"/>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has a high-quality, well performing mortgage loan portfolio, with all mortgage loans classified as performing at both June 30, 2020 and December 31, 2019. Delinquency is defined consistent with industry practice, when mortgage loans are past due as follows: commercial mortgage loans — 60 days and agricultural mortgage loans — 90 days. To the extent a payment deferral is agreed to with a borrower, in response to the COVID-19 pandemic, the past due status of the impacted loans is locked-in as of March 1, 2020, which reflects the date on which the COVID-19 pandemic began to affect the borrower’s ability to make payments, as provided in the CARES Act. At June 30, 2020, the Company did not have any COVID-19 pandemic modified loans in delinquent status.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did not have any mortgage loans past due at June 30, 2020.</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Mortgage loans are placed in a nonaccrual status if there are concerns regarding collectability of future payments or the loan is past due, unless the past due loan is well collateralized and in the process of foreclosure. To the extent a payment deferral is agreed to with a borrower, in response to the COVID-19 pandemic, the impacted loans generally will not be reported as in a nonaccrual status during the period of deferral. A COVID-19 pandemic modified loan is only reported as a nonaccrual asset in the event a borrower declares bankruptcy, the borrower experiences significant credit deterioration such that the Company does not expect to collect all principal and interest due, or the loan was 90 days past due at the onset of the pandemic. At June 30, 2020, the Company did not have any COVID-19 pandemic modified loans in nonaccrual status.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did not have any mortgage loans in a nonaccrual status at both June 30, 2020 and December 31, 2019.</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Modified Mortgage Loans by Portfolio Segment</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any mortgage loans modified in a troubled debt restructuring during the six months ended June 30, 2020.</w:t>
      </w:r>
    </w:p>
    <w:p>
      <w:pPr>
        <w:spacing w:after="0" w:line="80"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Short-term modifications made on a good faith basis to borrowers who were not more than 30 days past due at December 31, 2019 and in response to the COVID-19 pandemic are not considered TDRs.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Unrealized investment gains (losses) on fixed maturity securities and the effect on DAC, deferred sales inducements (“DSI”) and future policy benefits, that would result from the realization of the unrealized gains (losses), are included in net unrealized investment gains (losses) in accumulated other comprehensive income (loss) (“AOCI”).</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 at: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7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r>
      <w:tr>
        <w:trPr>
          <w:trHeight w:val="26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1220" w:type="dxa"/>
            <w:vAlign w:val="bottom"/>
            <w:shd w:val="clear" w:color="auto" w:fill="CCEEFF"/>
          </w:tcPr>
          <w:p>
            <w:pPr>
              <w:jc w:val="right"/>
              <w:ind w:right="104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2"/>
              </w:rPr>
              <w:t>299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r>
      <w:tr>
        <w:trPr>
          <w:trHeight w:val="25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r>
      <w:tr>
        <w:trPr>
          <w:trHeight w:val="253"/>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1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2"/>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w:t>
            </w: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Amounts allocated from:</w:t>
            </w:r>
          </w:p>
        </w:tc>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4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Future policy benefits</w:t>
            </w:r>
          </w:p>
        </w:tc>
        <w:tc>
          <w:tcPr>
            <w:tcW w:w="1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1"/>
              </w:rPr>
              <w:t>(10)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DAC and DSI</w:t>
            </w:r>
          </w:p>
        </w:tc>
        <w:tc>
          <w:tcPr>
            <w:tcW w:w="1220" w:type="dxa"/>
            <w:vAlign w:val="bottom"/>
          </w:tcPr>
          <w:p>
            <w:pPr>
              <w:spacing w:after="0"/>
              <w:rPr>
                <w:sz w:val="19"/>
                <w:szCs w:val="19"/>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1"/>
              </w:rPr>
              <w:t>(36)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7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1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1"/>
              </w:rPr>
              <w:t>(46)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1220" w:type="dxa"/>
            <w:vAlign w:val="bottom"/>
          </w:tcPr>
          <w:p>
            <w:pPr>
              <w:spacing w:after="0"/>
              <w:rPr>
                <w:sz w:val="19"/>
                <w:szCs w:val="19"/>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1"/>
              </w:rPr>
              <w:t>(56)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7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1220" w:type="dxa"/>
            <w:vAlign w:val="bottom"/>
            <w:tcBorders>
              <w:bottom w:val="single" w:sz="8" w:color="CCEEFF"/>
            </w:tcBorders>
            <w:shd w:val="clear" w:color="auto" w:fill="CCEEFF"/>
          </w:tcPr>
          <w:p>
            <w:pPr>
              <w:jc w:val="right"/>
              <w:ind w:right="10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2"/>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left="2620"/>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ind w:left="262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December 31, 2019</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Unrealized investment gains (losses)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Unrealized investment gains (losses) relating to:</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Future policy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DAC and DSI</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June 30, 2020</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 in net unrealized investment gains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Six Months Ended June 30,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1217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(In millions)</w:t>
      </w:r>
    </w:p>
    <w:p>
      <w:pPr>
        <w:spacing w:after="0" w:line="54"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122</w:t>
      </w:r>
    </w:p>
    <w:p>
      <w:pPr>
        <w:spacing w:after="0" w:line="7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140</w:t>
      </w:r>
    </w:p>
    <w:p>
      <w:pPr>
        <w:spacing w:after="0" w:line="28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(7)</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(17)</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(24)</w:t>
      </w:r>
    </w:p>
    <w:p>
      <w:pPr>
        <w:spacing w:after="0" w:line="86"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12172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07"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12172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60960</wp:posOffset>
            </wp:positionV>
            <wp:extent cx="12172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8620" w:space="720"/>
            <w:col w:w="1900"/>
          </w:cols>
          <w:pgMar w:left="320" w:top="234"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June 30, 2020 and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and pledged as collateral at estimated fair value were as follows at: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7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17"/>
                <w:szCs w:val="17"/>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w:t>
            </w:r>
          </w:p>
        </w:tc>
        <w:tc>
          <w:tcPr>
            <w:tcW w:w="1260" w:type="dxa"/>
            <w:vAlign w:val="bottom"/>
            <w:tcBorders>
              <w:bottom w:val="single" w:sz="8" w:color="CCEEFF"/>
            </w:tcBorders>
            <w:shd w:val="clear" w:color="auto" w:fill="CCEEFF"/>
          </w:tcPr>
          <w:p>
            <w:pPr>
              <w:jc w:val="right"/>
              <w:ind w:right="10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Invested assets pledged as collateral (1)</w:t>
            </w:r>
          </w:p>
        </w:tc>
        <w:tc>
          <w:tcPr>
            <w:tcW w:w="126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19</w:t>
            </w:r>
          </w:p>
        </w:tc>
      </w:tr>
      <w:tr>
        <w:trPr>
          <w:trHeight w:val="33"/>
        </w:trPr>
        <w:tc>
          <w:tcPr>
            <w:tcW w:w="7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invested assets on deposit and pledged as collateral (2)</w:t>
            </w:r>
          </w:p>
        </w:tc>
        <w:tc>
          <w:tcPr>
            <w:tcW w:w="1260" w:type="dxa"/>
            <w:vAlign w:val="bottom"/>
            <w:tcBorders>
              <w:bottom w:val="single" w:sz="8" w:color="auto"/>
            </w:tcBorders>
            <w:shd w:val="clear" w:color="auto" w:fill="CCEEFF"/>
          </w:tcPr>
          <w:p>
            <w:pPr>
              <w:jc w:val="right"/>
              <w:ind w:right="10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pledged invested assets in connection with derivative transactions (see Note 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did not hold any restricted cash and cash equivalents at either June 30, 2020 or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invested in legal entities that are variable interest entities (“VIEs”). VIEs are consolidated when the investor is the primary beneficiary. A primary beneficiary is the variable interest holder in a VIE with both the power to (i) direct the activities of the VIE that most significantly impact the economic performance of the VIE and (ii) the obligation to absorb losses or the right to receive benefits that could potentially be significant to the VIE.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material VIEs for which the Company has concluded that it is the primary beneficiary at June 30, 2020 or December 31, 2019.</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86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restart"/>
          </w:tcPr>
          <w:p>
            <w:pPr>
              <w:jc w:val="center"/>
              <w:ind w:right="206"/>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1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9"/>
              </w:rPr>
              <w:t>Maximum</w:t>
            </w:r>
          </w:p>
        </w:tc>
        <w:tc>
          <w:tcPr>
            <w:tcW w:w="380" w:type="dxa"/>
            <w:vAlign w:val="bottom"/>
          </w:tcPr>
          <w:p>
            <w:pPr>
              <w:spacing w:after="0"/>
              <w:rPr>
                <w:sz w:val="13"/>
                <w:szCs w:val="13"/>
                <w:color w:val="auto"/>
              </w:rPr>
            </w:pPr>
          </w:p>
        </w:tc>
        <w:tc>
          <w:tcPr>
            <w:tcW w:w="1060" w:type="dxa"/>
            <w:vAlign w:val="bottom"/>
            <w:vMerge w:val="restart"/>
          </w:tcPr>
          <w:p>
            <w:pPr>
              <w:jc w:val="center"/>
              <w:ind w:right="306"/>
              <w:spacing w:after="0"/>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3"/>
                <w:szCs w:val="13"/>
                <w:color w:val="auto"/>
              </w:rPr>
            </w:pPr>
          </w:p>
        </w:tc>
        <w:tc>
          <w:tcPr>
            <w:tcW w:w="1200" w:type="dxa"/>
            <w:vAlign w:val="bottom"/>
          </w:tcPr>
          <w:p>
            <w:pPr>
              <w:jc w:val="center"/>
              <w:ind w:right="166"/>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Exposure</w:t>
            </w:r>
          </w:p>
        </w:tc>
        <w:tc>
          <w:tcPr>
            <w:tcW w:w="3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8"/>
              </w:rPr>
              <w:t>to Loss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6"/>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348</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394</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investments in unconsolidated VIEs are described below.</w:t>
      </w:r>
    </w:p>
    <w:p>
      <w:pPr>
        <w:sectPr>
          <w:pgSz w:w="11900" w:h="16838" w:orient="portrait"/>
          <w:cols w:equalWidth="0" w:num="1">
            <w:col w:w="11240"/>
          </w:cols>
          <w:pgMar w:left="320" w:top="2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20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600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196"/>
        </w:trPr>
        <w:tc>
          <w:tcPr>
            <w:tcW w:w="6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4"/>
        </w:trPr>
        <w:tc>
          <w:tcPr>
            <w:tcW w:w="60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20" w:type="dxa"/>
            <w:vAlign w:val="bottom"/>
          </w:tcPr>
          <w:p>
            <w:pPr>
              <w:jc w:val="right"/>
              <w:ind w:right="64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9"/>
                <w:szCs w:val="19"/>
                <w:color w:val="auto"/>
              </w:rPr>
            </w:pP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48</w:t>
            </w:r>
          </w:p>
        </w:tc>
      </w:tr>
      <w:tr>
        <w:trPr>
          <w:trHeight w:val="33"/>
        </w:trPr>
        <w:tc>
          <w:tcPr>
            <w:tcW w:w="6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223"/>
        </w:trPr>
        <w:tc>
          <w:tcPr>
            <w:tcW w:w="6000" w:type="dxa"/>
            <w:vAlign w:val="bottom"/>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820" w:type="dxa"/>
            <w:vAlign w:val="bottom"/>
          </w:tcPr>
          <w:p>
            <w:pPr>
              <w:spacing w:after="0"/>
              <w:rPr>
                <w:sz w:val="19"/>
                <w:szCs w:val="19"/>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9"/>
                <w:szCs w:val="19"/>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w:t>
            </w:r>
          </w:p>
        </w:tc>
      </w:tr>
      <w:tr>
        <w:trPr>
          <w:trHeight w:val="33"/>
        </w:trPr>
        <w:tc>
          <w:tcPr>
            <w:tcW w:w="6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7"/>
        </w:trPr>
        <w:tc>
          <w:tcPr>
            <w:tcW w:w="6000" w:type="dxa"/>
            <w:vAlign w:val="bottom"/>
          </w:tcPr>
          <w:p>
            <w:pPr>
              <w:ind w:left="180"/>
              <w:spacing w:after="0"/>
              <w:rPr>
                <w:sz w:val="20"/>
                <w:szCs w:val="20"/>
                <w:color w:val="auto"/>
              </w:rPr>
            </w:pPr>
            <w:r>
              <w:rPr>
                <w:rFonts w:ascii="Arial" w:cs="Arial" w:eastAsia="Arial" w:hAnsi="Arial"/>
                <w:sz w:val="16"/>
                <w:szCs w:val="16"/>
                <w:color w:val="auto"/>
              </w:rPr>
              <w:t>Total investment income</w:t>
            </w: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58</w:t>
            </w:r>
          </w:p>
        </w:tc>
      </w:tr>
      <w:tr>
        <w:trPr>
          <w:trHeight w:val="33"/>
        </w:trPr>
        <w:tc>
          <w:tcPr>
            <w:tcW w:w="6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Investment expenses</w:t>
            </w:r>
          </w:p>
        </w:tc>
        <w:tc>
          <w:tcPr>
            <w:tcW w:w="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r>
      <w:tr>
        <w:trPr>
          <w:trHeight w:val="247"/>
        </w:trPr>
        <w:tc>
          <w:tcPr>
            <w:tcW w:w="60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8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56</w:t>
            </w:r>
          </w:p>
        </w:tc>
      </w:tr>
      <w:tr>
        <w:trPr>
          <w:trHeight w:val="24"/>
        </w:trPr>
        <w:tc>
          <w:tcPr>
            <w:tcW w:w="6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4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
          </w:tcPr>
          <w:p>
            <w:pPr>
              <w:jc w:val="right"/>
              <w:ind w:right="6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196"/>
        </w:trPr>
        <w:tc>
          <w:tcPr>
            <w:tcW w:w="6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82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820" w:type="dxa"/>
            <w:vAlign w:val="bottom"/>
          </w:tcPr>
          <w:p>
            <w:pPr>
              <w:spacing w:after="0"/>
              <w:rPr>
                <w:sz w:val="19"/>
                <w:szCs w:val="19"/>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247"/>
        </w:trPr>
        <w:tc>
          <w:tcPr>
            <w:tcW w:w="6060" w:type="dxa"/>
            <w:vAlign w:val="bottom"/>
          </w:tcPr>
          <w:p>
            <w:pPr>
              <w:ind w:left="180"/>
              <w:spacing w:after="0"/>
              <w:rPr>
                <w:sz w:val="20"/>
                <w:szCs w:val="20"/>
                <w:color w:val="auto"/>
              </w:rPr>
            </w:pPr>
            <w:r>
              <w:rPr>
                <w:rFonts w:ascii="Arial" w:cs="Arial" w:eastAsia="Arial" w:hAnsi="Arial"/>
                <w:sz w:val="16"/>
                <w:szCs w:val="16"/>
                <w:color w:val="auto"/>
              </w:rPr>
              <w:t>Total net investment gains (losses)</w:t>
            </w:r>
          </w:p>
        </w:tc>
        <w:tc>
          <w:tcPr>
            <w:tcW w:w="8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5</w:t>
            </w:r>
          </w:p>
        </w:tc>
      </w:tr>
      <w:tr>
        <w:trPr>
          <w:trHeight w:val="23"/>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0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
          </w:tcPr>
          <w:p>
            <w:pPr>
              <w:jc w:val="right"/>
              <w:ind w:right="6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50"/>
        </w:trPr>
        <w:tc>
          <w:tcPr>
            <w:tcW w:w="6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97"/>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414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060" w:type="dxa"/>
            <w:vAlign w:val="bottom"/>
          </w:tcPr>
          <w:p>
            <w:pPr>
              <w:ind w:left="20"/>
              <w:spacing w:after="0"/>
              <w:rPr>
                <w:sz w:val="20"/>
                <w:szCs w:val="20"/>
                <w:color w:val="auto"/>
              </w:rPr>
            </w:pPr>
            <w:r>
              <w:rPr>
                <w:rFonts w:ascii="Arial" w:cs="Arial" w:eastAsia="Arial" w:hAnsi="Arial"/>
                <w:sz w:val="16"/>
                <w:szCs w:val="16"/>
                <w:color w:val="auto"/>
              </w:rPr>
              <w:t>Gross investment gains</w:t>
            </w:r>
          </w:p>
        </w:tc>
        <w:tc>
          <w:tcPr>
            <w:tcW w:w="820" w:type="dxa"/>
            <w:vAlign w:val="bottom"/>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6</w:t>
            </w:r>
          </w:p>
        </w:tc>
      </w:tr>
      <w:tr>
        <w:trPr>
          <w:trHeight w:val="33"/>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47"/>
        </w:trPr>
        <w:tc>
          <w:tcPr>
            <w:tcW w:w="606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82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5</w:t>
            </w:r>
          </w:p>
        </w:tc>
      </w:tr>
      <w:tr>
        <w:trPr>
          <w:trHeight w:val="23"/>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of the Notes to the Financial Statements included in the 2019 Annual Report for a description of the Company’s accounting policies for derivatives and Note 8 for information about the fair value hierarchy for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Types of Derivative Instruments and Derivative Strategies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62" w:lineRule="exact"/>
        <w:rPr>
          <w:sz w:val="20"/>
          <w:szCs w:val="20"/>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caps;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swaps,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 derivatives: options and total return swaps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For detailed information on these contracts and the related strategies, see Note 7 of the Notes to the Financial Statements included in the 2019 Annual Report.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June 30, 2020</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December 31, 2019</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3"/>
                <w:szCs w:val="13"/>
                <w:b w:val="1"/>
                <w:bCs w:val="1"/>
                <w:color w:val="auto"/>
              </w:rPr>
              <w:t>Estimated Fair Value</w:t>
            </w:r>
          </w:p>
        </w:tc>
        <w:tc>
          <w:tcPr>
            <w:tcW w:w="140" w:type="dxa"/>
            <w:vAlign w:val="bottom"/>
          </w:tcPr>
          <w:p>
            <w:pPr>
              <w:spacing w:after="0"/>
              <w:rPr>
                <w:sz w:val="14"/>
                <w:szCs w:val="14"/>
                <w:color w:val="auto"/>
              </w:rPr>
            </w:pPr>
          </w:p>
        </w:tc>
        <w:tc>
          <w:tcPr>
            <w:tcW w:w="720" w:type="dxa"/>
            <w:vAlign w:val="bottom"/>
          </w:tcPr>
          <w:p>
            <w:pPr>
              <w:jc w:val="center"/>
              <w:ind w:right="9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269"/>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restart"/>
          </w:tcPr>
          <w:p>
            <w:pPr>
              <w:jc w:val="center"/>
              <w:ind w:right="240"/>
              <w:spacing w:after="0" w:line="117"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vMerge w:val="restart"/>
          </w:tcPr>
          <w:p>
            <w:pPr>
              <w:jc w:val="center"/>
              <w:ind w:right="70"/>
              <w:spacing w:after="0" w:line="117" w:lineRule="exact"/>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5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2900" w:type="dxa"/>
            <w:vAlign w:val="bottom"/>
            <w:gridSpan w:val="2"/>
          </w:tcPr>
          <w:p>
            <w:pPr>
              <w:ind w:left="440"/>
              <w:spacing w:after="0"/>
              <w:rPr>
                <w:sz w:val="20"/>
                <w:szCs w:val="20"/>
                <w:color w:val="auto"/>
              </w:rPr>
            </w:pPr>
            <w:r>
              <w:rPr>
                <w:rFonts w:ascii="Arial" w:cs="Arial" w:eastAsia="Arial" w:hAnsi="Arial"/>
                <w:sz w:val="13"/>
                <w:szCs w:val="13"/>
                <w:b w:val="1"/>
                <w:bCs w:val="1"/>
                <w:color w:val="auto"/>
              </w:rPr>
              <w:t>Primary Underlying Risk Exposure</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Pr>
          <w:p>
            <w:pPr>
              <w:spacing w:after="0"/>
              <w:rPr>
                <w:sz w:val="15"/>
                <w:szCs w:val="15"/>
                <w:color w:val="auto"/>
              </w:rPr>
            </w:pPr>
          </w:p>
        </w:tc>
        <w:tc>
          <w:tcPr>
            <w:tcW w:w="720" w:type="dxa"/>
            <w:vAlign w:val="bottom"/>
          </w:tcPr>
          <w:p>
            <w:pPr>
              <w:jc w:val="center"/>
              <w:ind w:right="9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5"/>
                <w:szCs w:val="15"/>
                <w:color w:val="auto"/>
              </w:rPr>
            </w:pPr>
          </w:p>
        </w:tc>
        <w:tc>
          <w:tcPr>
            <w:tcW w:w="740" w:type="dxa"/>
            <w:vAlign w:val="bottom"/>
          </w:tcPr>
          <w:p>
            <w:pPr>
              <w:jc w:val="right"/>
              <w:ind w:right="89"/>
              <w:spacing w:after="0"/>
              <w:rPr>
                <w:sz w:val="20"/>
                <w:szCs w:val="20"/>
                <w:color w:val="auto"/>
              </w:rPr>
            </w:pPr>
            <w:r>
              <w:rPr>
                <w:rFonts w:ascii="Arial" w:cs="Arial" w:eastAsia="Arial" w:hAnsi="Arial"/>
                <w:sz w:val="13"/>
                <w:szCs w:val="13"/>
                <w:b w:val="1"/>
                <w:bCs w:val="1"/>
                <w:color w:val="auto"/>
                <w:w w:val="93"/>
              </w:rPr>
              <w:t>Liabilities</w:t>
            </w:r>
          </w:p>
        </w:tc>
        <w:tc>
          <w:tcPr>
            <w:tcW w:w="0" w:type="dxa"/>
            <w:vAlign w:val="bottom"/>
          </w:tcPr>
          <w:p>
            <w:pPr>
              <w:spacing w:after="0"/>
              <w:rPr>
                <w:sz w:val="1"/>
                <w:szCs w:val="1"/>
                <w:color w:val="auto"/>
              </w:rPr>
            </w:pPr>
          </w:p>
        </w:tc>
      </w:tr>
      <w:tr>
        <w:trPr>
          <w:trHeight w:val="181"/>
        </w:trPr>
        <w:tc>
          <w:tcPr>
            <w:tcW w:w="258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swaps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580" w:type="dxa"/>
            <w:vAlign w:val="bottom"/>
          </w:tcPr>
          <w:p>
            <w:pPr>
              <w:ind w:left="180"/>
              <w:spacing w:after="0"/>
              <w:rPr>
                <w:sz w:val="20"/>
                <w:szCs w:val="20"/>
                <w:color w:val="auto"/>
              </w:rPr>
            </w:pPr>
            <w:r>
              <w:rPr>
                <w:rFonts w:ascii="Arial" w:cs="Arial" w:eastAsia="Arial" w:hAnsi="Arial"/>
                <w:sz w:val="14"/>
                <w:szCs w:val="14"/>
                <w:color w:val="auto"/>
              </w:rPr>
              <w:t>Total qualifying hedges</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color w:val="auto"/>
              </w:rPr>
              <w:t>Interest rate caps</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swaps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580" w:type="dxa"/>
            <w:vAlign w:val="bottom"/>
          </w:tcPr>
          <w:p>
            <w:pPr>
              <w:ind w:left="180"/>
              <w:spacing w:after="0"/>
              <w:rPr>
                <w:sz w:val="20"/>
                <w:szCs w:val="20"/>
                <w:color w:val="auto"/>
              </w:rPr>
            </w:pPr>
            <w:r>
              <w:rPr>
                <w:rFonts w:ascii="Arial" w:cs="Arial" w:eastAsia="Arial" w:hAnsi="Arial"/>
                <w:sz w:val="14"/>
                <w:szCs w:val="14"/>
                <w:color w:val="auto"/>
              </w:rPr>
              <w:t>Equity index options</w:t>
            </w: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60" w:type="dxa"/>
            <w:vAlign w:val="bottom"/>
          </w:tcPr>
          <w:p>
            <w:pPr>
              <w:spacing w:after="0"/>
              <w:rPr>
                <w:sz w:val="17"/>
                <w:szCs w:val="17"/>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5,912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4,699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total return swaps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580" w:type="dxa"/>
            <w:vAlign w:val="bottom"/>
          </w:tcPr>
          <w:p>
            <w:pPr>
              <w:ind w:left="180"/>
              <w:spacing w:after="0" w:line="115" w:lineRule="exact"/>
              <w:rPr>
                <w:sz w:val="20"/>
                <w:szCs w:val="20"/>
                <w:color w:val="auto"/>
              </w:rPr>
            </w:pPr>
            <w:r>
              <w:rPr>
                <w:rFonts w:ascii="Arial" w:cs="Arial" w:eastAsia="Arial" w:hAnsi="Arial"/>
                <w:sz w:val="13"/>
                <w:szCs w:val="13"/>
                <w:color w:val="auto"/>
              </w:rPr>
              <w:t>Total non-designated or non-qualifying</w:t>
            </w: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rPr>
              <w:t>6,763</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4"/>
                <w:szCs w:val="14"/>
                <w:color w:val="auto"/>
              </w:rPr>
              <w:t>5,517</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derivatives</w:t>
            </w: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4"/>
                <w:szCs w:val="14"/>
                <w:color w:val="auto"/>
              </w:rPr>
              <w:t>Ceded guaranteed minimum income</w:t>
            </w:r>
          </w:p>
        </w:tc>
        <w:tc>
          <w:tcPr>
            <w:tcW w:w="290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1"/>
                <w:szCs w:val="11"/>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180"/>
              <w:spacing w:after="0"/>
              <w:rPr>
                <w:sz w:val="20"/>
                <w:szCs w:val="20"/>
                <w:color w:val="auto"/>
              </w:rPr>
            </w:pPr>
            <w:r>
              <w:rPr>
                <w:rFonts w:ascii="Arial" w:cs="Arial" w:eastAsia="Arial" w:hAnsi="Arial"/>
                <w:sz w:val="14"/>
                <w:szCs w:val="14"/>
                <w:color w:val="auto"/>
              </w:rPr>
              <w:t>benefits</w:t>
            </w:r>
          </w:p>
        </w:tc>
        <w:tc>
          <w:tcPr>
            <w:tcW w:w="2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guaranteed minimum benefits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Direct index-linked annuities</w:t>
            </w:r>
          </w:p>
        </w:tc>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embedded derivatives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2"/>
        </w:trPr>
        <w:tc>
          <w:tcPr>
            <w:tcW w:w="2580" w:type="dxa"/>
            <w:vAlign w:val="bottom"/>
          </w:tcPr>
          <w:p>
            <w:pPr>
              <w:ind w:left="180"/>
              <w:spacing w:after="0"/>
              <w:rPr>
                <w:sz w:val="20"/>
                <w:szCs w:val="20"/>
                <w:color w:val="auto"/>
              </w:rPr>
            </w:pPr>
            <w:r>
              <w:rPr>
                <w:rFonts w:ascii="Arial" w:cs="Arial" w:eastAsia="Arial" w:hAnsi="Arial"/>
                <w:sz w:val="14"/>
                <w:szCs w:val="14"/>
                <w:color w:val="auto"/>
              </w:rPr>
              <w:t>Total</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6,875</w:t>
            </w:r>
          </w:p>
        </w:tc>
        <w:tc>
          <w:tcPr>
            <w:tcW w:w="100" w:type="dxa"/>
            <w:vAlign w:val="bottom"/>
          </w:tcPr>
          <w:p>
            <w:pPr>
              <w:spacing w:after="0"/>
              <w:rPr>
                <w:sz w:val="17"/>
                <w:szCs w:val="17"/>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5,615</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presented in net derivative gains (losses)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Net Derivative</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Derivative</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80" w:type="dxa"/>
            <w:vAlign w:val="bottom"/>
          </w:tcPr>
          <w:p>
            <w:pPr>
              <w:spacing w:after="0"/>
              <w:rPr>
                <w:sz w:val="11"/>
                <w:szCs w:val="11"/>
                <w:color w:val="auto"/>
              </w:rPr>
            </w:pPr>
          </w:p>
        </w:tc>
        <w:tc>
          <w:tcPr>
            <w:tcW w:w="13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Gains (Losses)</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Net Investment</w:t>
            </w: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Recognized for</w:t>
            </w:r>
          </w:p>
        </w:tc>
        <w:tc>
          <w:tcPr>
            <w:tcW w:w="180" w:type="dxa"/>
            <w:vAlign w:val="bottom"/>
          </w:tcPr>
          <w:p>
            <w:pPr>
              <w:spacing w:after="0"/>
              <w:rPr>
                <w:sz w:val="11"/>
                <w:szCs w:val="11"/>
                <w:color w:val="auto"/>
              </w:rPr>
            </w:pPr>
          </w:p>
        </w:tc>
        <w:tc>
          <w:tcPr>
            <w:tcW w:w="13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 for</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Hedged Items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Deferred in AOCI</w:t>
            </w: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ind w:left="680"/>
              <w:spacing w:after="0"/>
              <w:rPr>
                <w:sz w:val="20"/>
                <w:szCs w:val="20"/>
                <w:color w:val="auto"/>
              </w:rPr>
            </w:pPr>
            <w:r>
              <w:rPr>
                <w:rFonts w:ascii="Arial" w:cs="Arial" w:eastAsia="Arial" w:hAnsi="Arial"/>
                <w:sz w:val="14"/>
                <w:szCs w:val="14"/>
                <w:b w:val="1"/>
                <w:bCs w:val="1"/>
                <w:color w:val="auto"/>
                <w:w w:val="99"/>
              </w:rPr>
              <w:t>(In millions)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w w:val="99"/>
              </w:rPr>
              <w:t>Derivatives Not Designated or Not Qualifying as Hedging Instruments: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2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3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2019</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w w:val="99"/>
              </w:rPr>
              <w:t>Derivatives Not Designated or Not Qualifying as Hedging Instruments: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spacing w:after="0"/>
              <w:rPr>
                <w:sz w:val="19"/>
                <w:szCs w:val="19"/>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220" w:type="dxa"/>
            <w:vAlign w:val="bottom"/>
          </w:tcPr>
          <w:p>
            <w:pPr>
              <w:spacing w:after="0"/>
              <w:rPr>
                <w:sz w:val="19"/>
                <w:szCs w:val="19"/>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3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Net Derivative</w:t>
            </w:r>
          </w:p>
        </w:tc>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Derivative</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Gains (Losses)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Gains (Losses)</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Net Investment</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Recognized for</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Recognized for</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Hedged Items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Deferred in AOCI</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ind w:left="660"/>
              <w:spacing w:after="0"/>
              <w:rPr>
                <w:sz w:val="20"/>
                <w:szCs w:val="20"/>
                <w:color w:val="auto"/>
              </w:rPr>
            </w:pPr>
            <w:r>
              <w:rPr>
                <w:rFonts w:ascii="Arial" w:cs="Arial" w:eastAsia="Arial" w:hAnsi="Arial"/>
                <w:sz w:val="14"/>
                <w:szCs w:val="14"/>
                <w:b w:val="1"/>
                <w:bCs w:val="1"/>
                <w:color w:val="auto"/>
                <w:w w:val="96"/>
              </w:rPr>
              <w:t>(In millions)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or Not Qualifying as Hedging Instruments: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spacing w:after="0"/>
              <w:rPr>
                <w:sz w:val="19"/>
                <w:szCs w:val="19"/>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220" w:type="dxa"/>
            <w:vAlign w:val="bottom"/>
          </w:tcPr>
          <w:p>
            <w:pPr>
              <w:spacing w:after="0"/>
              <w:rPr>
                <w:sz w:val="19"/>
                <w:szCs w:val="19"/>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40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2019</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or Not Qualifying as Hedging Instruments: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220" w:type="dxa"/>
            <w:vAlign w:val="bottom"/>
          </w:tcPr>
          <w:p>
            <w:pPr>
              <w:spacing w:after="0"/>
              <w:rPr>
                <w:sz w:val="19"/>
                <w:szCs w:val="19"/>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22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40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20" w:firstLine="324"/>
        <w:spacing w:after="0" w:line="375" w:lineRule="auto"/>
        <w:rPr>
          <w:sz w:val="20"/>
          <w:szCs w:val="20"/>
          <w:color w:val="auto"/>
        </w:rPr>
      </w:pPr>
      <w:r>
        <w:rPr>
          <w:rFonts w:ascii="Arial" w:cs="Arial" w:eastAsia="Arial" w:hAnsi="Arial"/>
          <w:sz w:val="18"/>
          <w:szCs w:val="18"/>
          <w:color w:val="auto"/>
        </w:rPr>
        <w:t xml:space="preserve">At June 30, 2020 and December 31, 2019, the balance in AOCI associated with cash flow hedges was $17 million and $6 million, respectively. </w:t>
      </w:r>
      <w:r>
        <w:rPr>
          <w:rFonts w:ascii="Arial" w:cs="Arial" w:eastAsia="Arial" w:hAnsi="Arial"/>
          <w:sz w:val="18"/>
          <w:szCs w:val="18"/>
          <w:b w:val="1"/>
          <w:bCs w:val="1"/>
          <w:i w:val="1"/>
          <w:iCs w:val="1"/>
          <w:color w:val="auto"/>
        </w:rPr>
        <w:t>Counterparty Credit Risk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162"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Gross Amounts Not Offset on the Balance</w:t>
      </w:r>
    </w:p>
    <w:p>
      <w:pPr>
        <w:spacing w:after="0" w:line="4"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13335</wp:posOffset>
            </wp:positionV>
            <wp:extent cx="18859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2"/>
              <w:spacing w:after="0"/>
              <w:rPr>
                <w:sz w:val="20"/>
                <w:szCs w:val="20"/>
                <w:color w:val="auto"/>
              </w:rPr>
            </w:pPr>
            <w:r>
              <w:rPr>
                <w:rFonts w:ascii="Arial" w:cs="Arial" w:eastAsia="Arial" w:hAnsi="Arial"/>
                <w:sz w:val="14"/>
                <w:szCs w:val="14"/>
                <w:b w:val="1"/>
                <w:bCs w:val="1"/>
                <w:color w:val="auto"/>
                <w:w w:val="98"/>
              </w:rPr>
              <w:t>Gross Amount</w:t>
            </w:r>
          </w:p>
        </w:tc>
        <w:tc>
          <w:tcPr>
            <w:tcW w:w="16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Financial Instruments</w:t>
            </w:r>
          </w:p>
        </w:tc>
        <w:tc>
          <w:tcPr>
            <w:tcW w:w="320" w:type="dxa"/>
            <w:vAlign w:val="bottom"/>
          </w:tcPr>
          <w:p>
            <w:pPr>
              <w:spacing w:after="0"/>
              <w:rPr>
                <w:sz w:val="14"/>
                <w:szCs w:val="14"/>
                <w:color w:val="auto"/>
              </w:rPr>
            </w:pPr>
          </w:p>
        </w:tc>
        <w:tc>
          <w:tcPr>
            <w:tcW w:w="1200" w:type="dxa"/>
            <w:vAlign w:val="bottom"/>
          </w:tcPr>
          <w:p>
            <w:pPr>
              <w:jc w:val="center"/>
              <w:ind w:right="202"/>
              <w:spacing w:after="0"/>
              <w:rPr>
                <w:sz w:val="20"/>
                <w:szCs w:val="20"/>
                <w:color w:val="auto"/>
              </w:rPr>
            </w:pPr>
            <w:r>
              <w:rPr>
                <w:rFonts w:ascii="Arial" w:cs="Arial" w:eastAsia="Arial" w:hAnsi="Arial"/>
                <w:sz w:val="14"/>
                <w:szCs w:val="14"/>
                <w:b w:val="1"/>
                <w:bCs w:val="1"/>
                <w:color w:val="auto"/>
                <w:w w:val="93"/>
              </w:rPr>
              <w:t>Collateral</w:t>
            </w:r>
          </w:p>
        </w:tc>
        <w:tc>
          <w:tcPr>
            <w:tcW w:w="400" w:type="dxa"/>
            <w:vAlign w:val="bottom"/>
          </w:tcPr>
          <w:p>
            <w:pPr>
              <w:spacing w:after="0"/>
              <w:rPr>
                <w:sz w:val="14"/>
                <w:szCs w:val="14"/>
                <w:color w:val="auto"/>
              </w:rPr>
            </w:pPr>
          </w:p>
        </w:tc>
        <w:tc>
          <w:tcPr>
            <w:tcW w:w="11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w w:val="95"/>
              </w:rPr>
              <w:t>Net Amount</w:t>
            </w:r>
          </w:p>
        </w:tc>
        <w:tc>
          <w:tcPr>
            <w:tcW w:w="15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Securities Collateral</w:t>
            </w: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Net Amount After</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Recognized</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(1)</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Received/Pledged (2)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Received/Pledged (3)</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0"/>
              </w:rPr>
              <w:t>Securities Collateral</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14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146</w:t>
            </w:r>
          </w:p>
        </w:tc>
        <w:tc>
          <w:tcPr>
            <w:tcW w:w="4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(46)</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582"/>
              <w:spacing w:after="0"/>
              <w:rPr>
                <w:sz w:val="20"/>
                <w:szCs w:val="20"/>
                <w:color w:val="auto"/>
              </w:rPr>
            </w:pPr>
            <w:r>
              <w:rPr>
                <w:rFonts w:ascii="Arial" w:cs="Arial" w:eastAsia="Arial" w:hAnsi="Arial"/>
                <w:sz w:val="16"/>
                <w:szCs w:val="16"/>
                <w:color w:val="auto"/>
                <w:w w:val="91"/>
              </w:rPr>
              <w:t>(88)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68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9"/>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73</w:t>
            </w:r>
          </w:p>
        </w:tc>
        <w:tc>
          <w:tcPr>
            <w:tcW w:w="4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w:t>
            </w:r>
          </w:p>
        </w:tc>
        <w:tc>
          <w:tcPr>
            <w:tcW w:w="3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602"/>
              <w:spacing w:after="0"/>
              <w:rPr>
                <w:sz w:val="20"/>
                <w:szCs w:val="20"/>
                <w:color w:val="auto"/>
              </w:rPr>
            </w:pPr>
            <w:r>
              <w:rPr>
                <w:rFonts w:ascii="Arial" w:cs="Arial" w:eastAsia="Arial" w:hAnsi="Arial"/>
                <w:sz w:val="16"/>
                <w:szCs w:val="16"/>
                <w:color w:val="auto"/>
                <w:w w:val="99"/>
              </w:rPr>
              <w:t>—</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w:t>
            </w:r>
          </w:p>
        </w:tc>
        <w:tc>
          <w:tcPr>
            <w:tcW w:w="6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108</w:t>
            </w:r>
          </w:p>
        </w:tc>
        <w:tc>
          <w:tcPr>
            <w:tcW w:w="4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582"/>
              <w:spacing w:after="0"/>
              <w:rPr>
                <w:sz w:val="20"/>
                <w:szCs w:val="20"/>
                <w:color w:val="auto"/>
              </w:rPr>
            </w:pPr>
            <w:r>
              <w:rPr>
                <w:rFonts w:ascii="Arial" w:cs="Arial" w:eastAsia="Arial" w:hAnsi="Arial"/>
                <w:sz w:val="16"/>
                <w:szCs w:val="16"/>
                <w:color w:val="auto"/>
                <w:w w:val="91"/>
              </w:rPr>
              <w:t>(82)</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c>
          <w:tcPr>
            <w:tcW w:w="6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1"/>
        </w:trPr>
        <w:tc>
          <w:tcPr>
            <w:tcW w:w="214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39</w:t>
            </w:r>
          </w:p>
        </w:tc>
        <w:tc>
          <w:tcPr>
            <w:tcW w:w="4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(21)</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602"/>
              <w:spacing w:after="0"/>
              <w:rPr>
                <w:sz w:val="20"/>
                <w:szCs w:val="20"/>
                <w:color w:val="auto"/>
              </w:rPr>
            </w:pPr>
            <w:r>
              <w:rPr>
                <w:rFonts w:ascii="Arial" w:cs="Arial" w:eastAsia="Arial" w:hAnsi="Arial"/>
                <w:sz w:val="16"/>
                <w:szCs w:val="16"/>
                <w:color w:val="auto"/>
                <w:w w:val="99"/>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18</w:t>
            </w:r>
          </w:p>
        </w:tc>
        <w:tc>
          <w:tcPr>
            <w:tcW w:w="68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of cash collateral offset in the table above is limited to the net estimated fair value of derivatives after application of netting agreement.</w:t>
      </w:r>
    </w:p>
    <w:p>
      <w:pPr>
        <w:spacing w:after="0" w:line="140" w:lineRule="exact"/>
        <w:rPr>
          <w:rFonts w:ascii="Arial" w:cs="Arial" w:eastAsia="Arial" w:hAnsi="Arial"/>
          <w:sz w:val="16"/>
          <w:szCs w:val="16"/>
          <w:color w:val="auto"/>
        </w:rPr>
      </w:pPr>
    </w:p>
    <w:p>
      <w:pPr>
        <w:ind w:left="340" w:hanging="332"/>
        <w:spacing w:after="0" w:line="277"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balance sheets and may not be sold or re-pledged unless the counterparty is in default. Amounts do not include excess of collateral pledged or received.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7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r>
      <w:tr>
        <w:trPr>
          <w:trHeight w:val="26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280" w:type="dxa"/>
            <w:vAlign w:val="bottom"/>
            <w:shd w:val="clear" w:color="auto" w:fill="CCEEFF"/>
          </w:tcPr>
          <w:p>
            <w:pPr>
              <w:jc w:val="right"/>
              <w:ind w:right="110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27</w:t>
            </w:r>
          </w:p>
        </w:tc>
        <w:tc>
          <w:tcPr>
            <w:tcW w:w="94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9"/>
        </w:trPr>
        <w:tc>
          <w:tcPr>
            <w:tcW w:w="7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maturity securities</w:t>
            </w:r>
          </w:p>
        </w:tc>
        <w:tc>
          <w:tcPr>
            <w:tcW w:w="1280" w:type="dxa"/>
            <w:vAlign w:val="bottom"/>
            <w:shd w:val="clear" w:color="auto" w:fill="CCEEFF"/>
          </w:tcPr>
          <w:p>
            <w:pPr>
              <w:jc w:val="right"/>
              <w:ind w:right="110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33</w:t>
            </w:r>
          </w:p>
        </w:tc>
        <w:tc>
          <w:tcPr>
            <w:tcW w:w="94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 2020</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 Hierarchy</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12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4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U.S. government and agency</w:t>
            </w:r>
          </w:p>
        </w:tc>
        <w:tc>
          <w:tcPr>
            <w:tcW w:w="10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RMBS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ABS</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3,118</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3,354</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0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 (1)</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Interest rate</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market</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derivative assets</w:t>
            </w:r>
          </w:p>
        </w:tc>
        <w:tc>
          <w:tcPr>
            <w:tcW w:w="10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rPr>
                <w:sz w:val="20"/>
                <w:szCs w:val="20"/>
                <w:color w:val="auto"/>
              </w:rPr>
            </w:pPr>
            <w:r>
              <w:rPr>
                <w:rFonts w:ascii="Arial" w:cs="Arial" w:eastAsia="Arial" w:hAnsi="Arial"/>
                <w:sz w:val="14"/>
                <w:szCs w:val="14"/>
                <w:color w:val="auto"/>
              </w:rPr>
              <w:t>Embedded derivatives within asset host contracts (2)</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10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4,374</w:t>
            </w:r>
          </w:p>
        </w:tc>
        <w:tc>
          <w:tcPr>
            <w:tcW w:w="0" w:type="dxa"/>
            <w:vAlign w:val="bottom"/>
          </w:tcPr>
          <w:p>
            <w:pPr>
              <w:spacing w:after="0"/>
              <w:rPr>
                <w:sz w:val="1"/>
                <w:szCs w:val="1"/>
                <w:color w:val="auto"/>
              </w:rPr>
            </w:pPr>
          </w:p>
        </w:tc>
      </w:tr>
      <w:tr>
        <w:trPr>
          <w:trHeight w:val="202"/>
        </w:trPr>
        <w:tc>
          <w:tcPr>
            <w:tcW w:w="51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7,643</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8,435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Derivative liabilities: (1)</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Embedded derivatives within liability host contracts (2)</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2"/>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Fair Value Hierarchy</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4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1,419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U.S. government and agency</w:t>
            </w:r>
          </w:p>
        </w:tc>
        <w:tc>
          <w:tcPr>
            <w:tcW w:w="10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RMBS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ABS</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2,839</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0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 (1)</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rPr>
                <w:sz w:val="20"/>
                <w:szCs w:val="20"/>
                <w:color w:val="auto"/>
              </w:rPr>
            </w:pPr>
            <w:r>
              <w:rPr>
                <w:rFonts w:ascii="Arial" w:cs="Arial" w:eastAsia="Arial" w:hAnsi="Arial"/>
                <w:sz w:val="14"/>
                <w:szCs w:val="14"/>
                <w:color w:val="auto"/>
              </w:rPr>
              <w:t>Interest rate</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market</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derivative assets</w:t>
            </w:r>
          </w:p>
        </w:tc>
        <w:tc>
          <w:tcPr>
            <w:tcW w:w="10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rPr>
                <w:sz w:val="20"/>
                <w:szCs w:val="20"/>
                <w:color w:val="auto"/>
              </w:rPr>
            </w:pPr>
            <w:r>
              <w:rPr>
                <w:rFonts w:ascii="Arial" w:cs="Arial" w:eastAsia="Arial" w:hAnsi="Arial"/>
                <w:sz w:val="14"/>
                <w:szCs w:val="14"/>
                <w:color w:val="auto"/>
              </w:rPr>
              <w:t>Embedded derivatives within asset host contracts (2)</w:t>
            </w:r>
          </w:p>
        </w:tc>
        <w:tc>
          <w:tcPr>
            <w:tcW w:w="10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10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4,676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4,676</w:t>
            </w:r>
          </w:p>
        </w:tc>
        <w:tc>
          <w:tcPr>
            <w:tcW w:w="0" w:type="dxa"/>
            <w:vAlign w:val="bottom"/>
          </w:tcPr>
          <w:p>
            <w:pPr>
              <w:spacing w:after="0"/>
              <w:rPr>
                <w:sz w:val="1"/>
                <w:szCs w:val="1"/>
                <w:color w:val="auto"/>
              </w:rPr>
            </w:pPr>
          </w:p>
        </w:tc>
      </w:tr>
      <w:tr>
        <w:trPr>
          <w:trHeight w:val="202"/>
        </w:trPr>
        <w:tc>
          <w:tcPr>
            <w:tcW w:w="51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1"/>
              </w:rPr>
              <w:t>7,640</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8,241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140" w:type="dxa"/>
            <w:vAlign w:val="bottom"/>
          </w:tcPr>
          <w:p>
            <w:pPr>
              <w:ind w:left="20"/>
              <w:spacing w:after="0"/>
              <w:rPr>
                <w:sz w:val="20"/>
                <w:szCs w:val="20"/>
                <w:color w:val="auto"/>
              </w:rPr>
            </w:pPr>
            <w:r>
              <w:rPr>
                <w:rFonts w:ascii="Arial" w:cs="Arial" w:eastAsia="Arial" w:hAnsi="Arial"/>
                <w:sz w:val="14"/>
                <w:szCs w:val="14"/>
                <w:color w:val="auto"/>
              </w:rPr>
              <w:t>Derivative liabilities: (1)</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Embedded derivatives within liability host contracts (2)</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22"/>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right="2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balance sheets and derivative liabilities are presented within other liabilities on the balance sheets. The amounts are presented gross in the tables above to reflect the presentation on the balance sheets.</w:t>
      </w:r>
    </w:p>
    <w:p>
      <w:pPr>
        <w:spacing w:after="0" w:line="62"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on the balance sheets. Embedded derivatives within liability host contracts are presented within policyholder account balances on the balance sheets.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84"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26"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Additional controls are performed, such as,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2020.</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0"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33"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fair value for actively traded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Fair value is determined using third-party commercial pricing services, with the primary input being quoted prices in markets that are not active.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Derivatives are financial instruments with values derived from interest rates, foreign currency exchange rates and/or financial indices. Derivatives may be exchange-traded or contracted in the over-the-counter (“OTC”) market. The Company’s OTC derivatives are settled bilateral contracts between two counterparties (“OTC-bilateral”).</w:t>
      </w:r>
    </w:p>
    <w:p>
      <w:pPr>
        <w:spacing w:after="0" w:line="76"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fair values for OTC-bilateral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6"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derivatives are inputs that are observable in the market or can be derived principally from, or corroborated by, observable market data. Certain OTC-bilateral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4"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Most inputs for OTC-bilateral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6"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The credit risk of both the counterparty and the Company are considered in determining the estimated fair value for all OTC-bilateral derivatives, and any potential credit adjustment is based on the net exposure by counterparty after taking into account the effects of netting agreements and collateral arrangements. The Company values its OTC-bilateral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Embedded derivatives principally include certain direct variable annuity guarantees and certain affiliated ceded reinsurance agreements related to such variable annuity guarantees, and equity crediting rates within index-linked annuity contracts. Embedded derivatives are recorded at estimated fair value with changes in estimated fair value reported in net income.</w:t>
      </w:r>
    </w:p>
    <w:p>
      <w:pPr>
        <w:spacing w:after="0" w:line="76"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balance sheets.</w:t>
      </w:r>
    </w:p>
    <w:p>
      <w:pPr>
        <w:spacing w:after="0" w:line="41"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0"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2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assumptions, including mortality, lapse, withdrawal and utilization, are unobservable and are reviewed at least annually based on actuarial studies of historical experience.</w:t>
      </w:r>
    </w:p>
    <w:p>
      <w:pPr>
        <w:spacing w:after="0" w:line="62"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June 30, 2020</w:t>
            </w:r>
          </w:p>
        </w:tc>
        <w:tc>
          <w:tcPr>
            <w:tcW w:w="1760" w:type="dxa"/>
            <w:vAlign w:val="bottom"/>
            <w:gridSpan w:val="3"/>
          </w:tcPr>
          <w:p>
            <w:pPr>
              <w:ind w:left="380"/>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Impact of</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9"/>
              </w:rPr>
              <w:t>Increase in Input</w:t>
            </w:r>
          </w:p>
        </w:tc>
        <w:tc>
          <w:tcPr>
            <w:tcW w:w="0" w:type="dxa"/>
            <w:vAlign w:val="bottom"/>
          </w:tcPr>
          <w:p>
            <w:pPr>
              <w:spacing w:after="0"/>
              <w:rPr>
                <w:sz w:val="1"/>
                <w:szCs w:val="1"/>
                <w:color w:val="auto"/>
              </w:rPr>
            </w:pPr>
          </w:p>
        </w:tc>
      </w:tr>
      <w:tr>
        <w:trPr>
          <w:trHeight w:val="56"/>
        </w:trPr>
        <w:tc>
          <w:tcPr>
            <w:tcW w:w="25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2"/>
          </w:tcPr>
          <w:p>
            <w:pPr>
              <w:ind w:left="420"/>
              <w:spacing w:after="0" w:line="135" w:lineRule="exact"/>
              <w:rPr>
                <w:sz w:val="20"/>
                <w:szCs w:val="20"/>
                <w:color w:val="auto"/>
              </w:rPr>
            </w:pPr>
            <w:r>
              <w:rPr>
                <w:rFonts w:ascii="Arial" w:cs="Arial" w:eastAsia="Arial" w:hAnsi="Arial"/>
                <w:sz w:val="13"/>
                <w:szCs w:val="13"/>
                <w:b w:val="1"/>
                <w:bCs w:val="1"/>
                <w:color w:val="auto"/>
              </w:rPr>
              <w:t>Significant</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on Estimated</w:t>
            </w: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Arial" w:cs="Arial" w:eastAsia="Arial" w:hAnsi="Arial"/>
                <w:sz w:val="13"/>
                <w:szCs w:val="13"/>
                <w:b w:val="1"/>
                <w:bCs w:val="1"/>
                <w:color w:val="auto"/>
              </w:rPr>
              <w:t>Valuation Techniques</w:t>
            </w:r>
          </w:p>
        </w:tc>
        <w:tc>
          <w:tcPr>
            <w:tcW w:w="18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Arial" w:cs="Arial" w:eastAsia="Arial" w:hAnsi="Arial"/>
                <w:sz w:val="13"/>
                <w:szCs w:val="13"/>
                <w:b w:val="1"/>
                <w:bCs w:val="1"/>
                <w:color w:val="auto"/>
              </w:rPr>
              <w:t>Unobservable Inputs</w:t>
            </w:r>
          </w:p>
        </w:tc>
        <w:tc>
          <w:tcPr>
            <w:tcW w:w="6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5"/>
              </w:rPr>
              <w:t>Range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Range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75"/>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Embedded derivatives</w:t>
            </w: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20"/>
              <w:spacing w:after="0" w:line="122" w:lineRule="exact"/>
              <w:rPr>
                <w:sz w:val="20"/>
                <w:szCs w:val="20"/>
                <w:color w:val="auto"/>
              </w:rPr>
            </w:pPr>
            <w:r>
              <w:rPr>
                <w:rFonts w:ascii="Arial" w:cs="Arial" w:eastAsia="Arial" w:hAnsi="Arial"/>
                <w:sz w:val="13"/>
                <w:szCs w:val="13"/>
                <w:color w:val="auto"/>
                <w:w w:val="88"/>
              </w:rPr>
              <w:t>Direct, assumed and ceded guaranteed minimum</w:t>
            </w:r>
          </w:p>
        </w:tc>
        <w:tc>
          <w:tcPr>
            <w:tcW w:w="1620" w:type="dxa"/>
            <w:vAlign w:val="bottom"/>
            <w:gridSpan w:val="2"/>
          </w:tcPr>
          <w:p>
            <w:pPr>
              <w:ind w:left="100"/>
              <w:spacing w:after="0" w:line="122"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Option pricing</w:t>
            </w:r>
          </w:p>
        </w:tc>
        <w:tc>
          <w:tcPr>
            <w:tcW w:w="1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720" w:type="dxa"/>
            <w:vAlign w:val="bottom"/>
            <w:gridSpan w:val="2"/>
            <w:vMerge w:val="restart"/>
          </w:tcPr>
          <w:p>
            <w:pPr>
              <w:ind w:left="40"/>
              <w:spacing w:after="0"/>
              <w:rPr>
                <w:sz w:val="20"/>
                <w:szCs w:val="20"/>
                <w:color w:val="auto"/>
              </w:rPr>
            </w:pPr>
            <w:r>
              <w:rPr>
                <w:rFonts w:ascii="Arial" w:cs="Arial" w:eastAsia="Arial" w:hAnsi="Arial"/>
                <w:sz w:val="13"/>
                <w:szCs w:val="13"/>
                <w:color w:val="auto"/>
              </w:rPr>
              <w:t>Mortality rates</w:t>
            </w:r>
          </w:p>
        </w:tc>
        <w:tc>
          <w:tcPr>
            <w:tcW w:w="660" w:type="dxa"/>
            <w:vAlign w:val="bottom"/>
            <w:vMerge w:val="restart"/>
          </w:tcPr>
          <w:p>
            <w:pPr>
              <w:jc w:val="center"/>
              <w:ind w:left="77"/>
              <w:spacing w:after="0"/>
              <w:rPr>
                <w:sz w:val="20"/>
                <w:szCs w:val="20"/>
                <w:color w:val="auto"/>
              </w:rPr>
            </w:pPr>
            <w:r>
              <w:rPr>
                <w:rFonts w:ascii="Arial" w:cs="Arial" w:eastAsia="Arial" w:hAnsi="Arial"/>
                <w:sz w:val="13"/>
                <w:szCs w:val="13"/>
                <w:color w:val="auto"/>
                <w:w w:val="86"/>
              </w:rPr>
              <w:t>0.02%</w:t>
            </w:r>
          </w:p>
        </w:tc>
        <w:tc>
          <w:tcPr>
            <w:tcW w:w="4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vMerge w:val="restart"/>
          </w:tcPr>
          <w:p>
            <w:pPr>
              <w:jc w:val="center"/>
              <w:ind w:right="97"/>
              <w:spacing w:after="0"/>
              <w:rPr>
                <w:sz w:val="20"/>
                <w:szCs w:val="20"/>
                <w:color w:val="auto"/>
              </w:rPr>
            </w:pPr>
            <w:r>
              <w:rPr>
                <w:rFonts w:ascii="Arial" w:cs="Arial" w:eastAsia="Arial" w:hAnsi="Arial"/>
                <w:sz w:val="13"/>
                <w:szCs w:val="13"/>
                <w:color w:val="auto"/>
                <w:w w:val="86"/>
              </w:rPr>
              <w:t>11.31%</w:t>
            </w:r>
          </w:p>
        </w:tc>
        <w:tc>
          <w:tcPr>
            <w:tcW w:w="100" w:type="dxa"/>
            <w:vAlign w:val="bottom"/>
          </w:tcPr>
          <w:p>
            <w:pPr>
              <w:spacing w:after="0"/>
              <w:rPr>
                <w:sz w:val="10"/>
                <w:szCs w:val="10"/>
                <w:color w:val="auto"/>
              </w:rPr>
            </w:pPr>
          </w:p>
        </w:tc>
        <w:tc>
          <w:tcPr>
            <w:tcW w:w="640" w:type="dxa"/>
            <w:vAlign w:val="bottom"/>
            <w:vMerge w:val="restart"/>
          </w:tcPr>
          <w:p>
            <w:pPr>
              <w:jc w:val="center"/>
              <w:ind w:left="77"/>
              <w:spacing w:after="0"/>
              <w:rPr>
                <w:sz w:val="20"/>
                <w:szCs w:val="20"/>
                <w:color w:val="auto"/>
              </w:rPr>
            </w:pPr>
            <w:r>
              <w:rPr>
                <w:rFonts w:ascii="Arial" w:cs="Arial" w:eastAsia="Arial" w:hAnsi="Arial"/>
                <w:sz w:val="13"/>
                <w:szCs w:val="13"/>
                <w:color w:val="auto"/>
                <w:w w:val="92"/>
              </w:rPr>
              <w:t>0.02%</w:t>
            </w:r>
          </w:p>
        </w:tc>
        <w:tc>
          <w:tcPr>
            <w:tcW w:w="46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ind w:right="97"/>
              <w:spacing w:after="0"/>
              <w:rPr>
                <w:sz w:val="20"/>
                <w:szCs w:val="20"/>
                <w:color w:val="auto"/>
              </w:rPr>
            </w:pPr>
            <w:r>
              <w:rPr>
                <w:rFonts w:ascii="Arial" w:cs="Arial" w:eastAsia="Arial" w:hAnsi="Arial"/>
                <w:sz w:val="13"/>
                <w:szCs w:val="13"/>
                <w:color w:val="auto"/>
                <w:w w:val="86"/>
              </w:rPr>
              <w:t>11.31%</w:t>
            </w: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color w:val="auto"/>
                <w:w w:val="85"/>
              </w:rPr>
              <w:t>Decrease (1)</w:t>
            </w:r>
          </w:p>
        </w:tc>
        <w:tc>
          <w:tcPr>
            <w:tcW w:w="0" w:type="dxa"/>
            <w:vAlign w:val="bottom"/>
          </w:tcPr>
          <w:p>
            <w:pPr>
              <w:spacing w:after="0"/>
              <w:rPr>
                <w:sz w:val="1"/>
                <w:szCs w:val="1"/>
                <w:color w:val="auto"/>
              </w:rPr>
            </w:pPr>
          </w:p>
        </w:tc>
      </w:tr>
      <w:tr>
        <w:trPr>
          <w:trHeight w:val="168"/>
        </w:trPr>
        <w:tc>
          <w:tcPr>
            <w:tcW w:w="2540" w:type="dxa"/>
            <w:vAlign w:val="bottom"/>
          </w:tcPr>
          <w:p>
            <w:pPr>
              <w:ind w:left="180"/>
              <w:spacing w:after="0"/>
              <w:rPr>
                <w:sz w:val="20"/>
                <w:szCs w:val="20"/>
                <w:color w:val="auto"/>
              </w:rPr>
            </w:pPr>
            <w:r>
              <w:rPr>
                <w:rFonts w:ascii="Arial" w:cs="Arial" w:eastAsia="Arial" w:hAnsi="Arial"/>
                <w:sz w:val="13"/>
                <w:szCs w:val="13"/>
                <w:color w:val="auto"/>
              </w:rPr>
              <w:t>benefits</w:t>
            </w:r>
          </w:p>
        </w:tc>
        <w:tc>
          <w:tcPr>
            <w:tcW w:w="1620" w:type="dxa"/>
            <w:vAlign w:val="bottom"/>
            <w:gridSpan w:val="2"/>
          </w:tcPr>
          <w:p>
            <w:pPr>
              <w:ind w:left="400"/>
              <w:spacing w:after="0"/>
              <w:rPr>
                <w:sz w:val="20"/>
                <w:szCs w:val="20"/>
                <w:color w:val="auto"/>
              </w:rPr>
            </w:pPr>
            <w:r>
              <w:rPr>
                <w:rFonts w:ascii="Arial" w:cs="Arial" w:eastAsia="Arial" w:hAnsi="Arial"/>
                <w:sz w:val="13"/>
                <w:szCs w:val="13"/>
                <w:color w:val="auto"/>
              </w:rPr>
              <w:t>techniques</w:t>
            </w:r>
          </w:p>
        </w:tc>
        <w:tc>
          <w:tcPr>
            <w:tcW w:w="18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Lapse rates</w:t>
            </w:r>
          </w:p>
        </w:tc>
        <w:tc>
          <w:tcPr>
            <w:tcW w:w="660" w:type="dxa"/>
            <w:vAlign w:val="bottom"/>
            <w:shd w:val="clear" w:color="auto" w:fill="CCEEFF"/>
          </w:tcPr>
          <w:p>
            <w:pPr>
              <w:jc w:val="center"/>
              <w:ind w:left="77"/>
              <w:spacing w:after="0"/>
              <w:rPr>
                <w:sz w:val="20"/>
                <w:szCs w:val="20"/>
                <w:color w:val="auto"/>
              </w:rPr>
            </w:pPr>
            <w:r>
              <w:rPr>
                <w:rFonts w:ascii="Arial" w:cs="Arial" w:eastAsia="Arial" w:hAnsi="Arial"/>
                <w:sz w:val="13"/>
                <w:szCs w:val="13"/>
                <w:color w:val="auto"/>
                <w:w w:val="86"/>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6"/>
              </w:rPr>
              <w:t>16.00%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77"/>
              <w:spacing w:after="0"/>
              <w:rPr>
                <w:sz w:val="20"/>
                <w:szCs w:val="20"/>
                <w:color w:val="auto"/>
              </w:rPr>
            </w:pPr>
            <w:r>
              <w:rPr>
                <w:rFonts w:ascii="Arial" w:cs="Arial" w:eastAsia="Arial" w:hAnsi="Arial"/>
                <w:sz w:val="13"/>
                <w:szCs w:val="13"/>
                <w:color w:val="auto"/>
                <w:w w:val="92"/>
              </w:rPr>
              <w:t>0.25%</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0"/>
              </w:rPr>
              <w:t>16.00%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Decrease (2)</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720" w:type="dxa"/>
            <w:vAlign w:val="bottom"/>
            <w:gridSpan w:val="2"/>
          </w:tcPr>
          <w:p>
            <w:pPr>
              <w:ind w:left="40"/>
              <w:spacing w:after="0"/>
              <w:rPr>
                <w:sz w:val="20"/>
                <w:szCs w:val="20"/>
                <w:color w:val="auto"/>
              </w:rPr>
            </w:pPr>
            <w:r>
              <w:rPr>
                <w:rFonts w:ascii="Arial" w:cs="Arial" w:eastAsia="Arial" w:hAnsi="Arial"/>
                <w:sz w:val="13"/>
                <w:szCs w:val="13"/>
                <w:color w:val="auto"/>
              </w:rPr>
              <w:t>Utilization rates</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w w:val="86"/>
              </w:rPr>
              <w:t>0.00%</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Pr>
          <w:p>
            <w:pPr>
              <w:jc w:val="center"/>
              <w:ind w:right="97"/>
              <w:spacing w:after="0"/>
              <w:rPr>
                <w:sz w:val="20"/>
                <w:szCs w:val="20"/>
                <w:color w:val="auto"/>
              </w:rPr>
            </w:pPr>
            <w:r>
              <w:rPr>
                <w:rFonts w:ascii="Arial" w:cs="Arial" w:eastAsia="Arial" w:hAnsi="Arial"/>
                <w:sz w:val="13"/>
                <w:szCs w:val="13"/>
                <w:color w:val="auto"/>
                <w:w w:val="86"/>
              </w:rPr>
              <w:t>25.00%</w:t>
            </w:r>
          </w:p>
        </w:tc>
        <w:tc>
          <w:tcPr>
            <w:tcW w:w="100" w:type="dxa"/>
            <w:vAlign w:val="bottom"/>
          </w:tcPr>
          <w:p>
            <w:pPr>
              <w:spacing w:after="0"/>
              <w:rPr>
                <w:sz w:val="15"/>
                <w:szCs w:val="15"/>
                <w:color w:val="auto"/>
              </w:rPr>
            </w:pP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2"/>
              </w:rPr>
              <w:t>0.00%</w:t>
            </w:r>
          </w:p>
        </w:tc>
        <w:tc>
          <w:tcPr>
            <w:tcW w:w="4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right="77"/>
              <w:spacing w:after="0"/>
              <w:rPr>
                <w:sz w:val="20"/>
                <w:szCs w:val="20"/>
                <w:color w:val="auto"/>
              </w:rPr>
            </w:pPr>
            <w:r>
              <w:rPr>
                <w:rFonts w:ascii="Arial" w:cs="Arial" w:eastAsia="Arial" w:hAnsi="Arial"/>
                <w:sz w:val="13"/>
                <w:szCs w:val="13"/>
                <w:color w:val="auto"/>
                <w:w w:val="90"/>
              </w:rPr>
              <w:t>25.00%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6"/>
              </w:rPr>
              <w:t>Increase (3)</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Withdrawal rates</w:t>
            </w:r>
          </w:p>
        </w:tc>
        <w:tc>
          <w:tcPr>
            <w:tcW w:w="660" w:type="dxa"/>
            <w:vAlign w:val="bottom"/>
            <w:shd w:val="clear" w:color="auto" w:fill="CCEEFF"/>
          </w:tcPr>
          <w:p>
            <w:pPr>
              <w:jc w:val="center"/>
              <w:ind w:left="77"/>
              <w:spacing w:after="0"/>
              <w:rPr>
                <w:sz w:val="20"/>
                <w:szCs w:val="20"/>
                <w:color w:val="auto"/>
              </w:rPr>
            </w:pPr>
            <w:r>
              <w:rPr>
                <w:rFonts w:ascii="Arial" w:cs="Arial" w:eastAsia="Arial" w:hAnsi="Arial"/>
                <w:sz w:val="13"/>
                <w:szCs w:val="13"/>
                <w:color w:val="auto"/>
                <w:w w:val="86"/>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77"/>
              <w:spacing w:after="0"/>
              <w:rPr>
                <w:sz w:val="20"/>
                <w:szCs w:val="20"/>
                <w:color w:val="auto"/>
              </w:rPr>
            </w:pPr>
            <w:r>
              <w:rPr>
                <w:rFonts w:ascii="Arial" w:cs="Arial" w:eastAsia="Arial" w:hAnsi="Arial"/>
                <w:sz w:val="13"/>
                <w:szCs w:val="13"/>
                <w:color w:val="auto"/>
                <w:w w:val="92"/>
              </w:rPr>
              <w:t>0.25%</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0"/>
              </w:rPr>
              <w:t>10.00%</w:t>
            </w:r>
          </w:p>
        </w:tc>
        <w:tc>
          <w:tcPr>
            <w:tcW w:w="15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1720" w:type="dxa"/>
            <w:vAlign w:val="bottom"/>
            <w:gridSpan w:val="2"/>
          </w:tcPr>
          <w:p>
            <w:pPr>
              <w:ind w:left="40"/>
              <w:spacing w:after="0"/>
              <w:rPr>
                <w:sz w:val="20"/>
                <w:szCs w:val="20"/>
                <w:color w:val="auto"/>
              </w:rPr>
            </w:pPr>
            <w:r>
              <w:rPr>
                <w:rFonts w:ascii="Arial" w:cs="Arial" w:eastAsia="Arial" w:hAnsi="Arial"/>
                <w:sz w:val="13"/>
                <w:szCs w:val="13"/>
                <w:color w:val="auto"/>
              </w:rPr>
              <w:t>Long-term equity volatilities</w:t>
            </w:r>
          </w:p>
        </w:tc>
        <w:tc>
          <w:tcPr>
            <w:tcW w:w="660" w:type="dxa"/>
            <w:vAlign w:val="bottom"/>
          </w:tcPr>
          <w:p>
            <w:pPr>
              <w:jc w:val="center"/>
              <w:ind w:left="57"/>
              <w:spacing w:after="0"/>
              <w:rPr>
                <w:sz w:val="20"/>
                <w:szCs w:val="20"/>
                <w:color w:val="auto"/>
              </w:rPr>
            </w:pPr>
            <w:r>
              <w:rPr>
                <w:rFonts w:ascii="Arial" w:cs="Arial" w:eastAsia="Arial" w:hAnsi="Arial"/>
                <w:sz w:val="13"/>
                <w:szCs w:val="13"/>
                <w:color w:val="auto"/>
                <w:w w:val="86"/>
              </w:rPr>
              <w:t>16.24%</w:t>
            </w: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Pr>
          <w:p>
            <w:pPr>
              <w:jc w:val="center"/>
              <w:ind w:right="97"/>
              <w:spacing w:after="0"/>
              <w:rPr>
                <w:sz w:val="20"/>
                <w:szCs w:val="20"/>
                <w:color w:val="auto"/>
              </w:rPr>
            </w:pPr>
            <w:r>
              <w:rPr>
                <w:rFonts w:ascii="Arial" w:cs="Arial" w:eastAsia="Arial" w:hAnsi="Arial"/>
                <w:sz w:val="13"/>
                <w:szCs w:val="13"/>
                <w:color w:val="auto"/>
                <w:w w:val="86"/>
              </w:rPr>
              <w:t>21.65%</w:t>
            </w:r>
          </w:p>
        </w:tc>
        <w:tc>
          <w:tcPr>
            <w:tcW w:w="100" w:type="dxa"/>
            <w:vAlign w:val="bottom"/>
          </w:tcPr>
          <w:p>
            <w:pPr>
              <w:spacing w:after="0"/>
              <w:rPr>
                <w:sz w:val="15"/>
                <w:szCs w:val="15"/>
                <w:color w:val="auto"/>
              </w:rPr>
            </w:pP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86"/>
              </w:rPr>
              <w:t>16.24%</w:t>
            </w:r>
          </w:p>
        </w:tc>
        <w:tc>
          <w:tcPr>
            <w:tcW w:w="4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right="77"/>
              <w:spacing w:after="0"/>
              <w:rPr>
                <w:sz w:val="20"/>
                <w:szCs w:val="20"/>
                <w:color w:val="auto"/>
              </w:rPr>
            </w:pPr>
            <w:r>
              <w:rPr>
                <w:rFonts w:ascii="Arial" w:cs="Arial" w:eastAsia="Arial" w:hAnsi="Arial"/>
                <w:sz w:val="13"/>
                <w:szCs w:val="13"/>
                <w:color w:val="auto"/>
                <w:w w:val="90"/>
              </w:rPr>
              <w:t>21.65%</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6"/>
              </w:rPr>
              <w:t>Increase (5)</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Nonperformance risk spread</w:t>
            </w:r>
          </w:p>
        </w:tc>
        <w:tc>
          <w:tcPr>
            <w:tcW w:w="660" w:type="dxa"/>
            <w:vAlign w:val="bottom"/>
            <w:shd w:val="clear" w:color="auto" w:fill="CCEEFF"/>
          </w:tcPr>
          <w:p>
            <w:pPr>
              <w:jc w:val="center"/>
              <w:ind w:left="77"/>
              <w:spacing w:after="0"/>
              <w:rPr>
                <w:sz w:val="20"/>
                <w:szCs w:val="20"/>
                <w:color w:val="auto"/>
              </w:rPr>
            </w:pPr>
            <w:r>
              <w:rPr>
                <w:rFonts w:ascii="Arial" w:cs="Arial" w:eastAsia="Arial" w:hAnsi="Arial"/>
                <w:sz w:val="13"/>
                <w:szCs w:val="13"/>
                <w:color w:val="auto"/>
                <w:w w:val="86"/>
              </w:rPr>
              <w:t>0.52%</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6"/>
              </w:rPr>
              <w:t>2.78%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77"/>
              <w:spacing w:after="0"/>
              <w:rPr>
                <w:sz w:val="20"/>
                <w:szCs w:val="20"/>
                <w:color w:val="auto"/>
              </w:rPr>
            </w:pPr>
            <w:r>
              <w:rPr>
                <w:rFonts w:ascii="Arial" w:cs="Arial" w:eastAsia="Arial" w:hAnsi="Arial"/>
                <w:sz w:val="13"/>
                <w:szCs w:val="13"/>
                <w:color w:val="auto"/>
                <w:w w:val="92"/>
              </w:rPr>
              <w:t>0.54%</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6"/>
              </w:rPr>
              <w:t>1.99%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Decrease (6)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jc w:val="both"/>
        <w:ind w:left="340" w:hanging="332"/>
        <w:spacing w:after="0" w:line="263"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75" w:lineRule="exact"/>
        <w:rPr>
          <w:rFonts w:ascii="Arial" w:cs="Arial" w:eastAsia="Arial" w:hAnsi="Arial"/>
          <w:sz w:val="18"/>
          <w:szCs w:val="18"/>
          <w:color w:val="auto"/>
        </w:rPr>
      </w:pPr>
    </w:p>
    <w:p>
      <w:pPr>
        <w:jc w:val="both"/>
        <w:ind w:left="340" w:hanging="332"/>
        <w:spacing w:after="0" w:line="257"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26" w:lineRule="exact"/>
        <w:rPr>
          <w:sz w:val="20"/>
          <w:szCs w:val="20"/>
          <w:color w:val="auto"/>
        </w:rPr>
      </w:pPr>
    </w:p>
    <w:p>
      <w:pPr>
        <w:jc w:val="both"/>
        <w:ind w:left="340" w:hanging="332"/>
        <w:spacing w:after="0" w:line="275" w:lineRule="auto"/>
        <w:tabs>
          <w:tab w:leader="none" w:pos="33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68" w:lineRule="exact"/>
        <w:rPr>
          <w:rFonts w:ascii="Arial" w:cs="Arial" w:eastAsia="Arial" w:hAnsi="Arial"/>
          <w:sz w:val="17"/>
          <w:szCs w:val="17"/>
          <w:color w:val="auto"/>
        </w:rPr>
      </w:pPr>
    </w:p>
    <w:p>
      <w:pPr>
        <w:jc w:val="both"/>
        <w:ind w:left="340" w:hanging="332"/>
        <w:spacing w:after="0" w:line="275" w:lineRule="auto"/>
        <w:tabs>
          <w:tab w:leader="none" w:pos="33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8" w:lineRule="exact"/>
        <w:rPr>
          <w:rFonts w:ascii="Arial" w:cs="Arial" w:eastAsia="Arial" w:hAnsi="Arial"/>
          <w:sz w:val="17"/>
          <w:szCs w:val="17"/>
          <w:color w:val="auto"/>
        </w:rPr>
      </w:pPr>
    </w:p>
    <w:p>
      <w:pPr>
        <w:ind w:left="340" w:hanging="332"/>
        <w:spacing w:after="0" w:line="342" w:lineRule="auto"/>
        <w:tabs>
          <w:tab w:leader="none" w:pos="3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340" w:hanging="332"/>
        <w:spacing w:after="0" w:line="277"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26"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58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Fair Value Measurements Using Significant Unobservable Inputs (Level 3)</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384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Fixed Maturity Securities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Corporate (1)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Structured Securities</w:t>
            </w:r>
          </w:p>
        </w:tc>
        <w:tc>
          <w:tcPr>
            <w:tcW w:w="280" w:type="dxa"/>
            <w:vAlign w:val="bottom"/>
          </w:tcPr>
          <w:p>
            <w:pPr>
              <w:spacing w:after="0"/>
              <w:rPr>
                <w:sz w:val="12"/>
                <w:szCs w:val="12"/>
                <w:color w:val="auto"/>
              </w:rPr>
            </w:pPr>
          </w:p>
        </w:tc>
        <w:tc>
          <w:tcPr>
            <w:tcW w:w="1600" w:type="dxa"/>
            <w:vAlign w:val="bottom"/>
          </w:tcPr>
          <w:p>
            <w:pPr>
              <w:jc w:val="right"/>
              <w:ind w:right="408"/>
              <w:spacing w:after="0" w:line="139" w:lineRule="exact"/>
              <w:rPr>
                <w:sz w:val="20"/>
                <w:szCs w:val="20"/>
                <w:color w:val="auto"/>
              </w:rPr>
            </w:pPr>
            <w:r>
              <w:rPr>
                <w:rFonts w:ascii="Arial" w:cs="Arial" w:eastAsia="Arial" w:hAnsi="Arial"/>
                <w:sz w:val="14"/>
                <w:szCs w:val="14"/>
                <w:b w:val="1"/>
                <w:bCs w:val="1"/>
                <w:color w:val="auto"/>
              </w:rPr>
              <w:t>Net Embedded</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Derivatives (2)</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Balance, beginning of period</w:t>
            </w:r>
          </w:p>
        </w:tc>
        <w:tc>
          <w:tcPr>
            <w:tcW w:w="1460" w:type="dxa"/>
            <w:vAlign w:val="bottom"/>
          </w:tcPr>
          <w:p>
            <w:pPr>
              <w:jc w:val="right"/>
              <w:ind w:right="128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center"/>
              <w:ind w:left="11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realized/unrealized gains (losses) included in net income (loss) (3) (4)</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Total realized/unrealized gains (losses) included in AOCI</w:t>
            </w:r>
          </w:p>
        </w:tc>
        <w:tc>
          <w:tcPr>
            <w:tcW w:w="1460" w:type="dxa"/>
            <w:vAlign w:val="bottom"/>
          </w:tcPr>
          <w:p>
            <w:pPr>
              <w:spacing w:after="0"/>
              <w:rPr>
                <w:sz w:val="17"/>
                <w:szCs w:val="17"/>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(5)</w:t>
            </w: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116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Sales (5)</w:t>
            </w:r>
          </w:p>
        </w:tc>
        <w:tc>
          <w:tcPr>
            <w:tcW w:w="1460" w:type="dxa"/>
            <w:vAlign w:val="bottom"/>
          </w:tcPr>
          <w:p>
            <w:pPr>
              <w:spacing w:after="0"/>
              <w:rPr>
                <w:sz w:val="17"/>
                <w:szCs w:val="17"/>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(5)</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Settlements (5)</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Transfers into Level 3 (6)</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Transfers out of Level 3 (6)</w:t>
            </w:r>
          </w:p>
        </w:tc>
        <w:tc>
          <w:tcPr>
            <w:tcW w:w="1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left="1128"/>
              <w:spacing w:after="0"/>
              <w:rPr>
                <w:sz w:val="20"/>
                <w:szCs w:val="20"/>
                <w:color w:val="auto"/>
              </w:rPr>
            </w:pPr>
            <w:r>
              <w:rPr>
                <w:rFonts w:ascii="Arial" w:cs="Arial" w:eastAsia="Arial" w:hAnsi="Arial"/>
                <w:sz w:val="14"/>
                <w:szCs w:val="14"/>
                <w:color w:val="auto"/>
                <w:w w:val="96"/>
              </w:rPr>
              <w:t>(18)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1460" w:type="dxa"/>
            <w:vAlign w:val="bottom"/>
            <w:tcBorders>
              <w:bottom w:val="single" w:sz="8" w:color="auto"/>
            </w:tcBorders>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center"/>
              <w:ind w:left="116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center"/>
              <w:ind w:left="11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Total realized/unrealized gains (losses) included in net income (loss) (3) (4)</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realized/unrealized gains (losses) included in AOCI</w:t>
            </w: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Purchases (5)</w:t>
            </w:r>
          </w:p>
        </w:tc>
        <w:tc>
          <w:tcPr>
            <w:tcW w:w="1460" w:type="dxa"/>
            <w:vAlign w:val="bottom"/>
          </w:tcPr>
          <w:p>
            <w:pPr>
              <w:spacing w:after="0"/>
              <w:rPr>
                <w:sz w:val="17"/>
                <w:szCs w:val="17"/>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(5)</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Issuances (5)</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 (5)</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Transfers into Level 3 (6)</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Transfers out of Level 3 (6)</w:t>
            </w:r>
          </w:p>
        </w:tc>
        <w:tc>
          <w:tcPr>
            <w:tcW w:w="14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center"/>
              <w:ind w:left="1128"/>
              <w:spacing w:after="0"/>
              <w:rPr>
                <w:sz w:val="20"/>
                <w:szCs w:val="20"/>
                <w:color w:val="auto"/>
              </w:rPr>
            </w:pPr>
            <w:r>
              <w:rPr>
                <w:rFonts w:ascii="Arial" w:cs="Arial" w:eastAsia="Arial" w:hAnsi="Arial"/>
                <w:sz w:val="14"/>
                <w:szCs w:val="14"/>
                <w:color w:val="auto"/>
                <w:w w:val="96"/>
              </w:rPr>
              <w:t>(10)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460" w:type="dxa"/>
            <w:vAlign w:val="bottom"/>
          </w:tcPr>
          <w:p>
            <w:pPr>
              <w:jc w:val="right"/>
              <w:ind w:right="128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2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Changes in unrealized gains (losses) included in net income (loss) for the instruments still</w:t>
            </w:r>
          </w:p>
        </w:tc>
        <w:tc>
          <w:tcPr>
            <w:tcW w:w="1460" w:type="dxa"/>
            <w:vAlign w:val="bottom"/>
            <w:vMerge w:val="restart"/>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vMerge w:val="restart"/>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2"/>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held at June 30, 2020 (7)</w:t>
            </w:r>
          </w:p>
        </w:tc>
        <w:tc>
          <w:tcPr>
            <w:tcW w:w="1460" w:type="dxa"/>
            <w:vAlign w:val="bottom"/>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78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Changes in unrealized gains (losses) included in other comprehensive income for the</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5420" w:type="dxa"/>
            <w:vAlign w:val="bottom"/>
            <w:vMerge w:val="continue"/>
          </w:tcPr>
          <w:p>
            <w:pPr>
              <w:spacing w:after="0"/>
              <w:rPr>
                <w:sz w:val="7"/>
                <w:szCs w:val="7"/>
                <w:color w:val="auto"/>
              </w:rPr>
            </w:pPr>
          </w:p>
        </w:tc>
        <w:tc>
          <w:tcPr>
            <w:tcW w:w="1460" w:type="dxa"/>
            <w:vAlign w:val="bottom"/>
            <w:vMerge w:val="restart"/>
          </w:tcPr>
          <w:p>
            <w:pPr>
              <w:jc w:val="right"/>
              <w:ind w:right="12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7"/>
                <w:szCs w:val="7"/>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vMerge w:val="restart"/>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420" w:type="dxa"/>
            <w:vAlign w:val="bottom"/>
          </w:tcPr>
          <w:p>
            <w:pPr>
              <w:ind w:left="180"/>
              <w:spacing w:after="0"/>
              <w:rPr>
                <w:sz w:val="20"/>
                <w:szCs w:val="20"/>
                <w:color w:val="auto"/>
              </w:rPr>
            </w:pPr>
            <w:r>
              <w:rPr>
                <w:rFonts w:ascii="Arial" w:cs="Arial" w:eastAsia="Arial" w:hAnsi="Arial"/>
                <w:sz w:val="14"/>
                <w:szCs w:val="14"/>
                <w:color w:val="auto"/>
              </w:rPr>
              <w:t>instruments still held at June 30, 2020 (7)</w:t>
            </w:r>
          </w:p>
        </w:tc>
        <w:tc>
          <w:tcPr>
            <w:tcW w:w="14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2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Changes in unrealized gains (losses) included in net income (loss) for the instruments still</w:t>
            </w:r>
          </w:p>
        </w:tc>
        <w:tc>
          <w:tcPr>
            <w:tcW w:w="1460" w:type="dxa"/>
            <w:vAlign w:val="bottom"/>
            <w:vMerge w:val="restart"/>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vMerge w:val="restart"/>
            <w:shd w:val="clear" w:color="auto" w:fill="CCEEFF"/>
          </w:tcPr>
          <w:p>
            <w:pPr>
              <w:jc w:val="center"/>
              <w:ind w:left="106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2"/>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held at June 30, 2019 (7)</w:t>
            </w:r>
          </w:p>
        </w:tc>
        <w:tc>
          <w:tcPr>
            <w:tcW w:w="1460" w:type="dxa"/>
            <w:vAlign w:val="bottom"/>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78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58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3840" w:type="dxa"/>
            <w:vAlign w:val="bottom"/>
            <w:tcBorders>
              <w:bottom w:val="single" w:sz="8" w:color="auto"/>
            </w:tcBorders>
            <w:gridSpan w:val="5"/>
          </w:tcPr>
          <w:p>
            <w:pPr>
              <w:jc w:val="right"/>
              <w:ind w:right="1068"/>
              <w:spacing w:after="0"/>
              <w:rPr>
                <w:sz w:val="20"/>
                <w:szCs w:val="20"/>
                <w:color w:val="auto"/>
              </w:rPr>
            </w:pPr>
            <w:r>
              <w:rPr>
                <w:rFonts w:ascii="Arial" w:cs="Arial" w:eastAsia="Arial" w:hAnsi="Arial"/>
                <w:sz w:val="14"/>
                <w:szCs w:val="14"/>
                <w:b w:val="1"/>
                <w:bCs w:val="1"/>
                <w:color w:val="auto"/>
              </w:rPr>
              <w:t>Fixed Maturity Securities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14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Corporate (1)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Structured Securities</w:t>
            </w:r>
          </w:p>
        </w:tc>
        <w:tc>
          <w:tcPr>
            <w:tcW w:w="280" w:type="dxa"/>
            <w:vAlign w:val="bottom"/>
          </w:tcPr>
          <w:p>
            <w:pPr>
              <w:spacing w:after="0"/>
              <w:rPr>
                <w:sz w:val="12"/>
                <w:szCs w:val="12"/>
                <w:color w:val="auto"/>
              </w:rPr>
            </w:pPr>
          </w:p>
        </w:tc>
        <w:tc>
          <w:tcPr>
            <w:tcW w:w="1600" w:type="dxa"/>
            <w:vAlign w:val="bottom"/>
          </w:tcPr>
          <w:p>
            <w:pPr>
              <w:jc w:val="right"/>
              <w:ind w:right="408"/>
              <w:spacing w:after="0" w:line="139" w:lineRule="exact"/>
              <w:rPr>
                <w:sz w:val="20"/>
                <w:szCs w:val="20"/>
                <w:color w:val="auto"/>
              </w:rPr>
            </w:pPr>
            <w:r>
              <w:rPr>
                <w:rFonts w:ascii="Arial" w:cs="Arial" w:eastAsia="Arial" w:hAnsi="Arial"/>
                <w:sz w:val="14"/>
                <w:szCs w:val="14"/>
                <w:b w:val="1"/>
                <w:bCs w:val="1"/>
                <w:color w:val="auto"/>
              </w:rPr>
              <w:t>Net Embedded</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Derivatives (2)</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Balance, beginning of period</w:t>
            </w:r>
          </w:p>
        </w:tc>
        <w:tc>
          <w:tcPr>
            <w:tcW w:w="14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realized/unrealized gains (losses) included in net income (loss) (3) (4)</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Total realized/unrealized gains (losses) included in AOCI</w:t>
            </w:r>
          </w:p>
        </w:tc>
        <w:tc>
          <w:tcPr>
            <w:tcW w:w="1460" w:type="dxa"/>
            <w:vAlign w:val="bottom"/>
          </w:tcPr>
          <w:p>
            <w:pPr>
              <w:spacing w:after="0"/>
              <w:rPr>
                <w:sz w:val="17"/>
                <w:szCs w:val="17"/>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(5)</w:t>
            </w: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Sales (5)</w:t>
            </w:r>
          </w:p>
        </w:tc>
        <w:tc>
          <w:tcPr>
            <w:tcW w:w="1460" w:type="dxa"/>
            <w:vAlign w:val="bottom"/>
          </w:tcPr>
          <w:p>
            <w:pPr>
              <w:spacing w:after="0"/>
              <w:rPr>
                <w:sz w:val="17"/>
                <w:szCs w:val="17"/>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(5)</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4"/>
                <w:szCs w:val="14"/>
                <w:color w:val="auto"/>
              </w:rPr>
              <w:t>Settlements (5)</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Transfers into Level 3 (6)</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Transfers out of Level 3 (6)</w:t>
            </w:r>
          </w:p>
        </w:tc>
        <w:tc>
          <w:tcPr>
            <w:tcW w:w="1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1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Total realized/unrealized gains (losses) included in net income (loss) (3) (4)</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realized/unrealized gains (losses) included in AOCI</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Purchases (5)</w:t>
            </w:r>
          </w:p>
        </w:tc>
        <w:tc>
          <w:tcPr>
            <w:tcW w:w="1460" w:type="dxa"/>
            <w:vAlign w:val="bottom"/>
          </w:tcPr>
          <w:p>
            <w:pPr>
              <w:spacing w:after="0"/>
              <w:rPr>
                <w:sz w:val="17"/>
                <w:szCs w:val="17"/>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(5)</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Issuances (5)</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 (5)</w:t>
            </w:r>
          </w:p>
        </w:tc>
        <w:tc>
          <w:tcPr>
            <w:tcW w:w="1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Transfers into Level 3 (6)</w:t>
            </w:r>
          </w:p>
        </w:tc>
        <w:tc>
          <w:tcPr>
            <w:tcW w:w="14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Transfers out of Level 3 (6)</w:t>
            </w:r>
          </w:p>
        </w:tc>
        <w:tc>
          <w:tcPr>
            <w:tcW w:w="14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46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2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Changes in unrealized gains (losses) included in net income (loss) for the instruments still</w:t>
            </w:r>
          </w:p>
        </w:tc>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2"/>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held at June 30, 2020 (7)</w:t>
            </w:r>
          </w:p>
        </w:tc>
        <w:tc>
          <w:tcPr>
            <w:tcW w:w="1460" w:type="dxa"/>
            <w:vAlign w:val="bottom"/>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78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 xml:space="preserve">Changes in unrealized gains (losses) included in </w:t>
            </w:r>
            <w:r>
              <w:rPr>
                <w:rFonts w:ascii="Arial" w:cs="Arial" w:eastAsia="Arial" w:hAnsi="Arial"/>
                <w:sz w:val="12"/>
                <w:szCs w:val="12"/>
                <w:color w:val="auto"/>
              </w:rPr>
              <w:t>other comprehensive income</w:t>
            </w:r>
            <w:r>
              <w:rPr>
                <w:rFonts w:ascii="Arial" w:cs="Arial" w:eastAsia="Arial" w:hAnsi="Arial"/>
                <w:sz w:val="14"/>
                <w:szCs w:val="14"/>
                <w:color w:val="auto"/>
              </w:rPr>
              <w:t xml:space="preserve"> for the</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5420" w:type="dxa"/>
            <w:vAlign w:val="bottom"/>
            <w:vMerge w:val="continue"/>
          </w:tcPr>
          <w:p>
            <w:pPr>
              <w:spacing w:after="0"/>
              <w:rPr>
                <w:sz w:val="7"/>
                <w:szCs w:val="7"/>
                <w:color w:val="auto"/>
              </w:rPr>
            </w:pPr>
          </w:p>
        </w:tc>
        <w:tc>
          <w:tcPr>
            <w:tcW w:w="14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7"/>
                <w:szCs w:val="7"/>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420" w:type="dxa"/>
            <w:vAlign w:val="bottom"/>
          </w:tcPr>
          <w:p>
            <w:pPr>
              <w:ind w:left="180"/>
              <w:spacing w:after="0"/>
              <w:rPr>
                <w:sz w:val="20"/>
                <w:szCs w:val="20"/>
                <w:color w:val="auto"/>
              </w:rPr>
            </w:pPr>
            <w:r>
              <w:rPr>
                <w:rFonts w:ascii="Arial" w:cs="Arial" w:eastAsia="Arial" w:hAnsi="Arial"/>
                <w:sz w:val="14"/>
                <w:szCs w:val="14"/>
                <w:color w:val="auto"/>
              </w:rPr>
              <w:t>instruments still held at June 30, 2020 (7)</w:t>
            </w:r>
          </w:p>
        </w:tc>
        <w:tc>
          <w:tcPr>
            <w:tcW w:w="14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2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Changes in unrealized gains (losses) included in net income (loss) for the instruments still</w:t>
            </w:r>
          </w:p>
        </w:tc>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5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held at June 30, 2019 (7)</w:t>
            </w:r>
          </w:p>
        </w:tc>
        <w:tc>
          <w:tcPr>
            <w:tcW w:w="1460" w:type="dxa"/>
            <w:vAlign w:val="bottom"/>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780" w:type="dxa"/>
            <w:vAlign w:val="bottom"/>
            <w:gridSpan w:val="2"/>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embedded derivatives are reported in net derivative gains (losses).</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accruals, as well as cash interest coupons received, are excluded from the rollforward.</w:t>
      </w:r>
    </w:p>
    <w:p>
      <w:pPr>
        <w:spacing w:after="0" w:line="117"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26" w:lineRule="exact"/>
        <w:rPr>
          <w:sz w:val="20"/>
          <w:szCs w:val="20"/>
          <w:color w:val="auto"/>
        </w:rPr>
      </w:pPr>
    </w:p>
    <w:p>
      <w:pPr>
        <w:jc w:val="both"/>
        <w:ind w:left="340" w:hanging="332"/>
        <w:spacing w:after="0" w:line="263"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embedded derivatives are reported in net derivative gains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derivative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June 30, 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ind w:right="242"/>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1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9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631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654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437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436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941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447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22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425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824"/>
        </w:trPr>
        <w:tc>
          <w:tcPr>
            <w:tcW w:w="4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December 31, 2019</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ind w:right="242"/>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1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9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625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647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444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444</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963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955</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432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2"/>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431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Short-term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Liquidity Facilities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BHF has established an intercompany liquidity facility with certain of its insurance and non-insurance subsidiaries to provide short-term liquidity within and across the combined group of companies. Under the facility, which is comprised of a series of revolving loan agreements among BHF and its participating subsidiaries, each company may lend to or borrow from each other, subject to certain maximum limits for a term not more than 364 days. For each insurance subsidiary, the borrowing and lending limit is 3% of the respective insurance subsidiary’s statutory admitted assets as of the previous year end. For BHF and each non-insurance subsidiary, the borrowing and lending limit is based on a formula tied to the statutory admitted assets of the respective insurance subsidiaries. On March 30, 2020, BHNY issued a $100 million promissory note to Brighthouse Holdings, LLC, which bore interest at a fixed rate of 2.4996% and was repaid upon maturity on June 30,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Three Months Ended June 30, 2020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Investment Gains</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(Losses), Net of</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 (Losses)</w:t>
            </w:r>
          </w:p>
        </w:tc>
        <w:tc>
          <w:tcPr>
            <w:tcW w:w="380" w:type="dxa"/>
            <w:vAlign w:val="bottom"/>
          </w:tcPr>
          <w:p>
            <w:pPr>
              <w:spacing w:after="0"/>
              <w:rPr>
                <w:sz w:val="12"/>
                <w:szCs w:val="12"/>
                <w:color w:val="auto"/>
              </w:rPr>
            </w:pPr>
          </w:p>
        </w:tc>
        <w:tc>
          <w:tcPr>
            <w:tcW w:w="108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Related Offsets (1)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on Derivatives</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53"/>
        </w:trPr>
        <w:tc>
          <w:tcPr>
            <w:tcW w:w="650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2"/>
                <w:szCs w:val="22"/>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6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7"/>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5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Balance at June 30,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650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6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Three Months Ended June 30, 2019</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Investment Gains</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(Losses), Net of</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 (Losses)</w:t>
            </w:r>
          </w:p>
        </w:tc>
        <w:tc>
          <w:tcPr>
            <w:tcW w:w="380" w:type="dxa"/>
            <w:vAlign w:val="bottom"/>
          </w:tcPr>
          <w:p>
            <w:pPr>
              <w:spacing w:after="0"/>
              <w:rPr>
                <w:sz w:val="12"/>
                <w:szCs w:val="12"/>
                <w:color w:val="auto"/>
              </w:rPr>
            </w:pPr>
          </w:p>
        </w:tc>
        <w:tc>
          <w:tcPr>
            <w:tcW w:w="108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Related Offsets (1)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on Derivatives</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3"/>
        </w:trPr>
        <w:tc>
          <w:tcPr>
            <w:tcW w:w="650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2"/>
                <w:szCs w:val="22"/>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7"/>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Pr>
          <w:p>
            <w:pPr>
              <w:spacing w:after="0"/>
              <w:rPr>
                <w:sz w:val="19"/>
                <w:szCs w:val="19"/>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Balance at June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650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rPr>
              <w:t>Six Months Ended June 30, 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Investment Gains</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(Losses), Net of</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 (Losses)</w:t>
            </w: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Related Offsets (1)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on Derivatives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53"/>
        </w:trPr>
        <w:tc>
          <w:tcPr>
            <w:tcW w:w="650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2"/>
                <w:szCs w:val="22"/>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6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7"/>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5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Pr>
          <w:p>
            <w:pPr>
              <w:spacing w:after="0"/>
              <w:rPr>
                <w:sz w:val="19"/>
                <w:szCs w:val="19"/>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Balance at June 30,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650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6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rPr>
              <w:t>Six Months Ended June 30, 2019</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Investment Gains</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(Losses), Net of</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 (Losses)</w:t>
            </w: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Related Offsets (1)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on Derivatives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3"/>
        </w:trPr>
        <w:tc>
          <w:tcPr>
            <w:tcW w:w="650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2"/>
                <w:szCs w:val="22"/>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6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7"/>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Pr>
          <w:p>
            <w:pPr>
              <w:spacing w:after="0"/>
              <w:rPr>
                <w:sz w:val="19"/>
                <w:szCs w:val="19"/>
                <w:color w:val="auto"/>
              </w:rPr>
            </w:pP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Balance at June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650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right="3680" w:hanging="332"/>
        <w:spacing w:after="0" w:line="440" w:lineRule="auto"/>
        <w:tabs>
          <w:tab w:leader="none" w:pos="334"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 Note 4 for information on offsets to investments related to future policy benefits, DAC and DSI. Information regarding amounts reclassified out of each component of AOCI was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Statements of Operations and</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AOCI Components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Amounts Reclassified from AOCI</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192"/>
        </w:trPr>
        <w:tc>
          <w:tcPr>
            <w:tcW w:w="436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2"/>
              </w:rPr>
              <w:t>(Loss) Location</w:t>
            </w:r>
          </w:p>
        </w:tc>
        <w:tc>
          <w:tcPr>
            <w:tcW w:w="0" w:type="dxa"/>
            <w:vAlign w:val="bottom"/>
          </w:tcPr>
          <w:p>
            <w:pPr>
              <w:spacing w:after="0"/>
              <w:rPr>
                <w:sz w:val="1"/>
                <w:szCs w:val="1"/>
                <w:color w:val="auto"/>
              </w:rPr>
            </w:pPr>
          </w:p>
        </w:tc>
      </w:tr>
      <w:tr>
        <w:trPr>
          <w:trHeight w:val="152"/>
        </w:trPr>
        <w:tc>
          <w:tcPr>
            <w:tcW w:w="4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Borders>
              <w:top w:val="single" w:sz="8" w:color="auto"/>
            </w:tcBorders>
            <w:gridSpan w:val="4"/>
          </w:tcPr>
          <w:p>
            <w:pPr>
              <w:jc w:val="center"/>
              <w:ind w:left="264"/>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right"/>
              <w:ind w:right="421"/>
              <w:spacing w:after="0" w:line="153"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44"/>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unrealized investment gains (losses):</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Net unrealized investment gains (losses)</w:t>
            </w:r>
          </w:p>
        </w:tc>
        <w:tc>
          <w:tcPr>
            <w:tcW w:w="680" w:type="dxa"/>
            <w:vAlign w:val="bottom"/>
          </w:tcPr>
          <w:p>
            <w:pPr>
              <w:jc w:val="right"/>
              <w:ind w:right="50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222"/>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center"/>
              <w:ind w:left="281"/>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Net investment income</w:t>
            </w:r>
          </w:p>
        </w:tc>
        <w:tc>
          <w:tcPr>
            <w:tcW w:w="0" w:type="dxa"/>
            <w:vAlign w:val="bottom"/>
          </w:tcPr>
          <w:p>
            <w:pPr>
              <w:spacing w:after="0"/>
              <w:rPr>
                <w:sz w:val="1"/>
                <w:szCs w:val="1"/>
                <w:color w:val="auto"/>
              </w:rPr>
            </w:pPr>
          </w:p>
        </w:tc>
      </w:tr>
      <w:tr>
        <w:trPr>
          <w:trHeight w:val="33"/>
        </w:trPr>
        <w:tc>
          <w:tcPr>
            <w:tcW w:w="4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8"/>
              </w:rPr>
              <w:t>Net unrealized investment gains (losses), before income tax</w:t>
            </w: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222"/>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281"/>
              <w:spacing w:after="0"/>
              <w:rPr>
                <w:sz w:val="20"/>
                <w:szCs w:val="20"/>
                <w:color w:val="auto"/>
              </w:rPr>
            </w:pPr>
            <w:r>
              <w:rPr>
                <w:rFonts w:ascii="Arial" w:cs="Arial" w:eastAsia="Arial" w:hAnsi="Arial"/>
                <w:sz w:val="16"/>
                <w:szCs w:val="16"/>
                <w:color w:val="auto"/>
                <w:w w:val="89"/>
              </w:rPr>
              <w:t>5</w:t>
            </w:r>
          </w:p>
        </w:tc>
        <w:tc>
          <w:tcPr>
            <w:tcW w:w="1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Income tax (expense) benefit</w:t>
            </w:r>
          </w:p>
        </w:tc>
        <w:tc>
          <w:tcPr>
            <w:tcW w:w="68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center"/>
              <w:ind w:left="18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center"/>
              <w:ind w:left="2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9"/>
              </w:rPr>
              <w:t>Net unrealized investment gains (losses), net of income tax</w:t>
            </w:r>
          </w:p>
        </w:tc>
        <w:tc>
          <w:tcPr>
            <w:tcW w:w="6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ind w:left="222"/>
              <w:spacing w:after="0"/>
              <w:rPr>
                <w:sz w:val="20"/>
                <w:szCs w:val="20"/>
                <w:color w:val="auto"/>
              </w:rPr>
            </w:pPr>
            <w:r>
              <w:rPr>
                <w:rFonts w:ascii="Arial" w:cs="Arial" w:eastAsia="Arial" w:hAnsi="Arial"/>
                <w:sz w:val="16"/>
                <w:szCs w:val="16"/>
                <w:color w:val="auto"/>
                <w:w w:val="89"/>
              </w:rPr>
              <w:t>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left="281"/>
              <w:spacing w:after="0"/>
              <w:rPr>
                <w:sz w:val="20"/>
                <w:szCs w:val="20"/>
                <w:color w:val="auto"/>
              </w:rPr>
            </w:pPr>
            <w:r>
              <w:rPr>
                <w:rFonts w:ascii="Arial" w:cs="Arial" w:eastAsia="Arial" w:hAnsi="Arial"/>
                <w:sz w:val="16"/>
                <w:szCs w:val="16"/>
                <w:color w:val="auto"/>
                <w:w w:val="89"/>
              </w:rPr>
              <w:t>4</w:t>
            </w:r>
          </w:p>
        </w:tc>
        <w:tc>
          <w:tcPr>
            <w:tcW w:w="1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36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 reclassifications, net of income tax</w:t>
            </w:r>
          </w:p>
        </w:tc>
        <w:tc>
          <w:tcPr>
            <w:tcW w:w="680" w:type="dxa"/>
            <w:vAlign w:val="bottom"/>
          </w:tcPr>
          <w:p>
            <w:pPr>
              <w:jc w:val="right"/>
              <w:ind w:right="50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222"/>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center"/>
              <w:ind w:left="281"/>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360" w:type="dxa"/>
            <w:vAlign w:val="bottom"/>
            <w:gridSpan w:val="2"/>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8" w:right="33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155"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Other revenues consisted primarily of 12b-1 fees of $3 million and $6 million for the three months and six months ended June 30, 2020, respectively, and $3 million and $6 million for the three months and six months ended June 30, 2019, respectively, of which all were reported in the Annuities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14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6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196"/>
        </w:trPr>
        <w:tc>
          <w:tcPr>
            <w:tcW w:w="6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20" w:type="dxa"/>
            <w:vAlign w:val="bottom"/>
          </w:tcPr>
          <w:p>
            <w:pPr>
              <w:spacing w:after="0"/>
              <w:rPr>
                <w:sz w:val="19"/>
                <w:szCs w:val="19"/>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w:t>
            </w:r>
          </w:p>
        </w:tc>
      </w:tr>
      <w:tr>
        <w:trPr>
          <w:trHeight w:val="33"/>
        </w:trPr>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20" w:type="dxa"/>
            <w:vAlign w:val="bottom"/>
          </w:tcPr>
          <w:p>
            <w:pPr>
              <w:spacing w:after="0"/>
              <w:rPr>
                <w:sz w:val="19"/>
                <w:szCs w:val="19"/>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w:t>
            </w:r>
          </w:p>
        </w:tc>
      </w:tr>
      <w:tr>
        <w:trPr>
          <w:trHeight w:val="33"/>
        </w:trPr>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20" w:type="dxa"/>
            <w:vAlign w:val="bottom"/>
          </w:tcPr>
          <w:p>
            <w:pPr>
              <w:spacing w:after="0"/>
              <w:rPr>
                <w:sz w:val="19"/>
                <w:szCs w:val="19"/>
                <w:color w:val="auto"/>
              </w:rPr>
            </w:pP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w:t>
            </w:r>
          </w:p>
        </w:tc>
      </w:tr>
      <w:tr>
        <w:trPr>
          <w:trHeight w:val="33"/>
        </w:trPr>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r>
      <w:tr>
        <w:trPr>
          <w:trHeight w:val="247"/>
        </w:trPr>
        <w:tc>
          <w:tcPr>
            <w:tcW w:w="610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8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39</w:t>
            </w:r>
          </w:p>
        </w:tc>
      </w:tr>
      <w:tr>
        <w:trPr>
          <w:trHeight w:val="24"/>
        </w:trPr>
        <w:tc>
          <w:tcPr>
            <w:tcW w:w="6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11 for a discussion of related party expenses included in the table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Various litigations, claims and assessments against the Company, in addition to those discussed previously and those otherwise provided for in the Company’s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200" w:lineRule="exact"/>
        <w:rPr>
          <w:sz w:val="20"/>
          <w:szCs w:val="20"/>
          <w:color w:val="auto"/>
        </w:rPr>
      </w:pPr>
    </w:p>
    <w:p>
      <w:pPr>
        <w:spacing w:after="0" w:line="326"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net income or cash flows in particular quarterly or annual periods.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Contingencies</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The Company applies the same standard of recognition for non-litigation loss contingencies when assertions are made involving disputes with counterparties to contractual arrangements entered into by the Company, including with third-party vendors. In such cases, the Company establishes liabilities when it is probable that a loss will be incurred and the amount of the loss can be reasonably estimated. In cases where it is not probable, but is reasonably possible that a loss will be incurred, no accrual is made. The Company is not currently able to estimate any reasonably possible unrecorded loss or range of loss associated with such matters, and will be unable to do so until sufficient information to support any such assessments is available. On a quarterly and annual basis, the Company reviews relevant information with respect to non-litigation contingencies and, when applicable, updates its accruals, disclosures and estimates of reasonably possible losses or ranges of loss based on such reviews.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$13 million and $11 million at June 30, 2020 and December 31, 2019,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Private Corporate Bond Investments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commits to lend funds under private corporate bond investments. The amounts of these unfunded commitments were $16 million and $10 million at June 30, 2020 and December 31,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no liability for indemnities, guarantees and commitments at both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has various existing arrangements with its Brighthouse affiliates and had previous arrangements with MetLife, Inc. (together with its subsidiaries and affiliates, “MetLife”) for services necessary to conduct its activities. Certain of the MetLife services have continued, however, MetLife ceased to be a related party in June 2018. See Note 9 for amounts related to continuing transition services. The Company also has related party debt transactions (see Note 7). Other material arrangements between the Company and its related parties not disclosed elsewhere are as follows: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Company enters into reinsurance agreements primarily as a purchaser of reinsurance for its various insurance products. The Company participates in reinsurance activities in order to limit losses, minimize exposure to significant risks and provide additional capacity for future growth.</w:t>
      </w:r>
    </w:p>
    <w:p>
      <w:pPr>
        <w:spacing w:after="0" w:line="38"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Information regarding the significant effects of related party reinsurance included on the interim condensed statements of operations and comprehensive income (loss)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80" w:type="dxa"/>
            <w:vAlign w:val="bottom"/>
            <w:gridSpan w:val="3"/>
          </w:tcPr>
          <w:p>
            <w:pPr>
              <w:jc w:val="right"/>
              <w:ind w:right="30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r>
      <w:tr>
        <w:trPr>
          <w:trHeight w:val="196"/>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Premiums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3"/>
        </w:trPr>
        <w:tc>
          <w:tcPr>
            <w:tcW w:w="7400" w:type="dxa"/>
            <w:vAlign w:val="bottom"/>
          </w:tcPr>
          <w:p>
            <w:pPr>
              <w:ind w:left="20"/>
              <w:spacing w:after="0"/>
              <w:rPr>
                <w:sz w:val="20"/>
                <w:szCs w:val="20"/>
                <w:color w:val="auto"/>
              </w:rPr>
            </w:pPr>
            <w:r>
              <w:rPr>
                <w:rFonts w:ascii="Arial" w:cs="Arial" w:eastAsia="Arial" w:hAnsi="Arial"/>
                <w:sz w:val="16"/>
                <w:szCs w:val="16"/>
                <w:color w:val="auto"/>
              </w:rPr>
              <w:t>Reinsurance ceded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(20)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(21)</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Universal life and investment-type product policy fees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3"/>
        </w:trPr>
        <w:tc>
          <w:tcPr>
            <w:tcW w:w="7400" w:type="dxa"/>
            <w:vAlign w:val="bottom"/>
          </w:tcPr>
          <w:p>
            <w:pPr>
              <w:ind w:left="20"/>
              <w:spacing w:after="0"/>
              <w:rPr>
                <w:sz w:val="20"/>
                <w:szCs w:val="20"/>
                <w:color w:val="auto"/>
              </w:rPr>
            </w:pPr>
            <w:r>
              <w:rPr>
                <w:rFonts w:ascii="Arial" w:cs="Arial" w:eastAsia="Arial" w:hAnsi="Arial"/>
                <w:sz w:val="16"/>
                <w:szCs w:val="16"/>
                <w:color w:val="auto"/>
              </w:rPr>
              <w:t>Reinsurance ceded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revenues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3"/>
        </w:trPr>
        <w:tc>
          <w:tcPr>
            <w:tcW w:w="7400" w:type="dxa"/>
            <w:vAlign w:val="bottom"/>
          </w:tcPr>
          <w:p>
            <w:pPr>
              <w:ind w:left="20"/>
              <w:spacing w:after="0"/>
              <w:rPr>
                <w:sz w:val="20"/>
                <w:szCs w:val="20"/>
                <w:color w:val="auto"/>
              </w:rPr>
            </w:pPr>
            <w:r>
              <w:rPr>
                <w:rFonts w:ascii="Arial" w:cs="Arial" w:eastAsia="Arial" w:hAnsi="Arial"/>
                <w:sz w:val="16"/>
                <w:szCs w:val="16"/>
                <w:color w:val="auto"/>
              </w:rPr>
              <w:t>Reinsurance ceded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(46)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(49)</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Policyholder benefits and claims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3"/>
        </w:trPr>
        <w:tc>
          <w:tcPr>
            <w:tcW w:w="7400" w:type="dxa"/>
            <w:vAlign w:val="bottom"/>
          </w:tcPr>
          <w:p>
            <w:pPr>
              <w:ind w:left="20"/>
              <w:spacing w:after="0"/>
              <w:rPr>
                <w:sz w:val="20"/>
                <w:szCs w:val="20"/>
                <w:color w:val="auto"/>
              </w:rPr>
            </w:pPr>
            <w:r>
              <w:rPr>
                <w:rFonts w:ascii="Arial" w:cs="Arial" w:eastAsia="Arial" w:hAnsi="Arial"/>
                <w:sz w:val="16"/>
                <w:szCs w:val="16"/>
                <w:color w:val="auto"/>
              </w:rPr>
              <w:t>Reinsurance ceded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(26)</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0"/>
        </w:trPr>
        <w:tc>
          <w:tcPr>
            <w:tcW w:w="7400" w:type="dxa"/>
            <w:vAlign w:val="bottom"/>
          </w:tcPr>
          <w:p>
            <w:pPr>
              <w:ind w:left="20"/>
              <w:spacing w:after="0"/>
              <w:rPr>
                <w:sz w:val="20"/>
                <w:szCs w:val="20"/>
                <w:color w:val="auto"/>
              </w:rPr>
            </w:pPr>
            <w:r>
              <w:rPr>
                <w:rFonts w:ascii="Arial" w:cs="Arial" w:eastAsia="Arial" w:hAnsi="Arial"/>
                <w:sz w:val="16"/>
                <w:szCs w:val="16"/>
                <w:color w:val="auto"/>
              </w:rPr>
              <w:t>Reinsurance ceded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w:t>
            </w:r>
          </w:p>
        </w:tc>
      </w:tr>
    </w:tbl>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regarding the significant effects of ceded related party reinsurance included on the interim condensed balance sheets was as follows at: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7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4"/>
        </w:trPr>
        <w:tc>
          <w:tcPr>
            <w:tcW w:w="7900" w:type="dxa"/>
            <w:vAlign w:val="bottom"/>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1220" w:type="dxa"/>
            <w:vAlign w:val="bottom"/>
          </w:tcPr>
          <w:p>
            <w:pPr>
              <w:jc w:val="right"/>
              <w:ind w:right="104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62"/>
              <w:spacing w:after="0"/>
              <w:rPr>
                <w:sz w:val="20"/>
                <w:szCs w:val="20"/>
                <w:color w:val="auto"/>
              </w:rPr>
            </w:pPr>
            <w:r>
              <w:rPr>
                <w:rFonts w:ascii="Arial" w:cs="Arial" w:eastAsia="Arial" w:hAnsi="Arial"/>
                <w:sz w:val="16"/>
                <w:szCs w:val="16"/>
                <w:color w:val="auto"/>
                <w:w w:val="82"/>
              </w:rPr>
              <w:t>757</w:t>
            </w:r>
          </w:p>
        </w:tc>
        <w:tc>
          <w:tcPr>
            <w:tcW w:w="9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567</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220" w:type="dxa"/>
            <w:vAlign w:val="bottom"/>
          </w:tcPr>
          <w:p>
            <w:pPr>
              <w:jc w:val="right"/>
              <w:ind w:right="104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62"/>
              <w:spacing w:after="0"/>
              <w:rPr>
                <w:sz w:val="20"/>
                <w:szCs w:val="20"/>
                <w:color w:val="auto"/>
              </w:rPr>
            </w:pPr>
            <w:r>
              <w:rPr>
                <w:rFonts w:ascii="Arial" w:cs="Arial" w:eastAsia="Arial" w:hAnsi="Arial"/>
                <w:sz w:val="16"/>
                <w:szCs w:val="16"/>
                <w:color w:val="auto"/>
                <w:w w:val="82"/>
              </w:rPr>
              <w:t>332</w:t>
            </w:r>
          </w:p>
        </w:tc>
        <w:tc>
          <w:tcPr>
            <w:tcW w:w="9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387</w:t>
            </w:r>
          </w:p>
        </w:tc>
      </w:tr>
    </w:tbl>
    <w:p>
      <w:pPr>
        <w:spacing w:after="0" w:line="154"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Company cedes risks to Brighthouse Life Insurance Company related to guaranteed minimum benefit guarantees written directly by the Company. These ceded reinsurance agreements contain embedded derivatives and changes in the estimated fair value are included within net derivative gains (losses). The embedded derivatives associated with the cessions are included within premiums, reinsurance and other receivables and were $539 million and $338 million at June 30, 2020 and December 31, 2019, respectively. Net derivative gains (losses) associated with the embedded derivatives were ($17) million and $201 million for the three months and six months ended June 30, 2020, respectively, and $35 million and $32 million for the three months and six months ended June 30, 2019, respectively.</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Brighthouse Services, LLC, an affiliate, currently provides the Company certain services, which include, but are not limited to, treasury, financial planning and analysis, legal, human resources, tax planning, internal audit, financial reporting and information technology. Revenues received from an affiliate related to these agreements, recorded in universal life and investment-type product policy fees, were $3 million and $6 million for the three months and six months ended June 30,</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 of 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Interim Condensed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 (continued)</w:t>
      </w:r>
    </w:p>
    <w:p>
      <w:pPr>
        <w:spacing w:after="0" w:line="200" w:lineRule="exact"/>
        <w:rPr>
          <w:sz w:val="20"/>
          <w:szCs w:val="20"/>
          <w:color w:val="auto"/>
        </w:rPr>
      </w:pPr>
    </w:p>
    <w:p>
      <w:pPr>
        <w:spacing w:after="0" w:line="326"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2020, respectively and $3 million and $6 million for the three months and six months ended June 30, 2019, respectively. Costs incurred under these arrangements were $13 million and $26 million for the three months and six months ended June 30, 2020, respectively, and $15 million and $30 million for the three months and six months ended June 30, 2019, respectively, and were recorded in other expenses.</w:t>
      </w:r>
    </w:p>
    <w:p>
      <w:pPr>
        <w:spacing w:after="0" w:line="76"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Included in these costs are those incurred related to the establishment of services and infrastructure to replace those previously provided by MetLife. The Company incurred costs of $1 million and $2 million for the three months and six months ended June 30, 2020, respectively, and did not incur any costs for the three months and six months ended June 30, 2019. The Company is charged a fee to reflect the value of the available infrastructure and services provided by these costs. While management believes the method used to allocate expenses under this arrangement is reasonable, the allocated expenses may not be indicative of those of a stand-alone entity.</w:t>
      </w:r>
    </w:p>
    <w:p>
      <w:pPr>
        <w:spacing w:after="0" w:line="8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had net receivables (payables) from/to affiliates, related to the items discussed above, of ($1) million and ($18) million at June 30, 2020 and December 31, 2019,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Broker-Dealer Transactions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$3 million and $6 million for the three months and six months ended June 30, 2020, respectively and $3 million and $6 million for the three months and six months ended June 30, 2019, respectively. Commission expenses incurred related to these transactions and recorded in other expenses was $17 million and $34 million for the three months and six months ended June 30, 2020, respectively, and $17 million and $32 million for the three months and six months ended June 30, 2019, respectively. The Company also had related party fee income receivables of $1 million at both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78"/>
        </w:trPr>
        <w:tc>
          <w:tcPr>
            <w:tcW w:w="10060" w:type="dxa"/>
            <w:vAlign w:val="bottom"/>
          </w:tcPr>
          <w:p>
            <w:pPr>
              <w:ind w:left="2040"/>
              <w:spacing w:after="0"/>
              <w:rPr>
                <w:sz w:val="20"/>
                <w:szCs w:val="20"/>
                <w:color w:val="auto"/>
              </w:rPr>
            </w:pPr>
            <w:r>
              <w:rPr>
                <w:rFonts w:ascii="Arial" w:cs="Arial" w:eastAsia="Arial" w:hAnsi="Arial"/>
                <w:sz w:val="18"/>
                <w:szCs w:val="18"/>
                <w:b w:val="1"/>
                <w:bCs w:val="1"/>
                <w:color w:val="auto"/>
                <w:w w:val="95"/>
              </w:rPr>
              <w:t>Index to Management’s Discussion and Analysis of Financial Condition and Results of Operations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10060" w:type="dxa"/>
            <w:vAlign w:val="bottom"/>
          </w:tcPr>
          <w:p>
            <w:pPr>
              <w:spacing w:after="0"/>
              <w:rPr>
                <w:sz w:val="24"/>
                <w:szCs w:val="24"/>
                <w:color w:val="auto"/>
              </w:rPr>
            </w:pPr>
          </w:p>
        </w:tc>
        <w:tc>
          <w:tcPr>
            <w:tcW w:w="9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3"/>
              </w:rPr>
              <w:t>Page</w:t>
            </w:r>
          </w:p>
        </w:tc>
      </w:tr>
      <w:tr>
        <w:trPr>
          <w:trHeight w:val="276"/>
        </w:trPr>
        <w:tc>
          <w:tcPr>
            <w:tcW w:w="1006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Introduction</w:t>
              </w:r>
            </w:hyperlink>
          </w:p>
        </w:tc>
        <w:tc>
          <w:tcPr>
            <w:tcW w:w="540" w:type="dxa"/>
            <w:vAlign w:val="bottom"/>
          </w:tcPr>
          <w:p>
            <w:pPr>
              <w:spacing w:after="0"/>
              <w:rPr>
                <w:sz w:val="24"/>
                <w:szCs w:val="24"/>
                <w:color w:val="auto"/>
              </w:rPr>
            </w:pPr>
          </w:p>
        </w:tc>
        <w:tc>
          <w:tcPr>
            <w:tcW w:w="360" w:type="dxa"/>
            <w:vAlign w:val="bottom"/>
            <w:tcBorders>
              <w:top w:val="single" w:sz="8" w:color="auto"/>
            </w:tcBorders>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40</w:t>
              </w:r>
            </w:hyperlink>
          </w:p>
        </w:tc>
      </w:tr>
      <w:tr>
        <w:trPr>
          <w:trHeight w:val="230"/>
        </w:trPr>
        <w:tc>
          <w:tcPr>
            <w:tcW w:w="10060" w:type="dxa"/>
            <w:vAlign w:val="bottom"/>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Overview</w:t>
              </w:r>
            </w:hyperlink>
          </w:p>
        </w:tc>
        <w:tc>
          <w:tcPr>
            <w:tcW w:w="900" w:type="dxa"/>
            <w:vAlign w:val="bottom"/>
            <w:gridSpan w:val="2"/>
          </w:tcPr>
          <w:p>
            <w:pPr>
              <w:jc w:val="center"/>
              <w:ind w:left="47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40</w:t>
              </w:r>
            </w:hyperlink>
          </w:p>
        </w:tc>
      </w:tr>
      <w:tr>
        <w:trPr>
          <w:trHeight w:val="229"/>
        </w:trPr>
        <w:tc>
          <w:tcPr>
            <w:tcW w:w="1006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Regulatory Developments</w:t>
              </w:r>
            </w:hyperlink>
          </w:p>
        </w:tc>
        <w:tc>
          <w:tcPr>
            <w:tcW w:w="900" w:type="dxa"/>
            <w:vAlign w:val="bottom"/>
            <w:gridSpan w:val="2"/>
          </w:tcPr>
          <w:p>
            <w:pPr>
              <w:jc w:val="center"/>
              <w:ind w:left="4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r>
      <w:tr>
        <w:trPr>
          <w:trHeight w:val="229"/>
        </w:trPr>
        <w:tc>
          <w:tcPr>
            <w:tcW w:w="1006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Summary of Critical Accounting Estimates</w:t>
              </w:r>
            </w:hyperlink>
          </w:p>
        </w:tc>
        <w:tc>
          <w:tcPr>
            <w:tcW w:w="900" w:type="dxa"/>
            <w:vAlign w:val="bottom"/>
            <w:gridSpan w:val="2"/>
          </w:tcPr>
          <w:p>
            <w:pPr>
              <w:jc w:val="center"/>
              <w:ind w:left="47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230"/>
        </w:trPr>
        <w:tc>
          <w:tcPr>
            <w:tcW w:w="1006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Non-GAAP Disclosures</w:t>
              </w:r>
            </w:hyperlink>
          </w:p>
        </w:tc>
        <w:tc>
          <w:tcPr>
            <w:tcW w:w="900" w:type="dxa"/>
            <w:vAlign w:val="bottom"/>
            <w:gridSpan w:val="2"/>
          </w:tcPr>
          <w:p>
            <w:pPr>
              <w:jc w:val="center"/>
              <w:ind w:left="47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229"/>
        </w:trPr>
        <w:tc>
          <w:tcPr>
            <w:tcW w:w="100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Results of Operations</w:t>
              </w:r>
            </w:hyperlink>
          </w:p>
        </w:tc>
        <w:tc>
          <w:tcPr>
            <w:tcW w:w="900" w:type="dxa"/>
            <w:vAlign w:val="bottom"/>
            <w:gridSpan w:val="2"/>
          </w:tcPr>
          <w:p>
            <w:pPr>
              <w:jc w:val="center"/>
              <w:ind w:left="470"/>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r>
      <w:tr>
        <w:trPr>
          <w:trHeight w:val="230"/>
        </w:trPr>
        <w:tc>
          <w:tcPr>
            <w:tcW w:w="1006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Note Regarding Forward-Looking Statements</w:t>
              </w:r>
            </w:hyperlink>
          </w:p>
        </w:tc>
        <w:tc>
          <w:tcPr>
            <w:tcW w:w="900" w:type="dxa"/>
            <w:vAlign w:val="bottom"/>
            <w:gridSpan w:val="2"/>
          </w:tcPr>
          <w:p>
            <w:pPr>
              <w:jc w:val="center"/>
              <w:ind w:left="47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6" w:right="61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purposes of this discussion, unless otherwise mentioned or unless the context indicates otherwise, “BHNY,” the “Company,” “we,” “our” and “us” refer to Brighthouse Life Insurance Company of NY (formerly, First MetLife Investors Insurance Company), a New York domiciled life insurance company. BHNY is an indirect wholly-owned subsidiary of Brighthouse Financial, Inc. (together with its subsidiaries and affiliates, “Brighthouse”). Management’s narrative analysis of the results of operations is presented pursuant to General Instruction H(2)(a) of Form 10-Q. This narrative analysis should be read in conjunction with (i) the Interim Condensed Financial Statements and related notes included elsewhere herein; (ii) our Annual Report on Form 10-K for the year ended December 31, 2019, filed with the U.S. Securities and Exchange Commission (“SEC”) on March 5, 2020 (the “2019 Annual Report”); (iii) our Quarterly Report on Form 10-Q for the quarter ended March 31, 2020 (the “First Quarter Form 10-Q”) filed with the SEC on May 13, 2020; and (iv) our current reports on Form 8-K filed in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a range of individual annuities and individual life insurance products in New York. For operating purposes, we have established two segments: Annuities and Life. In addition, we report certain of our results of operations in Corporate &amp; Other. See “Business — Segments and Corporate &amp; Other” included in the 2019 Annual Report along with Note 2 of the Notes to the Interim Condensed Financial Statements for further information on our segments and Corporate &amp; Other.</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of the Notes to the Interim Condensed Financial Statements for information regarding the adoption of new accounting pronouncements in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continue to closely monitor developments related to the worldwide pandemic sparked by the novel coronavirus (“COVID-19 pandemic”), which has negatively impacted us in certain respects, including as discussed below. At this time, it is not possible to estimate the severity or duration of the pandemic, including the severity, duration and frequency of any additional “waves” of the pandemic or the timetable for the development and implementation, and the efficacy, of any therapeutic treatment or vaccine for COVID-19. It is likewise not possible to predict or estimate the longer-term effects of the pandemic, or any actions taken to contain or address the pandemic, on the economy at large and on our business, results of operations, financial condition and prospects, including the impact on our investment portfolio and our ratings, or the need for us in the future to revisit or revise targets previously provided to the markets and/or aspects of our business model. See “Risk Factors — The ongoing COVID-19 pandemic may materially adversely affect our business, results of operations and financial condition, including capitalization and liquidity” in our First Quarter Form 10-Q.</w:t>
      </w:r>
    </w:p>
    <w:p>
      <w:pPr>
        <w:spacing w:after="0" w:line="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in response to this extraordinary event, management promptly implemented our business continuity plans, and quickly and successfully shifted all our employees to a work-from-home environment, where they currently remain. Our sales and support teams remain fully operational, and we have continued to serve our distribution partners and customers without interruption. Additionally, we are closely monitoring all aspects of our business, including but not limited to, levels of sales and claims activity, policy lapses or surrenders, payments of premiums, sources and uses of liquidity, the valuation of our investments and the performance of our derivatives programs. We have observed varying degrees of impact in these areas, and we have taken prudent and proportionate measures to address such impacts; however, at this time it is impossible to predict if the COVID-19 pandemic will have a material adverse impact on our business, results of operations or financial condition. We continue to closely monitor this evolving situation as we remain focused on ensuring the health and safety of our employees, on supporting our partners and customers as usual and on mitigating potential adverse impacts to our business.</w:t>
      </w:r>
    </w:p>
    <w:p>
      <w:pPr>
        <w:spacing w:after="0" w:line="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Increased economic uncertainty and increased unemployment resulting from the economic impacts of the COVID-19 pandemic have also impacted sales of certain of our products and have prompted us to take actions to provide relief to customers affected by adverse circumstances due to the COVID-19 pandemic, as previously disclosed in “— Regulatory Developments” in the First Quarter Form 10-Q. While the relief granted to customers to date has not had a material impact on our financial condition or results of operations, it is not possible to estimate the potential impact of any future relief. Circumstances resulting from the COVID-19 pandemic have also impacted the incidents of claims and may have impacted the utilization of benefits, lapses or surrenders of policies and payments on insurance premiums, though such impacts have not been material through the end of the second quarter of 2020. Additionally, circumstances resulting from the COVID-19 pandemic have not materially impacted services we receive from third-party vendors, nor have such circumstances led to the identification of new loss contingencies or any increases in existing loss contingencies. However, there can be no assurance that any future impact from the COVID-19 pandemic, including, without limitation, with respect to revenues and expenses associated with our products, services we receive from third-party vendors, or loss contingencies, will not be material.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sectors of our investment portfolio have been, and are expected to continue to be, adversely affected as a result of the impact of the COVID-19 pandemic on capital markets and the global economy, as well as uncertainty regarding its duration and outcome. See Note 4 of the Notes to the Interim Condensed Financial Statements.</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For example, during the second quarter of 2020, Fitch revised the rating outlook of Brighthouse Financial, Inc. (“BHF”) and certain of our other affiliated companies to negative from stable due to the disruption to economic activity and the financial markets from the COVID-19 pandemic. This action by Fitch followed its revision of the rating outlook on the U.S. life insurance industry to negative. Downgrades in our ratings or changes to our rating outlooks could have a material adverse effect on our results of operations and financial condition, including capitalization and liquidity. There can be no assurance that Fitch will not take further adverse action with respect to our affiliates’ ratings or that other rating agencies will not take similar actions in the future. Each rating should be evaluated independently of any other rating.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domiciled in New York and regulated by the New York State Department of Financial Services (“NYDFS”). We are regulated primarily at the state level, with some products and services also subject to federal regulation. In addition, BHNY and its affiliates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2019 Annual Report, as amended or supplemented herein and by our First Quarter Form 10-Q.</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Department of Labor and ERISA Considerations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We manufacture individual retirement annuities (“IRAs”) that are subject to the Internal Revenue Code of 1986, as amended (the “Tax Code”), for third parties to sell to individuals. Also, a portion of our in-force life insurance products and annuity products are held by tax-qualified pension and retirement plans that are subject to the Employee Retirement Income Security Act of 1974, as amended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IRA owners if the investment recommendation results in fees paid to an individual advisor, the firm that employs the advisor or their affiliates. On June 29, 2020, the Department of Labor (“DOL”) issued guidance that expands the definition of “investment advice.” See “— Department of Labor Fiduciary Advice Rule.”</w:t>
      </w:r>
    </w:p>
    <w:p>
      <w:pPr>
        <w:spacing w:after="0" w:line="8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We have taken and continue to take steps designed to ensure compliance with these regulations as they apply to service providers.</w:t>
      </w:r>
    </w:p>
    <w:p>
      <w:pPr>
        <w:spacing w:after="0" w:line="5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In John Hancock Mutual Life Insurance Company v. Harris Trust and Savings Bank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 guaranteed benefit policy.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Department of Labor Fiduciary Advice Rule</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On June 29, 2020, the DOL announced new regulatory action (the “Fiduciary Advice Rule”) that reinstates the text of the DOL’s 1975 investment advice regulation defining what constitutes fiduciary “investment advice” to ERISA Plans and IRAs and provides guidance interpreting such regulation. The guidance provided by the DOL broadens the circumstances under which financial institutions, including insurance companies, could be considered fiduciaries under ERISA or the Tax Code. In particular, the DOL states that a recommendation to “roll over” assets from a qualified retirement plan to an IRA, or from an IRA to another IRA, can be considered fiduciary investment advice if provided by someone with an existing relationship with the ERISA Plan or an IRA owner (or in anticipation of establishing such 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relationship). This guidance reverses an earlier DOL interpretation suggesting that roll over advice did not constitute investment advice giving rise to a fiduciary relationship.</w:t>
      </w:r>
    </w:p>
    <w:p>
      <w:pPr>
        <w:spacing w:after="0" w:line="62"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6"/>
          <w:szCs w:val="16"/>
          <w:color w:val="auto"/>
        </w:rPr>
        <w:t>Under the Fiduciary Advice Rule, individuals or entities providing such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41"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In connection with the Fiduciary Advice Rule, the DOL also issued a proposed exemption that would allow fiduciaries to receive compensation in connection with providing investment advice, including advice about roll overs, that would otherwise be prohibited as a result of their fiduciary relationship to the ERISA Plan or IRA. In order to be eligible for the exemption, among other conditions, the investment advice fiduciary would be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84"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In addition, the DOL has issued an amendment repealing the provisions of its previous fiduciary rule, which was promulgated in 2016 and vacated in 2018. The amendment also restored certain other prohibited transaction exemptions (“PTE”) to their pre-2016 forms, including PTE 84-24, which provides relief, among other things, for receipt of commissions by insurance agents, broker-dealers, and others in connection with the sale of insurance and annuity contracts. Such exemptions may provide further relief in connection with the provision of fiduciary advice in the context of sales of insurance products.</w:t>
      </w:r>
    </w:p>
    <w:p>
      <w:pPr>
        <w:spacing w:after="0" w:line="80"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Because we do not engage in direct distribution of retail products, including IRA products and retail annuities sold to ERISA plan participants and to IRA owners, we believe that we will have limited exposure to the new Fiduciary Advice Rule. However, we continue to analyze the impact of the Fiduciary Advice Rule, and, while we cannot predict the rule’s impact, it could have an adverse effect on sales of annuity products through our independent distribution partners, as a significant portion of our annuity sales are to IRAs. The Fiduciary Advice Rule may also lead to changes to our compensation practices and product offerings and increased litigation risk, which could adversely affect our results of operations and financial condition. We may also need to take certain additional actions in order to comply with, or assist our distributors in their compliance with, the Fiduciary Advice Rule.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estimated fair values of freestanding derivatives and the recognition and estimated fair value of embedded derivatives requiring bifurcation;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above critical accounting estimates are described in “Management’s Discussion and Analysis of Financial Condition and Results of Operations — Summary of Critical Accounting Estimates” and Note 1 of the Notes to the Financial Statements included in the 2019 Annual Report.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this report, we present adjusted earnings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which is the most directly comparable financial measure calculated in accordance with GAAP. See “— Results of Operations” for a reconciliation of adjusted earnings to net income (loss).</w:t>
      </w:r>
    </w:p>
    <w:p>
      <w:pPr>
        <w:spacing w:after="0" w:line="80"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1300" w:right="20" w:hanging="320"/>
        <w:spacing w:after="0" w:line="342" w:lineRule="auto"/>
        <w:tabs>
          <w:tab w:leader="none" w:pos="12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15" w:lineRule="exact"/>
        <w:rPr>
          <w:rFonts w:ascii="Arial" w:cs="Arial" w:eastAsia="Arial" w:hAnsi="Arial"/>
          <w:sz w:val="16"/>
          <w:szCs w:val="16"/>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(“GMIBs”) fees (“GMIB Fees”).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1300" w:hanging="320"/>
        <w:spacing w:after="0" w:line="308" w:lineRule="auto"/>
        <w:tabs>
          <w:tab w:leader="none" w:pos="12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DAC related to (i) net investment gains (losses), (ii) net derivative gains (losses), (iii) GMIB Fees and GMIB Costs and (iv) Market Value Adjustments.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tax impact of the adjustments mentioned is calculated net of the statutory tax rate, which could differ from our effective tax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Component of Adjusted Earnings</w:t>
            </w:r>
          </w:p>
        </w:tc>
        <w:tc>
          <w:tcPr>
            <w:tcW w:w="71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How Derived from GAAP (1)</w:t>
            </w:r>
          </w:p>
        </w:tc>
      </w:tr>
      <w:tr>
        <w:trPr>
          <w:trHeight w:val="189"/>
        </w:trPr>
        <w:tc>
          <w:tcPr>
            <w:tcW w:w="4120" w:type="dxa"/>
            <w:vAlign w:val="bottom"/>
          </w:tcPr>
          <w:p>
            <w:pPr>
              <w:ind w:left="320"/>
              <w:spacing w:after="0" w:line="189" w:lineRule="exact"/>
              <w:rPr>
                <w:sz w:val="20"/>
                <w:szCs w:val="20"/>
                <w:color w:val="auto"/>
              </w:rPr>
            </w:pPr>
            <w:r>
              <w:rPr>
                <w:rFonts w:ascii="Arial" w:cs="Arial" w:eastAsia="Arial" w:hAnsi="Arial"/>
                <w:sz w:val="18"/>
                <w:szCs w:val="18"/>
                <w:color w:val="auto"/>
              </w:rPr>
              <w:t>(i) Fee income</w:t>
            </w:r>
          </w:p>
        </w:tc>
        <w:tc>
          <w:tcPr>
            <w:tcW w:w="7120" w:type="dxa"/>
            <w:vAlign w:val="bottom"/>
          </w:tcPr>
          <w:p>
            <w:pPr>
              <w:jc w:val="right"/>
              <w:spacing w:after="0" w:line="189" w:lineRule="exact"/>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fees</w:t>
            </w:r>
            <w:r>
              <w:rPr>
                <w:rFonts w:ascii="Arial" w:cs="Arial" w:eastAsia="Arial" w:hAnsi="Arial"/>
                <w:sz w:val="18"/>
                <w:szCs w:val="18"/>
                <w:color w:val="auto"/>
              </w:rPr>
              <w:t xml:space="preserve"> (excluding (a) unearned revenue</w:t>
            </w:r>
          </w:p>
        </w:tc>
      </w:tr>
      <w:tr>
        <w:trPr>
          <w:trHeight w:val="162"/>
        </w:trPr>
        <w:tc>
          <w:tcPr>
            <w:tcW w:w="4120" w:type="dxa"/>
            <w:vAlign w:val="bottom"/>
          </w:tcPr>
          <w:p>
            <w:pPr>
              <w:spacing w:after="0"/>
              <w:rPr>
                <w:sz w:val="14"/>
                <w:szCs w:val="14"/>
                <w:color w:val="auto"/>
              </w:rPr>
            </w:pPr>
          </w:p>
        </w:tc>
        <w:tc>
          <w:tcPr>
            <w:tcW w:w="7120" w:type="dxa"/>
            <w:vAlign w:val="bottom"/>
          </w:tcPr>
          <w:p>
            <w:pPr>
              <w:ind w:left="980"/>
              <w:spacing w:after="0" w:line="162" w:lineRule="exact"/>
              <w:rPr>
                <w:sz w:val="20"/>
                <w:szCs w:val="20"/>
                <w:color w:val="auto"/>
              </w:rPr>
            </w:pPr>
            <w:r>
              <w:rPr>
                <w:rFonts w:ascii="Arial" w:cs="Arial" w:eastAsia="Arial" w:hAnsi="Arial"/>
                <w:sz w:val="18"/>
                <w:szCs w:val="18"/>
                <w:color w:val="auto"/>
                <w:w w:val="90"/>
              </w:rPr>
              <w:t>adjustments related to net investment gains (losses) and net derivative gains (losses)</w:t>
            </w:r>
          </w:p>
        </w:tc>
      </w:tr>
      <w:tr>
        <w:trPr>
          <w:trHeight w:val="175"/>
        </w:trPr>
        <w:tc>
          <w:tcPr>
            <w:tcW w:w="4120" w:type="dxa"/>
            <w:vAlign w:val="bottom"/>
          </w:tcPr>
          <w:p>
            <w:pPr>
              <w:spacing w:after="0"/>
              <w:rPr>
                <w:sz w:val="15"/>
                <w:szCs w:val="15"/>
                <w:color w:val="auto"/>
              </w:rPr>
            </w:pPr>
          </w:p>
        </w:tc>
        <w:tc>
          <w:tcPr>
            <w:tcW w:w="7120" w:type="dxa"/>
            <w:vAlign w:val="bottom"/>
          </w:tcPr>
          <w:p>
            <w:pPr>
              <w:ind w:left="980"/>
              <w:spacing w:after="0" w:line="176" w:lineRule="exact"/>
              <w:rPr>
                <w:sz w:val="20"/>
                <w:szCs w:val="20"/>
                <w:color w:val="auto"/>
              </w:rPr>
            </w:pPr>
            <w:r>
              <w:rPr>
                <w:rFonts w:ascii="Arial" w:cs="Arial" w:eastAsia="Arial" w:hAnsi="Arial"/>
                <w:sz w:val="18"/>
                <w:szCs w:val="18"/>
                <w:color w:val="auto"/>
                <w:w w:val="91"/>
              </w:rPr>
              <w:t xml:space="preserve">and (b) GMIB Fees) plus </w:t>
            </w:r>
            <w:r>
              <w:rPr>
                <w:rFonts w:ascii="Arial" w:cs="Arial" w:eastAsia="Arial" w:hAnsi="Arial"/>
                <w:sz w:val="18"/>
                <w:szCs w:val="18"/>
                <w:i w:val="1"/>
                <w:iCs w:val="1"/>
                <w:color w:val="auto"/>
                <w:w w:val="91"/>
              </w:rPr>
              <w:t>Other revenues</w:t>
            </w:r>
            <w:r>
              <w:rPr>
                <w:rFonts w:ascii="Arial" w:cs="Arial" w:eastAsia="Arial" w:hAnsi="Arial"/>
                <w:sz w:val="18"/>
                <w:szCs w:val="18"/>
                <w:color w:val="auto"/>
                <w:w w:val="91"/>
              </w:rPr>
              <w:t xml:space="preserve"> (excluding other revenues associated with</w:t>
            </w:r>
          </w:p>
        </w:tc>
      </w:tr>
      <w:tr>
        <w:trPr>
          <w:trHeight w:val="230"/>
        </w:trPr>
        <w:tc>
          <w:tcPr>
            <w:tcW w:w="4120" w:type="dxa"/>
            <w:vAlign w:val="bottom"/>
          </w:tcPr>
          <w:p>
            <w:pPr>
              <w:spacing w:after="0"/>
              <w:rPr>
                <w:sz w:val="19"/>
                <w:szCs w:val="19"/>
                <w:color w:val="auto"/>
              </w:rPr>
            </w:pPr>
          </w:p>
        </w:tc>
        <w:tc>
          <w:tcPr>
            <w:tcW w:w="7120" w:type="dxa"/>
            <w:vAlign w:val="bottom"/>
          </w:tcPr>
          <w:p>
            <w:pPr>
              <w:ind w:left="98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189"/>
        </w:trPr>
        <w:tc>
          <w:tcPr>
            <w:tcW w:w="4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(ii) Net investment spread</w:t>
            </w:r>
          </w:p>
        </w:tc>
        <w:tc>
          <w:tcPr>
            <w:tcW w:w="7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plus Investment Hedge Adjustments and interest received on</w:t>
            </w:r>
          </w:p>
        </w:tc>
      </w:tr>
      <w:tr>
        <w:trPr>
          <w:trHeight w:val="162"/>
        </w:trPr>
        <w:tc>
          <w:tcPr>
            <w:tcW w:w="4120" w:type="dxa"/>
            <w:vAlign w:val="bottom"/>
            <w:shd w:val="clear" w:color="auto" w:fill="CCEEFF"/>
          </w:tcPr>
          <w:p>
            <w:pPr>
              <w:spacing w:after="0"/>
              <w:rPr>
                <w:sz w:val="14"/>
                <w:szCs w:val="14"/>
                <w:color w:val="auto"/>
              </w:rPr>
            </w:pPr>
          </w:p>
        </w:tc>
        <w:tc>
          <w:tcPr>
            <w:tcW w:w="7120" w:type="dxa"/>
            <w:vAlign w:val="bottom"/>
            <w:shd w:val="clear" w:color="auto" w:fill="CCEEFF"/>
          </w:tcPr>
          <w:p>
            <w:pPr>
              <w:ind w:left="980"/>
              <w:spacing w:after="0" w:line="162" w:lineRule="exact"/>
              <w:rPr>
                <w:sz w:val="20"/>
                <w:szCs w:val="20"/>
                <w:color w:val="auto"/>
              </w:rPr>
            </w:pPr>
            <w:r>
              <w:rPr>
                <w:rFonts w:ascii="Arial" w:cs="Arial" w:eastAsia="Arial" w:hAnsi="Arial"/>
                <w:sz w:val="18"/>
                <w:szCs w:val="18"/>
                <w:color w:val="auto"/>
                <w:w w:val="99"/>
              </w:rPr>
              <w:t xml:space="preserve">ceded fixed annuity reinsurance deposit funds reduced by </w:t>
            </w:r>
            <w:r>
              <w:rPr>
                <w:rFonts w:ascii="Arial" w:cs="Arial" w:eastAsia="Arial" w:hAnsi="Arial"/>
                <w:sz w:val="18"/>
                <w:szCs w:val="18"/>
                <w:i w:val="1"/>
                <w:iCs w:val="1"/>
                <w:color w:val="auto"/>
                <w:w w:val="99"/>
              </w:rPr>
              <w:t>Interest credited to</w:t>
            </w:r>
          </w:p>
        </w:tc>
      </w:tr>
      <w:tr>
        <w:trPr>
          <w:trHeight w:val="229"/>
        </w:trPr>
        <w:tc>
          <w:tcPr>
            <w:tcW w:w="4120" w:type="dxa"/>
            <w:vAlign w:val="bottom"/>
            <w:shd w:val="clear" w:color="auto" w:fill="CCEEFF"/>
          </w:tcPr>
          <w:p>
            <w:pPr>
              <w:spacing w:after="0"/>
              <w:rPr>
                <w:sz w:val="19"/>
                <w:szCs w:val="19"/>
                <w:color w:val="auto"/>
              </w:rPr>
            </w:pPr>
          </w:p>
        </w:tc>
        <w:tc>
          <w:tcPr>
            <w:tcW w:w="7120" w:type="dxa"/>
            <w:vAlign w:val="bottom"/>
            <w:shd w:val="clear" w:color="auto" w:fill="CCEEFF"/>
          </w:tcPr>
          <w:p>
            <w:pPr>
              <w:ind w:left="98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189"/>
        </w:trPr>
        <w:tc>
          <w:tcPr>
            <w:tcW w:w="4120" w:type="dxa"/>
            <w:vAlign w:val="bottom"/>
          </w:tcPr>
          <w:p>
            <w:pPr>
              <w:ind w:left="220"/>
              <w:spacing w:after="0" w:line="189" w:lineRule="exact"/>
              <w:rPr>
                <w:sz w:val="20"/>
                <w:szCs w:val="20"/>
                <w:color w:val="auto"/>
              </w:rPr>
            </w:pPr>
            <w:r>
              <w:rPr>
                <w:rFonts w:ascii="Arial" w:cs="Arial" w:eastAsia="Arial" w:hAnsi="Arial"/>
                <w:sz w:val="18"/>
                <w:szCs w:val="18"/>
                <w:color w:val="auto"/>
              </w:rPr>
              <w:t>(iii) Insurance-related activities</w:t>
            </w:r>
          </w:p>
        </w:tc>
        <w:tc>
          <w:tcPr>
            <w:tcW w:w="7120" w:type="dxa"/>
            <w:vAlign w:val="bottom"/>
          </w:tcPr>
          <w:p>
            <w:pPr>
              <w:jc w:val="right"/>
              <w:spacing w:after="0" w:line="189" w:lineRule="exact"/>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162"/>
        </w:trPr>
        <w:tc>
          <w:tcPr>
            <w:tcW w:w="4120" w:type="dxa"/>
            <w:vAlign w:val="bottom"/>
          </w:tcPr>
          <w:p>
            <w:pPr>
              <w:spacing w:after="0"/>
              <w:rPr>
                <w:sz w:val="14"/>
                <w:szCs w:val="14"/>
                <w:color w:val="auto"/>
              </w:rPr>
            </w:pPr>
          </w:p>
        </w:tc>
        <w:tc>
          <w:tcPr>
            <w:tcW w:w="7120" w:type="dxa"/>
            <w:vAlign w:val="bottom"/>
          </w:tcPr>
          <w:p>
            <w:pPr>
              <w:ind w:left="980"/>
              <w:spacing w:after="0" w:line="162" w:lineRule="exact"/>
              <w:rPr>
                <w:sz w:val="20"/>
                <w:szCs w:val="20"/>
                <w:color w:val="auto"/>
              </w:rPr>
            </w:pPr>
            <w:r>
              <w:rPr>
                <w:rFonts w:ascii="Arial" w:cs="Arial" w:eastAsia="Arial" w:hAnsi="Arial"/>
                <w:sz w:val="18"/>
                <w:szCs w:val="18"/>
                <w:color w:val="auto"/>
                <w:w w:val="91"/>
              </w:rPr>
              <w:t>Market Value Adjustments, (c) interest on future policy benefits and (d) amortization</w:t>
            </w:r>
          </w:p>
        </w:tc>
      </w:tr>
      <w:tr>
        <w:trPr>
          <w:trHeight w:val="175"/>
        </w:trPr>
        <w:tc>
          <w:tcPr>
            <w:tcW w:w="4120" w:type="dxa"/>
            <w:vAlign w:val="bottom"/>
          </w:tcPr>
          <w:p>
            <w:pPr>
              <w:spacing w:after="0"/>
              <w:rPr>
                <w:sz w:val="15"/>
                <w:szCs w:val="15"/>
                <w:color w:val="auto"/>
              </w:rPr>
            </w:pPr>
          </w:p>
        </w:tc>
        <w:tc>
          <w:tcPr>
            <w:tcW w:w="7120" w:type="dxa"/>
            <w:vAlign w:val="bottom"/>
          </w:tcPr>
          <w:p>
            <w:pPr>
              <w:ind w:left="980"/>
              <w:spacing w:after="0" w:line="176" w:lineRule="exact"/>
              <w:rPr>
                <w:sz w:val="20"/>
                <w:szCs w:val="20"/>
                <w:color w:val="auto"/>
              </w:rPr>
            </w:pPr>
            <w:r>
              <w:rPr>
                <w:rFonts w:ascii="Arial" w:cs="Arial" w:eastAsia="Arial" w:hAnsi="Arial"/>
                <w:sz w:val="18"/>
                <w:szCs w:val="18"/>
                <w:color w:val="auto"/>
                <w:w w:val="96"/>
              </w:rPr>
              <w:t>of deferred gain on reinsurance) plus the pass through of performance of ceded</w:t>
            </w:r>
          </w:p>
        </w:tc>
      </w:tr>
      <w:tr>
        <w:trPr>
          <w:trHeight w:val="230"/>
        </w:trPr>
        <w:tc>
          <w:tcPr>
            <w:tcW w:w="4120" w:type="dxa"/>
            <w:vAlign w:val="bottom"/>
          </w:tcPr>
          <w:p>
            <w:pPr>
              <w:spacing w:after="0"/>
              <w:rPr>
                <w:sz w:val="20"/>
                <w:szCs w:val="20"/>
                <w:color w:val="auto"/>
              </w:rPr>
            </w:pPr>
          </w:p>
        </w:tc>
        <w:tc>
          <w:tcPr>
            <w:tcW w:w="7120" w:type="dxa"/>
            <w:vAlign w:val="bottom"/>
          </w:tcPr>
          <w:p>
            <w:pPr>
              <w:ind w:left="980"/>
              <w:spacing w:after="0"/>
              <w:rPr>
                <w:sz w:val="20"/>
                <w:szCs w:val="20"/>
                <w:color w:val="auto"/>
              </w:rPr>
            </w:pPr>
            <w:r>
              <w:rPr>
                <w:rFonts w:ascii="Arial" w:cs="Arial" w:eastAsia="Arial" w:hAnsi="Arial"/>
                <w:sz w:val="18"/>
                <w:szCs w:val="18"/>
                <w:color w:val="auto"/>
              </w:rPr>
              <w:t>separate account assets.</w:t>
            </w:r>
          </w:p>
        </w:tc>
      </w:tr>
      <w:tr>
        <w:trPr>
          <w:trHeight w:val="175"/>
        </w:trPr>
        <w:tc>
          <w:tcPr>
            <w:tcW w:w="4120" w:type="dxa"/>
            <w:vAlign w:val="bottom"/>
          </w:tcPr>
          <w:p>
            <w:pPr>
              <w:spacing w:after="0"/>
              <w:rPr>
                <w:sz w:val="15"/>
                <w:szCs w:val="15"/>
                <w:color w:val="auto"/>
              </w:rPr>
            </w:pPr>
          </w:p>
        </w:tc>
        <w:tc>
          <w:tcPr>
            <w:tcW w:w="7120" w:type="dxa"/>
            <w:vAlign w:val="bottom"/>
          </w:tcPr>
          <w:p>
            <w:pPr>
              <w:spacing w:after="0"/>
              <w:rPr>
                <w:sz w:val="15"/>
                <w:szCs w:val="15"/>
                <w:color w:val="auto"/>
              </w:rPr>
            </w:pPr>
          </w:p>
        </w:tc>
      </w:tr>
      <w:tr>
        <w:trPr>
          <w:trHeight w:val="189"/>
        </w:trPr>
        <w:tc>
          <w:tcPr>
            <w:tcW w:w="412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(iv) Amortization of DAC</w:t>
            </w:r>
          </w:p>
        </w:tc>
        <w:tc>
          <w:tcPr>
            <w:tcW w:w="7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Amortization of DAC</w:t>
            </w:r>
            <w:r>
              <w:rPr>
                <w:rFonts w:ascii="Arial" w:cs="Arial" w:eastAsia="Arial" w:hAnsi="Arial"/>
                <w:sz w:val="18"/>
                <w:szCs w:val="18"/>
                <w:color w:val="auto"/>
              </w:rPr>
              <w:t xml:space="preserve"> (excluding amounts related to (a) net investment gains</w:t>
            </w:r>
          </w:p>
        </w:tc>
      </w:tr>
      <w:tr>
        <w:trPr>
          <w:trHeight w:val="162"/>
        </w:trPr>
        <w:tc>
          <w:tcPr>
            <w:tcW w:w="4120" w:type="dxa"/>
            <w:vAlign w:val="bottom"/>
            <w:shd w:val="clear" w:color="auto" w:fill="CCEEFF"/>
          </w:tcPr>
          <w:p>
            <w:pPr>
              <w:spacing w:after="0"/>
              <w:rPr>
                <w:sz w:val="14"/>
                <w:szCs w:val="14"/>
                <w:color w:val="auto"/>
              </w:rPr>
            </w:pPr>
          </w:p>
        </w:tc>
        <w:tc>
          <w:tcPr>
            <w:tcW w:w="7120" w:type="dxa"/>
            <w:vAlign w:val="bottom"/>
            <w:shd w:val="clear" w:color="auto" w:fill="CCEEFF"/>
          </w:tcPr>
          <w:p>
            <w:pPr>
              <w:ind w:left="980"/>
              <w:spacing w:after="0" w:line="162" w:lineRule="exact"/>
              <w:rPr>
                <w:sz w:val="20"/>
                <w:szCs w:val="20"/>
                <w:color w:val="auto"/>
              </w:rPr>
            </w:pPr>
            <w:r>
              <w:rPr>
                <w:rFonts w:ascii="Arial" w:cs="Arial" w:eastAsia="Arial" w:hAnsi="Arial"/>
                <w:sz w:val="18"/>
                <w:szCs w:val="18"/>
                <w:color w:val="auto"/>
                <w:w w:val="94"/>
              </w:rPr>
              <w:t>(losses), (b) net derivative gains (losses), (c) GMIB Fees and GMIB Costs and (d)</w:t>
            </w:r>
          </w:p>
        </w:tc>
      </w:tr>
      <w:tr>
        <w:trPr>
          <w:trHeight w:val="230"/>
        </w:trPr>
        <w:tc>
          <w:tcPr>
            <w:tcW w:w="4120" w:type="dxa"/>
            <w:vAlign w:val="bottom"/>
            <w:shd w:val="clear" w:color="auto" w:fill="CCEEFF"/>
          </w:tcPr>
          <w:p>
            <w:pPr>
              <w:spacing w:after="0"/>
              <w:rPr>
                <w:sz w:val="19"/>
                <w:szCs w:val="19"/>
                <w:color w:val="auto"/>
              </w:rPr>
            </w:pPr>
          </w:p>
        </w:tc>
        <w:tc>
          <w:tcPr>
            <w:tcW w:w="7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Market Value Adjustments).</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(v) Other expenses, net of DAC capitalization</w:t>
            </w:r>
          </w:p>
        </w:tc>
        <w:tc>
          <w:tcPr>
            <w:tcW w:w="7120" w:type="dxa"/>
            <w:vAlign w:val="bottom"/>
          </w:tcPr>
          <w:p>
            <w:pPr>
              <w:ind w:left="74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w:t>
            </w:r>
          </w:p>
        </w:tc>
      </w:tr>
      <w:tr>
        <w:trPr>
          <w:trHeight w:val="27"/>
        </w:trPr>
        <w:tc>
          <w:tcPr>
            <w:tcW w:w="412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(vi) Provision for income tax expense (benefit)</w:t>
            </w:r>
          </w:p>
        </w:tc>
        <w:tc>
          <w:tcPr>
            <w:tcW w:w="7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(vi) Tax impact of the above items.</w:t>
            </w:r>
          </w:p>
        </w:tc>
      </w:tr>
      <w:tr>
        <w:trPr>
          <w:trHeight w:val="325"/>
        </w:trPr>
        <w:tc>
          <w:tcPr>
            <w:tcW w:w="4120" w:type="dxa"/>
            <w:vAlign w:val="bottom"/>
          </w:tcPr>
          <w:p>
            <w:pPr>
              <w:spacing w:after="0"/>
              <w:rPr>
                <w:sz w:val="20"/>
                <w:szCs w:val="20"/>
                <w:color w:val="auto"/>
              </w:rPr>
            </w:pPr>
            <w:r>
              <w:rPr>
                <w:rFonts w:ascii="Arial" w:cs="Arial" w:eastAsia="Arial" w:hAnsi="Arial"/>
                <w:sz w:val="14"/>
                <w:szCs w:val="14"/>
                <w:color w:val="auto"/>
              </w:rPr>
              <w:t>_______________</w:t>
            </w:r>
          </w:p>
        </w:tc>
        <w:tc>
          <w:tcPr>
            <w:tcW w:w="7120" w:type="dxa"/>
            <w:vAlign w:val="bottom"/>
          </w:tcPr>
          <w:p>
            <w:pPr>
              <w:spacing w:after="0"/>
              <w:rPr>
                <w:sz w:val="24"/>
                <w:szCs w:val="24"/>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for the Six Months Ended June 30, 2020 and 2019</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162"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13335</wp:posOffset>
            </wp:positionV>
            <wp:extent cx="16973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9" w:lineRule="exact"/>
        <w:rPr>
          <w:sz w:val="20"/>
          <w:szCs w:val="20"/>
          <w:color w:val="auto"/>
        </w:rPr>
      </w:pPr>
    </w:p>
    <w:p>
      <w:pPr>
        <w:ind w:left="9060"/>
        <w:spacing w:after="0"/>
        <w:tabs>
          <w:tab w:leader="none" w:pos="10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23495</wp:posOffset>
            </wp:positionV>
            <wp:extent cx="16973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(In millions)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Universal life and investment-type product policy fees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revenues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derivative gains (losses)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revenues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16</w:t>
            </w:r>
          </w:p>
        </w:tc>
      </w:tr>
      <w:tr>
        <w:trPr>
          <w:trHeight w:val="257"/>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47</w:t>
            </w:r>
          </w:p>
        </w:tc>
      </w:tr>
      <w:tr>
        <w:trPr>
          <w:trHeight w:val="257"/>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56</w:t>
            </w:r>
          </w:p>
        </w:tc>
      </w:tr>
      <w:tr>
        <w:trPr>
          <w:trHeight w:val="257"/>
        </w:trPr>
        <w:tc>
          <w:tcPr>
            <w:tcW w:w="5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57"/>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w:t>
            </w:r>
          </w:p>
        </w:tc>
      </w:tr>
      <w:tr>
        <w:trPr>
          <w:trHeight w:val="256"/>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24</w:t>
            </w:r>
          </w:p>
        </w:tc>
      </w:tr>
      <w:tr>
        <w:trPr>
          <w:trHeight w:val="33"/>
        </w:trPr>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106</w:t>
            </w:r>
          </w:p>
        </w:tc>
      </w:tr>
      <w:tr>
        <w:trPr>
          <w:trHeight w:val="33"/>
        </w:trPr>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20" w:lineRule="exact"/>
        <w:rPr>
          <w:sz w:val="20"/>
          <w:szCs w:val="20"/>
          <w:color w:val="auto"/>
        </w:rPr>
      </w:pPr>
    </w:p>
    <w:p>
      <w:pPr>
        <w:sectPr>
          <w:pgSz w:w="11900" w:h="16838" w:orient="portrait"/>
          <w:cols w:equalWidth="0" w:num="2">
            <w:col w:w="7840" w:space="720"/>
            <w:col w:w="2680"/>
          </w:cols>
          <w:pgMar w:left="320" w:top="126"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Policyholder benefits and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credited to policyholder account balances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Capitalization of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DAC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expenses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before provision for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income tax expense (benefit)</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24</w:t>
            </w:r>
          </w:p>
        </w:tc>
      </w:tr>
      <w:tr>
        <w:trPr>
          <w:trHeight w:val="257"/>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257"/>
        </w:trPr>
        <w:tc>
          <w:tcPr>
            <w:tcW w:w="5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57"/>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256"/>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57</w:t>
            </w:r>
          </w:p>
        </w:tc>
      </w:tr>
      <w:tr>
        <w:trPr>
          <w:trHeight w:val="33"/>
        </w:trPr>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86</w:t>
            </w:r>
          </w:p>
        </w:tc>
      </w:tr>
      <w:tr>
        <w:trPr>
          <w:trHeight w:val="33"/>
        </w:trPr>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w:t>
            </w:r>
          </w:p>
        </w:tc>
      </w:tr>
      <w:tr>
        <w:trPr>
          <w:trHeight w:val="256"/>
        </w:trPr>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33"/>
        </w:trPr>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33"/>
        </w:trPr>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0" w:space="720"/>
            <w:col w:w="2680"/>
          </w:cols>
          <w:pgMar w:left="320" w:top="126"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income (loss) were as follows:</w:t>
      </w:r>
    </w:p>
    <w:p>
      <w:pPr>
        <w:spacing w:after="0" w:line="163"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13335</wp:posOffset>
            </wp:positionV>
            <wp:extent cx="16973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7"/>
                <w:szCs w:val="17"/>
                <w:color w:val="auto"/>
              </w:rPr>
            </w:pPr>
          </w:p>
        </w:tc>
      </w:tr>
      <w:tr>
        <w:trPr>
          <w:trHeight w:val="263"/>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Riders</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r>
      <w:tr>
        <w:trPr>
          <w:trHeight w:val="254"/>
        </w:trPr>
        <w:tc>
          <w:tcPr>
            <w:tcW w:w="8560" w:type="dxa"/>
            <w:vAlign w:val="bottom"/>
          </w:tcPr>
          <w:p>
            <w:pPr>
              <w:ind w:left="20"/>
              <w:spacing w:after="0"/>
              <w:rPr>
                <w:sz w:val="20"/>
                <w:szCs w:val="20"/>
                <w:color w:val="auto"/>
              </w:rPr>
            </w:pPr>
            <w:r>
              <w:rPr>
                <w:rFonts w:ascii="Arial" w:cs="Arial" w:eastAsia="Arial" w:hAnsi="Arial"/>
                <w:sz w:val="16"/>
                <w:szCs w:val="16"/>
                <w:color w:val="auto"/>
              </w:rPr>
              <w:t>Other derivative instruments</w:t>
            </w:r>
          </w:p>
        </w:tc>
        <w:tc>
          <w:tcPr>
            <w:tcW w:w="840" w:type="dxa"/>
            <w:vAlign w:val="bottom"/>
          </w:tcPr>
          <w:p>
            <w:pPr>
              <w:spacing w:after="0"/>
              <w:rPr>
                <w:sz w:val="22"/>
                <w:szCs w:val="22"/>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59"/>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r>
      <w:tr>
        <w:trPr>
          <w:trHeight w:val="224"/>
        </w:trPr>
        <w:tc>
          <w:tcPr>
            <w:tcW w:w="8560" w:type="dxa"/>
            <w:vAlign w:val="bottom"/>
          </w:tcPr>
          <w:p>
            <w:pPr>
              <w:ind w:left="20"/>
              <w:spacing w:after="0"/>
              <w:rPr>
                <w:sz w:val="20"/>
                <w:szCs w:val="20"/>
                <w:color w:val="auto"/>
              </w:rPr>
            </w:pPr>
            <w:r>
              <w:rPr>
                <w:rFonts w:ascii="Arial" w:cs="Arial" w:eastAsia="Arial" w:hAnsi="Arial"/>
                <w:sz w:val="16"/>
                <w:szCs w:val="16"/>
                <w:color w:val="auto"/>
              </w:rPr>
              <w:t>Pre-tax adjusted earnings</w:t>
            </w:r>
          </w:p>
        </w:tc>
        <w:tc>
          <w:tcPr>
            <w:tcW w:w="840" w:type="dxa"/>
            <w:vAlign w:val="bottom"/>
          </w:tcPr>
          <w:p>
            <w:pPr>
              <w:spacing w:after="0"/>
              <w:rPr>
                <w:sz w:val="19"/>
                <w:szCs w:val="19"/>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33"/>
        </w:trPr>
        <w:tc>
          <w:tcPr>
            <w:tcW w:w="8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r>
      <w:tr>
        <w:trPr>
          <w:trHeight w:val="254"/>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r>
      <w:tr>
        <w:trPr>
          <w:trHeight w:val="275"/>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2020 Compared with the Six Months Ended June 30, 2019</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Income before provision for income tax was $145 million ($116 million, net of income tax), an increase of $125 million ($99 million, net of income tax) from income before provision for income tax of $20 million ($17 million, net of income tax) in the prior period.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income before provision for income tax was driven by the following key favorable items:</w:t>
      </w:r>
    </w:p>
    <w:p>
      <w:pPr>
        <w:spacing w:after="0" w:line="117" w:lineRule="exact"/>
        <w:rPr>
          <w:sz w:val="20"/>
          <w:szCs w:val="20"/>
          <w:color w:val="auto"/>
        </w:rPr>
      </w:pPr>
    </w:p>
    <w:p>
      <w:pPr>
        <w:ind w:left="1300" w:hanging="320"/>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Declining equity markets in the current period, compared to increasing equity markets in the prior period, and lower interest rates resulted in a net favorable change in guaranteed minimum living benefits (“GMLB”) riders (“GMLB riders”) due to:</w:t>
      </w:r>
    </w:p>
    <w:p>
      <w:pPr>
        <w:spacing w:after="0" w:line="62" w:lineRule="exact"/>
        <w:rPr>
          <w:rFonts w:ascii="Arial" w:cs="Arial" w:eastAsia="Arial" w:hAnsi="Arial"/>
          <w:sz w:val="18"/>
          <w:szCs w:val="18"/>
          <w:color w:val="auto"/>
        </w:rPr>
      </w:pPr>
    </w:p>
    <w:p>
      <w:pPr>
        <w:ind w:left="1940" w:hanging="312"/>
        <w:spacing w:after="0"/>
        <w:tabs>
          <w:tab w:leader="none" w:pos="1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favorable change in ceded reinsurance; and</w:t>
      </w:r>
    </w:p>
    <w:p>
      <w:pPr>
        <w:spacing w:after="0" w:line="117" w:lineRule="exact"/>
        <w:rPr>
          <w:rFonts w:ascii="Arial" w:cs="Arial" w:eastAsia="Arial" w:hAnsi="Arial"/>
          <w:sz w:val="18"/>
          <w:szCs w:val="18"/>
          <w:color w:val="auto"/>
        </w:rPr>
      </w:pPr>
    </w:p>
    <w:p>
      <w:pPr>
        <w:jc w:val="both"/>
        <w:ind w:left="1960" w:hanging="332"/>
        <w:spacing w:after="0" w:line="263" w:lineRule="auto"/>
        <w:tabs>
          <w:tab w:leader="none" w:pos="19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Level Annuities (“Shield” and “Shield Annuities”), a suite of structured annuities consisting of products marketed under various names, embedded derivative liabilities, net of unfavorable changes to the estimated fair value of the related hedges;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40" w:hanging="312"/>
        <w:spacing w:after="0"/>
        <w:tabs>
          <w:tab w:leader="none" w:pos="1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unfavorable change to the estimated fair value of variable annuity liability reserves; and</w:t>
      </w:r>
    </w:p>
    <w:p>
      <w:pPr>
        <w:spacing w:after="0" w:line="117" w:lineRule="exact"/>
        <w:rPr>
          <w:rFonts w:ascii="Arial" w:cs="Arial" w:eastAsia="Arial" w:hAnsi="Arial"/>
          <w:sz w:val="18"/>
          <w:szCs w:val="18"/>
          <w:color w:val="auto"/>
        </w:rPr>
      </w:pPr>
    </w:p>
    <w:p>
      <w:pPr>
        <w:ind w:left="1940" w:hanging="312"/>
        <w:spacing w:after="0"/>
        <w:tabs>
          <w:tab w:leader="none" w:pos="1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unfavorable change in GMLB DAC;</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pre-tax adjusted earnings, discussed in greater detail below;</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favorable change in other derivative instruments reflecting:</w:t>
      </w:r>
    </w:p>
    <w:p>
      <w:pPr>
        <w:spacing w:after="0" w:line="117" w:lineRule="exact"/>
        <w:rPr>
          <w:rFonts w:ascii="Arial" w:cs="Arial" w:eastAsia="Arial" w:hAnsi="Arial"/>
          <w:sz w:val="18"/>
          <w:szCs w:val="18"/>
          <w:color w:val="auto"/>
        </w:rPr>
      </w:pPr>
    </w:p>
    <w:p>
      <w:pPr>
        <w:ind w:left="1960" w:hanging="332"/>
        <w:spacing w:after="0" w:line="277" w:lineRule="auto"/>
        <w:tabs>
          <w:tab w:leader="none" w:pos="19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impact of lower level long-term interest rates in the current period relative to prior period on certain freestanding interest rate derivative hedges; and</w:t>
      </w:r>
    </w:p>
    <w:p>
      <w:pPr>
        <w:spacing w:after="0" w:line="62" w:lineRule="exact"/>
        <w:rPr>
          <w:rFonts w:ascii="Arial" w:cs="Arial" w:eastAsia="Arial" w:hAnsi="Arial"/>
          <w:sz w:val="18"/>
          <w:szCs w:val="18"/>
          <w:color w:val="auto"/>
        </w:rPr>
      </w:pPr>
    </w:p>
    <w:p>
      <w:pPr>
        <w:ind w:left="1940" w:hanging="312"/>
        <w:spacing w:after="0"/>
        <w:tabs>
          <w:tab w:leader="none" w:pos="19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impact of the U.S. dollar strengthening against the British Pound and Euro in the current period on foreign currency swaps.</w:t>
      </w:r>
    </w:p>
    <w:p>
      <w:pPr>
        <w:spacing w:after="0" w:line="140"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20% compared to 15% in the prior period. Our effective tax rate differs from the statutory tax rate primarily due to the impacts of the dividends received deductions and tax credits.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Reconciliation of Net Income (Loss) to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(loss) to adjusted earnings was as follows:</w:t>
      </w:r>
    </w:p>
    <w:p>
      <w:pPr>
        <w:spacing w:after="0" w:line="217"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13335</wp:posOffset>
            </wp:positionV>
            <wp:extent cx="16973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7"/>
                <w:szCs w:val="17"/>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840" w:type="dxa"/>
            <w:vAlign w:val="bottom"/>
          </w:tcPr>
          <w:p>
            <w:pPr>
              <w:spacing w:after="0"/>
              <w:rPr>
                <w:sz w:val="19"/>
                <w:szCs w:val="19"/>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w:t>
            </w:r>
          </w:p>
        </w:tc>
      </w:tr>
      <w:tr>
        <w:trPr>
          <w:trHeight w:val="33"/>
        </w:trPr>
        <w:tc>
          <w:tcPr>
            <w:tcW w:w="8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r>
      <w:tr>
        <w:trPr>
          <w:trHeight w:val="224"/>
        </w:trPr>
        <w:tc>
          <w:tcPr>
            <w:tcW w:w="856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840" w:type="dxa"/>
            <w:vAlign w:val="bottom"/>
          </w:tcPr>
          <w:p>
            <w:pPr>
              <w:spacing w:after="0"/>
              <w:rPr>
                <w:sz w:val="19"/>
                <w:szCs w:val="19"/>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w:t>
            </w:r>
          </w:p>
        </w:tc>
      </w:tr>
      <w:tr>
        <w:trPr>
          <w:trHeight w:val="33"/>
        </w:trPr>
        <w:tc>
          <w:tcPr>
            <w:tcW w:w="8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840" w:type="dxa"/>
            <w:vAlign w:val="bottom"/>
          </w:tcPr>
          <w:p>
            <w:pPr>
              <w:spacing w:after="0"/>
              <w:rPr>
                <w:sz w:val="19"/>
                <w:szCs w:val="19"/>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w:t>
            </w:r>
          </w:p>
        </w:tc>
      </w:tr>
      <w:tr>
        <w:trPr>
          <w:trHeight w:val="33"/>
        </w:trPr>
        <w:tc>
          <w:tcPr>
            <w:tcW w:w="8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40" w:type="dxa"/>
            <w:vAlign w:val="bottom"/>
          </w:tcPr>
          <w:p>
            <w:pPr>
              <w:spacing w:after="0"/>
              <w:rPr>
                <w:sz w:val="19"/>
                <w:szCs w:val="19"/>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33"/>
        </w:trPr>
        <w:tc>
          <w:tcPr>
            <w:tcW w:w="8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for the Six Months Ended June 30, 2020 and 2019 —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were as follows:</w:t>
      </w:r>
    </w:p>
    <w:p>
      <w:pPr>
        <w:spacing w:after="0" w:line="163"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13335</wp:posOffset>
            </wp:positionV>
            <wp:extent cx="16973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7"/>
                <w:szCs w:val="17"/>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860" w:type="dxa"/>
            <w:vAlign w:val="bottom"/>
          </w:tcPr>
          <w:p>
            <w:pPr>
              <w:spacing w:after="0"/>
              <w:rPr>
                <w:sz w:val="19"/>
                <w:szCs w:val="19"/>
                <w:color w:val="auto"/>
              </w:rPr>
            </w:pP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30</w:t>
            </w:r>
          </w:p>
        </w:tc>
      </w:tr>
      <w:tr>
        <w:trPr>
          <w:trHeight w:val="33"/>
        </w:trPr>
        <w:tc>
          <w:tcPr>
            <w:tcW w:w="8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8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Amortization of DAC</w:t>
            </w:r>
          </w:p>
        </w:tc>
        <w:tc>
          <w:tcPr>
            <w:tcW w:w="860" w:type="dxa"/>
            <w:vAlign w:val="bottom"/>
          </w:tcPr>
          <w:p>
            <w:pPr>
              <w:spacing w:after="0"/>
              <w:rPr>
                <w:sz w:val="19"/>
                <w:szCs w:val="19"/>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8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r>
      <w:tr>
        <w:trPr>
          <w:trHeight w:val="217"/>
        </w:trPr>
        <w:tc>
          <w:tcPr>
            <w:tcW w:w="856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w:t>
            </w:r>
          </w:p>
        </w:tc>
      </w:tr>
      <w:tr>
        <w:trPr>
          <w:trHeight w:val="33"/>
        </w:trPr>
        <w:tc>
          <w:tcPr>
            <w:tcW w:w="8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47"/>
        </w:trPr>
        <w:tc>
          <w:tcPr>
            <w:tcW w:w="856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r>
      <w:tr>
        <w:trPr>
          <w:trHeight w:val="23"/>
        </w:trPr>
        <w:tc>
          <w:tcPr>
            <w:tcW w:w="85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2020 Compared with the Six Months Ended June 30,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$15 million, an increase of $33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favorable impacts were:</w:t>
      </w:r>
    </w:p>
    <w:p>
      <w:pPr>
        <w:spacing w:after="0" w:line="117"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driven by lower paid claims, net of reinsurance;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higher net investment spread reflecting higher average invested assets resulting from positive net flows in the general account; and</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lower amortization of DAC as the decline in equity market performance resulted in a favorable change in our Shield Annuities business.</w:t>
      </w:r>
    </w:p>
    <w:p>
      <w:pPr>
        <w:spacing w:after="0" w:line="140"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12% compared to 25% in the prior period. Our effective tax rate differs from the statutory tax rate primarily due to the impacts of the dividends received deductions and tax credits.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BHNY.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5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impact on earnings, capitalization and statutory capital and greater volatility of our results due to guarantees within certain of our products;</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and/or policies applicable to us, including changes in the accounting for long-duration contracts;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adverse impact to liabilities for policyholder claims as a result of extreme mortality events;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financial strength ratings, e-business capabilities and name recognition;</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policies and procedures in managing risk;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potential material negative tax impact of potential future tax legislation that could make some of our products less attractive to consumers;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2019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June 30, 2020.</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as a subsidiary of Brighthouse Financial, Inc. We consider these in aggregate to be material changes in our internal control over financial reporting.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June 30, 2020 that have materially affected, or are reasonably likely to materially affect, these internal controls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10 of the Notes to the Interim Condensed Financial Statements. There have been no new material legal proceedings and no material developments in legal proceedings previously disclosed in the 2019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discuss in this report, in the 2019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the 2019 Annual Report, as amended or supplemented by our First Quarter Form 10-Q.</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(Note Regarding Reliance on Statements in Our Contracts: </w:t>
      </w:r>
      <w:r>
        <w:rPr>
          <w:rFonts w:ascii="Arial" w:cs="Arial" w:eastAsia="Arial" w:hAnsi="Arial"/>
          <w:sz w:val="17"/>
          <w:szCs w:val="17"/>
          <w:i w:val="1"/>
          <w:iCs w:val="1"/>
          <w:color w:val="auto"/>
        </w:rPr>
        <w:t>In reviewing the agreements included as exhibits herein, please remember that they are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included to provide you with information regarding their terms and are not intended to provide any other factual or disclosure information about Brighthouse Life Insurance Company of NY, its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of NY may be found elsewhere herein and Brighthouse Life Insurance Company of NY’s other public filings, which are available without charge through the U.S. Securities and Exchange Commission website at www.sec.gov.)</w:t>
      </w:r>
    </w:p>
    <w:p>
      <w:pPr>
        <w:sectPr>
          <w:pgSz w:w="11900" w:h="16838" w:orient="portrait"/>
          <w:cols w:equalWidth="0" w:num="1">
            <w:col w:w="11240"/>
          </w:cols>
          <w:pgMar w:left="320" w:top="126" w:right="339" w:bottom="1440" w:gutter="0" w:footer="0" w:header="0"/>
        </w:sectPr>
      </w:pPr>
    </w:p>
    <w:p>
      <w:pPr>
        <w:spacing w:after="0" w:line="292"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969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32.2**</w:t>
      </w:r>
    </w:p>
    <w:p>
      <w:pPr>
        <w:spacing w:after="0" w:line="63"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1036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30" w:lineRule="exact"/>
        <w:rPr>
          <w:sz w:val="20"/>
          <w:szCs w:val="20"/>
          <w:color w:val="auto"/>
        </w:rPr>
      </w:pPr>
    </w:p>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Certification of Chief Financial Officer pursuant to Section 906 of the Sarbanes-Oxley Act of 2002.</w:t>
        </w:r>
      </w:hyperlink>
    </w:p>
    <w:p>
      <w:pPr>
        <w:spacing w:after="0" w:line="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8" w:lineRule="exact"/>
        <w:rPr>
          <w:sz w:val="20"/>
          <w:szCs w:val="20"/>
          <w:color w:val="auto"/>
        </w:rPr>
      </w:pPr>
    </w:p>
    <w:p>
      <w:pPr>
        <w:sectPr>
          <w:pgSz w:w="11900" w:h="16838" w:orient="portrait"/>
          <w:cols w:equalWidth="0" w:num="2">
            <w:col w:w="980" w:space="660"/>
            <w:col w:w="9600"/>
          </w:cols>
          <w:pgMar w:left="320" w:top="126" w:right="3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4"/>
              </w:rPr>
              <w:t>101.SCH*</w:t>
            </w:r>
          </w:p>
        </w:tc>
        <w:tc>
          <w:tcPr>
            <w:tcW w:w="952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8"/>
              </w:rPr>
              <w:t>101.CAL*</w:t>
            </w:r>
          </w:p>
        </w:tc>
        <w:tc>
          <w:tcPr>
            <w:tcW w:w="952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9"/>
              </w:rPr>
              <w:t>101.LAB*</w:t>
            </w:r>
          </w:p>
        </w:tc>
        <w:tc>
          <w:tcPr>
            <w:tcW w:w="952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101.PRE*</w:t>
            </w:r>
          </w:p>
        </w:tc>
        <w:tc>
          <w:tcPr>
            <w:tcW w:w="952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4"/>
              </w:rPr>
              <w:t>101.DEF*</w:t>
            </w:r>
          </w:p>
        </w:tc>
        <w:tc>
          <w:tcPr>
            <w:tcW w:w="952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8"/>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7"/>
              </w:rPr>
              <w:t>104*</w:t>
            </w:r>
          </w:p>
        </w:tc>
        <w:tc>
          <w:tcPr>
            <w:tcW w:w="9520" w:type="dxa"/>
            <w:vAlign w:val="bottom"/>
          </w:tcPr>
          <w:p>
            <w:pPr>
              <w:ind w:left="300"/>
              <w:spacing w:after="0"/>
              <w:rPr>
                <w:sz w:val="20"/>
                <w:szCs w:val="20"/>
                <w:color w:val="auto"/>
              </w:rPr>
            </w:pPr>
            <w:r>
              <w:rPr>
                <w:rFonts w:ascii="Arial" w:cs="Arial" w:eastAsia="Arial" w:hAnsi="Arial"/>
                <w:sz w:val="18"/>
                <w:szCs w:val="18"/>
                <w:color w:val="auto"/>
                <w:w w:val="90"/>
              </w:rPr>
              <w:t>The cover page of Brighthouse Life Insurance Company of NY’s Quarterly Report on Form 10-Q for the quarter ended June 30,</w:t>
            </w:r>
          </w:p>
        </w:tc>
      </w:tr>
    </w:tbl>
    <w:p>
      <w:pPr>
        <w:ind w:left="1640"/>
        <w:spacing w:after="0"/>
        <w:rPr>
          <w:sz w:val="20"/>
          <w:szCs w:val="20"/>
          <w:color w:val="auto"/>
        </w:rPr>
      </w:pPr>
      <w:r>
        <w:rPr>
          <w:rFonts w:ascii="Arial" w:cs="Arial" w:eastAsia="Arial" w:hAnsi="Arial"/>
          <w:sz w:val="18"/>
          <w:szCs w:val="18"/>
          <w:color w:val="auto"/>
        </w:rPr>
        <w:t>2020, formatted in Inline XBRL (included within the Exhibit 101 attachments).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BRIGHTHOUSE LIFE INSURANCE COMPANY OF NY</w:t>
      </w:r>
    </w:p>
    <w:p>
      <w:pPr>
        <w:spacing w:after="0" w:line="333" w:lineRule="exact"/>
        <w:rPr>
          <w:sz w:val="20"/>
          <w:szCs w:val="20"/>
          <w:color w:val="auto"/>
        </w:rPr>
      </w:pPr>
    </w:p>
    <w:tbl>
      <w:tblPr>
        <w:tblLayout w:type="fixed"/>
        <w:tblInd w:w="222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220"/>
              <w:spacing w:after="0"/>
              <w:rPr>
                <w:sz w:val="20"/>
                <w:szCs w:val="20"/>
                <w:color w:val="auto"/>
              </w:rPr>
            </w:pPr>
            <w:r>
              <w:rPr>
                <w:rFonts w:ascii="Arial" w:cs="Arial" w:eastAsia="Arial" w:hAnsi="Arial"/>
                <w:sz w:val="18"/>
                <w:szCs w:val="18"/>
                <w:color w:val="auto"/>
              </w:rPr>
              <w:t>/s/ Lynn A. Dumais</w:t>
            </w:r>
          </w:p>
        </w:tc>
      </w:tr>
      <w:tr>
        <w:trPr>
          <w:trHeight w:val="27"/>
        </w:trPr>
        <w:tc>
          <w:tcPr>
            <w:tcW w:w="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5680" w:type="dxa"/>
            <w:vAlign w:val="bottom"/>
          </w:tcPr>
          <w:p>
            <w:pPr>
              <w:ind w:left="220"/>
              <w:spacing w:after="0"/>
              <w:rPr>
                <w:sz w:val="20"/>
                <w:szCs w:val="20"/>
                <w:color w:val="auto"/>
              </w:rPr>
            </w:pPr>
            <w:r>
              <w:rPr>
                <w:rFonts w:ascii="Arial" w:cs="Arial" w:eastAsia="Arial" w:hAnsi="Arial"/>
                <w:sz w:val="18"/>
                <w:szCs w:val="18"/>
                <w:color w:val="auto"/>
              </w:rPr>
              <w:t>Lynn A. Dumais</w:t>
            </w:r>
          </w:p>
        </w:tc>
      </w:tr>
      <w:tr>
        <w:trPr>
          <w:trHeight w:val="270"/>
        </w:trPr>
        <w:tc>
          <w:tcPr>
            <w:tcW w:w="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5680" w:type="dxa"/>
            <w:vAlign w:val="bottom"/>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August 11,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6"/>
          <w:szCs w:val="16"/>
          <w:u w:val="single" w:color="auto"/>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Conor E. Murphy, certify that:</w:t>
      </w:r>
    </w:p>
    <w:p>
      <w:pPr>
        <w:spacing w:after="0" w:line="100"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Brighthouse Life Insurance Company of NY;</w:t>
      </w:r>
    </w:p>
    <w:p>
      <w:pPr>
        <w:spacing w:after="0" w:line="86" w:lineRule="exact"/>
        <w:rPr>
          <w:rFonts w:ascii="Arial" w:cs="Arial" w:eastAsia="Arial" w:hAnsi="Arial"/>
          <w:sz w:val="16"/>
          <w:szCs w:val="16"/>
          <w:color w:val="auto"/>
        </w:rPr>
      </w:pPr>
    </w:p>
    <w:p>
      <w:pPr>
        <w:ind w:right="320" w:firstLine="8"/>
        <w:spacing w:after="0" w:line="275" w:lineRule="auto"/>
        <w:tabs>
          <w:tab w:leader="none" w:pos="1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right="320" w:firstLine="8"/>
        <w:spacing w:after="0" w:line="275" w:lineRule="auto"/>
        <w:tabs>
          <w:tab w:leader="none" w:pos="1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6"/>
          <w:szCs w:val="16"/>
          <w:color w:val="auto"/>
        </w:rPr>
      </w:pPr>
    </w:p>
    <w:p>
      <w:pPr>
        <w:ind w:left="180" w:hanging="172"/>
        <w:spacing w:after="0"/>
        <w:tabs>
          <w:tab w:leader="none" w:pos="1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72" w:lineRule="exact"/>
        <w:rPr>
          <w:rFonts w:ascii="Arial" w:cs="Arial" w:eastAsia="Arial" w:hAnsi="Arial"/>
          <w:sz w:val="15"/>
          <w:szCs w:val="15"/>
          <w:color w:val="auto"/>
        </w:rPr>
      </w:pPr>
    </w:p>
    <w:p>
      <w:pPr>
        <w:ind w:left="980" w:right="100" w:hanging="486"/>
        <w:spacing w:after="0" w:line="261"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6"/>
          <w:szCs w:val="16"/>
          <w:color w:val="auto"/>
        </w:rPr>
      </w:pPr>
    </w:p>
    <w:p>
      <w:pPr>
        <w:ind w:left="980" w:right="240" w:hanging="486"/>
        <w:spacing w:after="0" w:line="261"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6"/>
          <w:szCs w:val="16"/>
          <w:color w:val="auto"/>
        </w:rPr>
      </w:pPr>
    </w:p>
    <w:p>
      <w:pPr>
        <w:ind w:left="980" w:right="240" w:hanging="486"/>
        <w:spacing w:after="0" w:line="275"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ind w:left="980" w:right="180" w:hanging="486"/>
        <w:spacing w:after="0" w:line="261"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6"/>
          <w:szCs w:val="16"/>
          <w:color w:val="auto"/>
        </w:rPr>
      </w:pPr>
    </w:p>
    <w:p>
      <w:pPr>
        <w:ind w:right="60" w:firstLine="8"/>
        <w:spacing w:after="0" w:line="275" w:lineRule="auto"/>
        <w:tabs>
          <w:tab w:leader="none" w:pos="1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6"/>
          <w:szCs w:val="16"/>
          <w:color w:val="auto"/>
        </w:rPr>
      </w:pPr>
    </w:p>
    <w:p>
      <w:pPr>
        <w:ind w:left="980" w:right="420" w:hanging="486"/>
        <w:spacing w:after="0" w:line="275"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6"/>
          <w:szCs w:val="16"/>
          <w:color w:val="auto"/>
        </w:rPr>
      </w:pPr>
    </w:p>
    <w:p>
      <w:pPr>
        <w:ind w:left="980" w:hanging="486"/>
        <w:spacing w:after="0" w:line="275"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2020</w:t>
      </w:r>
    </w:p>
    <w:p>
      <w:pPr>
        <w:spacing w:after="0" w:line="167"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66"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Conor E. Murphy</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Chairman of the Board, President and Chief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6"/>
          <w:szCs w:val="16"/>
          <w:u w:val="single" w:color="auto"/>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Lynn A. Dumais, certify that:</w:t>
      </w:r>
    </w:p>
    <w:p>
      <w:pPr>
        <w:spacing w:after="0" w:line="10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Brighthouse Life Insurance Company of NY;</w:t>
      </w:r>
    </w:p>
    <w:p>
      <w:pPr>
        <w:spacing w:after="0" w:line="86" w:lineRule="exact"/>
        <w:rPr>
          <w:rFonts w:ascii="Arial" w:cs="Arial" w:eastAsia="Arial" w:hAnsi="Arial"/>
          <w:sz w:val="16"/>
          <w:szCs w:val="16"/>
          <w:color w:val="auto"/>
        </w:rPr>
      </w:pPr>
    </w:p>
    <w:p>
      <w:pPr>
        <w:ind w:right="320" w:firstLine="8"/>
        <w:spacing w:after="0" w:line="275" w:lineRule="auto"/>
        <w:tabs>
          <w:tab w:leader="none" w:pos="1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right="320" w:firstLine="8"/>
        <w:spacing w:after="0" w:line="275" w:lineRule="auto"/>
        <w:tabs>
          <w:tab w:leader="none" w:pos="1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6"/>
          <w:szCs w:val="16"/>
          <w:color w:val="auto"/>
        </w:rPr>
      </w:pPr>
    </w:p>
    <w:p>
      <w:pPr>
        <w:ind w:left="180" w:hanging="172"/>
        <w:spacing w:after="0"/>
        <w:tabs>
          <w:tab w:leader="none" w:pos="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72" w:lineRule="exact"/>
        <w:rPr>
          <w:rFonts w:ascii="Arial" w:cs="Arial" w:eastAsia="Arial" w:hAnsi="Arial"/>
          <w:sz w:val="15"/>
          <w:szCs w:val="15"/>
          <w:color w:val="auto"/>
        </w:rPr>
      </w:pPr>
    </w:p>
    <w:p>
      <w:pPr>
        <w:ind w:left="980" w:right="100" w:hanging="486"/>
        <w:spacing w:after="0" w:line="261"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6"/>
          <w:szCs w:val="16"/>
          <w:color w:val="auto"/>
        </w:rPr>
      </w:pPr>
    </w:p>
    <w:p>
      <w:pPr>
        <w:ind w:left="980" w:right="240" w:hanging="486"/>
        <w:spacing w:after="0" w:line="261"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6"/>
          <w:szCs w:val="16"/>
          <w:color w:val="auto"/>
        </w:rPr>
      </w:pPr>
    </w:p>
    <w:p>
      <w:pPr>
        <w:ind w:left="980" w:right="240" w:hanging="486"/>
        <w:spacing w:after="0" w:line="275"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ind w:left="980" w:right="180" w:hanging="486"/>
        <w:spacing w:after="0" w:line="261"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6"/>
          <w:szCs w:val="16"/>
          <w:color w:val="auto"/>
        </w:rPr>
      </w:pPr>
    </w:p>
    <w:p>
      <w:pPr>
        <w:ind w:right="60" w:firstLine="8"/>
        <w:spacing w:after="0" w:line="275" w:lineRule="auto"/>
        <w:tabs>
          <w:tab w:leader="none" w:pos="1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6"/>
          <w:szCs w:val="16"/>
          <w:color w:val="auto"/>
        </w:rPr>
      </w:pPr>
    </w:p>
    <w:p>
      <w:pPr>
        <w:ind w:left="980" w:right="420" w:hanging="486"/>
        <w:spacing w:after="0" w:line="275"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6"/>
          <w:szCs w:val="16"/>
          <w:color w:val="auto"/>
        </w:rPr>
      </w:pPr>
    </w:p>
    <w:p>
      <w:pPr>
        <w:ind w:left="980" w:hanging="486"/>
        <w:spacing w:after="0" w:line="275"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2020</w:t>
      </w:r>
    </w:p>
    <w:p>
      <w:pPr>
        <w:spacing w:after="0" w:line="167"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/s/ Lynn A. Dumais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34925</wp:posOffset>
            </wp:positionV>
            <wp:extent cx="25031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66" w:lineRule="exact"/>
        <w:rPr>
          <w:sz w:val="20"/>
          <w:szCs w:val="20"/>
          <w:color w:val="auto"/>
        </w:rPr>
      </w:pPr>
    </w:p>
    <w:p>
      <w:pPr>
        <w:ind w:left="8740"/>
        <w:spacing w:after="0"/>
        <w:rPr>
          <w:sz w:val="20"/>
          <w:szCs w:val="20"/>
          <w:color w:val="auto"/>
        </w:rPr>
      </w:pPr>
      <w:r>
        <w:rPr>
          <w:rFonts w:ascii="Arial" w:cs="Arial" w:eastAsia="Arial" w:hAnsi="Arial"/>
          <w:sz w:val="16"/>
          <w:szCs w:val="16"/>
          <w:color w:val="auto"/>
        </w:rPr>
        <w:t>Lynn A. Dumais</w:t>
      </w:r>
    </w:p>
    <w:p>
      <w:pPr>
        <w:spacing w:after="0" w:line="19"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Vice President and Chief Financial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CERTIFICATION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 SECTION 1350 OF CHAPTER 63 OF TITLE 18 OF THE UNITED STATES CODE</w:t>
      </w:r>
    </w:p>
    <w:p>
      <w:pPr>
        <w:spacing w:after="0" w:line="200" w:lineRule="exact"/>
        <w:rPr>
          <w:sz w:val="20"/>
          <w:szCs w:val="20"/>
          <w:color w:val="auto"/>
        </w:rPr>
      </w:pPr>
    </w:p>
    <w:p>
      <w:pPr>
        <w:spacing w:after="0" w:line="237"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5"/>
          <w:szCs w:val="15"/>
          <w:color w:val="auto"/>
        </w:rPr>
        <w:t>I, Conor E. Murphy, certify that, to my knowledge, (i) Brighthouse Life Insurance Company of NY’s Quarterly Report on Form 10-Q for the quarter ended June 30, 2020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 of 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2020</w:t>
      </w:r>
    </w:p>
    <w:p>
      <w:pPr>
        <w:spacing w:after="0" w:line="200" w:lineRule="exact"/>
        <w:rPr>
          <w:sz w:val="20"/>
          <w:szCs w:val="20"/>
          <w:color w:val="auto"/>
        </w:rPr>
      </w:pPr>
    </w:p>
    <w:p>
      <w:pPr>
        <w:spacing w:after="0" w:line="332"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34925</wp:posOffset>
            </wp:positionV>
            <wp:extent cx="36429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66"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Conor E. Murphy</w:t>
      </w:r>
    </w:p>
    <w:p>
      <w:pPr>
        <w:spacing w:after="0" w:line="19"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200" w:lineRule="exact"/>
        <w:rPr>
          <w:sz w:val="20"/>
          <w:szCs w:val="20"/>
          <w:color w:val="auto"/>
        </w:rPr>
      </w:pPr>
    </w:p>
    <w:p>
      <w:pPr>
        <w:spacing w:after="0" w:line="399"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6"/>
          <w:szCs w:val="16"/>
          <w:color w:val="auto"/>
        </w:rPr>
        <w:t>This certification accompanies this Quarterly Report on Form 10-Q pursuant to Section 906 of the Sarbanes-Oxley Act of 2002 and shall not, except to the extent required by such Act, be deemed filed by Brighthouse Life Insurance Company of 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CERTIFICATION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 SECTION 1350 OF CHAPTER 63 OF TITLE 18 OF THE UNITED STATES CODE</w:t>
      </w: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 Lynn A. Dumais, certify that, to my knowledge, (i) Brighthouse Life Insurance Company of NY’s Quarterly Report on Form 10-Q for the quarter ended June 30,</w:t>
      </w:r>
    </w:p>
    <w:p>
      <w:pPr>
        <w:spacing w:after="0" w:line="34" w:lineRule="exact"/>
        <w:rPr>
          <w:sz w:val="20"/>
          <w:szCs w:val="20"/>
          <w:color w:val="auto"/>
        </w:rPr>
      </w:pPr>
    </w:p>
    <w:p>
      <w:pPr>
        <w:ind w:right="320"/>
        <w:spacing w:after="0" w:line="304" w:lineRule="auto"/>
        <w:rPr>
          <w:sz w:val="20"/>
          <w:szCs w:val="20"/>
          <w:color w:val="auto"/>
        </w:rPr>
      </w:pPr>
      <w:r>
        <w:rPr>
          <w:rFonts w:ascii="Arial" w:cs="Arial" w:eastAsia="Arial" w:hAnsi="Arial"/>
          <w:sz w:val="15"/>
          <w:szCs w:val="15"/>
          <w:color w:val="auto"/>
        </w:rPr>
        <w:t>2020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 of 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2020</w:t>
      </w:r>
    </w:p>
    <w:p>
      <w:pPr>
        <w:spacing w:after="0" w:line="200" w:lineRule="exact"/>
        <w:rPr>
          <w:sz w:val="20"/>
          <w:szCs w:val="20"/>
          <w:color w:val="auto"/>
        </w:rPr>
      </w:pPr>
    </w:p>
    <w:p>
      <w:pPr>
        <w:spacing w:after="0" w:line="332"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/s/ Lynn A. Dumais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34925</wp:posOffset>
            </wp:positionV>
            <wp:extent cx="2888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66"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Lynn A. Dumais</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firstLine="321"/>
        <w:spacing w:after="0" w:line="256" w:lineRule="auto"/>
        <w:rPr>
          <w:sz w:val="20"/>
          <w:szCs w:val="20"/>
          <w:color w:val="auto"/>
        </w:rPr>
      </w:pPr>
      <w:r>
        <w:rPr>
          <w:rFonts w:ascii="Arial" w:cs="Arial" w:eastAsia="Arial" w:hAnsi="Arial"/>
          <w:sz w:val="16"/>
          <w:szCs w:val="16"/>
          <w:color w:val="auto"/>
        </w:rPr>
        <w:t>This certification accompanies this Quarterly Report on Form 10-Q pursuant to Section 906 of the Sarbanes-Oxley Act of 2002 and shall not, except to the extent required by such Act, be deemed filed by Brighthouse Life Insurance Company of 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4"/>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7"/>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lvl w:ilvl="1">
      <w:lvlJc w:val="left"/>
      <w:lvlText w:val="◦"/>
      <w:numFmt w:val="bullet"/>
      <w:start w:val="1"/>
    </w:lvl>
  </w:abstractNum>
  <w:abstractNum w:abstractNumId="24">
    <w:nsid w:val="54E49EB4"/>
    <w:multiLevelType w:val="hybridMultilevel"/>
    <w:lvl w:ilvl="0">
      <w:lvlJc w:val="left"/>
      <w:lvlText w:val="•"/>
      <w:numFmt w:val="bullet"/>
      <w:start w:val="1"/>
    </w:lvl>
    <w:lvl w:ilvl="1">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2020-08-11T15:07:24Z</dcterms:created>
  <dcterms:modified xsi:type="dcterms:W3CDTF">2020-08-11T15:07:24Z</dcterms:modified>
</cp:coreProperties>
</file>