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60"/>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20" w:after="283"/>
        <w:ind w:left="0" w:right="0" w:firstLine="360"/>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 to 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001-37905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drawing>
          <wp:inline distT="0" distB="0" distL="0" distR="0">
            <wp:extent cx="23336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33400"/>
                    </a:xfrm>
                    <a:prstGeom prst="rect">
                      <a:avLst/>
                    </a:prstGeom>
                  </pic:spPr>
                </pic:pic>
              </a:graphicData>
            </a:graphic>
          </wp:inline>
        </w:drawing>
      </w:r>
      <w:bookmarkStart w:id="0" w:name="i-1"/>
      <w:bookmarkEnd w:id="0"/>
    </w:p>
    <w:p>
      <w:pPr>
        <w:pStyle w:val="TextBody"/>
        <w:bidi w:val="0"/>
        <w:spacing w:lineRule="auto" w:line="216" w:before="120" w:after="283"/>
        <w:jc w:val="center"/>
        <w:rPr>
          <w:rFonts w:ascii="Times New Roman;serif" w:hAnsi="Times New Roman;serif"/>
          <w:b/>
          <w:color w:val="000000"/>
          <w:sz w:val="36"/>
        </w:rPr>
      </w:pPr>
      <w:r>
        <w:rPr>
          <w:rFonts w:ascii="Times New Roman;serif" w:hAnsi="Times New Roman;serif"/>
          <w:b/>
          <w:color w:val="000000"/>
          <w:sz w:val="36"/>
        </w:rPr>
        <w:t xml:space="preserve">Brighthouse Financial, Inc. </w:t>
      </w:r>
    </w:p>
    <w:p>
      <w:pPr>
        <w:pStyle w:val="TextBody"/>
        <w:bidi w:val="0"/>
        <w:spacing w:lineRule="auto" w:line="288" w:before="60" w:after="283"/>
        <w:ind w:left="0" w:right="0" w:firstLine="36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7836" w:type="dxa"/>
        <w:jc w:val="center"/>
        <w:tblInd w:w="0" w:type="dxa"/>
        <w:tblLayout w:type="fixed"/>
        <w:tblCellMar>
          <w:top w:w="28" w:type="dxa"/>
          <w:left w:w="28" w:type="dxa"/>
          <w:bottom w:w="28" w:type="dxa"/>
          <w:right w:w="28" w:type="dxa"/>
        </w:tblCellMar>
      </w:tblPr>
      <w:tblGrid>
        <w:gridCol w:w="606"/>
        <w:gridCol w:w="533"/>
        <w:gridCol w:w="533"/>
        <w:gridCol w:w="533"/>
        <w:gridCol w:w="533"/>
        <w:gridCol w:w="533"/>
        <w:gridCol w:w="533"/>
        <w:gridCol w:w="533"/>
        <w:gridCol w:w="547"/>
        <w:gridCol w:w="109"/>
        <w:gridCol w:w="109"/>
        <w:gridCol w:w="109"/>
        <w:gridCol w:w="765"/>
        <w:gridCol w:w="765"/>
        <w:gridCol w:w="1095"/>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81-3846992</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8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28277</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20" w:after="283"/>
        <w:ind w:left="0" w:right="0" w:firstLine="360"/>
        <w:jc w:val="center"/>
        <w:rPr>
          <w:rFonts w:ascii="Times New Roman;serif" w:hAnsi="Times New Roman;serif"/>
          <w:b/>
          <w:color w:val="000000"/>
          <w:sz w:val="16"/>
        </w:rPr>
      </w:pPr>
      <w:r>
        <w:rPr>
          <w:rFonts w:ascii="Times New Roman;serif" w:hAnsi="Times New Roman;serif"/>
          <w:b/>
          <w:color w:val="000000"/>
          <w:sz w:val="16"/>
        </w:rPr>
        <w:t xml:space="preserve">(980) 365-7100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94"/>
        <w:gridCol w:w="2112"/>
        <w:gridCol w:w="370"/>
        <w:gridCol w:w="370"/>
        <w:gridCol w:w="372"/>
        <w:gridCol w:w="714"/>
        <w:gridCol w:w="714"/>
        <w:gridCol w:w="1017"/>
      </w:tblGrid>
      <w:tr>
        <w:trPr/>
        <w:tc>
          <w:tcPr>
            <w:tcW w:w="244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Title of each class</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Trading symbol(s)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u w:val="single"/>
              </w:rPr>
            </w:pPr>
            <w:r>
              <w:rPr>
                <w:rFonts w:ascii="Times New Roman;serif" w:hAnsi="Times New Roman;serif"/>
                <w:b w:val="false"/>
                <w:color w:val="000000"/>
                <w:sz w:val="14"/>
                <w:u w:val="single"/>
              </w:rPr>
              <w:t>Name of each exchange on which registered</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$0.01 per share</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6.600% Non-Cumulative Preferred Stock, Series A</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BHFAP</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6.750% Non-Cumulative Preferred Stock, Series B</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BHFAO</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5.375% Non-Cumulative Preferred Stock, Series C</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Depositary Shares, each representing a 1/1,000th interest in a share of 4.625% Non-Cumulative Preferred Stock, Series D</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BHFAM</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6.250% Junior Subordinated Debentures due 2058</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BHFAL</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 Nasdaq Stock Market LLC</w:t>
            </w:r>
          </w:p>
        </w:tc>
      </w:tr>
    </w:tbl>
    <w:p>
      <w:pPr>
        <w:pStyle w:val="TextBody"/>
        <w:bidi w:val="0"/>
        <w:spacing w:lineRule="auto" w:line="288" w:before="20" w:after="283"/>
        <w:jc w:val="both"/>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4"/>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4"/>
        </w:rPr>
        <w:t>No </w:t>
      </w:r>
      <w:r>
        <w:rPr>
          <w:color w:val="000000"/>
        </w:rPr>
        <w:t>☐</w:t>
      </w:r>
    </w:p>
    <w:p>
      <w:pPr>
        <w:pStyle w:val="TextBody"/>
        <w:bidi w:val="0"/>
        <w:spacing w:lineRule="auto" w:line="288" w:before="120" w:after="283"/>
        <w:jc w:val="both"/>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14"/>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4"/>
        </w:rPr>
        <w:t>No </w:t>
      </w:r>
      <w:r>
        <w:rPr>
          <w:color w:val="000000"/>
        </w:rPr>
        <w:t>☑</w:t>
      </w:r>
    </w:p>
    <w:p>
      <w:pPr>
        <w:pStyle w:val="TextBody"/>
        <w:bidi w:val="0"/>
        <w:spacing w:lineRule="auto" w:line="288" w:before="120" w:after="283"/>
        <w:jc w:val="both"/>
        <w:rPr>
          <w:rFonts w:ascii="Times New Roman;serif" w:hAnsi="Times New Roman;serif"/>
          <w:b w:val="false"/>
          <w:color w:val="000000"/>
          <w:sz w:val="14"/>
        </w:rPr>
      </w:pPr>
      <w:r>
        <w:rPr>
          <w:rFonts w:ascii="Times New Roman;serif" w:hAnsi="Times New Roman;serif"/>
          <w:b w:val="false"/>
          <w:color w:val="000000"/>
          <w:sz w:val="14"/>
        </w:rPr>
        <w:t>As of May 1, 2026, 57,445,785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160"/>
        <w:ind w:left="0" w:right="0" w:firstLine="36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89"/>
        <w:gridCol w:w="340"/>
        <w:gridCol w:w="340"/>
        <w:gridCol w:w="3136"/>
        <w:gridCol w:w="2726"/>
        <w:gridCol w:w="2700"/>
        <w:gridCol w:w="167"/>
        <w:gridCol w:w="167"/>
        <w:gridCol w:w="240"/>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10">
              <w:r>
                <w:rPr>
                  <w:rStyle w:val="InternetLink"/>
                  <w:rFonts w:ascii="Times New Roman;serif" w:hAnsi="Times New Roman;serif"/>
                  <w:b/>
                  <w:color w:val="0000FF"/>
                  <w:sz w:val="20"/>
                  <w:u w:val="singl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(at March 31, 2026 (Unaudited) and December 31, 2025 and for the Three Months Ended March 31, 2026 and 2025 (Unaudited)):</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3cdcf02a87745ecaa05794f6780e69e_16">
              <w:r>
                <w:rPr>
                  <w:rStyle w:val="InternetLink"/>
                  <w:rFonts w:ascii="Times New Roman;serif" w:hAnsi="Times New Roman;serif"/>
                  <w:b w:val="false"/>
                  <w:color w:val="0000FF"/>
                  <w:sz w:val="20"/>
                  <w:u w:val="single"/>
                </w:rPr>
                <w:t>Interim Condensed Consolidated Balance Sheets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16">
              <w:r>
                <w:rPr>
                  <w:rStyle w:val="InternetLink"/>
                  <w:rFonts w:ascii="Times New Roman;serif" w:hAnsi="Times New Roman;serif"/>
                  <w:b w:val="false"/>
                  <w:color w:val="0000FF"/>
                  <w:sz w:val="20"/>
                  <w:u w:val="single"/>
                </w:rPr>
                <w:t>2</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3cdcf02a87745ecaa05794f6780e69e_19">
              <w:r>
                <w:rPr>
                  <w:rStyle w:val="InternetLink"/>
                  <w:rFonts w:ascii="Times New Roman;serif" w:hAnsi="Times New Roman;serif"/>
                  <w:b w:val="false"/>
                  <w:color w:val="0000FF"/>
                  <w:sz w:val="20"/>
                  <w:u w:val="single"/>
                </w:rPr>
                <w:t>Interim Condensed Consolidated Statements of Operations and Comprehensive Income (Loss)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19">
              <w:r>
                <w:rPr>
                  <w:rStyle w:val="InternetLink"/>
                  <w:rFonts w:ascii="Times New Roman;serif" w:hAnsi="Times New Roman;serif"/>
                  <w:b w:val="false"/>
                  <w:color w:val="0000FF"/>
                  <w:sz w:val="20"/>
                  <w:u w:val="single"/>
                </w:rPr>
                <w:t>3</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3cdcf02a87745ecaa05794f6780e69e_25">
              <w:r>
                <w:rPr>
                  <w:rStyle w:val="InternetLink"/>
                  <w:rFonts w:ascii="Times New Roman;serif" w:hAnsi="Times New Roman;serif"/>
                  <w:b w:val="false"/>
                  <w:color w:val="0000FF"/>
                  <w:sz w:val="20"/>
                  <w:u w:val="single"/>
                </w:rPr>
                <w:t>Interim Condensed Consolidated Statements of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5">
              <w:r>
                <w:rPr>
                  <w:rStyle w:val="InternetLink"/>
                  <w:rFonts w:ascii="Times New Roman;serif" w:hAnsi="Times New Roman;serif"/>
                  <w:b w:val="false"/>
                  <w:color w:val="0000FF"/>
                  <w:sz w:val="20"/>
                  <w:u w:val="single"/>
                </w:rPr>
                <w:t>4</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3cdcf02a87745ecaa05794f6780e69e_28">
              <w:r>
                <w:rPr>
                  <w:rStyle w:val="InternetLink"/>
                  <w:rFonts w:ascii="Times New Roman;serif" w:hAnsi="Times New Roman;serif"/>
                  <w:b w:val="false"/>
                  <w:color w:val="0000FF"/>
                  <w:sz w:val="20"/>
                  <w:u w:val="single"/>
                </w:rPr>
                <w:t>Interim Condensed Consolidated Statements of Cash Flows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8">
              <w:r>
                <w:rPr>
                  <w:rStyle w:val="InternetLink"/>
                  <w:rFonts w:ascii="Times New Roman;serif" w:hAnsi="Times New Roman;serif"/>
                  <w:b w:val="false"/>
                  <w:color w:val="0000FF"/>
                  <w:sz w:val="20"/>
                  <w:u w:val="single"/>
                </w:rPr>
                <w:t>5</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63cdcf02a87745ecaa05794f6780e69e_31">
              <w:r>
                <w:rPr>
                  <w:rStyle w:val="InternetLink"/>
                  <w:rFonts w:ascii="Times New Roman;serif" w:hAnsi="Times New Roman;serif"/>
                  <w:b w:val="false"/>
                  <w:color w:val="0000FF"/>
                  <w:sz w:val="20"/>
                  <w:u w:val="single"/>
                </w:rPr>
                <w:t>Notes to the Interim 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31">
              <w:r>
                <w:rPr>
                  <w:rStyle w:val="InternetLink"/>
                  <w:rFonts w:ascii="Times New Roman;serif" w:hAnsi="Times New Roman;serif"/>
                  <w:b w:val="false"/>
                  <w:color w:val="0000FF"/>
                  <w:sz w:val="20"/>
                  <w:u w:val="single"/>
                </w:rPr>
                <w:t>Note 1 — Business, Basis of Presentation and Summary of Significant Accounting Policies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31">
              <w:r>
                <w:rPr>
                  <w:rStyle w:val="InternetLink"/>
                  <w:rFonts w:ascii="Times New Roman;serif" w:hAnsi="Times New Roman;serif"/>
                  <w:b w:val="false"/>
                  <w:color w:val="0000FF"/>
                  <w:sz w:val="20"/>
                  <w:u w:val="single"/>
                </w:rPr>
                <w:t>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37">
              <w:r>
                <w:rPr>
                  <w:rStyle w:val="InternetLink"/>
                  <w:rFonts w:ascii="Times New Roman;serif" w:hAnsi="Times New Roman;serif"/>
                  <w:b w:val="false"/>
                  <w:color w:val="0000FF"/>
                  <w:sz w:val="20"/>
                  <w:u w:val="single"/>
                </w:rPr>
                <w:t>Note 2 — Segment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37">
              <w:r>
                <w:rPr>
                  <w:rStyle w:val="InternetLink"/>
                  <w:rFonts w:ascii="Times New Roman;serif" w:hAnsi="Times New Roman;serif"/>
                  <w:b w:val="false"/>
                  <w:color w:val="0000FF"/>
                  <w:sz w:val="20"/>
                  <w:u w:val="single"/>
                </w:rPr>
                <w:t>7</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64">
              <w:r>
                <w:rPr>
                  <w:rStyle w:val="InternetLink"/>
                  <w:rFonts w:ascii="Times New Roman;serif" w:hAnsi="Times New Roman;serif"/>
                  <w:b w:val="false"/>
                  <w:color w:val="0000FF"/>
                  <w:sz w:val="20"/>
                  <w:u w:val="single"/>
                </w:rPr>
                <w:t>Note 3 — Insurance Liabilities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64">
              <w:r>
                <w:rPr>
                  <w:rStyle w:val="InternetLink"/>
                  <w:rFonts w:ascii="Times New Roman;serif" w:hAnsi="Times New Roman;serif"/>
                  <w:b w:val="false"/>
                  <w:color w:val="0000FF"/>
                  <w:sz w:val="20"/>
                  <w:u w:val="single"/>
                </w:rPr>
                <w:t>12</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85">
              <w:r>
                <w:rPr>
                  <w:rStyle w:val="InternetLink"/>
                  <w:rFonts w:ascii="Times New Roman;serif" w:hAnsi="Times New Roman;serif"/>
                  <w:b w:val="false"/>
                  <w:color w:val="0000FF"/>
                  <w:sz w:val="20"/>
                  <w:u w:val="single"/>
                </w:rPr>
                <w:t>Note 4 — Market Risk Benefits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85">
              <w:r>
                <w:rPr>
                  <w:rStyle w:val="InternetLink"/>
                  <w:rFonts w:ascii="Times New Roman;serif" w:hAnsi="Times New Roman;serif"/>
                  <w:b w:val="false"/>
                  <w:color w:val="0000FF"/>
                  <w:sz w:val="20"/>
                  <w:u w:val="single"/>
                </w:rPr>
                <w:t>16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94">
              <w:r>
                <w:rPr>
                  <w:rStyle w:val="InternetLink"/>
                  <w:rFonts w:ascii="Times New Roman;serif" w:hAnsi="Times New Roman;serif"/>
                  <w:b w:val="false"/>
                  <w:color w:val="0000FF"/>
                  <w:sz w:val="20"/>
                  <w:u w:val="single"/>
                </w:rPr>
                <w:t>Note 5 — Separate Accounts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94">
              <w:r>
                <w:rPr>
                  <w:rStyle w:val="InternetLink"/>
                  <w:rFonts w:ascii="Times New Roman;serif" w:hAnsi="Times New Roman;serif"/>
                  <w:b w:val="false"/>
                  <w:color w:val="0000FF"/>
                  <w:sz w:val="20"/>
                  <w:u w:val="single"/>
                </w:rPr>
                <w:t>17</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103">
              <w:r>
                <w:rPr>
                  <w:rStyle w:val="InternetLink"/>
                  <w:rFonts w:ascii="Times New Roman;serif" w:hAnsi="Times New Roman;serif"/>
                  <w:b w:val="false"/>
                  <w:color w:val="0000FF"/>
                  <w:sz w:val="20"/>
                  <w:u w:val="single"/>
                </w:rPr>
                <w:t>Note 6 — Deferred Policy Acquisition Costs, Value of Business Acquired and Other Intangibles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103">
              <w:r>
                <w:rPr>
                  <w:rStyle w:val="InternetLink"/>
                  <w:rFonts w:ascii="Times New Roman;serif" w:hAnsi="Times New Roman;serif"/>
                  <w:b w:val="false"/>
                  <w:color w:val="0000FF"/>
                  <w:sz w:val="20"/>
                  <w:u w:val="single"/>
                </w:rPr>
                <w:t>19</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115">
              <w:r>
                <w:rPr>
                  <w:rStyle w:val="InternetLink"/>
                  <w:rFonts w:ascii="Times New Roman;serif" w:hAnsi="Times New Roman;serif"/>
                  <w:b w:val="false"/>
                  <w:color w:val="0000FF"/>
                  <w:sz w:val="20"/>
                  <w:u w:val="single"/>
                </w:rPr>
                <w:t>Note 7 — Investments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115">
              <w:r>
                <w:rPr>
                  <w:rStyle w:val="InternetLink"/>
                  <w:rFonts w:ascii="Times New Roman;serif" w:hAnsi="Times New Roman;serif"/>
                  <w:b w:val="false"/>
                  <w:color w:val="0000FF"/>
                  <w:sz w:val="20"/>
                  <w:u w:val="single"/>
                </w:rPr>
                <w:t>20</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178">
              <w:r>
                <w:rPr>
                  <w:rStyle w:val="InternetLink"/>
                  <w:rFonts w:ascii="Times New Roman;serif" w:hAnsi="Times New Roman;serif"/>
                  <w:b w:val="false"/>
                  <w:color w:val="0000FF"/>
                  <w:sz w:val="20"/>
                  <w:u w:val="single"/>
                </w:rPr>
                <w:t>Note 8 — Derivatives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178">
              <w:r>
                <w:rPr>
                  <w:rStyle w:val="InternetLink"/>
                  <w:rFonts w:ascii="Times New Roman;serif" w:hAnsi="Times New Roman;serif"/>
                  <w:b w:val="false"/>
                  <w:color w:val="0000FF"/>
                  <w:sz w:val="20"/>
                  <w:u w:val="single"/>
                </w:rPr>
                <w:t>33</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205">
              <w:r>
                <w:rPr>
                  <w:rStyle w:val="InternetLink"/>
                  <w:rFonts w:ascii="Times New Roman;serif" w:hAnsi="Times New Roman;serif"/>
                  <w:b w:val="false"/>
                  <w:color w:val="0000FF"/>
                  <w:sz w:val="20"/>
                  <w:u w:val="single"/>
                </w:rPr>
                <w:t>Note 9 — Fair Value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05">
              <w:r>
                <w:rPr>
                  <w:rStyle w:val="InternetLink"/>
                  <w:rFonts w:ascii="Times New Roman;serif" w:hAnsi="Times New Roman;serif"/>
                  <w:b w:val="false"/>
                  <w:color w:val="0000FF"/>
                  <w:sz w:val="20"/>
                  <w:u w:val="single"/>
                </w:rPr>
                <w:t>38</w:t>
              </w:r>
            </w:hyperlink>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856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241">
              <w:r>
                <w:rPr>
                  <w:rStyle w:val="InternetLink"/>
                  <w:rFonts w:ascii="Times New Roman;serif" w:hAnsi="Times New Roman;serif"/>
                  <w:b w:val="false"/>
                  <w:color w:val="0000FF"/>
                  <w:sz w:val="20"/>
                  <w:u w:val="single"/>
                </w:rPr>
                <w:t>Note 10 —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41">
              <w:r>
                <w:rPr>
                  <w:rStyle w:val="InternetLink"/>
                  <w:rFonts w:ascii="Times New Roman;serif" w:hAnsi="Times New Roman;serif"/>
                  <w:b w:val="false"/>
                  <w:color w:val="0000FF"/>
                  <w:sz w:val="20"/>
                  <w:u w:val="single"/>
                </w:rPr>
                <w:t>47</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259">
              <w:r>
                <w:rPr>
                  <w:rStyle w:val="InternetLink"/>
                  <w:rFonts w:ascii="Times New Roman;serif" w:hAnsi="Times New Roman;serif"/>
                  <w:b w:val="false"/>
                  <w:color w:val="0000FF"/>
                  <w:sz w:val="20"/>
                  <w:u w:val="single"/>
                </w:rPr>
                <w:t>Note 11 — Other Revenues and Other Expenses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59">
              <w:r>
                <w:rPr>
                  <w:rStyle w:val="InternetLink"/>
                  <w:rFonts w:ascii="Times New Roman;serif" w:hAnsi="Times New Roman;serif"/>
                  <w:b w:val="false"/>
                  <w:color w:val="0000FF"/>
                  <w:sz w:val="20"/>
                  <w:u w:val="single"/>
                </w:rPr>
                <w:t>50</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268">
              <w:r>
                <w:rPr>
                  <w:rStyle w:val="InternetLink"/>
                  <w:rFonts w:ascii="Times New Roman;serif" w:hAnsi="Times New Roman;serif"/>
                  <w:b w:val="false"/>
                  <w:color w:val="0000FF"/>
                  <w:sz w:val="20"/>
                  <w:u w:val="single"/>
                </w:rPr>
                <w:t>Note 12 — Earnings Per Common Share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68">
              <w:r>
                <w:rPr>
                  <w:rStyle w:val="InternetLink"/>
                  <w:rFonts w:ascii="Times New Roman;serif" w:hAnsi="Times New Roman;serif"/>
                  <w:b w:val="false"/>
                  <w:color w:val="0000FF"/>
                  <w:sz w:val="20"/>
                  <w:u w:val="single"/>
                </w:rPr>
                <w:t>51</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3cdcf02a87745ecaa05794f6780e69e_274">
              <w:r>
                <w:rPr>
                  <w:rStyle w:val="InternetLink"/>
                  <w:rFonts w:ascii="Times New Roman;serif" w:hAnsi="Times New Roman;serif"/>
                  <w:b w:val="false"/>
                  <w:color w:val="0000FF"/>
                  <w:sz w:val="20"/>
                  <w:u w:val="single"/>
                </w:rPr>
                <w:t>Note 13 — Contingencies, Commitments and Guarantees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74">
              <w:r>
                <w:rPr>
                  <w:rStyle w:val="InternetLink"/>
                  <w:rFonts w:ascii="Times New Roman;serif" w:hAnsi="Times New Roman;serif"/>
                  <w:b w:val="false"/>
                  <w:color w:val="0000FF"/>
                  <w:sz w:val="20"/>
                  <w:u w:val="single"/>
                </w:rPr>
                <w:t>51</w:t>
              </w:r>
            </w:hyperlink>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856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292">
              <w:r>
                <w:rPr>
                  <w:rStyle w:val="InternetLink"/>
                  <w:rFonts w:ascii="Times New Roman;serif" w:hAnsi="Times New Roman;serif"/>
                  <w:b/>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63cdcf02a87745ecaa05794f6780e69e_292">
              <w:r>
                <w:rPr>
                  <w:rStyle w:val="InternetLink"/>
                  <w:rFonts w:ascii="Times New Roman;serif" w:hAnsi="Times New Roman;serif"/>
                  <w:b w:val="false"/>
                  <w:color w:val="0000FF"/>
                  <w:sz w:val="20"/>
                  <w:u w:val="single"/>
                </w:rPr>
                <w:t>55</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41">
              <w:r>
                <w:rPr>
                  <w:rStyle w:val="InternetLink"/>
                  <w:rFonts w:ascii="Times New Roman;serif" w:hAnsi="Times New Roman;serif"/>
                  <w:b/>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63cdcf02a87745ecaa05794f6780e69e_541">
              <w:r>
                <w:rPr>
                  <w:rStyle w:val="InternetLink"/>
                  <w:rFonts w:ascii="Times New Roman;serif" w:hAnsi="Times New Roman;serif"/>
                  <w:b w:val="false"/>
                  <w:color w:val="0000FF"/>
                  <w:sz w:val="20"/>
                  <w:u w:val="single"/>
                </w:rPr>
                <w:t>90</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47">
              <w:r>
                <w:rPr>
                  <w:rStyle w:val="InternetLink"/>
                  <w:rFonts w:ascii="Times New Roman;serif" w:hAnsi="Times New Roman;serif"/>
                  <w:b/>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547">
              <w:r>
                <w:rPr>
                  <w:rStyle w:val="InternetLink"/>
                  <w:rFonts w:ascii="Times New Roman;serif" w:hAnsi="Times New Roman;serif"/>
                  <w:b w:val="false"/>
                  <w:color w:val="0000FF"/>
                  <w:sz w:val="20"/>
                  <w:u w:val="single"/>
                </w:rPr>
                <w:t>91</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50">
              <w:r>
                <w:rPr>
                  <w:rStyle w:val="InternetLink"/>
                  <w:rFonts w:ascii="Times New Roman;serif" w:hAnsi="Times New Roman;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53">
              <w:r>
                <w:rPr>
                  <w:rStyle w:val="InternetLink"/>
                  <w:rFonts w:ascii="Times New Roman;serif" w:hAnsi="Times New Roman;serif"/>
                  <w:b/>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63cdcf02a87745ecaa05794f6780e69e_553">
              <w:r>
                <w:rPr>
                  <w:rStyle w:val="InternetLink"/>
                  <w:rFonts w:ascii="Times New Roman;serif" w:hAnsi="Times New Roman;serif"/>
                  <w:b w:val="false"/>
                  <w:color w:val="0000FF"/>
                  <w:sz w:val="20"/>
                  <w:u w:val="single"/>
                </w:rPr>
                <w:t>91</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56">
              <w:r>
                <w:rPr>
                  <w:rStyle w:val="InternetLink"/>
                  <w:rFonts w:ascii="Times New Roman;serif" w:hAnsi="Times New Roman;serif"/>
                  <w:b/>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63cdcf02a87745ecaa05794f6780e69e_556">
              <w:r>
                <w:rPr>
                  <w:rStyle w:val="InternetLink"/>
                  <w:rFonts w:ascii="Times New Roman;serif" w:hAnsi="Times New Roman;serif"/>
                  <w:b w:val="false"/>
                  <w:color w:val="0000FF"/>
                  <w:sz w:val="20"/>
                  <w:u w:val="single"/>
                </w:rPr>
                <w:t>91</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Item 2.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62">
              <w:r>
                <w:rPr>
                  <w:rStyle w:val="InternetLink"/>
                  <w:rFonts w:ascii="Times New Roman;serif" w:hAnsi="Times New Roman;serif"/>
                  <w:b/>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562">
              <w:r>
                <w:rPr>
                  <w:rStyle w:val="InternetLink"/>
                  <w:rFonts w:ascii="Times New Roman;serif" w:hAnsi="Times New Roman;serif"/>
                  <w:b w:val="false"/>
                  <w:color w:val="0000FF"/>
                  <w:sz w:val="20"/>
                  <w:u w:val="single"/>
                </w:rPr>
                <w:t>91</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Item 5.</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74">
              <w:r>
                <w:rPr>
                  <w:rStyle w:val="InternetLink"/>
                  <w:rFonts w:ascii="Times New Roman;serif" w:hAnsi="Times New Roman;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63cdcf02a87745ecaa05794f6780e69e_574">
              <w:r>
                <w:rPr>
                  <w:rStyle w:val="InternetLink"/>
                  <w:rFonts w:ascii="Times New Roman;serif" w:hAnsi="Times New Roman;serif"/>
                  <w:b w:val="false"/>
                  <w:color w:val="0000FF"/>
                  <w:sz w:val="20"/>
                  <w:u w:val="single"/>
                </w:rPr>
                <w:t>91</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86">
              <w:r>
                <w:rPr>
                  <w:rStyle w:val="InternetLink"/>
                  <w:rFonts w:ascii="Times New Roman;serif" w:hAnsi="Times New Roman;serif"/>
                  <w:b/>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586">
              <w:r>
                <w:rPr>
                  <w:rStyle w:val="InternetLink"/>
                  <w:rFonts w:ascii="Times New Roman;serif" w:hAnsi="Times New Roman;serif"/>
                  <w:b w:val="false"/>
                  <w:color w:val="0000FF"/>
                  <w:sz w:val="20"/>
                  <w:u w:val="single"/>
                </w:rPr>
                <w:t>92</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89">
              <w:r>
                <w:rPr>
                  <w:rStyle w:val="InternetLink"/>
                  <w:rFonts w:ascii="Times New Roman;serif" w:hAnsi="Times New Roman;serif"/>
                  <w:b/>
                  <w:color w:val="0000FF"/>
                  <w:sz w:val="20"/>
                  <w:u w:val="single"/>
                </w:rPr>
                <w:t>Signature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589">
              <w:r>
                <w:rPr>
                  <w:rStyle w:val="InternetLink"/>
                  <w:rFonts w:ascii="Times New Roman;serif" w:hAnsi="Times New Roman;serif"/>
                  <w:b w:val="false"/>
                  <w:color w:val="0000FF"/>
                  <w:sz w:val="20"/>
                  <w:u w:val="singl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0" w:after="0"/>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Interim 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 (Unaudited) and December 31,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529"/>
        <w:gridCol w:w="2233"/>
        <w:gridCol w:w="2262"/>
        <w:gridCol w:w="109"/>
        <w:gridCol w:w="109"/>
        <w:gridCol w:w="109"/>
        <w:gridCol w:w="215"/>
        <w:gridCol w:w="807"/>
        <w:gridCol w:w="119"/>
        <w:gridCol w:w="109"/>
        <w:gridCol w:w="109"/>
        <w:gridCol w:w="109"/>
        <w:gridCol w:w="217"/>
        <w:gridCol w:w="819"/>
        <w:gridCol w:w="350"/>
      </w:tblGrid>
      <w:tr>
        <w:trPr/>
        <w:tc>
          <w:tcPr>
            <w:tcW w:w="2529"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Fixed maturity securities available-for-sale, at estimated fair value (amortized cost: $87,206 and $87,046, respectively; allowance for credit losses of $65 and $64,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82,014 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Trading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Mortgage loans (net of allowance for credit losses of $210 and $200,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principally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invested assets, principally at estimated fair value (net of allowance for credit losses of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120,629 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Premiums, reinsurance and other receivables (net of allowance for credit losses of $3 and $3,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policy acquisition costs and value of business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85,528 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241,800 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policy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87,952 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risk benefit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policy-related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for collateral under securities loaned and other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85,528 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234,967 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Contingencies, Commitments and Guarantees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Brighthouse Financial, Inc.’s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par value $0.01 per share; $1,753 aggregate liquidation preference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 1,000,000,000 shares authorized; 124,536,688 and 124,081,967 shares issued, respectively; 57,437,709 and 57,171,217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67,098,979 and 66,910,750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Brighthouse Financial, Inc.’s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236,803 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241,800 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Interim 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628"/>
        <w:gridCol w:w="2301"/>
        <w:gridCol w:w="2329"/>
        <w:gridCol w:w="109"/>
        <w:gridCol w:w="109"/>
        <w:gridCol w:w="147"/>
        <w:gridCol w:w="147"/>
        <w:gridCol w:w="265"/>
        <w:gridCol w:w="852"/>
        <w:gridCol w:w="147"/>
        <w:gridCol w:w="109"/>
        <w:gridCol w:w="109"/>
        <w:gridCol w:w="109"/>
        <w:gridCol w:w="196"/>
        <w:gridCol w:w="490"/>
        <w:gridCol w:w="158"/>
      </w:tblGrid>
      <w:tr>
        <w:trPr/>
        <w:tc>
          <w:tcPr>
            <w:tcW w:w="2628"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71" w:type="dxa"/>
            <w:gridSpan w:val="6"/>
            <w:tcBorders/>
          </w:tcPr>
          <w:p>
            <w:pPr>
              <w:pStyle w:val="TableContents"/>
              <w:bidi w:val="0"/>
              <w:spacing w:before="0" w:after="283"/>
              <w:jc w:val="left"/>
              <w:rPr>
                <w:sz w:val="4"/>
                <w:szCs w:val="4"/>
              </w:rPr>
            </w:pPr>
            <w:r>
              <w:rPr>
                <w:sz w:val="4"/>
                <w:szCs w:val="4"/>
              </w:rPr>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$0 and $0,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policy acquisition costs and value of business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85"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109"/>
        <w:gridCol w:w="196"/>
        <w:gridCol w:w="631"/>
        <w:gridCol w:w="109"/>
        <w:gridCol w:w="109"/>
        <w:gridCol w:w="109"/>
        <w:gridCol w:w="109"/>
        <w:gridCol w:w="196"/>
        <w:gridCol w:w="54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Interim 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11423"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(4,156)</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tbl>
      <w:tblPr>
        <w:tblW w:w="11423"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(4,670)</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Interim 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8903" w:type="dxa"/>
        <w:jc w:val="center"/>
        <w:tblInd w:w="0" w:type="dxa"/>
        <w:tblLayout w:type="fixed"/>
        <w:tblCellMar>
          <w:top w:w="28" w:type="dxa"/>
          <w:left w:w="28" w:type="dxa"/>
          <w:bottom w:w="28" w:type="dxa"/>
          <w:right w:w="28" w:type="dxa"/>
        </w:tblCellMar>
      </w:tblPr>
      <w:tblGrid>
        <w:gridCol w:w="2462"/>
        <w:gridCol w:w="2169"/>
        <w:gridCol w:w="2178"/>
        <w:gridCol w:w="196"/>
        <w:gridCol w:w="556"/>
        <w:gridCol w:w="109"/>
        <w:gridCol w:w="109"/>
        <w:gridCol w:w="109"/>
        <w:gridCol w:w="109"/>
        <w:gridCol w:w="196"/>
        <w:gridCol w:w="556"/>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maturities and repayments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received in connection with freestanding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in connection with freestanding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other invested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Policyholder account balances: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payables for collateral under securities loaned and other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repaid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acquired in connection with 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element on certain derivative instruments and other derivative related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paid (received) for: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Financial, Inc. (“BHF” and, together with its subsidiaries, “Brighthouse Financial” or the “Company”) is one of the largest providers of annuity and life insurance products in the U.S. through multiple independent distribution channels and marketing arrangements with a diverse network of distribution partners. The Company is organized into the following reportable segments: Annuities; Life; Run-off; and 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Consolidation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2025 consolidated balance sheet data was derived from audited consolidated financial statements included in Brighthouse Financial, Inc.’s Annual Report on Form 10-K for the year ended December 31, 2025 (the “2025 Annual Report”), which include all disclosures required by GAAP. Therefore, these interim condensed consolidated financial statements should be read in conjunction with the consolidated financial statements of the Company included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Adoption of New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Basis of Presentation and Summary of Significant Accounting Policies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2025, the FASB issued new guidance on financial instrument credit losses (ASU 2025-08, </w:t>
      </w:r>
      <w:r>
        <w:rPr>
          <w:rFonts w:ascii="Times New Roman;serif" w:hAnsi="Times New Roman;serif"/>
          <w:b w:val="false"/>
          <w:i/>
          <w:color w:val="000000"/>
          <w:sz w:val="20"/>
        </w:rPr>
        <w:t>Financial Instruments – Credit Losses (Topic 326): Purchased Loans</w:t>
      </w:r>
      <w:r>
        <w:rPr>
          <w:rFonts w:ascii="Times New Roman;serif" w:hAnsi="Times New Roman;serif"/>
          <w:b w:val="false"/>
          <w:color w:val="000000"/>
          <w:sz w:val="20"/>
        </w:rPr>
        <w:t>). Under current GAAP, an allowance for credit losses for assets purchased with credit deterioration is established by grossing up the amortized cost basis of the asset, while the allowance for all other loans is recognized separately as an expense. The ASU expands the population of purchased financial instruments subject to the gross-up approach for determining the allowance for credit losses to include all purchased loans that meet certain criteria. The ASU is effective for annual and interim periods starting with fiscal year 2027. This ASU is required to be adopted prospectively for all loans acquired on or after the effective date. The Company is currently evaluating the impact of this guidance on its financial statements.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new guidance on income statement expense disclosures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Disaggregation of Income Statement Expenses). This ASU requires 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Run-off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Corporate &amp; Other segment consists of activities related to funding agreements associated with the Company’s institutional spread margin business, excess capital not allocated to the other segments, interest expense related to the Company’s outstanding debt, and preferred stock dividends, as well as expenses associated with certain legal proceedings and income tax audit issues. The Corporate &amp; Other segment also includes long-term care business reinsured through 100% quota share reinsurance agreements.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Measure and Segment Accounting Policies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the Company’s primary businesses by excluding the impact of market volatility, which could distort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market risk benefits (“MRB”);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investment and capitalization targets are based on statutory oriented risk principles and metrics. Segment invested assets backing liabilities are based on net statutory liabilities plus excess capital, with excess capital determined based on statutory risk-based capital metrics. Assets in excess of those allocated to the Annuities, Life and Run-off segments, if any, are held in the Corporate &amp; Other segment. Segment net investment income reflects the performance of each segment’s respective invested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Company’s segments, including significant segment expenses, and reconciliations to Net income (loss) available to common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30"/>
        <w:gridCol w:w="1258"/>
        <w:gridCol w:w="1272"/>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42"/>
        <w:gridCol w:w="736"/>
        <w:gridCol w:w="190"/>
        <w:gridCol w:w="109"/>
        <w:gridCol w:w="109"/>
        <w:gridCol w:w="109"/>
        <w:gridCol w:w="196"/>
        <w:gridCol w:w="556"/>
        <w:gridCol w:w="157"/>
      </w:tblGrid>
      <w:tr>
        <w:trPr/>
        <w:tc>
          <w:tcPr>
            <w:tcW w:w="16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08"/>
        <w:gridCol w:w="1234"/>
        <w:gridCol w:w="1247"/>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340"/>
        <w:gridCol w:w="730"/>
        <w:gridCol w:w="189"/>
        <w:gridCol w:w="109"/>
        <w:gridCol w:w="109"/>
        <w:gridCol w:w="109"/>
        <w:gridCol w:w="196"/>
        <w:gridCol w:w="556"/>
        <w:gridCol w:w="157"/>
      </w:tblGrid>
      <w:tr>
        <w:trPr/>
        <w:tc>
          <w:tcPr>
            <w:tcW w:w="16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2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(1)For each reportable segment, certain revenues are excluded from adjusted earnings (loss), including net investment gains (losses), investment gains (losses) on trading securities and net derivative gains (losses), excluding Investment Hedge Adjustments.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expenses include corporate expense allocations directly attributable to each of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assets by segment were as follows at:</w:t>
      </w:r>
    </w:p>
    <w:tbl>
      <w:tblPr>
        <w:tblW w:w="4913" w:type="dxa"/>
        <w:jc w:val="left"/>
        <w:tblInd w:w="0" w:type="dxa"/>
        <w:tblLayout w:type="fixed"/>
        <w:tblCellMar>
          <w:top w:w="28" w:type="dxa"/>
          <w:left w:w="28" w:type="dxa"/>
          <w:bottom w:w="28" w:type="dxa"/>
          <w:right w:w="28" w:type="dxa"/>
        </w:tblCellMar>
      </w:tblPr>
      <w:tblGrid>
        <w:gridCol w:w="581"/>
        <w:gridCol w:w="436"/>
        <w:gridCol w:w="437"/>
        <w:gridCol w:w="109"/>
        <w:gridCol w:w="109"/>
        <w:gridCol w:w="109"/>
        <w:gridCol w:w="237"/>
        <w:gridCol w:w="891"/>
        <w:gridCol w:w="132"/>
        <w:gridCol w:w="109"/>
        <w:gridCol w:w="109"/>
        <w:gridCol w:w="109"/>
        <w:gridCol w:w="279"/>
        <w:gridCol w:w="1047"/>
        <w:gridCol w:w="219"/>
      </w:tblGrid>
      <w:tr>
        <w:trPr/>
        <w:tc>
          <w:tcPr>
            <w:tcW w:w="5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163,357 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166,867 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27,146 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24,711 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25,455 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21,589 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21,984 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236,803 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241,800 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Segment Information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premiums, universal life and investment-type product policy fees and other revenues by major product group were as follows:</w:t>
      </w:r>
    </w:p>
    <w:tbl>
      <w:tblPr>
        <w:tblW w:w="4814" w:type="dxa"/>
        <w:jc w:val="left"/>
        <w:tblInd w:w="0" w:type="dxa"/>
        <w:tblLayout w:type="fixed"/>
        <w:tblCellMar>
          <w:top w:w="28" w:type="dxa"/>
          <w:left w:w="28" w:type="dxa"/>
          <w:bottom w:w="28" w:type="dxa"/>
          <w:right w:w="28" w:type="dxa"/>
        </w:tblCellMar>
      </w:tblPr>
      <w:tblGrid>
        <w:gridCol w:w="645"/>
        <w:gridCol w:w="568"/>
        <w:gridCol w:w="572"/>
        <w:gridCol w:w="109"/>
        <w:gridCol w:w="109"/>
        <w:gridCol w:w="109"/>
        <w:gridCol w:w="185"/>
        <w:gridCol w:w="185"/>
        <w:gridCol w:w="333"/>
        <w:gridCol w:w="716"/>
        <w:gridCol w:w="185"/>
        <w:gridCol w:w="109"/>
        <w:gridCol w:w="109"/>
        <w:gridCol w:w="109"/>
        <w:gridCol w:w="196"/>
        <w:gridCol w:w="421"/>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Annuity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Life insurance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premiums, universal life and investment-type product policy fees and other revenues originated in the 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derived from any individual customer did not exceed 10% of premiums, universal life and investment-type product policy fees and other revenues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Liability for 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liability for future policy benefits (“LFPB”) for non-participating traditional and limited-payment contracts was as follows:</w:t>
      </w:r>
    </w:p>
    <w:tbl>
      <w:tblPr>
        <w:tblW w:w="10205" w:type="dxa"/>
        <w:jc w:val="left"/>
        <w:tblInd w:w="0" w:type="dxa"/>
        <w:tblLayout w:type="fixed"/>
        <w:tblCellMar>
          <w:top w:w="28" w:type="dxa"/>
          <w:left w:w="28" w:type="dxa"/>
          <w:bottom w:w="28" w:type="dxa"/>
          <w:right w:w="28" w:type="dxa"/>
        </w:tblCellMar>
      </w:tblPr>
      <w:tblGrid>
        <w:gridCol w:w="910"/>
        <w:gridCol w:w="343"/>
        <w:gridCol w:w="344"/>
        <w:gridCol w:w="109"/>
        <w:gridCol w:w="109"/>
        <w:gridCol w:w="109"/>
        <w:gridCol w:w="208"/>
        <w:gridCol w:w="591"/>
        <w:gridCol w:w="256"/>
        <w:gridCol w:w="109"/>
        <w:gridCol w:w="109"/>
        <w:gridCol w:w="109"/>
        <w:gridCol w:w="197"/>
        <w:gridCol w:w="561"/>
        <w:gridCol w:w="243"/>
        <w:gridCol w:w="109"/>
        <w:gridCol w:w="109"/>
        <w:gridCol w:w="109"/>
        <w:gridCol w:w="224"/>
        <w:gridCol w:w="740"/>
        <w:gridCol w:w="276"/>
        <w:gridCol w:w="109"/>
        <w:gridCol w:w="109"/>
        <w:gridCol w:w="109"/>
        <w:gridCol w:w="208"/>
        <w:gridCol w:w="591"/>
        <w:gridCol w:w="256"/>
        <w:gridCol w:w="109"/>
        <w:gridCol w:w="109"/>
        <w:gridCol w:w="109"/>
        <w:gridCol w:w="197"/>
        <w:gridCol w:w="561"/>
        <w:gridCol w:w="243"/>
        <w:gridCol w:w="109"/>
        <w:gridCol w:w="109"/>
        <w:gridCol w:w="109"/>
        <w:gridCol w:w="223"/>
        <w:gridCol w:w="736"/>
        <w:gridCol w:w="335"/>
      </w:tblGrid>
      <w:tr>
        <w:trPr/>
        <w:tc>
          <w:tcPr>
            <w:tcW w:w="9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Structured Settlement and Pension Risk Transfer Annuities</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actual variances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Adjusted beginning of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premiums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Ending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changes in discount rate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2,389 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Present value of expected future policy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3,985 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6,118 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4,272 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6,635 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4,161 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6,876 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model refinements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actual variances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Adjusted beginning of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5,470 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4,263 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6,634 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4,140 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6,857 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Ending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5,415 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4,299 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6,570 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6,798 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Effect of changes in discount rate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4,893 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5,836 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3,810 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6,109 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liability for future policy benefits,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5,836 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2,524 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3,810 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6,109 </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liability for future policy benefits, after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3,921 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5,782 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3,779 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6,050 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duration of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11.5 years</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Weighted-average interest accretion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Current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Gross premiums or assessments recognized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gross premiums,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4,983 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5,780 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gross premiums, 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benefit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6,041 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12,684 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8,022 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5,859 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13,173 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Expected future benefit payments, 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5,415 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4,299 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6,798 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additional insurance liabilities for universal life-type contracts with secondary guarantees was as follows:</w:t>
      </w:r>
    </w:p>
    <w:tbl>
      <w:tblPr>
        <w:tblW w:w="7575" w:type="dxa"/>
        <w:jc w:val="center"/>
        <w:tblInd w:w="0" w:type="dxa"/>
        <w:tblLayout w:type="fixed"/>
        <w:tblCellMar>
          <w:top w:w="28" w:type="dxa"/>
          <w:left w:w="28" w:type="dxa"/>
          <w:bottom w:w="28" w:type="dxa"/>
          <w:right w:w="28" w:type="dxa"/>
        </w:tblCellMar>
      </w:tblPr>
      <w:tblGrid>
        <w:gridCol w:w="1727"/>
        <w:gridCol w:w="1515"/>
        <w:gridCol w:w="1528"/>
        <w:gridCol w:w="109"/>
        <w:gridCol w:w="109"/>
        <w:gridCol w:w="109"/>
        <w:gridCol w:w="196"/>
        <w:gridCol w:w="646"/>
        <w:gridCol w:w="256"/>
        <w:gridCol w:w="109"/>
        <w:gridCol w:w="109"/>
        <w:gridCol w:w="109"/>
        <w:gridCol w:w="196"/>
        <w:gridCol w:w="556"/>
        <w:gridCol w:w="301"/>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assessments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additional liability, after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duration of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6.6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accretion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Gross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340" w:type="dxa"/>
        <w:jc w:val="center"/>
        <w:tblInd w:w="0" w:type="dxa"/>
        <w:tblLayout w:type="fixed"/>
        <w:tblCellMar>
          <w:top w:w="28" w:type="dxa"/>
          <w:left w:w="28" w:type="dxa"/>
          <w:bottom w:w="28" w:type="dxa"/>
          <w:right w:w="28" w:type="dxa"/>
        </w:tblCellMar>
      </w:tblPr>
      <w:tblGrid>
        <w:gridCol w:w="1715"/>
        <w:gridCol w:w="1507"/>
        <w:gridCol w:w="1517"/>
        <w:gridCol w:w="109"/>
        <w:gridCol w:w="109"/>
        <w:gridCol w:w="109"/>
        <w:gridCol w:w="196"/>
        <w:gridCol w:w="646"/>
        <w:gridCol w:w="109"/>
        <w:gridCol w:w="109"/>
        <w:gridCol w:w="109"/>
        <w:gridCol w:w="109"/>
        <w:gridCol w:w="196"/>
        <w:gridCol w:w="6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ULSG liabilities, including liability for profits followed by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Participating whole 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profit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fully reinsured individual long-term care insurance. See Note 2.</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March 31, 2026 and 2025, and 38% and 39% of gross traditional life insurance premiums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Policyholder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policyholder account balances was as follows:</w:t>
      </w:r>
    </w:p>
    <w:tbl>
      <w:tblPr>
        <w:tblW w:w="10205" w:type="dxa"/>
        <w:jc w:val="left"/>
        <w:tblInd w:w="0" w:type="dxa"/>
        <w:tblLayout w:type="fixed"/>
        <w:tblCellMar>
          <w:top w:w="28" w:type="dxa"/>
          <w:left w:w="28" w:type="dxa"/>
          <w:bottom w:w="28" w:type="dxa"/>
          <w:right w:w="28" w:type="dxa"/>
        </w:tblCellMar>
      </w:tblPr>
      <w:tblGrid>
        <w:gridCol w:w="972"/>
        <w:gridCol w:w="301"/>
        <w:gridCol w:w="304"/>
        <w:gridCol w:w="109"/>
        <w:gridCol w:w="109"/>
        <w:gridCol w:w="109"/>
        <w:gridCol w:w="210"/>
        <w:gridCol w:w="598"/>
        <w:gridCol w:w="259"/>
        <w:gridCol w:w="109"/>
        <w:gridCol w:w="109"/>
        <w:gridCol w:w="109"/>
        <w:gridCol w:w="206"/>
        <w:gridCol w:w="586"/>
        <w:gridCol w:w="254"/>
        <w:gridCol w:w="109"/>
        <w:gridCol w:w="109"/>
        <w:gridCol w:w="109"/>
        <w:gridCol w:w="204"/>
        <w:gridCol w:w="675"/>
        <w:gridCol w:w="251"/>
        <w:gridCol w:w="109"/>
        <w:gridCol w:w="109"/>
        <w:gridCol w:w="109"/>
        <w:gridCol w:w="201"/>
        <w:gridCol w:w="664"/>
        <w:gridCol w:w="248"/>
        <w:gridCol w:w="109"/>
        <w:gridCol w:w="109"/>
        <w:gridCol w:w="109"/>
        <w:gridCol w:w="196"/>
        <w:gridCol w:w="556"/>
        <w:gridCol w:w="241"/>
        <w:gridCol w:w="109"/>
        <w:gridCol w:w="109"/>
        <w:gridCol w:w="109"/>
        <w:gridCol w:w="246"/>
        <w:gridCol w:w="700"/>
        <w:gridCol w:w="371"/>
      </w:tblGrid>
      <w:tr>
        <w:trPr/>
        <w:tc>
          <w:tcPr>
            <w:tcW w:w="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Company-Owned Life Insurance (1)</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(Dollars in millions)</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51,607 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12,971 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0.97 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the effects of embedded derivatives related to index-linked crediting rates.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group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Insurance Liabilities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left"/>
        <w:tblInd w:w="0" w:type="dxa"/>
        <w:tblLayout w:type="fixed"/>
        <w:tblCellMar>
          <w:top w:w="28" w:type="dxa"/>
          <w:left w:w="28" w:type="dxa"/>
          <w:bottom w:w="28" w:type="dxa"/>
          <w:right w:w="28" w:type="dxa"/>
        </w:tblCellMar>
      </w:tblPr>
      <w:tblGrid>
        <w:gridCol w:w="711"/>
        <w:gridCol w:w="624"/>
        <w:gridCol w:w="628"/>
        <w:gridCol w:w="109"/>
        <w:gridCol w:w="109"/>
        <w:gridCol w:w="109"/>
        <w:gridCol w:w="304"/>
        <w:gridCol w:w="865"/>
        <w:gridCol w:w="169"/>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(3)Amounts are gross of policy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MRB assets and liabilities associated with variable annuities was as follows:</w:t>
      </w:r>
    </w:p>
    <w:tbl>
      <w:tblPr>
        <w:tblW w:w="8061" w:type="dxa"/>
        <w:jc w:val="center"/>
        <w:tblInd w:w="0" w:type="dxa"/>
        <w:tblLayout w:type="fixed"/>
        <w:tblCellMar>
          <w:top w:w="28" w:type="dxa"/>
          <w:left w:w="28" w:type="dxa"/>
          <w:bottom w:w="28" w:type="dxa"/>
          <w:right w:w="28" w:type="dxa"/>
        </w:tblCellMar>
      </w:tblPr>
      <w:tblGrid>
        <w:gridCol w:w="2042"/>
        <w:gridCol w:w="1791"/>
        <w:gridCol w:w="1807"/>
        <w:gridCol w:w="109"/>
        <w:gridCol w:w="109"/>
        <w:gridCol w:w="109"/>
        <w:gridCol w:w="196"/>
        <w:gridCol w:w="556"/>
        <w:gridCol w:w="109"/>
        <w:gridCol w:w="109"/>
        <w:gridCol w:w="109"/>
        <w:gridCol w:w="109"/>
        <w:gridCol w:w="196"/>
        <w:gridCol w:w="556"/>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actual different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fund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changes in equity index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risk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Aging of the block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 before 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 net of reinsurance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attained age of contract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years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represent the sum of MRB assets and MRB liabilities presented on the consolidated balance sheets at March 31, 2026 and 2025, with the exception of $80 million and $30 million, respectively, of index-linked annuity MRBs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Separate Accounts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separate account liabilities was as follows:</w:t>
      </w:r>
    </w:p>
    <w:tbl>
      <w:tblPr>
        <w:tblW w:w="10205" w:type="dxa"/>
        <w:jc w:val="left"/>
        <w:tblInd w:w="0" w:type="dxa"/>
        <w:tblLayout w:type="fixed"/>
        <w:tblCellMar>
          <w:top w:w="28" w:type="dxa"/>
          <w:left w:w="28" w:type="dxa"/>
          <w:bottom w:w="28" w:type="dxa"/>
          <w:right w:w="28" w:type="dxa"/>
        </w:tblCellMar>
      </w:tblPr>
      <w:tblGrid>
        <w:gridCol w:w="602"/>
        <w:gridCol w:w="306"/>
        <w:gridCol w:w="309"/>
        <w:gridCol w:w="109"/>
        <w:gridCol w:w="109"/>
        <w:gridCol w:w="109"/>
        <w:gridCol w:w="207"/>
        <w:gridCol w:w="685"/>
        <w:gridCol w:w="115"/>
        <w:gridCol w:w="109"/>
        <w:gridCol w:w="109"/>
        <w:gridCol w:w="109"/>
        <w:gridCol w:w="222"/>
        <w:gridCol w:w="630"/>
        <w:gridCol w:w="123"/>
        <w:gridCol w:w="109"/>
        <w:gridCol w:w="109"/>
        <w:gridCol w:w="109"/>
        <w:gridCol w:w="342"/>
        <w:gridCol w:w="970"/>
        <w:gridCol w:w="191"/>
        <w:gridCol w:w="109"/>
        <w:gridCol w:w="109"/>
        <w:gridCol w:w="109"/>
        <w:gridCol w:w="207"/>
        <w:gridCol w:w="685"/>
        <w:gridCol w:w="115"/>
        <w:gridCol w:w="109"/>
        <w:gridCol w:w="109"/>
        <w:gridCol w:w="109"/>
        <w:gridCol w:w="222"/>
        <w:gridCol w:w="630"/>
        <w:gridCol w:w="123"/>
        <w:gridCol w:w="109"/>
        <w:gridCol w:w="109"/>
        <w:gridCol w:w="109"/>
        <w:gridCol w:w="334"/>
        <w:gridCol w:w="950"/>
        <w:gridCol w:w="275"/>
      </w:tblGrid>
      <w:tr>
        <w:trPr/>
        <w:tc>
          <w:tcPr>
            <w:tcW w:w="6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Company-Owned Life Insurance</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separate account liabilities reported in the preceding rollforward table to the separate account liabilities balance on the consolidated balance sheets was as follows at:</w:t>
      </w:r>
    </w:p>
    <w:tbl>
      <w:tblPr>
        <w:tblW w:w="7610"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 of assets, by major investment asset category, supporting separate accounts was as follows at:</w:t>
      </w:r>
    </w:p>
    <w:tbl>
      <w:tblPr>
        <w:tblW w:w="6727"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259"/>
        <w:gridCol w:w="856"/>
        <w:gridCol w:w="144"/>
        <w:gridCol w:w="109"/>
        <w:gridCol w:w="109"/>
        <w:gridCol w:w="109"/>
        <w:gridCol w:w="304"/>
        <w:gridCol w:w="1002"/>
        <w:gridCol w:w="239"/>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85,528 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Separate Accounts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Amount at Risk and Cash Surrender Values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net amount at risk and cash surrender value for insurance products was as follows at:</w:t>
      </w:r>
    </w:p>
    <w:tbl>
      <w:tblPr>
        <w:tblW w:w="10205" w:type="dxa"/>
        <w:jc w:val="left"/>
        <w:tblInd w:w="0" w:type="dxa"/>
        <w:tblLayout w:type="fixed"/>
        <w:tblCellMar>
          <w:top w:w="28" w:type="dxa"/>
          <w:left w:w="28" w:type="dxa"/>
          <w:bottom w:w="28" w:type="dxa"/>
          <w:right w:w="28" w:type="dxa"/>
        </w:tblCellMar>
      </w:tblPr>
      <w:tblGrid>
        <w:gridCol w:w="783"/>
        <w:gridCol w:w="504"/>
        <w:gridCol w:w="461"/>
        <w:gridCol w:w="109"/>
        <w:gridCol w:w="109"/>
        <w:gridCol w:w="109"/>
        <w:gridCol w:w="223"/>
        <w:gridCol w:w="736"/>
        <w:gridCol w:w="124"/>
        <w:gridCol w:w="109"/>
        <w:gridCol w:w="109"/>
        <w:gridCol w:w="109"/>
        <w:gridCol w:w="207"/>
        <w:gridCol w:w="685"/>
        <w:gridCol w:w="115"/>
        <w:gridCol w:w="109"/>
        <w:gridCol w:w="109"/>
        <w:gridCol w:w="109"/>
        <w:gridCol w:w="218"/>
        <w:gridCol w:w="719"/>
        <w:gridCol w:w="121"/>
        <w:gridCol w:w="109"/>
        <w:gridCol w:w="109"/>
        <w:gridCol w:w="109"/>
        <w:gridCol w:w="212"/>
        <w:gridCol w:w="700"/>
        <w:gridCol w:w="118"/>
        <w:gridCol w:w="109"/>
        <w:gridCol w:w="109"/>
        <w:gridCol w:w="109"/>
        <w:gridCol w:w="196"/>
        <w:gridCol w:w="646"/>
        <w:gridCol w:w="109"/>
        <w:gridCol w:w="109"/>
        <w:gridCol w:w="109"/>
        <w:gridCol w:w="109"/>
        <w:gridCol w:w="260"/>
        <w:gridCol w:w="741"/>
        <w:gridCol w:w="365"/>
      </w:tblGrid>
      <w:tr>
        <w:trPr/>
        <w:tc>
          <w:tcPr>
            <w:tcW w:w="7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Company-Owned Life Insurance</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51,607 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12,971 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71,698 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75,008 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51,607 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12,971 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2,983 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30,963 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12,673 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61,312 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8,564 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74,675 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51,576 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13,006 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47,896 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14,516 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73,889 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365"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8,722 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77,619 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47,896 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14,516 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32,855 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13,271 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63,157 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2,607 </w:t>
            </w:r>
          </w:p>
        </w:tc>
        <w:tc>
          <w:tcPr>
            <w:tcW w:w="3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8,130 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77,248 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46,235 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14,248 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deferred policy acquisition costs (“DAC”) and value of business acquired (“VOBA”) was as follows:</w:t>
      </w:r>
    </w:p>
    <w:tbl>
      <w:tblPr>
        <w:tblW w:w="10205" w:type="dxa"/>
        <w:jc w:val="center"/>
        <w:tblInd w:w="0" w:type="dxa"/>
        <w:tblLayout w:type="fixed"/>
        <w:tblCellMar>
          <w:top w:w="28" w:type="dxa"/>
          <w:left w:w="28" w:type="dxa"/>
          <w:bottom w:w="28" w:type="dxa"/>
          <w:right w:w="28" w:type="dxa"/>
        </w:tblCellMar>
      </w:tblPr>
      <w:tblGrid>
        <w:gridCol w:w="840"/>
        <w:gridCol w:w="570"/>
        <w:gridCol w:w="575"/>
        <w:gridCol w:w="109"/>
        <w:gridCol w:w="109"/>
        <w:gridCol w:w="109"/>
        <w:gridCol w:w="259"/>
        <w:gridCol w:w="737"/>
        <w:gridCol w:w="144"/>
        <w:gridCol w:w="109"/>
        <w:gridCol w:w="109"/>
        <w:gridCol w:w="109"/>
        <w:gridCol w:w="316"/>
        <w:gridCol w:w="681"/>
        <w:gridCol w:w="178"/>
        <w:gridCol w:w="109"/>
        <w:gridCol w:w="109"/>
        <w:gridCol w:w="109"/>
        <w:gridCol w:w="305"/>
        <w:gridCol w:w="868"/>
        <w:gridCol w:w="170"/>
        <w:gridCol w:w="109"/>
        <w:gridCol w:w="109"/>
        <w:gridCol w:w="109"/>
        <w:gridCol w:w="419"/>
        <w:gridCol w:w="904"/>
        <w:gridCol w:w="236"/>
        <w:gridCol w:w="109"/>
        <w:gridCol w:w="109"/>
        <w:gridCol w:w="109"/>
        <w:gridCol w:w="344"/>
        <w:gridCol w:w="741"/>
        <w:gridCol w:w="283"/>
      </w:tblGrid>
      <w:tr>
        <w:trPr/>
        <w:tc>
          <w:tcPr>
            <w:tcW w:w="8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Sales Inducements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deferred sales inducements, included in other assets, was as follows:</w:t>
      </w:r>
    </w:p>
    <w:tbl>
      <w:tblPr>
        <w:tblW w:w="9659"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391"/>
        <w:gridCol w:w="842"/>
        <w:gridCol w:w="221"/>
        <w:gridCol w:w="109"/>
        <w:gridCol w:w="109"/>
        <w:gridCol w:w="109"/>
        <w:gridCol w:w="581"/>
        <w:gridCol w:w="713"/>
        <w:gridCol w:w="325"/>
        <w:gridCol w:w="109"/>
        <w:gridCol w:w="109"/>
        <w:gridCol w:w="109"/>
        <w:gridCol w:w="391"/>
        <w:gridCol w:w="842"/>
        <w:gridCol w:w="221"/>
        <w:gridCol w:w="109"/>
        <w:gridCol w:w="109"/>
        <w:gridCol w:w="109"/>
        <w:gridCol w:w="550"/>
        <w:gridCol w:w="677"/>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 Annuities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Deferred Policy Acquisition Costs, Value of Business Acquired and Other Intangibles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Unearned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unearned revenue, included in other policy-related balances, was as follows:</w:t>
      </w:r>
    </w:p>
    <w:tbl>
      <w:tblPr>
        <w:tblW w:w="10205" w:type="dxa"/>
        <w:jc w:val="center"/>
        <w:tblInd w:w="0" w:type="dxa"/>
        <w:tblLayout w:type="fixed"/>
        <w:tblCellMar>
          <w:top w:w="28" w:type="dxa"/>
          <w:left w:w="28" w:type="dxa"/>
          <w:bottom w:w="28" w:type="dxa"/>
          <w:right w:w="28" w:type="dxa"/>
        </w:tblCellMar>
      </w:tblPr>
      <w:tblGrid>
        <w:gridCol w:w="708"/>
        <w:gridCol w:w="478"/>
        <w:gridCol w:w="482"/>
        <w:gridCol w:w="109"/>
        <w:gridCol w:w="109"/>
        <w:gridCol w:w="109"/>
        <w:gridCol w:w="373"/>
        <w:gridCol w:w="806"/>
        <w:gridCol w:w="210"/>
        <w:gridCol w:w="109"/>
        <w:gridCol w:w="109"/>
        <w:gridCol w:w="109"/>
        <w:gridCol w:w="196"/>
        <w:gridCol w:w="421"/>
        <w:gridCol w:w="109"/>
        <w:gridCol w:w="109"/>
        <w:gridCol w:w="109"/>
        <w:gridCol w:w="109"/>
        <w:gridCol w:w="352"/>
        <w:gridCol w:w="596"/>
        <w:gridCol w:w="198"/>
        <w:gridCol w:w="109"/>
        <w:gridCol w:w="109"/>
        <w:gridCol w:w="109"/>
        <w:gridCol w:w="373"/>
        <w:gridCol w:w="806"/>
        <w:gridCol w:w="210"/>
        <w:gridCol w:w="109"/>
        <w:gridCol w:w="109"/>
        <w:gridCol w:w="109"/>
        <w:gridCol w:w="196"/>
        <w:gridCol w:w="421"/>
        <w:gridCol w:w="109"/>
        <w:gridCol w:w="109"/>
        <w:gridCol w:w="109"/>
        <w:gridCol w:w="109"/>
        <w:gridCol w:w="342"/>
        <w:gridCol w:w="579"/>
        <w:gridCol w:w="278"/>
      </w:tblGrid>
      <w:tr>
        <w:trPr/>
        <w:tc>
          <w:tcPr>
            <w:tcW w:w="7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Annuities</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10 of the Notes to the Consolidated Financial Statements included in the 2025 Annual Report for a description of the Company’s accounting policies for investments and the fair value hierarchy for investments and the related valuation methodologies.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Fixed Maturity Securities Available-For-Sale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by sector were as follows at:</w:t>
      </w:r>
    </w:p>
    <w:tbl>
      <w:tblPr>
        <w:tblW w:w="12564" w:type="dxa"/>
        <w:jc w:val="left"/>
        <w:tblInd w:w="0" w:type="dxa"/>
        <w:tblLayout w:type="fixed"/>
        <w:tblCellMar>
          <w:top w:w="28" w:type="dxa"/>
          <w:left w:w="28" w:type="dxa"/>
          <w:bottom w:w="28" w:type="dxa"/>
          <w:right w:w="28" w:type="dxa"/>
        </w:tblCellMar>
      </w:tblPr>
      <w:tblGrid>
        <w:gridCol w:w="495"/>
        <w:gridCol w:w="411"/>
        <w:gridCol w:w="250"/>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8" w:type="dxa"/>
            <w:gridSpan w:val="57"/>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38,909 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8,532 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Asset-backed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87,206 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81,232 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87,046 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82,014 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held non-income producing fixed maturity securities with an estimated fair value of $12 million and $14 million at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 of fixed maturity securities, by contractual maturity date, were as follows at March 31, 2026:</w:t>
      </w:r>
    </w:p>
    <w:tbl>
      <w:tblPr>
        <w:tblW w:w="10205" w:type="dxa"/>
        <w:jc w:val="left"/>
        <w:tblInd w:w="0" w:type="dxa"/>
        <w:tblLayout w:type="fixed"/>
        <w:tblCellMar>
          <w:top w:w="28" w:type="dxa"/>
          <w:left w:w="28" w:type="dxa"/>
          <w:bottom w:w="28" w:type="dxa"/>
          <w:right w:w="28" w:type="dxa"/>
        </w:tblCellMar>
      </w:tblPr>
      <w:tblGrid>
        <w:gridCol w:w="368"/>
        <w:gridCol w:w="323"/>
        <w:gridCol w:w="325"/>
        <w:gridCol w:w="248"/>
        <w:gridCol w:w="705"/>
        <w:gridCol w:w="138"/>
        <w:gridCol w:w="109"/>
        <w:gridCol w:w="109"/>
        <w:gridCol w:w="109"/>
        <w:gridCol w:w="295"/>
        <w:gridCol w:w="974"/>
        <w:gridCol w:w="164"/>
        <w:gridCol w:w="109"/>
        <w:gridCol w:w="109"/>
        <w:gridCol w:w="109"/>
        <w:gridCol w:w="297"/>
        <w:gridCol w:w="979"/>
        <w:gridCol w:w="165"/>
        <w:gridCol w:w="109"/>
        <w:gridCol w:w="109"/>
        <w:gridCol w:w="109"/>
        <w:gridCol w:w="226"/>
        <w:gridCol w:w="747"/>
        <w:gridCol w:w="126"/>
        <w:gridCol w:w="109"/>
        <w:gridCol w:w="109"/>
        <w:gridCol w:w="109"/>
        <w:gridCol w:w="239"/>
        <w:gridCol w:w="789"/>
        <w:gridCol w:w="133"/>
        <w:gridCol w:w="109"/>
        <w:gridCol w:w="109"/>
        <w:gridCol w:w="109"/>
        <w:gridCol w:w="260"/>
        <w:gridCol w:w="857"/>
        <w:gridCol w:w="212"/>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Structured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Fixed Maturity Securities</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20,219 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26,795 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21,647 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87,206 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19,736 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22,629 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81,232 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(1)Structured securities include residential mortgage-backed securities (“RMBS”), commercial mortgage-backed securities (“CMBS”) and asset-backed securities (“ABS”) (collectively, “Structured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553" w:type="dxa"/>
        <w:jc w:val="center"/>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39"/>
        <w:gridCol w:w="513"/>
        <w:gridCol w:w="134"/>
        <w:gridCol w:w="109"/>
        <w:gridCol w:w="109"/>
        <w:gridCol w:w="109"/>
        <w:gridCol w:w="196"/>
        <w:gridCol w:w="646"/>
        <w:gridCol w:w="109"/>
        <w:gridCol w:w="109"/>
        <w:gridCol w:w="109"/>
        <w:gridCol w:w="109"/>
        <w:gridCol w:w="201"/>
        <w:gridCol w:w="572"/>
        <w:gridCol w:w="113"/>
        <w:gridCol w:w="109"/>
        <w:gridCol w:w="109"/>
        <w:gridCol w:w="109"/>
        <w:gridCol w:w="196"/>
        <w:gridCol w:w="556"/>
        <w:gridCol w:w="109"/>
        <w:gridCol w:w="109"/>
        <w:gridCol w:w="109"/>
        <w:gridCol w:w="109"/>
        <w:gridCol w:w="239"/>
        <w:gridCol w:w="513"/>
        <w:gridCol w:w="134"/>
        <w:gridCol w:w="109"/>
        <w:gridCol w:w="109"/>
        <w:gridCol w:w="109"/>
        <w:gridCol w:w="196"/>
        <w:gridCol w:w="646"/>
        <w:gridCol w:w="109"/>
        <w:gridCol w:w="109"/>
        <w:gridCol w:w="109"/>
        <w:gridCol w:w="109"/>
        <w:gridCol w:w="201"/>
        <w:gridCol w:w="571"/>
        <w:gridCol w:w="159"/>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2"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number of securities in an unrealized loss position</w:t>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$697 million and $671 million at March 31, 2026 and December 31, 2025, respectively, and is included in accrued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Company’s current evaluation of its fixed maturity securities in an unrealized loss position and the current intent or requirement to sell, the Company recorded an allowance for credit losses of $65 million, relating to 22 securities, at March 31, 2026.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Fixed Maturity Securities by Sector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for fixed maturity securities by sector were as follows:</w:t>
      </w:r>
    </w:p>
    <w:tbl>
      <w:tblPr>
        <w:tblW w:w="10205" w:type="dxa"/>
        <w:jc w:val="left"/>
        <w:tblInd w:w="0" w:type="dxa"/>
        <w:tblLayout w:type="fixed"/>
        <w:tblCellMar>
          <w:top w:w="28" w:type="dxa"/>
          <w:left w:w="28" w:type="dxa"/>
          <w:bottom w:w="28" w:type="dxa"/>
          <w:right w:w="28" w:type="dxa"/>
        </w:tblCellMar>
      </w:tblPr>
      <w:tblGrid>
        <w:gridCol w:w="1011"/>
        <w:gridCol w:w="772"/>
        <w:gridCol w:w="779"/>
        <w:gridCol w:w="109"/>
        <w:gridCol w:w="109"/>
        <w:gridCol w:w="109"/>
        <w:gridCol w:w="302"/>
        <w:gridCol w:w="511"/>
        <w:gridCol w:w="169"/>
        <w:gridCol w:w="109"/>
        <w:gridCol w:w="109"/>
        <w:gridCol w:w="109"/>
        <w:gridCol w:w="109"/>
        <w:gridCol w:w="109"/>
        <w:gridCol w:w="329"/>
        <w:gridCol w:w="557"/>
        <w:gridCol w:w="184"/>
        <w:gridCol w:w="109"/>
        <w:gridCol w:w="109"/>
        <w:gridCol w:w="109"/>
        <w:gridCol w:w="204"/>
        <w:gridCol w:w="252"/>
        <w:gridCol w:w="115"/>
        <w:gridCol w:w="109"/>
        <w:gridCol w:w="109"/>
        <w:gridCol w:w="109"/>
        <w:gridCol w:w="204"/>
        <w:gridCol w:w="252"/>
        <w:gridCol w:w="115"/>
        <w:gridCol w:w="109"/>
        <w:gridCol w:w="109"/>
        <w:gridCol w:w="109"/>
        <w:gridCol w:w="109"/>
        <w:gridCol w:w="109"/>
        <w:gridCol w:w="109"/>
        <w:gridCol w:w="109"/>
        <w:gridCol w:w="196"/>
        <w:gridCol w:w="406"/>
        <w:gridCol w:w="109"/>
        <w:gridCol w:w="109"/>
        <w:gridCol w:w="109"/>
        <w:gridCol w:w="109"/>
        <w:gridCol w:w="109"/>
        <w:gridCol w:w="109"/>
        <w:gridCol w:w="109"/>
        <w:gridCol w:w="109"/>
        <w:gridCol w:w="196"/>
        <w:gridCol w:w="331"/>
        <w:gridCol w:w="159"/>
      </w:tblGrid>
      <w:tr>
        <w:trPr/>
        <w:tc>
          <w:tcPr>
            <w:tcW w:w="10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U.S.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Foreign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449" w:type="dxa"/>
            <w:gridSpan w:val="10"/>
            <w:tcBorders/>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Allowance on securities where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allowance on securities with an allowance recorded in a previous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Write-offs charged against allowance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did not record any write-offs for the three months ended March 31, 2026. The Company recorded total write-offs of $33 million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Mortgage Loans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summarized as follows at:</w:t>
      </w:r>
    </w:p>
    <w:tbl>
      <w:tblPr>
        <w:tblW w:w="6632"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(1)Purchases of mortgage loans from third parties were $296 million and $178 million for the three months ended March 31, 2026 and 2025, respectively, and were primarily comprised of residential mortgage loans.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$126 million and $132 million at March 31,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by portfolio segment were as follows:</w:t>
      </w:r>
    </w:p>
    <w:tbl>
      <w:tblPr>
        <w:tblW w:w="7650" w:type="dxa"/>
        <w:jc w:val="left"/>
        <w:tblInd w:w="0" w:type="dxa"/>
        <w:tblLayout w:type="fixed"/>
        <w:tblCellMar>
          <w:top w:w="28" w:type="dxa"/>
          <w:left w:w="28" w:type="dxa"/>
          <w:bottom w:w="28" w:type="dxa"/>
          <w:right w:w="28" w:type="dxa"/>
        </w:tblCellMar>
      </w:tblPr>
      <w:tblGrid>
        <w:gridCol w:w="1086"/>
        <w:gridCol w:w="953"/>
        <w:gridCol w:w="961"/>
        <w:gridCol w:w="267"/>
        <w:gridCol w:w="574"/>
        <w:gridCol w:w="150"/>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Charge-offs, net of recoveries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by year of origination and credit quality indicator was as follows at:</w:t>
      </w:r>
    </w:p>
    <w:tbl>
      <w:tblPr>
        <w:tblW w:w="10205" w:type="dxa"/>
        <w:jc w:val="left"/>
        <w:tblInd w:w="0" w:type="dxa"/>
        <w:tblLayout w:type="fixed"/>
        <w:tblCellMar>
          <w:top w:w="28" w:type="dxa"/>
          <w:left w:w="28" w:type="dxa"/>
          <w:bottom w:w="28" w:type="dxa"/>
          <w:right w:w="28" w:type="dxa"/>
        </w:tblCellMar>
      </w:tblPr>
      <w:tblGrid>
        <w:gridCol w:w="849"/>
        <w:gridCol w:w="718"/>
        <w:gridCol w:w="693"/>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84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22,830 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tbl>
      <w:tblPr>
        <w:tblW w:w="10205" w:type="dxa"/>
        <w:jc w:val="left"/>
        <w:tblInd w:w="0" w:type="dxa"/>
        <w:tblLayout w:type="fixed"/>
        <w:tblCellMar>
          <w:top w:w="28" w:type="dxa"/>
          <w:left w:w="28" w:type="dxa"/>
          <w:bottom w:w="28" w:type="dxa"/>
          <w:right w:w="28" w:type="dxa"/>
        </w:tblCellMar>
      </w:tblPr>
      <w:tblGrid>
        <w:gridCol w:w="847"/>
        <w:gridCol w:w="683"/>
        <w:gridCol w:w="685"/>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8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commercial mortgage loans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agricultural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commercial mortgage loans by debt-service coverage ratio was as follows at:</w:t>
      </w:r>
    </w:p>
    <w:tbl>
      <w:tblPr>
        <w:tblW w:w="7338"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268"/>
        <w:gridCol w:w="109"/>
        <w:gridCol w:w="109"/>
        <w:gridCol w:w="109"/>
        <w:gridCol w:w="256"/>
        <w:gridCol w:w="846"/>
        <w:gridCol w:w="142"/>
        <w:gridCol w:w="109"/>
        <w:gridCol w:w="109"/>
        <w:gridCol w:w="109"/>
        <w:gridCol w:w="278"/>
        <w:gridCol w:w="278"/>
        <w:gridCol w:w="315"/>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10,901 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than 1.00x</w:t>
            </w:r>
          </w:p>
        </w:tc>
        <w:tc>
          <w:tcPr>
            <w:tcW w:w="11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high-quality, well-performing mortgage loan portfolio, with 99% of all mortgage loans classified as performing at both March 31, 2026 and December 31, 2025.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12,216 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30-59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90-179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4,644 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6,052 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amortized cost of mortgage loans in a nonaccrual status by portfolio segment was as follows at:</w:t>
      </w:r>
    </w:p>
    <w:tbl>
      <w:tblPr>
        <w:tblW w:w="6418" w:type="dxa"/>
        <w:jc w:val="left"/>
        <w:tblInd w:w="0" w:type="dxa"/>
        <w:tblLayout w:type="fixed"/>
        <w:tblCellMar>
          <w:top w:w="28" w:type="dxa"/>
          <w:left w:w="28" w:type="dxa"/>
          <w:bottom w:w="28" w:type="dxa"/>
          <w:right w:w="28" w:type="dxa"/>
        </w:tblCellMar>
      </w:tblPr>
      <w:tblGrid>
        <w:gridCol w:w="548"/>
        <w:gridCol w:w="481"/>
        <w:gridCol w:w="486"/>
        <w:gridCol w:w="267"/>
        <w:gridCol w:w="574"/>
        <w:gridCol w:w="150"/>
        <w:gridCol w:w="109"/>
        <w:gridCol w:w="109"/>
        <w:gridCol w:w="109"/>
        <w:gridCol w:w="361"/>
        <w:gridCol w:w="444"/>
        <w:gridCol w:w="201"/>
        <w:gridCol w:w="109"/>
        <w:gridCol w:w="109"/>
        <w:gridCol w:w="109"/>
        <w:gridCol w:w="311"/>
        <w:gridCol w:w="669"/>
        <w:gridCol w:w="174"/>
        <w:gridCol w:w="109"/>
        <w:gridCol w:w="109"/>
        <w:gridCol w:w="109"/>
        <w:gridCol w:w="196"/>
        <w:gridCol w:w="421"/>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Residential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 had $51 million and $54 million of mortgage loans in nonaccrual status for which there was no related allowance for credit losses at March 31,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period investment income on mortgage loans in nonaccrual status was $2 million and less than $1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Invested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85%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Unrealized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unrealized investment gains (losses), included in AOCI, were as follows at:</w:t>
      </w:r>
    </w:p>
    <w:tbl>
      <w:tblPr>
        <w:tblW w:w="6100" w:type="dxa"/>
        <w:jc w:val="left"/>
        <w:tblInd w:w="0" w:type="dxa"/>
        <w:tblLayout w:type="fixed"/>
        <w:tblCellMar>
          <w:top w:w="28" w:type="dxa"/>
          <w:left w:w="28" w:type="dxa"/>
          <w:bottom w:w="28" w:type="dxa"/>
          <w:right w:w="28" w:type="dxa"/>
        </w:tblCellMar>
      </w:tblPr>
      <w:tblGrid>
        <w:gridCol w:w="1077"/>
        <w:gridCol w:w="942"/>
        <w:gridCol w:w="950"/>
        <w:gridCol w:w="264"/>
        <w:gridCol w:w="850"/>
        <w:gridCol w:w="146"/>
        <w:gridCol w:w="109"/>
        <w:gridCol w:w="109"/>
        <w:gridCol w:w="109"/>
        <w:gridCol w:w="308"/>
        <w:gridCol w:w="994"/>
        <w:gridCol w:w="242"/>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(4,968)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(5,596)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(4,753)</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Amounts allocated from:</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unrealized investment gains (losses)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(4,007)</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(3,340)</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net unrealized investment gains (losses) were as follows:</w:t>
      </w:r>
    </w:p>
    <w:tbl>
      <w:tblPr>
        <w:tblW w:w="6823" w:type="dxa"/>
        <w:jc w:val="left"/>
        <w:tblInd w:w="0" w:type="dxa"/>
        <w:tblLayout w:type="fixed"/>
        <w:tblCellMar>
          <w:top w:w="28" w:type="dxa"/>
          <w:left w:w="28" w:type="dxa"/>
          <w:bottom w:w="28" w:type="dxa"/>
          <w:right w:w="28" w:type="dxa"/>
        </w:tblCellMar>
      </w:tblPr>
      <w:tblGrid>
        <w:gridCol w:w="1437"/>
        <w:gridCol w:w="1266"/>
        <w:gridCol w:w="1271"/>
        <w:gridCol w:w="569"/>
        <w:gridCol w:w="1833"/>
        <w:gridCol w:w="447"/>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3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(3,340)</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during the period</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Unrealized investment gains (losses) relating to:</w:t>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Future policy benefits</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(4,007)</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net unrealized investment gains (losses)</w:t>
            </w:r>
          </w:p>
        </w:tc>
        <w:tc>
          <w:tcPr>
            <w:tcW w:w="5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4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investments in any counterparty that were greater than 10% of the Company’s equity, other than the U.S. government and its agencies, at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Securities Lending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Elements of the securities lending program are presented below at:</w:t>
      </w:r>
    </w:p>
    <w:tbl>
      <w:tblPr>
        <w:tblW w:w="6596" w:type="dxa"/>
        <w:jc w:val="left"/>
        <w:tblInd w:w="0" w:type="dxa"/>
        <w:tblLayout w:type="fixed"/>
        <w:tblCellMar>
          <w:top w:w="28" w:type="dxa"/>
          <w:left w:w="28" w:type="dxa"/>
          <w:bottom w:w="28" w:type="dxa"/>
          <w:right w:w="28" w:type="dxa"/>
        </w:tblCellMar>
      </w:tblPr>
      <w:tblGrid>
        <w:gridCol w:w="1257"/>
        <w:gridCol w:w="1102"/>
        <w:gridCol w:w="1106"/>
        <w:gridCol w:w="287"/>
        <w:gridCol w:w="814"/>
        <w:gridCol w:w="159"/>
        <w:gridCol w:w="109"/>
        <w:gridCol w:w="109"/>
        <w:gridCol w:w="109"/>
        <w:gridCol w:w="334"/>
        <w:gridCol w:w="948"/>
        <w:gridCol w:w="262"/>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Securities on loan: (1)</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Amortized cost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collateral received from counterparties (2)</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Reinvestment portfolio — estimated fair value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fixed maturity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(2)Included in payables for collateral under securities loaned and other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cash collateral liability by loaned security type and remaining tenor of the agreements were as follows at:</w:t>
      </w:r>
    </w:p>
    <w:tbl>
      <w:tblPr>
        <w:tblW w:w="10515"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09"/>
        <w:gridCol w:w="109"/>
        <w:gridCol w:w="196"/>
        <w:gridCol w:w="55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1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7" w:type="dxa"/>
            <w:gridSpan w:val="3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related loaned security could be returned to the Company on the next business day which would require the Company to immediately return the cash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March 31, 2026 was $314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reinvestment portfolio acquired with the cash collateral consisted principally of fixed maturity securities (including agency RMBS, ABS, U.S. government and agency securities, U.S. and foreign corporate securities, non-agency RMBS and CMBS) with 50% invested in agency RMBS, U.S. government and agency securities and cash and cash equivalents at March 31, 2026.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Invested assets on deposit, held in trust and pledged as collateral at estimated fair value were as follows at:</w:t>
      </w:r>
    </w:p>
    <w:tbl>
      <w:tblPr>
        <w:tblW w:w="8186" w:type="dxa"/>
        <w:jc w:val="left"/>
        <w:tblInd w:w="0" w:type="dxa"/>
        <w:tblLayout w:type="fixed"/>
        <w:tblCellMar>
          <w:top w:w="28" w:type="dxa"/>
          <w:left w:w="28" w:type="dxa"/>
          <w:bottom w:w="28" w:type="dxa"/>
          <w:right w:w="28" w:type="dxa"/>
        </w:tblCellMar>
      </w:tblPr>
      <w:tblGrid>
        <w:gridCol w:w="1828"/>
        <w:gridCol w:w="1611"/>
        <w:gridCol w:w="1616"/>
        <w:gridCol w:w="259"/>
        <w:gridCol w:w="856"/>
        <w:gridCol w:w="144"/>
        <w:gridCol w:w="109"/>
        <w:gridCol w:w="109"/>
        <w:gridCol w:w="109"/>
        <w:gridCol w:w="304"/>
        <w:gridCol w:w="1002"/>
        <w:gridCol w:w="239"/>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on deposit (regulatory deposits) (1)</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6,574 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held in trust (reinsurance agreements) (2)</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7,327 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Invested assets pledged as collateral (3)</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12,043 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invested assets on deposit, held in trust and pledged as collateral</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25,618 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24,695 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assets, primarily fixed maturity securities, on deposit with governmental authorities relating to certain policyholder liabilities, of which $112 million and $126 million of the assets on deposit represents restricted cash and cash equivalents at March 31, 2026 and December 31,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has assets, primarily fixed maturity securities, held in trust relating to certain reinsurance transactions, of which $116 million and $331 million of the assets held in trust balance represents restricted cash and cash equivalents at March 31, 2026 and December 31,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has pledged invested assets in connection with various agreements and transactions, including funding agreements (see Note 3 of the Notes to the Consolidated Financial Statements included in the 2025 Annual Report) and derivative transactions (see Note 8).</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Securities Lending” for information regarding securities on loan. In addition, the Company’s investment in FHLB common stock, which is considered restricted until redeemed by the issuer, was $217 million and $218 million at redemption value at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VIEs for which the Company has concluded that it is the primary beneficiary at either March 31, 2026 or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 and maximum exposure to loss related to the VIEs for which the Company has concluded that it holds a variable interest, but is not the primary beneficiary, were as follows at:</w:t>
      </w:r>
    </w:p>
    <w:tbl>
      <w:tblPr>
        <w:tblW w:w="10205" w:type="dxa"/>
        <w:jc w:val="left"/>
        <w:tblInd w:w="0" w:type="dxa"/>
        <w:tblLayout w:type="fixed"/>
        <w:tblCellMar>
          <w:top w:w="28" w:type="dxa"/>
          <w:left w:w="28" w:type="dxa"/>
          <w:bottom w:w="28" w:type="dxa"/>
          <w:right w:w="28" w:type="dxa"/>
        </w:tblCellMar>
      </w:tblPr>
      <w:tblGrid>
        <w:gridCol w:w="828"/>
        <w:gridCol w:w="717"/>
        <w:gridCol w:w="723"/>
        <w:gridCol w:w="286"/>
        <w:gridCol w:w="944"/>
        <w:gridCol w:w="158"/>
        <w:gridCol w:w="109"/>
        <w:gridCol w:w="109"/>
        <w:gridCol w:w="109"/>
        <w:gridCol w:w="425"/>
        <w:gridCol w:w="1403"/>
        <w:gridCol w:w="236"/>
        <w:gridCol w:w="109"/>
        <w:gridCol w:w="109"/>
        <w:gridCol w:w="109"/>
        <w:gridCol w:w="286"/>
        <w:gridCol w:w="944"/>
        <w:gridCol w:w="158"/>
        <w:gridCol w:w="109"/>
        <w:gridCol w:w="109"/>
        <w:gridCol w:w="109"/>
        <w:gridCol w:w="415"/>
        <w:gridCol w:w="1369"/>
        <w:gridCol w:w="332"/>
      </w:tblGrid>
      <w:tr>
        <w:trPr/>
        <w:tc>
          <w:tcPr>
            <w:tcW w:w="82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377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7937"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13,332 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13,780 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1230"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5,244 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16,954 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18,567 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17,462 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19,024 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unconsolidated VIEs are described below.</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Limited Partnerships and LLCs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income were as follows:</w:t>
      </w:r>
    </w:p>
    <w:tbl>
      <w:tblPr>
        <w:tblW w:w="6745" w:type="dxa"/>
        <w:jc w:val="left"/>
        <w:tblInd w:w="0" w:type="dxa"/>
        <w:tblLayout w:type="fixed"/>
        <w:tblCellMar>
          <w:top w:w="28" w:type="dxa"/>
          <w:left w:w="28" w:type="dxa"/>
          <w:bottom w:w="28" w:type="dxa"/>
          <w:right w:w="28" w:type="dxa"/>
        </w:tblCellMar>
      </w:tblPr>
      <w:tblGrid>
        <w:gridCol w:w="1335"/>
        <w:gridCol w:w="1176"/>
        <w:gridCol w:w="1179"/>
        <w:gridCol w:w="109"/>
        <w:gridCol w:w="109"/>
        <w:gridCol w:w="162"/>
        <w:gridCol w:w="162"/>
        <w:gridCol w:w="291"/>
        <w:gridCol w:w="827"/>
        <w:gridCol w:w="162"/>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Investment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(1)Investment gains (losses) related to trading securities still held were ($10) million and $6 million for the three months ended March 31, 2026 and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net investment income pertaining to other limited partnership interests of $64 million and $56 million for the three months ended March 31, 2026 and 2025,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Investment Gains (Losses)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investment gains (losses) were as follows:</w:t>
      </w:r>
    </w:p>
    <w:tbl>
      <w:tblPr>
        <w:tblW w:w="5513" w:type="dxa"/>
        <w:jc w:val="left"/>
        <w:tblInd w:w="0" w:type="dxa"/>
        <w:tblLayout w:type="fixed"/>
        <w:tblCellMar>
          <w:top w:w="28" w:type="dxa"/>
          <w:left w:w="28" w:type="dxa"/>
          <w:bottom w:w="28" w:type="dxa"/>
          <w:right w:w="28" w:type="dxa"/>
        </w:tblCellMar>
      </w:tblPr>
      <w:tblGrid>
        <w:gridCol w:w="946"/>
        <w:gridCol w:w="828"/>
        <w:gridCol w:w="835"/>
        <w:gridCol w:w="109"/>
        <w:gridCol w:w="109"/>
        <w:gridCol w:w="188"/>
        <w:gridCol w:w="188"/>
        <w:gridCol w:w="338"/>
        <w:gridCol w:w="701"/>
        <w:gridCol w:w="188"/>
        <w:gridCol w:w="109"/>
        <w:gridCol w:w="109"/>
        <w:gridCol w:w="109"/>
        <w:gridCol w:w="196"/>
        <w:gridCol w:w="40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Limited partnerships and LLCs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net investment gains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Gains (losses) from foreign currency transactions included within net investment gains (losses) were not significant for both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605" cy="14605"/>
                <wp:effectExtent l="0" t="0" r="0" b="0"/>
                <wp:wrapNone/>
                <wp:docPr id="34" name="Frame3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Investments (continued)</w:t>
      </w: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5124" w:type="dxa"/>
        <w:jc w:val="left"/>
        <w:tblInd w:w="0" w:type="dxa"/>
        <w:tblLayout w:type="fixed"/>
        <w:tblCellMar>
          <w:top w:w="28" w:type="dxa"/>
          <w:left w:w="28" w:type="dxa"/>
          <w:bottom w:w="28" w:type="dxa"/>
          <w:right w:w="28" w:type="dxa"/>
        </w:tblCellMar>
      </w:tblPr>
      <w:tblGrid>
        <w:gridCol w:w="797"/>
        <w:gridCol w:w="701"/>
        <w:gridCol w:w="706"/>
        <w:gridCol w:w="109"/>
        <w:gridCol w:w="109"/>
        <w:gridCol w:w="185"/>
        <w:gridCol w:w="185"/>
        <w:gridCol w:w="333"/>
        <w:gridCol w:w="716"/>
        <w:gridCol w:w="185"/>
        <w:gridCol w:w="109"/>
        <w:gridCol w:w="109"/>
        <w:gridCol w:w="109"/>
        <w:gridCol w:w="196"/>
        <w:gridCol w:w="42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Proceeds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top w:val="doub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doub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Accounting for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10 of the Notes to the Consolidated Financial Statements included in the 2025 Annual Report for a description of the Company’s accounting policies for derivatives and the fair value hierarchy for derivatives and the related valuation methodologies.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Types of Derivative Instruments and Derivative Strategies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overall risk management strategy that incorporates the use of derivative instruments to minimize its exposure to various market risks. 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Commonly used derivative instruments include, but are not necessarily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Interest rate derivatives: swaps, floors, caps, futures, options and forwards;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currency exchange rate derivatives: forwards and swaps;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Equity market derivatives: futures, options and total return swaps;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Credit derivatives: index reference credit default swaps.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detailed information on these contracts and the related strategies, see Note 9 of the Notes to the Consolidated Financial Statements included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Primary Risks Managed by Derivatives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primary underlying risk exposure, gross notional amount and estimated fair value</w:t>
      </w:r>
      <w:r>
        <w:rPr>
          <w:color w:val="000000"/>
        </w:rPr>
        <w:t xml:space="preserve"> </w:t>
      </w:r>
      <w:r>
        <w:rPr>
          <w:rFonts w:ascii="Times New Roman;serif" w:hAnsi="Times New Roman;serif"/>
          <w:b w:val="false"/>
          <w:color w:val="000000"/>
          <w:sz w:val="20"/>
        </w:rPr>
        <w:t>of derivatives, excluding embedded derivatives, held were as follows at:</w:t>
      </w:r>
    </w:p>
    <w:tbl>
      <w:tblPr>
        <w:tblW w:w="10685" w:type="dxa"/>
        <w:jc w:val="left"/>
        <w:tblInd w:w="0" w:type="dxa"/>
        <w:tblLayout w:type="fixed"/>
        <w:tblCellMar>
          <w:top w:w="28" w:type="dxa"/>
          <w:left w:w="28" w:type="dxa"/>
          <w:bottom w:w="28" w:type="dxa"/>
          <w:right w:w="28" w:type="dxa"/>
        </w:tblCellMar>
      </w:tblPr>
      <w:tblGrid>
        <w:gridCol w:w="457"/>
        <w:gridCol w:w="191"/>
        <w:gridCol w:w="193"/>
        <w:gridCol w:w="840"/>
        <w:gridCol w:w="735"/>
        <w:gridCol w:w="736"/>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restart"/>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Primary Underlying Risk Exposure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Estimated Fair Value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Liabilities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3152" w:type="dxa"/>
            <w:gridSpan w:val="6"/>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qualifying hedges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floors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Credit default swaps — written</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futures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index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total return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145,209 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non-designated or non-qualifying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346,738 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300,459 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350,970 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8,448 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304,733 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and location of gains (losses), including earned income, recognized for derivatives and gains (losses) pertaining to hedged items reported in net derivative gains (losses)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73"/>
        <w:gridCol w:w="538"/>
        <w:gridCol w:w="543"/>
        <w:gridCol w:w="422"/>
        <w:gridCol w:w="940"/>
        <w:gridCol w:w="237"/>
        <w:gridCol w:w="109"/>
        <w:gridCol w:w="109"/>
        <w:gridCol w:w="109"/>
        <w:gridCol w:w="436"/>
        <w:gridCol w:w="904"/>
        <w:gridCol w:w="243"/>
        <w:gridCol w:w="109"/>
        <w:gridCol w:w="109"/>
        <w:gridCol w:w="109"/>
        <w:gridCol w:w="330"/>
        <w:gridCol w:w="558"/>
        <w:gridCol w:w="186"/>
        <w:gridCol w:w="109"/>
        <w:gridCol w:w="109"/>
        <w:gridCol w:w="109"/>
        <w:gridCol w:w="362"/>
        <w:gridCol w:w="751"/>
        <w:gridCol w:w="202"/>
        <w:gridCol w:w="109"/>
        <w:gridCol w:w="109"/>
        <w:gridCol w:w="109"/>
        <w:gridCol w:w="331"/>
        <w:gridCol w:w="671"/>
        <w:gridCol w:w="270"/>
      </w:tblGrid>
      <w:tr>
        <w:trPr/>
        <w:tc>
          <w:tcPr>
            <w:tcW w:w="9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 of Gains (Losses) Deferred in AOCI</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 xml:space="preserve">Derivatives Designated as Hedging Instruments: </w:t>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cash flow hedges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non-qualifying hedges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balance in AOCI associated with cash flow hedges was $323 million and $224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426"/>
        <w:gridCol w:w="375"/>
        <w:gridCol w:w="376"/>
        <w:gridCol w:w="109"/>
        <w:gridCol w:w="109"/>
        <w:gridCol w:w="109"/>
        <w:gridCol w:w="296"/>
        <w:gridCol w:w="500"/>
        <w:gridCol w:w="166"/>
        <w:gridCol w:w="109"/>
        <w:gridCol w:w="109"/>
        <w:gridCol w:w="109"/>
        <w:gridCol w:w="334"/>
        <w:gridCol w:w="950"/>
        <w:gridCol w:w="188"/>
        <w:gridCol w:w="109"/>
        <w:gridCol w:w="109"/>
        <w:gridCol w:w="109"/>
        <w:gridCol w:w="357"/>
        <w:gridCol w:w="357"/>
        <w:gridCol w:w="358"/>
        <w:gridCol w:w="109"/>
        <w:gridCol w:w="109"/>
        <w:gridCol w:w="109"/>
        <w:gridCol w:w="296"/>
        <w:gridCol w:w="500"/>
        <w:gridCol w:w="166"/>
        <w:gridCol w:w="109"/>
        <w:gridCol w:w="109"/>
        <w:gridCol w:w="109"/>
        <w:gridCol w:w="397"/>
        <w:gridCol w:w="853"/>
        <w:gridCol w:w="222"/>
        <w:gridCol w:w="109"/>
        <w:gridCol w:w="109"/>
        <w:gridCol w:w="109"/>
        <w:gridCol w:w="326"/>
        <w:gridCol w:w="326"/>
        <w:gridCol w:w="474"/>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77"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Weighted Average Years to Maturity (2)</w:t>
            </w:r>
          </w:p>
        </w:tc>
      </w:tr>
      <w:tr>
        <w:trPr/>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Counterparty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for a description of the impact of credit risk on the valuation of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Derivatives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501"/>
        <w:gridCol w:w="265"/>
        <w:gridCol w:w="267"/>
        <w:gridCol w:w="109"/>
        <w:gridCol w:w="109"/>
        <w:gridCol w:w="109"/>
        <w:gridCol w:w="264"/>
        <w:gridCol w:w="752"/>
        <w:gridCol w:w="148"/>
        <w:gridCol w:w="109"/>
        <w:gridCol w:w="109"/>
        <w:gridCol w:w="109"/>
        <w:gridCol w:w="308"/>
        <w:gridCol w:w="732"/>
        <w:gridCol w:w="134"/>
        <w:gridCol w:w="134"/>
        <w:gridCol w:w="134"/>
        <w:gridCol w:w="134"/>
        <w:gridCol w:w="261"/>
        <w:gridCol w:w="795"/>
        <w:gridCol w:w="145"/>
        <w:gridCol w:w="109"/>
        <w:gridCol w:w="109"/>
        <w:gridCol w:w="109"/>
        <w:gridCol w:w="202"/>
        <w:gridCol w:w="573"/>
        <w:gridCol w:w="112"/>
        <w:gridCol w:w="109"/>
        <w:gridCol w:w="109"/>
        <w:gridCol w:w="109"/>
        <w:gridCol w:w="294"/>
        <w:gridCol w:w="902"/>
        <w:gridCol w:w="163"/>
        <w:gridCol w:w="109"/>
        <w:gridCol w:w="109"/>
        <w:gridCol w:w="109"/>
        <w:gridCol w:w="345"/>
        <w:gridCol w:w="716"/>
        <w:gridCol w:w="289"/>
      </w:tblGrid>
      <w:tr>
        <w:trPr/>
        <w:tc>
          <w:tcPr>
            <w:tcW w:w="5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Financial Instruments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Net Amount After Securities Collateral</w:t>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(1,391)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(6,226)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amounts subject to an enforceable master netting agreement or similar agreement.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offset recognized derivative assets and liabilities subject to master netting agreements on the consolidated balance sheets except for derivative instruments executed with the same counterparty but under different credit support annexes. As of March 31, 2026, $1.5 billion of recognized derivative assets were offset by $1.5 billion of recognized derivative liabilities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7973"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287"/>
        <w:gridCol w:w="814"/>
        <w:gridCol w:w="159"/>
        <w:gridCol w:w="109"/>
        <w:gridCol w:w="109"/>
        <w:gridCol w:w="109"/>
        <w:gridCol w:w="334"/>
        <w:gridCol w:w="948"/>
        <w:gridCol w:w="262"/>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Considerable judgment is often required in interpreting market data to develop estimates of fair value, and the use of different assumptions or valuation methodologies may have a material effect on the estimated fair value amounts.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9728"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38,336 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8,879 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6,102 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3,414 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81,232 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7,715 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8,448 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80,821 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167,350 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173,276 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8,564 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5,694 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7,863 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10,666 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27,093 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9728"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38,909 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82,014 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6,779 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85,528 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177,242 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25,703 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(2)Embedded derivative assets on index-linked annuities relate to reinsurance and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2026.</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Determination of Fair Value</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corporate and foreign corporate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U.S. government and agency, state and political subdivision and foreign government securities:</w:t>
      </w:r>
      <w:r>
        <w:rPr>
          <w:color w:val="000000"/>
        </w:rPr>
        <w:t xml:space="preserve"> </w:t>
      </w:r>
      <w:r>
        <w:rPr>
          <w:rFonts w:ascii="Times New Roman;serif" w:hAnsi="Times New Roman;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Structured Securities:</w:t>
      </w:r>
      <w:r>
        <w:rPr>
          <w:color w:val="000000"/>
        </w:rPr>
        <w:t xml:space="preserve"> </w:t>
      </w:r>
      <w:r>
        <w:rPr>
          <w:rFonts w:ascii="Times New Roman;serif" w:hAnsi="Times New Roman;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Equity securities and short-term investments:</w:t>
      </w:r>
      <w:r>
        <w:rPr>
          <w:color w:val="000000"/>
        </w:rPr>
        <w:t xml:space="preserve"> </w:t>
      </w:r>
      <w:r>
        <w:rPr>
          <w:rFonts w:ascii="Times New Roman;serif" w:hAnsi="Times New Roman;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Market Risk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MRBs principally include guaranteed minimum benefits on variable annuity contracts including benefits reinsured related to these guarantees.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Embedded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tbl>
      <w:tblPr>
        <w:tblW w:w="10205" w:type="dxa"/>
        <w:jc w:val="left"/>
        <w:tblInd w:w="0" w:type="dxa"/>
        <w:tblLayout w:type="fixed"/>
        <w:tblCellMar>
          <w:top w:w="28" w:type="dxa"/>
          <w:left w:w="28" w:type="dxa"/>
          <w:bottom w:w="28" w:type="dxa"/>
          <w:right w:w="28" w:type="dxa"/>
        </w:tblCellMar>
      </w:tblPr>
      <w:tblGrid>
        <w:gridCol w:w="460"/>
        <w:gridCol w:w="404"/>
        <w:gridCol w:w="406"/>
        <w:gridCol w:w="155"/>
        <w:gridCol w:w="155"/>
        <w:gridCol w:w="155"/>
        <w:gridCol w:w="422"/>
        <w:gridCol w:w="299"/>
        <w:gridCol w:w="233"/>
        <w:gridCol w:w="109"/>
        <w:gridCol w:w="109"/>
        <w:gridCol w:w="109"/>
        <w:gridCol w:w="253"/>
        <w:gridCol w:w="253"/>
        <w:gridCol w:w="253"/>
        <w:gridCol w:w="594"/>
        <w:gridCol w:w="321"/>
        <w:gridCol w:w="318"/>
        <w:gridCol w:w="109"/>
        <w:gridCol w:w="109"/>
        <w:gridCol w:w="109"/>
        <w:gridCol w:w="160"/>
        <w:gridCol w:w="160"/>
        <w:gridCol w:w="141"/>
        <w:gridCol w:w="110"/>
        <w:gridCol w:w="110"/>
        <w:gridCol w:w="110"/>
        <w:gridCol w:w="153"/>
        <w:gridCol w:w="153"/>
        <w:gridCol w:w="154"/>
        <w:gridCol w:w="109"/>
        <w:gridCol w:w="109"/>
        <w:gridCol w:w="109"/>
        <w:gridCol w:w="161"/>
        <w:gridCol w:w="161"/>
        <w:gridCol w:w="139"/>
        <w:gridCol w:w="115"/>
        <w:gridCol w:w="115"/>
        <w:gridCol w:w="115"/>
        <w:gridCol w:w="153"/>
        <w:gridCol w:w="153"/>
        <w:gridCol w:w="154"/>
        <w:gridCol w:w="109"/>
        <w:gridCol w:w="109"/>
        <w:gridCol w:w="109"/>
        <w:gridCol w:w="493"/>
        <w:gridCol w:w="493"/>
        <w:gridCol w:w="713"/>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restart"/>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Impact of Increase in Input on Estimated Fair Value</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08" w:type="dxa"/>
            <w:gridSpan w:val="18"/>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Variable annuity guaranteed minimum benefits</w:t>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Discounted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0.04%</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0.04%</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Increase (3)</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11.82%</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29.80%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11.56%</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33.62%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Increase (5)</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0.64%</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0.45%</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r>
        <w:trPr/>
        <w:tc>
          <w:tcPr>
            <w:tcW w:w="5008" w:type="dxa"/>
            <w:gridSpan w:val="18"/>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Registered index-linked annuity crediting rates</w:t>
            </w:r>
          </w:p>
        </w:tc>
        <w:tc>
          <w:tcPr>
            <w:tcW w:w="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0.03%</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0.03%</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(1)</w:t>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0.40%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0.40%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(2)</w:t>
            </w:r>
          </w:p>
        </w:tc>
      </w:tr>
      <w:tr>
        <w:trPr/>
        <w:tc>
          <w:tcPr>
            <w:tcW w:w="127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0.50%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0.50%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r>
      <w:tr>
        <w:trPr/>
        <w:tc>
          <w:tcPr>
            <w:tcW w:w="127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0.70%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0.37%</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Decrease (6)</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measured at estimated fair value on a recurring basis using significant unobservable inputs (excluding MRBs disclosed in Note 4) were summarized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79"/>
        <w:gridCol w:w="266"/>
        <w:gridCol w:w="270"/>
        <w:gridCol w:w="109"/>
        <w:gridCol w:w="109"/>
        <w:gridCol w:w="109"/>
        <w:gridCol w:w="208"/>
        <w:gridCol w:w="537"/>
        <w:gridCol w:w="127"/>
        <w:gridCol w:w="109"/>
        <w:gridCol w:w="109"/>
        <w:gridCol w:w="109"/>
        <w:gridCol w:w="202"/>
        <w:gridCol w:w="453"/>
        <w:gridCol w:w="122"/>
        <w:gridCol w:w="109"/>
        <w:gridCol w:w="109"/>
        <w:gridCol w:w="109"/>
        <w:gridCol w:w="109"/>
        <w:gridCol w:w="109"/>
        <w:gridCol w:w="226"/>
        <w:gridCol w:w="509"/>
        <w:gridCol w:w="138"/>
        <w:gridCol w:w="109"/>
        <w:gridCol w:w="109"/>
        <w:gridCol w:w="109"/>
        <w:gridCol w:w="109"/>
        <w:gridCol w:w="109"/>
        <w:gridCol w:w="188"/>
        <w:gridCol w:w="423"/>
        <w:gridCol w:w="113"/>
        <w:gridCol w:w="109"/>
        <w:gridCol w:w="109"/>
        <w:gridCol w:w="109"/>
        <w:gridCol w:w="226"/>
        <w:gridCol w:w="508"/>
        <w:gridCol w:w="138"/>
        <w:gridCol w:w="109"/>
        <w:gridCol w:w="109"/>
        <w:gridCol w:w="109"/>
        <w:gridCol w:w="210"/>
        <w:gridCol w:w="471"/>
        <w:gridCol w:w="127"/>
        <w:gridCol w:w="109"/>
        <w:gridCol w:w="109"/>
        <w:gridCol w:w="109"/>
        <w:gridCol w:w="226"/>
        <w:gridCol w:w="699"/>
        <w:gridCol w:w="138"/>
        <w:gridCol w:w="109"/>
        <w:gridCol w:w="167"/>
      </w:tblGrid>
      <w:tr>
        <w:trPr/>
        <w:tc>
          <w:tcPr>
            <w:tcW w:w="6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Measurements Using Significant Unobservable Inputs (Level 3)</w:t>
            </w:r>
          </w:p>
        </w:tc>
        <w:tc>
          <w:tcPr>
            <w:tcW w:w="2801" w:type="dxa"/>
            <w:gridSpan w:val="14"/>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801" w:type="dxa"/>
            <w:gridSpan w:val="14"/>
            <w:tcBorders/>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(10,597)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(11,493)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March 31, 2026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March 31, 2026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net income (loss) for the instruments still held at March 31, 2025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Changes in unrealized gains (losses) included in OCI for the instruments still held as of March 31, 2025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(4)Interest and dividend accruals, as well as cash interest coupons and dividends received, are excluded from the rollforward.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(5)Items purchased/issued and then sold/settled in the same period are excluded from the rollforward. Fees attributed to embedded derivatives are included in settlements.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estimated fair values for such financial instruments, and their corresponding placement in the fair value hierarchy, are summarized as follows at:</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22,620 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21,486 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8,009 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28,231 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28,093 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Fair Value (continued)</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21,732 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8,197 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Preferred stock shares authorized, issued and outstanding were as follows at both March 31, 2026 and December 31, 2025:</w:t>
      </w:r>
    </w:p>
    <w:tbl>
      <w:tblPr>
        <w:tblW w:w="8916" w:type="dxa"/>
        <w:jc w:val="left"/>
        <w:tblInd w:w="0" w:type="dxa"/>
        <w:tblLayout w:type="fixed"/>
        <w:tblCellMar>
          <w:top w:w="28" w:type="dxa"/>
          <w:left w:w="28" w:type="dxa"/>
          <w:bottom w:w="28" w:type="dxa"/>
          <w:right w:w="28" w:type="dxa"/>
        </w:tblCellMar>
      </w:tblPr>
      <w:tblGrid>
        <w:gridCol w:w="1364"/>
        <w:gridCol w:w="1195"/>
        <w:gridCol w:w="1205"/>
        <w:gridCol w:w="109"/>
        <w:gridCol w:w="109"/>
        <w:gridCol w:w="109"/>
        <w:gridCol w:w="554"/>
        <w:gridCol w:w="497"/>
        <w:gridCol w:w="481"/>
        <w:gridCol w:w="109"/>
        <w:gridCol w:w="109"/>
        <w:gridCol w:w="109"/>
        <w:gridCol w:w="354"/>
        <w:gridCol w:w="354"/>
        <w:gridCol w:w="356"/>
        <w:gridCol w:w="109"/>
        <w:gridCol w:w="109"/>
        <w:gridCol w:w="109"/>
        <w:gridCol w:w="460"/>
        <w:gridCol w:w="460"/>
        <w:gridCol w:w="655"/>
      </w:tblGrid>
      <w:tr>
        <w:trPr/>
        <w:tc>
          <w:tcPr>
            <w:tcW w:w="136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Shares Outstanding</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6.600% Non-Cumulative Preferred Stock, 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6.750% Non-Cumulative Preferred Stock,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5.375% Non-Cumulative Preferred Stock, 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4.625% Non-Cumulative Preferred Stock, Series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Not designated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99,929,900 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70,100 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70,100 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 share and aggregate dividends declared for BHF’s preferred stock by series were as follows:</w:t>
      </w:r>
    </w:p>
    <w:tbl>
      <w:tblPr>
        <w:tblW w:w="6987"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63"/>
        <w:gridCol w:w="163"/>
        <w:gridCol w:w="163"/>
        <w:gridCol w:w="163"/>
        <w:gridCol w:w="163"/>
        <w:gridCol w:w="163"/>
        <w:gridCol w:w="293"/>
        <w:gridCol w:w="966"/>
        <w:gridCol w:w="163"/>
        <w:gridCol w:w="109"/>
        <w:gridCol w:w="109"/>
        <w:gridCol w:w="109"/>
        <w:gridCol w:w="268"/>
        <w:gridCol w:w="453"/>
        <w:gridCol w:w="150"/>
        <w:gridCol w:w="109"/>
        <w:gridCol w:w="109"/>
        <w:gridCol w:w="109"/>
        <w:gridCol w:w="196"/>
        <w:gridCol w:w="646"/>
        <w:gridCol w:w="109"/>
        <w:gridCol w:w="109"/>
        <w:gridCol w:w="109"/>
        <w:gridCol w:w="109"/>
        <w:gridCol w:w="263"/>
        <w:gridCol w:w="445"/>
        <w:gridCol w:w="20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19" w:type="dxa"/>
            <w:gridSpan w:val="18"/>
            <w:tcBorders/>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521" w:type="dxa"/>
            <w:gridSpan w:val="12"/>
            <w:tcBorders/>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 Share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r>
          </w:p>
        </w:tc>
      </w:tr>
      <w:tr>
        <w:trPr/>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1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Repurchase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repurchase any shares of its common stock during the three months ended March 31, 2026. During the three months ended March 31, 2025, BHF repurchased 1,062,596 shares of its common stock through open market purchases, pursuant to Rule 10b5-1 plans, for $59 million. At March 31, 2026, BHF had $441 million remaining under its common stock repurchase program. Pursuant to the Merger Agreement, the Company has agreed that during the period beginning the date of the Merger Agreement through the earlier of the closing of the Merger and the termination of the Merger Agreement, it will not, subject to certain exceptions, purchase directly or indirectly any of BHF’s or its subsidiaries’ capital stock or other equity or voting interests of BHF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 (continued)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changes in the balances of each component of AOCI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55"/>
        <w:gridCol w:w="462"/>
        <w:gridCol w:w="464"/>
        <w:gridCol w:w="109"/>
        <w:gridCol w:w="109"/>
        <w:gridCol w:w="109"/>
        <w:gridCol w:w="280"/>
        <w:gridCol w:w="851"/>
        <w:gridCol w:w="155"/>
        <w:gridCol w:w="109"/>
        <w:gridCol w:w="109"/>
        <w:gridCol w:w="109"/>
        <w:gridCol w:w="279"/>
        <w:gridCol w:w="601"/>
        <w:gridCol w:w="157"/>
        <w:gridCol w:w="109"/>
        <w:gridCol w:w="109"/>
        <w:gridCol w:w="109"/>
        <w:gridCol w:w="319"/>
        <w:gridCol w:w="931"/>
        <w:gridCol w:w="178"/>
        <w:gridCol w:w="109"/>
        <w:gridCol w:w="109"/>
        <w:gridCol w:w="109"/>
        <w:gridCol w:w="299"/>
        <w:gridCol w:w="849"/>
        <w:gridCol w:w="166"/>
        <w:gridCol w:w="109"/>
        <w:gridCol w:w="109"/>
        <w:gridCol w:w="109"/>
        <w:gridCol w:w="196"/>
        <w:gridCol w:w="354"/>
        <w:gridCol w:w="109"/>
        <w:gridCol w:w="109"/>
        <w:gridCol w:w="109"/>
        <w:gridCol w:w="109"/>
        <w:gridCol w:w="196"/>
        <w:gridCol w:w="579"/>
        <w:gridCol w:w="163"/>
      </w:tblGrid>
      <w:tr>
        <w:trPr/>
        <w:tc>
          <w:tcPr>
            <w:tcW w:w="6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Three Months Ended March 31, 2026</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(3,729)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(4,282)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(1,168)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(4,178)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(4,262)</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(1,168)</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(4,156)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5"/>
        <w:gridCol w:w="462"/>
        <w:gridCol w:w="464"/>
        <w:gridCol w:w="109"/>
        <w:gridCol w:w="109"/>
        <w:gridCol w:w="109"/>
        <w:gridCol w:w="280"/>
        <w:gridCol w:w="851"/>
        <w:gridCol w:w="155"/>
        <w:gridCol w:w="109"/>
        <w:gridCol w:w="109"/>
        <w:gridCol w:w="109"/>
        <w:gridCol w:w="279"/>
        <w:gridCol w:w="601"/>
        <w:gridCol w:w="157"/>
        <w:gridCol w:w="109"/>
        <w:gridCol w:w="109"/>
        <w:gridCol w:w="109"/>
        <w:gridCol w:w="319"/>
        <w:gridCol w:w="931"/>
        <w:gridCol w:w="178"/>
        <w:gridCol w:w="109"/>
        <w:gridCol w:w="109"/>
        <w:gridCol w:w="109"/>
        <w:gridCol w:w="299"/>
        <w:gridCol w:w="849"/>
        <w:gridCol w:w="166"/>
        <w:gridCol w:w="109"/>
        <w:gridCol w:w="109"/>
        <w:gridCol w:w="109"/>
        <w:gridCol w:w="196"/>
        <w:gridCol w:w="354"/>
        <w:gridCol w:w="109"/>
        <w:gridCol w:w="109"/>
        <w:gridCol w:w="109"/>
        <w:gridCol w:w="109"/>
        <w:gridCol w:w="196"/>
        <w:gridCol w:w="579"/>
        <w:gridCol w:w="163"/>
      </w:tblGrid>
      <w:tr>
        <w:trPr/>
        <w:tc>
          <w:tcPr>
            <w:tcW w:w="6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Three Months Ended March 31,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(5,278)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(4,403)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(1,625)</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(4,690)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(4,379)</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(1,625)</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(4,670)</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(1)See Note 7 for information on offsets to investments related to future policy benefits.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OCI related to foreign currency translation and defined benefit plan gains and losses.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effects of income taxes on amounts recorded to AOCI are also recognized in AOCI. These income tax effects are released from AOCI when the related activity is reclassified into results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Equity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240"/>
        <w:gridCol w:w="971"/>
        <w:gridCol w:w="978"/>
        <w:gridCol w:w="109"/>
        <w:gridCol w:w="109"/>
        <w:gridCol w:w="109"/>
        <w:gridCol w:w="120"/>
        <w:gridCol w:w="120"/>
        <w:gridCol w:w="120"/>
        <w:gridCol w:w="120"/>
        <w:gridCol w:w="216"/>
        <w:gridCol w:w="428"/>
        <w:gridCol w:w="120"/>
        <w:gridCol w:w="109"/>
        <w:gridCol w:w="109"/>
        <w:gridCol w:w="109"/>
        <w:gridCol w:w="196"/>
        <w:gridCol w:w="385"/>
        <w:gridCol w:w="109"/>
        <w:gridCol w:w="109"/>
        <w:gridCol w:w="109"/>
        <w:gridCol w:w="109"/>
        <w:gridCol w:w="1335"/>
        <w:gridCol w:w="1142"/>
        <w:gridCol w:w="1624"/>
      </w:tblGrid>
      <w:tr>
        <w:trPr/>
        <w:tc>
          <w:tcPr>
            <w:tcW w:w="124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AOCI Components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Consolidated Statements of Operations and Comprehensive Income (Loss) Locations</w:t>
            </w:r>
          </w:p>
        </w:tc>
      </w:tr>
      <w:tr>
        <w:trPr/>
        <w:tc>
          <w:tcPr>
            <w:tcW w:w="3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6"/>
            <w:tcBorders/>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1" w:type="dxa"/>
            <w:gridSpan w:val="12"/>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investment gains (losses)</w:t>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1"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unrealized investment gains (losses),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(losses) on derivatives -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1"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1"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Net derivative gains (losses)</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Gains (losses) on cash flow hedges,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Gains (losses) on cash flow hedges,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Defined benefit plans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Amortization of net actuarial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defined benefit plans,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defined benefit plans,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Total reclassifications,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revenues included 12b-1 fees of $64 million and $65 million for the three months ended March 31, 2026 and 2025, respectively,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on other expenses was as follows:</w:t>
      </w:r>
    </w:p>
    <w:tbl>
      <w:tblPr>
        <w:tblW w:w="8542" w:type="dxa"/>
        <w:jc w:val="left"/>
        <w:tblInd w:w="0" w:type="dxa"/>
        <w:tblLayout w:type="fixed"/>
        <w:tblCellMar>
          <w:top w:w="28" w:type="dxa"/>
          <w:left w:w="28" w:type="dxa"/>
          <w:bottom w:w="28" w:type="dxa"/>
          <w:right w:w="28" w:type="dxa"/>
        </w:tblCellMar>
      </w:tblPr>
      <w:tblGrid>
        <w:gridCol w:w="1917"/>
        <w:gridCol w:w="1685"/>
        <w:gridCol w:w="1693"/>
        <w:gridCol w:w="109"/>
        <w:gridCol w:w="109"/>
        <w:gridCol w:w="109"/>
        <w:gridCol w:w="109"/>
        <w:gridCol w:w="109"/>
        <w:gridCol w:w="185"/>
        <w:gridCol w:w="185"/>
        <w:gridCol w:w="333"/>
        <w:gridCol w:w="716"/>
        <w:gridCol w:w="185"/>
        <w:gridCol w:w="109"/>
        <w:gridCol w:w="109"/>
        <w:gridCol w:w="109"/>
        <w:gridCol w:w="196"/>
        <w:gridCol w:w="421"/>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Contracted services and other 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Transition services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 and other taxes, licenses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Separate account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Volume related costs, excluding compensation, net of DAC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Capitalization of DAC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additional information on the capitalization of DAC.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calculation of earnings per common share was as follows:</w:t>
      </w:r>
    </w:p>
    <w:tbl>
      <w:tblPr>
        <w:tblW w:w="9973" w:type="dxa"/>
        <w:jc w:val="left"/>
        <w:tblInd w:w="0" w:type="dxa"/>
        <w:tblLayout w:type="fixed"/>
        <w:tblCellMar>
          <w:top w:w="28" w:type="dxa"/>
          <w:left w:w="28" w:type="dxa"/>
          <w:bottom w:w="28" w:type="dxa"/>
          <w:right w:w="28" w:type="dxa"/>
        </w:tblCellMar>
      </w:tblPr>
      <w:tblGrid>
        <w:gridCol w:w="2142"/>
        <w:gridCol w:w="1888"/>
        <w:gridCol w:w="1895"/>
        <w:gridCol w:w="109"/>
        <w:gridCol w:w="109"/>
        <w:gridCol w:w="109"/>
        <w:gridCol w:w="151"/>
        <w:gridCol w:w="151"/>
        <w:gridCol w:w="369"/>
        <w:gridCol w:w="1192"/>
        <w:gridCol w:w="205"/>
        <w:gridCol w:w="148"/>
        <w:gridCol w:w="148"/>
        <w:gridCol w:w="148"/>
        <w:gridCol w:w="266"/>
        <w:gridCol w:w="734"/>
        <w:gridCol w:w="209"/>
      </w:tblGrid>
      <w:tr>
        <w:trPr/>
        <w:tc>
          <w:tcPr>
            <w:tcW w:w="214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653" w:type="dxa"/>
            <w:gridSpan w:val="6"/>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19" w:type="dxa"/>
            <w:gridSpan w:val="9"/>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 except share and per share data)</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57,331,474 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58,258,125 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Dilutive effect of share-based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57,331,474 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58,258,125 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2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2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dilutive effect of share-based awards is calculated using the treasury stock method, which assumes that the proceeds from the exercise of these instruments are used to repurchase shares of common stock at the average market price during the period. See Note 12 of the Notes to the Consolidated Financial Statements included in the 2025 Annual Report for further information on share-based compensation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both the three months ended March 31, 2026 and 2025, basic loss per common share equaled diluted loss per common share. Dilutive shares and diluted earnings per share are not applicable when a net loss is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2026.</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March 31, 2026, the Company estimates the aggregate range of reasonably possible losses to be up to approximately $10 million.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Sales Practices Claims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Insurance Class Actions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Richard A. Newton v. Brighthouse Life Insurance Company </w:t>
      </w:r>
      <w:r>
        <w:rPr>
          <w:rFonts w:ascii="Times New Roman;serif" w:hAnsi="Times New Roman;serif"/>
          <w:b w:val="false"/>
          <w:color w:val="000000"/>
          <w:sz w:val="20"/>
        </w:rPr>
        <w:t>(U.S. District Court, Northern District of Georgia, Atlanta Division, filed May 8, 2020). 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cost of insurance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 (continued)</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Lawrence Martin v. Brighthouse Life Insurance Company</w:t>
      </w:r>
      <w:r>
        <w:rPr>
          <w:color w:val="000000"/>
        </w:rPr>
        <w:t xml:space="preserve"> </w:t>
      </w:r>
      <w:r>
        <w:rPr>
          <w:rFonts w:ascii="Times New Roman;serif" w:hAnsi="Times New Roman;serif"/>
          <w:b w:val="false"/>
          <w:color w:val="000000"/>
          <w:sz w:val="20"/>
        </w:rPr>
        <w:t>(U.S. District Court, Southern District of New York, filed April 6, 2021). Plaintiff filed a 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On February 11, 2026, the United States Court of Appeals for the Second Circuit denied plaintiff’s petition. The Company intends to vigorously defend this matter.</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Kennedy v. Progress Software Corporation, et al</w:t>
      </w:r>
      <w:r>
        <w:rPr>
          <w:rFonts w:ascii="Times New Roman;serif" w:hAnsi="Times New Roman;serif"/>
          <w:b w:val="false"/>
          <w:color w:val="000000"/>
          <w:sz w:val="20"/>
        </w:rPr>
        <w:t>. (U.S.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Summary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Brighthouse Financial, Inc.</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Contingencies, Commitments and Guarantees (continued)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 Loss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March 31, 2026, the Company estimates the range of reasonably possible losses in excess of the amounts accrued for certain other loss contingencies to be from zero up to approximately</w:t>
      </w:r>
      <w:r>
        <w:rPr>
          <w:color w:val="000000"/>
          <w:shd w:fill="FFFFFF" w:val="clear"/>
        </w:rPr>
        <w:t xml:space="preserve"> </w:t>
      </w:r>
      <w:r>
        <w:rPr>
          <w:rFonts w:ascii="Times New Roman;serif" w:hAnsi="Times New Roman;serif"/>
          <w:b w:val="false"/>
          <w:color w:val="000000"/>
          <w:sz w:val="20"/>
        </w:rPr>
        <w:t>$100 million relating to certain tax and reinsurance matters, as described above. For certain other matters, the Company may not currently be able to estimate the reasonably possible loss or estimated range of loss until developments in such matters have provided sufficient information to support an assessment of such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Mortgage Loan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lend funds under mortgage loan commitments. The amounts of these mortgage loan commitments were $418 million and $436 million at March 31, 2026 and December 31, 2025, respectively.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Commitments to Fund Partnership Investments, Bank Credit Facilities and Private Corporate Bond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commits to fund partnership investments and to lend funds under bank credit facilities and private corporate bond investments. The amounts of these unfunded commitments were $1.4 billion at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liabilities recorded for indemnities, guarantees and commitments at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Management’s Discussion and Analysis of Financial Condition and Results of Operations</w:t>
      </w:r>
    </w:p>
    <w:tbl>
      <w:tblPr>
        <w:tblW w:w="4380" w:type="dxa"/>
        <w:jc w:val="center"/>
        <w:tblInd w:w="0" w:type="dxa"/>
        <w:tblLayout w:type="fixed"/>
        <w:tblCellMar>
          <w:top w:w="28" w:type="dxa"/>
          <w:left w:w="28" w:type="dxa"/>
          <w:bottom w:w="28" w:type="dxa"/>
          <w:right w:w="28" w:type="dxa"/>
        </w:tblCellMar>
      </w:tblPr>
      <w:tblGrid>
        <w:gridCol w:w="1380"/>
        <w:gridCol w:w="1211"/>
        <w:gridCol w:w="1218"/>
        <w:gridCol w:w="167"/>
        <w:gridCol w:w="167"/>
        <w:gridCol w:w="237"/>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295">
              <w:r>
                <w:rPr>
                  <w:rStyle w:val="InternetLink"/>
                  <w:rFonts w:ascii="Times New Roman;serif" w:hAnsi="Times New Roman;serif"/>
                  <w:b w:val="false"/>
                  <w:color w:val="0000FF"/>
                  <w:sz w:val="20"/>
                  <w:u w:val="single"/>
                </w:rPr>
                <w:t>Introduction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95">
              <w:r>
                <w:rPr>
                  <w:rStyle w:val="InternetLink"/>
                  <w:rFonts w:ascii="Times New Roman;serif" w:hAnsi="Times New Roman;serif"/>
                  <w:b w:val="false"/>
                  <w:color w:val="0000FF"/>
                  <w:sz w:val="20"/>
                  <w:u w:val="single"/>
                </w:rPr>
                <w:t>56</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298">
              <w:r>
                <w:rPr>
                  <w:rStyle w:val="InternetLink"/>
                  <w:rFonts w:ascii="Times New Roman;serif" w:hAnsi="Times New Roman;serif"/>
                  <w:b w:val="false"/>
                  <w:color w:val="0000FF"/>
                  <w:sz w:val="20"/>
                  <w:u w:val="single"/>
                </w:rPr>
                <w:t>Executive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298">
              <w:r>
                <w:rPr>
                  <w:rStyle w:val="InternetLink"/>
                  <w:rFonts w:ascii="Times New Roman;serif" w:hAnsi="Times New Roman;serif"/>
                  <w:b w:val="false"/>
                  <w:color w:val="0000FF"/>
                  <w:sz w:val="20"/>
                  <w:u w:val="single"/>
                </w:rPr>
                <w:t>56</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310">
              <w:r>
                <w:rPr>
                  <w:rStyle w:val="InternetLink"/>
                  <w:rFonts w:ascii="Times New Roman;serif" w:hAnsi="Times New Roman;serif"/>
                  <w:b w:val="false"/>
                  <w:color w:val="0000FF"/>
                  <w:sz w:val="20"/>
                  <w:u w:val="single"/>
                </w:rPr>
                <w:t>Recent Developments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310">
              <w:r>
                <w:rPr>
                  <w:rStyle w:val="InternetLink"/>
                  <w:rFonts w:ascii="Times New Roman;serif" w:hAnsi="Times New Roman;serif"/>
                  <w:b w:val="false"/>
                  <w:color w:val="0000FF"/>
                  <w:sz w:val="20"/>
                  <w:u w:val="single"/>
                </w:rPr>
                <w:t>57</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313">
              <w:r>
                <w:rPr>
                  <w:rStyle w:val="InternetLink"/>
                  <w:rFonts w:ascii="Times New Roman;serif" w:hAnsi="Times New Roman;serif"/>
                  <w:b w:val="false"/>
                  <w:color w:val="0000FF"/>
                  <w:sz w:val="20"/>
                  <w:u w:val="single"/>
                </w:rPr>
                <w:t>Industry Trends and Uncertainties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313">
              <w:r>
                <w:rPr>
                  <w:rStyle w:val="InternetLink"/>
                  <w:rFonts w:ascii="Times New Roman;serif" w:hAnsi="Times New Roman;serif"/>
                  <w:b w:val="false"/>
                  <w:color w:val="0000FF"/>
                  <w:sz w:val="20"/>
                  <w:u w:val="single"/>
                </w:rPr>
                <w:t>58</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334">
              <w:r>
                <w:rPr>
                  <w:rStyle w:val="InternetLink"/>
                  <w:rFonts w:ascii="Times New Roman;serif" w:hAnsi="Times New Roman;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334">
              <w:r>
                <w:rPr>
                  <w:rStyle w:val="InternetLink"/>
                  <w:rFonts w:ascii="Times New Roman;serif" w:hAnsi="Times New Roman;serif"/>
                  <w:b w:val="false"/>
                  <w:color w:val="0000FF"/>
                  <w:sz w:val="20"/>
                  <w:u w:val="single"/>
                </w:rPr>
                <w:t>59</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337">
              <w:r>
                <w:rPr>
                  <w:rStyle w:val="InternetLink"/>
                  <w:rFonts w:ascii="Times New Roman;serif" w:hAnsi="Times New Roman;serif"/>
                  <w:b w:val="false"/>
                  <w:color w:val="0000FF"/>
                  <w:sz w:val="20"/>
                  <w:u w:val="single"/>
                </w:rPr>
                <w:t>Non-GAAP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337">
              <w:r>
                <w:rPr>
                  <w:rStyle w:val="InternetLink"/>
                  <w:rFonts w:ascii="Times New Roman;serif" w:hAnsi="Times New Roman;serif"/>
                  <w:b w:val="false"/>
                  <w:color w:val="0000FF"/>
                  <w:sz w:val="20"/>
                  <w:u w:val="single"/>
                </w:rPr>
                <w:t>59</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340">
              <w:r>
                <w:rPr>
                  <w:rStyle w:val="InternetLink"/>
                  <w:rFonts w:ascii="Times New Roman;serif" w:hAnsi="Times New Roman;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340">
              <w:r>
                <w:rPr>
                  <w:rStyle w:val="InternetLink"/>
                  <w:rFonts w:ascii="Times New Roman;serif" w:hAnsi="Times New Roman;serif"/>
                  <w:b w:val="false"/>
                  <w:color w:val="0000FF"/>
                  <w:sz w:val="20"/>
                  <w:u w:val="single"/>
                </w:rPr>
                <w:t>61</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421">
              <w:r>
                <w:rPr>
                  <w:rStyle w:val="InternetLink"/>
                  <w:rFonts w:ascii="Times New Roman;serif" w:hAnsi="Times New Roman;serif"/>
                  <w:b w:val="false"/>
                  <w:color w:val="0000FF"/>
                  <w:sz w:val="20"/>
                  <w:u w:val="single"/>
                </w:rPr>
                <w:t>Investments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421">
              <w:r>
                <w:rPr>
                  <w:rStyle w:val="InternetLink"/>
                  <w:rFonts w:ascii="Times New Roman;serif" w:hAnsi="Times New Roman;serif"/>
                  <w:b w:val="false"/>
                  <w:color w:val="0000FF"/>
                  <w:sz w:val="20"/>
                  <w:u w:val="single"/>
                </w:rPr>
                <w:t>68</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472">
              <w:r>
                <w:rPr>
                  <w:rStyle w:val="InternetLink"/>
                  <w:rFonts w:ascii="Times New Roman;serif" w:hAnsi="Times New Roman;serif"/>
                  <w:b w:val="false"/>
                  <w:color w:val="0000FF"/>
                  <w:sz w:val="20"/>
                  <w:u w:val="single"/>
                </w:rPr>
                <w:t>Derivatives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472">
              <w:r>
                <w:rPr>
                  <w:rStyle w:val="InternetLink"/>
                  <w:rFonts w:ascii="Times New Roman;serif" w:hAnsi="Times New Roman;serif"/>
                  <w:b w:val="false"/>
                  <w:color w:val="0000FF"/>
                  <w:sz w:val="20"/>
                  <w:u w:val="single"/>
                </w:rPr>
                <w:t>78</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490">
              <w:r>
                <w:rPr>
                  <w:rStyle w:val="InternetLink"/>
                  <w:rFonts w:ascii="Times New Roman;serif" w:hAnsi="Times New Roman;serif"/>
                  <w:b w:val="false"/>
                  <w:color w:val="0000FF"/>
                  <w:sz w:val="20"/>
                  <w:u w:val="single"/>
                </w:rPr>
                <w:t>Policyholder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490">
              <w:r>
                <w:rPr>
                  <w:rStyle w:val="InternetLink"/>
                  <w:rFonts w:ascii="Times New Roman;serif" w:hAnsi="Times New Roman;serif"/>
                  <w:b w:val="false"/>
                  <w:color w:val="0000FF"/>
                  <w:sz w:val="20"/>
                  <w:u w:val="single"/>
                </w:rPr>
                <w:t>79</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11">
              <w:r>
                <w:rPr>
                  <w:rStyle w:val="InternetLink"/>
                  <w:rFonts w:ascii="Times New Roman;serif" w:hAnsi="Times New Roman;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511">
              <w:r>
                <w:rPr>
                  <w:rStyle w:val="InternetLink"/>
                  <w:rFonts w:ascii="Times New Roman;serif" w:hAnsi="Times New Roman;serif"/>
                  <w:b w:val="false"/>
                  <w:color w:val="0000FF"/>
                  <w:sz w:val="20"/>
                  <w:u w:val="single"/>
                </w:rPr>
                <w:t>81</w:t>
              </w:r>
            </w:hyperlink>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dcf02a87745ecaa05794f6780e69e_538">
              <w:r>
                <w:rPr>
                  <w:rStyle w:val="InternetLink"/>
                  <w:rFonts w:ascii="Times New Roman;serif" w:hAnsi="Times New Roman;serif"/>
                  <w:b w:val="false"/>
                  <w:color w:val="0000FF"/>
                  <w:sz w:val="20"/>
                  <w:u w:val="single"/>
                </w:rPr>
                <w:t>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cdcf02a87745ecaa05794f6780e69e_538">
              <w:r>
                <w:rPr>
                  <w:rStyle w:val="InternetLink"/>
                  <w:rFonts w:ascii="Times New Roman;serif" w:hAnsi="Times New Roman;serif"/>
                  <w:b w:val="false"/>
                  <w:color w:val="0000FF"/>
                  <w:sz w:val="20"/>
                  <w:u w:val="single"/>
                </w:rPr>
                <w:t>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2025 (the “2025 Annual Report”) filed with the U.S. Securities and Exchange Commission (“SEC”) on February 24, 2026; and (iii) our current reports on Form 8-K filed in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Executive Summary” provides summarized information regarding our business, segments and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Industry Trends and Uncertainties” discusses updates and changes to a number of trends and uncertainties included in our 2025 Annual Report that we believe may materially affect our future financial condition, results of operations or cash flows.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Summary of Critical Accounting Estimates” explains what we believe to be the most critical estimates and judgments applied in determining our results in accordance with accounting principles generally accepted in the United States of America (“GAAP”).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discussion and analysis presents a review for the three months ended March 31, 2026 and 2025 and period-over-period comparisons between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one of the largest providers of annuity and life insurance products in the U.S. through multiple independent distribution channels and marketing arrangements with a diverse network of distribution partners. We are organized into the following reportable segments: Annuities; Life; Run-off; and Corporate &amp; Other. See “Business — Segment Information” and “Management’s Discussion and Analysis of Financial Condition and Results of Operations — Executive Summary” included in our 2025 Annual Report, as well as Note 2 of the Notes to the Interim Condensed Consolidated Financial Statements for further information regarding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(loss) available to shareholders and adjusted earnings (loss), a non-GAAP financial measure, were as follows:</w:t>
      </w:r>
    </w:p>
    <w:tbl>
      <w:tblPr>
        <w:tblW w:w="10205" w:type="dxa"/>
        <w:jc w:val="left"/>
        <w:tblInd w:w="0" w:type="dxa"/>
        <w:tblLayout w:type="fixed"/>
        <w:tblCellMar>
          <w:top w:w="28" w:type="dxa"/>
          <w:left w:w="28" w:type="dxa"/>
          <w:bottom w:w="28" w:type="dxa"/>
          <w:right w:w="28" w:type="dxa"/>
        </w:tblCellMar>
      </w:tblPr>
      <w:tblGrid>
        <w:gridCol w:w="2641"/>
        <w:gridCol w:w="2291"/>
        <w:gridCol w:w="2300"/>
        <w:gridCol w:w="109"/>
        <w:gridCol w:w="109"/>
        <w:gridCol w:w="109"/>
        <w:gridCol w:w="141"/>
        <w:gridCol w:w="141"/>
        <w:gridCol w:w="254"/>
        <w:gridCol w:w="807"/>
        <w:gridCol w:w="141"/>
        <w:gridCol w:w="109"/>
        <w:gridCol w:w="109"/>
        <w:gridCol w:w="109"/>
        <w:gridCol w:w="196"/>
        <w:gridCol w:w="482"/>
        <w:gridCol w:w="157"/>
      </w:tblGrid>
      <w:tr>
        <w:trPr/>
        <w:tc>
          <w:tcPr>
            <w:tcW w:w="2641"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62" w:type="dxa"/>
            <w:gridSpan w:val="6"/>
            <w:tcBorders/>
          </w:tcPr>
          <w:p>
            <w:pPr>
              <w:pStyle w:val="TableContents"/>
              <w:bidi w:val="0"/>
              <w:spacing w:before="0" w:after="283"/>
              <w:jc w:val="left"/>
              <w:rPr>
                <w:sz w:val="4"/>
                <w:szCs w:val="4"/>
              </w:rPr>
            </w:pPr>
            <w:r>
              <w:rPr>
                <w:sz w:val="4"/>
                <w:szCs w:val="4"/>
              </w:rPr>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(1)We use the term “net income (loss) available to shareholders” to refer to “net income (loss) available to Brighthouse Financial, Inc.’s common shareholders” and “adjusted loss” to refer to negative adjusted earnings values throughout the results of operations discussions.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had a net loss available to shareholders of $792 million and adjusted earnings of $239 million compared to a net loss available to shareholders of $294 million and adjusted earnings of $235 million for the three months ended March 31, 2025. The net loss available to shareholders for the three months ended March 31, 2026 primarily reflects unfavorable changes in our variable annuity and Shield hedges, as well as the estimated fair value of our variable annuity guaranteed benefit riders net of Shield embedded derivatives due to market factors, and net investment losses on sales of fixed maturity securities. These unfavorable impacts were partially offset by favorable pre-tax adjusted earnings.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Non-GAAP Financial Disclosures.” See “— Results of Operations” for a detailed discussion of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was adopted by stockholders at the special meeting held on February 12, 2026, and the applicable waiting period under the Hart-Scott Rodino Antitrust Improvement Act of 1976, as amended, has expired. The Merger is expected to close in 2026. However, the completion of the Merger remains subject to the satisfaction or waiver of certain other customary conditions, including receipt of insurance regulatory approvals. See “Risks Related to the Merger — The completion of the Merger is subject to a number of conditions, many of which are largely outside the parties’ control, and, if these conditions are not satisfied or waived, the Merger may not be completed within the expected timeframe or at all”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Industry Trends and Uncertainties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2025 Annual Report, as amended or supplemented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Financial and Economic Environment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serif" w:hAnsi="Times New Roman;serif"/>
          <w:b/>
          <w:color w:val="000000"/>
          <w:sz w:val="13"/>
        </w:rPr>
        <w:t>®</w:t>
      </w:r>
      <w:r>
        <w:rPr>
          <w:color w:val="000000"/>
        </w:rPr>
        <w:t xml:space="preserve"> </w:t>
      </w:r>
      <w:r>
        <w:rPr>
          <w:rFonts w:ascii="Times New Roman;serif" w:hAnsi="Times New Roman;serif"/>
          <w:b w:val="false"/>
          <w:color w:val="000000"/>
          <w:sz w:val="20"/>
        </w:rPr>
        <w:t>Level Annuities (“Shield,” “Shield Annuity” and “Shield Annuities”) and other separate account products as a result of the effects it has on product demand, revenues, expenses, reserves and our risk management effectiveness. The Federal Reserve Board (the “Federal Reserve”) decreased the target range for the federal funds rate in September, October and December 2025,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closely monitor political and economic conditions that might contribute to market volatility and their impact on our business operations, investment portfolio and derivatives, such as global inflation, tariffs and sanctions imposed or threatened by the U.S. or foreign governments, higher fuel and energy costs, uncertainty and instability in certain asset classes (including commercial real estate and private credit), supply chain disruptions and recent geopolitical conflicts, including in Europe and the Middle East, as well as the risk of further escalation or expansion of such conflicts.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 Investments” included in our 2025 Annual Report for a detailed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Regulatory Developments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2025 Annual Report, as amended or supplemented by our quarterly reports under the heading “Management’s Discussion and Analysis of Financial Condition and Results of Operations — Industry Trends and Uncertainties — Regulatory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Summary of Critical Accounting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adopt accounting policies and make estimates and assumptions that affect amounts reported on the Interim Condensed Consolidated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liability for future policy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measurement of income taxes and the valuation of deferred tax assets.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critical accounting estimates are described in “Management’s Discussion and Analysis of Financial Condition and Results of Operations — Summary of Critical Accounting Estimates” and Note 1 of the Notes to the Consolidated Financial Statements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Disclosures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certain measures of our performance that are not calculated in accordance with GAAP. Our definitions of non-GAAP financial measures may differ from those used by other companies.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Earnings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which may be positive or negative, focuses on our primary businesses by excluding the impact of market volatility, which could distort trends.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gains (losses) on trading securities measured at estimated fair value through net investment income;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293"/>
        <w:gridCol w:w="257"/>
        <w:gridCol w:w="257"/>
        <w:gridCol w:w="777"/>
        <w:gridCol w:w="777"/>
        <w:gridCol w:w="496"/>
        <w:gridCol w:w="201"/>
        <w:gridCol w:w="201"/>
        <w:gridCol w:w="201"/>
        <w:gridCol w:w="1947"/>
        <w:gridCol w:w="1947"/>
        <w:gridCol w:w="285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2857" w:type="dxa"/>
            <w:gridSpan w:val="6"/>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Component of Adjusted Earnings</w:t>
            </w:r>
          </w:p>
        </w:tc>
        <w:tc>
          <w:tcPr>
            <w:tcW w:w="7348" w:type="dxa"/>
            <w:gridSpan w:val="6"/>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How Derived from GAAP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Universal life and investment-type product policy fees</w:t>
            </w:r>
            <w:r>
              <w:rPr>
                <w:color w:val="000000"/>
              </w:rPr>
              <w:t xml:space="preserve"> </w:t>
            </w:r>
            <w:r>
              <w:rPr>
                <w:rFonts w:ascii="Times New Roman;serif" w:hAnsi="Times New Roman;serif"/>
                <w:b w:val="false"/>
                <w:color w:val="000000"/>
                <w:sz w:val="20"/>
              </w:rPr>
              <w:t xml:space="preserve">plus </w:t>
            </w:r>
            <w:r>
              <w:rPr>
                <w:rFonts w:ascii="Times New Roman;serif" w:hAnsi="Times New Roman;serif"/>
                <w:b w:val="false"/>
                <w:i/>
                <w:color w:val="000000"/>
                <w:sz w:val="20"/>
              </w:rPr>
              <w:t>Other revenues</w:t>
            </w:r>
            <w:r>
              <w:rPr>
                <w:rFonts w:ascii="Times New Roman;serif" w:hAnsi="Times New Roman;serif"/>
                <w:b w:val="false"/>
                <w:color w:val="000000"/>
                <w:sz w:val="20"/>
              </w:rPr>
              <w:t>.</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spread</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Net investment income </w:t>
            </w:r>
            <w:r>
              <w:rPr>
                <w:rFonts w:ascii="Times New Roman;serif" w:hAnsi="Times New Roman;serif"/>
                <w:b w:val="false"/>
                <w:color w:val="000000"/>
                <w:sz w:val="20"/>
              </w:rPr>
              <w:t xml:space="preserve">(excluding investment gains (losses) on trading securities) plus Investment Hedge Adjustments reduced by </w:t>
            </w:r>
            <w:r>
              <w:rPr>
                <w:rFonts w:ascii="Times New Roman;serif" w:hAnsi="Times New Roman;serif"/>
                <w:b w:val="false"/>
                <w:i/>
                <w:color w:val="000000"/>
                <w:sz w:val="20"/>
              </w:rPr>
              <w:t xml:space="preserve">Interest credited to policyholder account balances </w:t>
            </w:r>
            <w:r>
              <w:rPr>
                <w:rFonts w:ascii="Times New Roman;serif" w:hAnsi="Times New Roman;serif"/>
                <w:b w:val="false"/>
                <w:color w:val="000000"/>
                <w:sz w:val="20"/>
              </w:rPr>
              <w:t>(excluding Market Value Adjustments) and interest on future policy benefits.</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Insurance-related activities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Premiums </w:t>
            </w:r>
            <w:r>
              <w:rPr>
                <w:rFonts w:ascii="Times New Roman;serif" w:hAnsi="Times New Roman;serif"/>
                <w:b w:val="false"/>
                <w:color w:val="000000"/>
                <w:sz w:val="20"/>
              </w:rPr>
              <w:t>less</w:t>
            </w:r>
            <w:r>
              <w:rPr>
                <w:color w:val="000000"/>
              </w:rPr>
              <w:t xml:space="preserve"> </w:t>
            </w:r>
            <w:r>
              <w:rPr>
                <w:rFonts w:ascii="Times New Roman;serif" w:hAnsi="Times New Roman;serif"/>
                <w:b w:val="false"/>
                <w:i/>
                <w:color w:val="000000"/>
                <w:sz w:val="20"/>
              </w:rPr>
              <w:t>Policyholder benefits and claims</w:t>
            </w:r>
            <w:r>
              <w:rPr>
                <w:rFonts w:ascii="Times New Roman;serif" w:hAnsi="Times New Roman;serif"/>
                <w:b w:val="false"/>
                <w:color w:val="000000"/>
                <w:sz w:val="20"/>
              </w:rPr>
              <w:t>, excluding interest on future policy benefits.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DAC and VOBA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Amortization of deferred policy acquisition costs (“DAC”) and value of business acquired (“VOBA”)</w:t>
            </w:r>
            <w:r>
              <w:rPr>
                <w:rFonts w:ascii="Times New Roman;serif" w:hAnsi="Times New Roman;serif"/>
                <w:b w:val="false"/>
                <w:color w:val="000000"/>
                <w:sz w:val="20"/>
              </w:rPr>
              <w:t>.</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expenses.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 (benefit)</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(1)Italicized items indicate GAAP statements of operations line items.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GAAP guidance for segment reporting, adjusted earnings is also our GAAP measure of segment performance. Accordingly, we report adjusted earnings by segment in Note 2 of the Notes to the Interim Condensed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Net Investment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 For a reconciliation of adjusted net investment income to net investment income, the most directly comparable GAAP measure, see table note (3) to the summary yield table located in “— Investments — Current Environment — Investment Portfolio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Net Investment Income Yield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for the Three Months Ended March 31,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noted, all amounts in the following discussions of our results of operations are stated before income tax except for adjusted earnings, which are presented net of income tax.</w:t>
      </w:r>
    </w:p>
    <w:tbl>
      <w:tblPr>
        <w:tblW w:w="10205" w:type="dxa"/>
        <w:jc w:val="left"/>
        <w:tblInd w:w="0" w:type="dxa"/>
        <w:tblLayout w:type="fixed"/>
        <w:tblCellMar>
          <w:top w:w="28" w:type="dxa"/>
          <w:left w:w="28" w:type="dxa"/>
          <w:bottom w:w="28" w:type="dxa"/>
          <w:right w:w="28" w:type="dxa"/>
        </w:tblCellMar>
      </w:tblPr>
      <w:tblGrid>
        <w:gridCol w:w="2596"/>
        <w:gridCol w:w="2273"/>
        <w:gridCol w:w="2301"/>
        <w:gridCol w:w="109"/>
        <w:gridCol w:w="109"/>
        <w:gridCol w:w="109"/>
        <w:gridCol w:w="164"/>
        <w:gridCol w:w="164"/>
        <w:gridCol w:w="297"/>
        <w:gridCol w:w="747"/>
        <w:gridCol w:w="164"/>
        <w:gridCol w:w="109"/>
        <w:gridCol w:w="109"/>
        <w:gridCol w:w="109"/>
        <w:gridCol w:w="196"/>
        <w:gridCol w:w="490"/>
        <w:gridCol w:w="159"/>
      </w:tblGrid>
      <w:tr>
        <w:trPr/>
        <w:tc>
          <w:tcPr>
            <w:tcW w:w="259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72" w:type="dxa"/>
            <w:gridSpan w:val="6"/>
            <w:tcBorders/>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Universal life and investment-type product policy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Policyholder benefits and claims (including liability remeasurement gains (losses) of $0 and $0,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credited to policyholder account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2,513 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Brighthouse Financial, Inc.’s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income (loss) available to shareholders were as follows:</w:t>
      </w:r>
    </w:p>
    <w:tbl>
      <w:tblPr>
        <w:tblW w:w="10205" w:type="dxa"/>
        <w:jc w:val="left"/>
        <w:tblInd w:w="0" w:type="dxa"/>
        <w:tblLayout w:type="fixed"/>
        <w:tblCellMar>
          <w:top w:w="28" w:type="dxa"/>
          <w:left w:w="28" w:type="dxa"/>
          <w:bottom w:w="28" w:type="dxa"/>
          <w:right w:w="28" w:type="dxa"/>
        </w:tblCellMar>
      </w:tblPr>
      <w:tblGrid>
        <w:gridCol w:w="2671"/>
        <w:gridCol w:w="2281"/>
        <w:gridCol w:w="2292"/>
        <w:gridCol w:w="109"/>
        <w:gridCol w:w="109"/>
        <w:gridCol w:w="109"/>
        <w:gridCol w:w="158"/>
        <w:gridCol w:w="158"/>
        <w:gridCol w:w="285"/>
        <w:gridCol w:w="710"/>
        <w:gridCol w:w="158"/>
        <w:gridCol w:w="109"/>
        <w:gridCol w:w="109"/>
        <w:gridCol w:w="109"/>
        <w:gridCol w:w="196"/>
        <w:gridCol w:w="483"/>
        <w:gridCol w:w="159"/>
      </w:tblGrid>
      <w:tr>
        <w:trPr/>
        <w:tc>
          <w:tcPr>
            <w:tcW w:w="267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65" w:type="dxa"/>
            <w:gridSpan w:val="6"/>
            <w:tcBorders/>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 in market risk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gains (losses) on trading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derivative gains (losses), excluding investment hedge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2026 Compared with the 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available to shareholders before provision for income tax was $1.0 billion ($792 million, net of income tax), a higher loss of $632 million ($498 million, net of income tax) from loss available to shareholders before provision for income tax of $382 million ($294 million, net of income tax)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loss before provision for income tax was driven by the following unfavorable items: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losses from variable annuity guaranteed benefit riders, see “— Annuity Guaranteed Benefits and Shield Annuity Liabilities for the Three Months Ended March 31, 2026 and 2025”;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losses from the impact of interest rates on derivatives used to manage interest rate exposure in our universal life with secondary guarantees (“ULSG”) business, as long-term rates increased in the current period and decreased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loss before provision for income tax was partially offset by the following favorable items: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U.S. dollar strengthening in the current period and weakening in the prior period, favorably impacting foreign currency forwards and swaps;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investment gains (losses) reflecting lower net losses on mortgage loans due to a smaller increase in the allowance for credit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income (loss) before provision for income tax, resulted in an effective tax rate of 23% in the current period compared to 25%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Reconciliation of Net Income (Loss) Available to Shareholders to Adjusted Earnings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net income (loss) available to shareholders to adjusted earnings (loss)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37"/>
        <w:gridCol w:w="1368"/>
        <w:gridCol w:w="1372"/>
        <w:gridCol w:w="109"/>
        <w:gridCol w:w="109"/>
        <w:gridCol w:w="109"/>
        <w:gridCol w:w="196"/>
        <w:gridCol w:w="484"/>
        <w:gridCol w:w="109"/>
        <w:gridCol w:w="109"/>
        <w:gridCol w:w="109"/>
        <w:gridCol w:w="109"/>
        <w:gridCol w:w="196"/>
        <w:gridCol w:w="371"/>
        <w:gridCol w:w="109"/>
        <w:gridCol w:w="109"/>
        <w:gridCol w:w="109"/>
        <w:gridCol w:w="109"/>
        <w:gridCol w:w="196"/>
        <w:gridCol w:w="461"/>
        <w:gridCol w:w="109"/>
        <w:gridCol w:w="109"/>
        <w:gridCol w:w="109"/>
        <w:gridCol w:w="109"/>
        <w:gridCol w:w="309"/>
        <w:gridCol w:w="665"/>
        <w:gridCol w:w="172"/>
        <w:gridCol w:w="109"/>
        <w:gridCol w:w="109"/>
        <w:gridCol w:w="109"/>
        <w:gridCol w:w="196"/>
        <w:gridCol w:w="461"/>
        <w:gridCol w:w="159"/>
      </w:tblGrid>
      <w:tr>
        <w:trPr/>
        <w:tc>
          <w:tcPr>
            <w:tcW w:w="163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14"/>
        <w:gridCol w:w="1416"/>
        <w:gridCol w:w="1421"/>
        <w:gridCol w:w="109"/>
        <w:gridCol w:w="109"/>
        <w:gridCol w:w="109"/>
        <w:gridCol w:w="196"/>
        <w:gridCol w:w="484"/>
        <w:gridCol w:w="109"/>
        <w:gridCol w:w="109"/>
        <w:gridCol w:w="109"/>
        <w:gridCol w:w="109"/>
        <w:gridCol w:w="196"/>
        <w:gridCol w:w="282"/>
        <w:gridCol w:w="109"/>
        <w:gridCol w:w="109"/>
        <w:gridCol w:w="109"/>
        <w:gridCol w:w="109"/>
        <w:gridCol w:w="196"/>
        <w:gridCol w:w="462"/>
        <w:gridCol w:w="109"/>
        <w:gridCol w:w="109"/>
        <w:gridCol w:w="109"/>
        <w:gridCol w:w="109"/>
        <w:gridCol w:w="313"/>
        <w:gridCol w:w="672"/>
        <w:gridCol w:w="174"/>
        <w:gridCol w:w="109"/>
        <w:gridCol w:w="109"/>
        <w:gridCol w:w="109"/>
        <w:gridCol w:w="196"/>
        <w:gridCol w:w="462"/>
        <w:gridCol w:w="159"/>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derivative gains (losses), excluding investment hedge adjustments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for the Three Months Ended March 31, 2026 and 2025 — Adjusted Earnings (Loss)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adjusted earnings (loss) were as follows:</w:t>
      </w:r>
    </w:p>
    <w:tbl>
      <w:tblPr>
        <w:tblW w:w="10205" w:type="dxa"/>
        <w:jc w:val="left"/>
        <w:tblInd w:w="0" w:type="dxa"/>
        <w:tblLayout w:type="fixed"/>
        <w:tblCellMar>
          <w:top w:w="28" w:type="dxa"/>
          <w:left w:w="28" w:type="dxa"/>
          <w:bottom w:w="28" w:type="dxa"/>
          <w:right w:w="28" w:type="dxa"/>
        </w:tblCellMar>
      </w:tblPr>
      <w:tblGrid>
        <w:gridCol w:w="2667"/>
        <w:gridCol w:w="2335"/>
        <w:gridCol w:w="2307"/>
        <w:gridCol w:w="109"/>
        <w:gridCol w:w="109"/>
        <w:gridCol w:w="109"/>
        <w:gridCol w:w="169"/>
        <w:gridCol w:w="169"/>
        <w:gridCol w:w="305"/>
        <w:gridCol w:w="656"/>
        <w:gridCol w:w="169"/>
        <w:gridCol w:w="109"/>
        <w:gridCol w:w="109"/>
        <w:gridCol w:w="109"/>
        <w:gridCol w:w="196"/>
        <w:gridCol w:w="421"/>
        <w:gridCol w:w="157"/>
      </w:tblGrid>
      <w:tr>
        <w:trPr/>
        <w:tc>
          <w:tcPr>
            <w:tcW w:w="266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01" w:type="dxa"/>
            <w:gridSpan w:val="6"/>
            <w:tcBorders/>
          </w:tcPr>
          <w:p>
            <w:pPr>
              <w:pStyle w:val="TableContents"/>
              <w:bidi w:val="0"/>
              <w:spacing w:before="0" w:after="283"/>
              <w:jc w:val="left"/>
              <w:rPr>
                <w:sz w:val="4"/>
                <w:szCs w:val="4"/>
              </w:rPr>
            </w:pPr>
            <w:r>
              <w:rPr>
                <w:sz w:val="4"/>
                <w:szCs w:val="4"/>
              </w:rPr>
            </w:r>
          </w:p>
        </w:tc>
      </w:tr>
      <w:tr>
        <w:trPr/>
        <w:tc>
          <w:tcPr>
            <w:tcW w:w="7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 and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2026 Compared with the 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$239 million in the current period, an increase of $4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interest credited to policyholders due to lower account balances and prior period actuarial modeling improvements in our Annuities segment;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average invested long-term assets and yields on our institutional spread margin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operational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asset-based variable annuity expenses resulting from lower average separate account balances, a portion of which is offset in fee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fee income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reinsurance fees on our fixed annuity business resulting from lower account balances;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asset-based fees resulting from lower average separate account balances, a portion of which is offset in other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 in our Annuities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net increase in liability balances resulting from actuarial modeling improvements in our Run-off and Life segments;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claims, net of reinsurance, in our Run-off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17% in both the current period and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Segment Results for the Three Months Ended March 31, 2026 and 2025 — Adjusted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for our Annuities segment were as follows:</w:t>
      </w:r>
    </w:p>
    <w:tbl>
      <w:tblPr>
        <w:tblW w:w="638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09"/>
        <w:gridCol w:w="109"/>
        <w:gridCol w:w="185"/>
        <w:gridCol w:w="185"/>
        <w:gridCol w:w="333"/>
        <w:gridCol w:w="716"/>
        <w:gridCol w:w="185"/>
        <w:gridCol w:w="109"/>
        <w:gridCol w:w="109"/>
        <w:gridCol w:w="109"/>
        <w:gridCol w:w="196"/>
        <w:gridCol w:w="4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2026 Compared with the 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were $324 million in the current period, an increase of $10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interest credited to policyholders due to actuarial modeling improvements in the prior period and lower account balances;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operational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asset-based variable annuity expenses resulting from lower average separate account balances, a portion of which is offset in fee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fee income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reinsurance fees on our fixed annuity business resulting from lower account balances;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asset-based fees resulting from lower average separate account balances, a portion of which is offset in other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amortization of DAC and VOBA resulting primarily from changes in policyholder behavior.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resulted in an effective tax rate of 19%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Life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(loss) for our Life segment were as follows:</w:t>
      </w:r>
    </w:p>
    <w:tbl>
      <w:tblPr>
        <w:tblW w:w="6290"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09"/>
        <w:gridCol w:w="109"/>
        <w:gridCol w:w="204"/>
        <w:gridCol w:w="204"/>
        <w:gridCol w:w="368"/>
        <w:gridCol w:w="622"/>
        <w:gridCol w:w="204"/>
        <w:gridCol w:w="109"/>
        <w:gridCol w:w="109"/>
        <w:gridCol w:w="109"/>
        <w:gridCol w:w="196"/>
        <w:gridCol w:w="33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08"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2026 Compared with the 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$6 million in the current period, a decrease of $15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non-traditional life claims, net of reinsurance;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liability balances resulting from actuarial modeling improvements;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investment spread due to lower average invested long-term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favorable impact was lower other expenses due to lower operational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25% in the current period compared to 10% in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Run-off</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(loss) for our Run-off segment were as follows:</w:t>
      </w:r>
    </w:p>
    <w:tbl>
      <w:tblPr>
        <w:tblW w:w="6148"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88"/>
        <w:gridCol w:w="188"/>
        <w:gridCol w:w="338"/>
        <w:gridCol w:w="701"/>
        <w:gridCol w:w="188"/>
        <w:gridCol w:w="109"/>
        <w:gridCol w:w="109"/>
        <w:gridCol w:w="109"/>
        <w:gridCol w:w="196"/>
        <w:gridCol w:w="40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2026 Compared with the 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$48 million in the current period, a lower loss of $16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claims, net of reinsurance;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liability balances resulting from actuarial modeling improvements;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other expenses due to lower operational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an effective tax rate of 21%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Corporate &amp; 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adjusted earnings (loss) for our Corporate &amp; Other segment were as follows:</w:t>
      </w:r>
    </w:p>
    <w:tbl>
      <w:tblPr>
        <w:tblW w:w="10205" w:type="dxa"/>
        <w:jc w:val="left"/>
        <w:tblInd w:w="0" w:type="dxa"/>
        <w:tblLayout w:type="fixed"/>
        <w:tblCellMar>
          <w:top w:w="28" w:type="dxa"/>
          <w:left w:w="28" w:type="dxa"/>
          <w:bottom w:w="28" w:type="dxa"/>
          <w:right w:w="28" w:type="dxa"/>
        </w:tblCellMar>
      </w:tblPr>
      <w:tblGrid>
        <w:gridCol w:w="2613"/>
        <w:gridCol w:w="2285"/>
        <w:gridCol w:w="2252"/>
        <w:gridCol w:w="109"/>
        <w:gridCol w:w="109"/>
        <w:gridCol w:w="109"/>
        <w:gridCol w:w="109"/>
        <w:gridCol w:w="109"/>
        <w:gridCol w:w="170"/>
        <w:gridCol w:w="170"/>
        <w:gridCol w:w="306"/>
        <w:gridCol w:w="621"/>
        <w:gridCol w:w="170"/>
        <w:gridCol w:w="109"/>
        <w:gridCol w:w="109"/>
        <w:gridCol w:w="109"/>
        <w:gridCol w:w="196"/>
        <w:gridCol w:w="392"/>
        <w:gridCol w:w="158"/>
      </w:tblGrid>
      <w:tr>
        <w:trPr/>
        <w:tc>
          <w:tcPr>
            <w:tcW w:w="261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7"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73" w:type="dxa"/>
            <w:gridSpan w:val="6"/>
            <w:tcBorders/>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2026 Compared with the 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loss was $31 million in the current period, a higher loss of $7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unfavorable impact was a lower net investment spread due to lower average invested long-term assets and yields on our institutional spread margin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 calculated as a percentage of pre-tax adjusted earnings (loss), resulted in a lower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other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Annuity Guaranteed Benefits and Shield Annuity Liabilities for the Three Months Ended March 31,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impact on income (loss) available to shareholders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tbl>
      <w:tblPr>
        <w:tblW w:w="7401"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09"/>
        <w:gridCol w:w="109"/>
        <w:gridCol w:w="151"/>
        <w:gridCol w:w="151"/>
        <w:gridCol w:w="272"/>
        <w:gridCol w:w="878"/>
        <w:gridCol w:w="151"/>
        <w:gridCol w:w="109"/>
        <w:gridCol w:w="109"/>
        <w:gridCol w:w="109"/>
        <w:gridCol w:w="196"/>
        <w:gridCol w:w="49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Variable annuity and Shield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(1,270)</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three months ended March 31, 2026,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increases in annuity guaranteed benefits liabilities due to decreasing equity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variable annuity and Shield hedges due to decreasing equity markets;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Shield embedded derivatives due to decreasing equity markets.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Annuity guaranteed benefits and Shield Annuity liabilities performance was unfavorable for the three months ended March 31, 2025,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increases in annuity guaranteed benefits liabilities due to decreasing interest rates and equity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variable annuity and Shield hedges due to decreasing equity markets, partially offset by decreasing long-term interest rates;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changes in Shield embedded derivatives due to decreasing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 Risk Management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 Management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Current Environment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are materially affected by conditions in capital markets and the economy, generally. As a U.S. insurance company, we are affected by the monetary policy of the Federal Reserve in the U.S. We are also affected by the monetary policy of central banks around the world due to the diversification of our investment portfolio. See “— Industry Trends and Uncertainties — Financial and Economic Environment.”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the Federal Reserve decreased the target range for the federal funds rate three times — from between 4.25% and 4.50% to between 3.50% and 3.75%. The Federal Reserve may increase or decrease the federal funds rate in the future, which may have an impact on the pricing levels of risk-bearing investments and may adversely impact the level of product 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period interest rate increases have contributed to the net unrealized loss position in our investment portfolio. As a result of increases in interest rates, the unrealized losses on our fixed maturity securities exceeded the unrealized gains as of March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Selected Sector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2025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has been a continued market focus on commercial real estate, including office properties, as a result of hybrid work arrangements and the resulting impact on the demand for office space.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Investment Portfolio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tbl>
      <w:tblPr>
        <w:tblW w:w="8472" w:type="dxa"/>
        <w:jc w:val="left"/>
        <w:tblInd w:w="0" w:type="dxa"/>
        <w:tblLayout w:type="fixed"/>
        <w:tblCellMar>
          <w:top w:w="28" w:type="dxa"/>
          <w:left w:w="28" w:type="dxa"/>
          <w:bottom w:w="28" w:type="dxa"/>
          <w:right w:w="28" w:type="dxa"/>
        </w:tblCellMar>
      </w:tblPr>
      <w:tblGrid>
        <w:gridCol w:w="956"/>
        <w:gridCol w:w="841"/>
        <w:gridCol w:w="842"/>
        <w:gridCol w:w="109"/>
        <w:gridCol w:w="109"/>
        <w:gridCol w:w="109"/>
        <w:gridCol w:w="155"/>
        <w:gridCol w:w="155"/>
        <w:gridCol w:w="155"/>
        <w:gridCol w:w="155"/>
        <w:gridCol w:w="156"/>
        <w:gridCol w:w="155"/>
        <w:gridCol w:w="277"/>
        <w:gridCol w:w="263"/>
        <w:gridCol w:w="373"/>
        <w:gridCol w:w="109"/>
        <w:gridCol w:w="109"/>
        <w:gridCol w:w="109"/>
        <w:gridCol w:w="196"/>
        <w:gridCol w:w="556"/>
        <w:gridCol w:w="109"/>
        <w:gridCol w:w="109"/>
        <w:gridCol w:w="109"/>
        <w:gridCol w:w="109"/>
        <w:gridCol w:w="269"/>
        <w:gridCol w:w="271"/>
        <w:gridCol w:w="374"/>
        <w:gridCol w:w="109"/>
        <w:gridCol w:w="109"/>
        <w:gridCol w:w="109"/>
        <w:gridCol w:w="196"/>
        <w:gridCol w:w="55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662" w:type="dxa"/>
            <w:gridSpan w:val="18"/>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474" w:type="dxa"/>
            <w:gridSpan w:val="1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7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Investment fees and expenses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net investment income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(3)Adjusted net investment income presented in the yield table varies from the most directly comparable GAAP measure due to certain reclassifications, as presented below.</w:t>
      </w:r>
    </w:p>
    <w:tbl>
      <w:tblPr>
        <w:tblW w:w="7439" w:type="dxa"/>
        <w:jc w:val="left"/>
        <w:tblInd w:w="0" w:type="dxa"/>
        <w:tblLayout w:type="fixed"/>
        <w:tblCellMar>
          <w:top w:w="28" w:type="dxa"/>
          <w:left w:w="28" w:type="dxa"/>
          <w:bottom w:w="28" w:type="dxa"/>
          <w:right w:w="28" w:type="dxa"/>
        </w:tblCellMar>
      </w:tblPr>
      <w:tblGrid>
        <w:gridCol w:w="1548"/>
        <w:gridCol w:w="1361"/>
        <w:gridCol w:w="1366"/>
        <w:gridCol w:w="109"/>
        <w:gridCol w:w="109"/>
        <w:gridCol w:w="109"/>
        <w:gridCol w:w="162"/>
        <w:gridCol w:w="162"/>
        <w:gridCol w:w="291"/>
        <w:gridCol w:w="827"/>
        <w:gridCol w:w="162"/>
        <w:gridCol w:w="109"/>
        <w:gridCol w:w="109"/>
        <w:gridCol w:w="109"/>
        <w:gridCol w:w="196"/>
        <w:gridCol w:w="55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Add: Investment hedge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Less: Investment gains (losses) on trading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Adjusted net investment income — in the above yield table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Results of Operations — Consolidated Results for the Three Months Ended March 31, 2026 and 2025” for an analysis of the period-over-period changes in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Fixed Maturity Securities Available-For-Sale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maturity securities held by type (public or private) were as follows at:</w:t>
      </w:r>
    </w:p>
    <w:tbl>
      <w:tblPr>
        <w:tblW w:w="9151" w:type="dxa"/>
        <w:jc w:val="left"/>
        <w:tblInd w:w="0" w:type="dxa"/>
        <w:tblLayout w:type="fixed"/>
        <w:tblCellMar>
          <w:top w:w="28" w:type="dxa"/>
          <w:left w:w="28" w:type="dxa"/>
          <w:bottom w:w="28" w:type="dxa"/>
          <w:right w:w="28" w:type="dxa"/>
        </w:tblCellMar>
      </w:tblPr>
      <w:tblGrid>
        <w:gridCol w:w="1025"/>
        <w:gridCol w:w="901"/>
        <w:gridCol w:w="908"/>
        <w:gridCol w:w="109"/>
        <w:gridCol w:w="109"/>
        <w:gridCol w:w="109"/>
        <w:gridCol w:w="294"/>
        <w:gridCol w:w="971"/>
        <w:gridCol w:w="384"/>
        <w:gridCol w:w="109"/>
        <w:gridCol w:w="109"/>
        <w:gridCol w:w="109"/>
        <w:gridCol w:w="278"/>
        <w:gridCol w:w="278"/>
        <w:gridCol w:w="276"/>
        <w:gridCol w:w="109"/>
        <w:gridCol w:w="109"/>
        <w:gridCol w:w="109"/>
        <w:gridCol w:w="294"/>
        <w:gridCol w:w="971"/>
        <w:gridCol w:w="384"/>
        <w:gridCol w:w="109"/>
        <w:gridCol w:w="109"/>
        <w:gridCol w:w="109"/>
        <w:gridCol w:w="278"/>
        <w:gridCol w:w="278"/>
        <w:gridCol w:w="323"/>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Total</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0" w:type="dxa"/>
            <w:gridSpan w:val="21"/>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Publicly-traded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66,718 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67,348 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Privately-placed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14,514 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14,666 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81,232 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82,014 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cash and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3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3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1 and 7 of the Notes to the Interim Condensed Consolidated Financial Statements for further information about fixed maturity securities by sector, contractual maturities, continuous gross unrealized losses and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Fixed Maturity Securities Credit Quality — Ratings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Investments — Fixed Maturity Securities Available-For-Sale — Fixed Maturity Securities Credit Quality — Ratings” included in our 2025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tbl>
      <w:tblPr>
        <w:tblW w:w="1240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5"/>
        <w:gridCol w:w="175"/>
        <w:gridCol w:w="176"/>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109"/>
        <w:gridCol w:w="109"/>
        <w:gridCol w:w="109"/>
        <w:gridCol w:w="231"/>
        <w:gridCol w:w="235"/>
        <w:gridCol w:w="211"/>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327"/>
        <w:gridCol w:w="46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2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December 31, 2025</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 of Total</w:t>
            </w:r>
          </w:p>
        </w:tc>
      </w:tr>
      <w:tr>
        <w:trPr/>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0" w:type="dxa"/>
            <w:gridSpan w:val="57"/>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2"/>
              </w:rPr>
            </w:pPr>
            <w:r>
              <w:rPr>
                <w:rFonts w:ascii="Times New Roman;serif" w:hAnsi="Times New Roman;serif"/>
                <w:b/>
                <w:color w:val="000000"/>
                <w:sz w:val="12"/>
              </w:rPr>
              <w:t>(Dollars in millions)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66.5 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26,812 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24,927 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26,845 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(1,559)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25,286 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Subtotal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84,730 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78,929 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97.2 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84,445 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79,567 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Caa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14"/>
              </w:rPr>
            </w:pPr>
            <w:r>
              <w:rPr>
                <w:rFonts w:ascii="Times New Roman;serif" w:hAnsi="Times New Roman;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In or near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Subtotal below 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2,476 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2,303 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2,601 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2,447 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4"/>
              </w:rPr>
            </w:pPr>
            <w:r>
              <w:rPr>
                <w:rFonts w:ascii="Times New Roman;serif" w:hAnsi="Times New Roman;serif"/>
                <w:b w:val="false"/>
                <w:color w:val="000000"/>
                <w:sz w:val="14"/>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87,206 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(5,909)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81,232 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87,046 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(4,968)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82,014 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tbl>
      <w:tblPr>
        <w:tblW w:w="10205" w:type="dxa"/>
        <w:jc w:val="left"/>
        <w:tblInd w:w="0" w:type="dxa"/>
        <w:tblLayout w:type="fixed"/>
        <w:tblCellMar>
          <w:top w:w="28" w:type="dxa"/>
          <w:left w:w="28" w:type="dxa"/>
          <w:bottom w:w="28" w:type="dxa"/>
          <w:right w:w="28" w:type="dxa"/>
        </w:tblCellMar>
      </w:tblPr>
      <w:tblGrid>
        <w:gridCol w:w="551"/>
        <w:gridCol w:w="485"/>
        <w:gridCol w:w="486"/>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200"/>
        <w:gridCol w:w="430"/>
        <w:gridCol w:w="111"/>
        <w:gridCol w:w="109"/>
        <w:gridCol w:w="109"/>
        <w:gridCol w:w="109"/>
        <w:gridCol w:w="273"/>
        <w:gridCol w:w="462"/>
        <w:gridCol w:w="153"/>
        <w:gridCol w:w="109"/>
        <w:gridCol w:w="109"/>
        <w:gridCol w:w="109"/>
        <w:gridCol w:w="292"/>
        <w:gridCol w:w="965"/>
        <w:gridCol w:w="237"/>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4"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Fixed Maturity Securities — by Sector &amp; Credit Quality Rating</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6"/>
              </w:rPr>
            </w:pPr>
            <w:r>
              <w:rPr>
                <w:rFonts w:ascii="Times New Roman;serif" w:hAnsi="Times New Roman;serif"/>
                <w:b/>
                <w:color w:val="000000"/>
                <w:sz w:val="16"/>
              </w:rPr>
              <w:t>NAIC Designation</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NRSRO Rating</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Aaa/Aa/A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Caa and </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or Near </w:t>
              <w:br/>
              <w:t>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4" w:type="dxa"/>
            <w:gridSpan w:val="3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38,336 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8,879 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3,414 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81,232 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corporate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38,909 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corporate</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11,497 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6,711 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CMBS</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82,014 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U.S. and Foreign Corporate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diversified portfolio of corporate fixed maturity securities across industries and issuers. Our portfolio does not have any exposure to any single issuer in excess of 1% of total investments and the top ten holdings in aggregate comprise 1% of total investments at both March 31, 2026 and December 31, 2025. Our U.S. and foreign corporate fixed maturity securities holdings by industry were as follows at:</w:t>
      </w:r>
    </w:p>
    <w:tbl>
      <w:tblPr>
        <w:tblW w:w="6226" w:type="dxa"/>
        <w:jc w:val="left"/>
        <w:tblInd w:w="0" w:type="dxa"/>
        <w:tblLayout w:type="fixed"/>
        <w:tblCellMar>
          <w:top w:w="28" w:type="dxa"/>
          <w:left w:w="28" w:type="dxa"/>
          <w:bottom w:w="28" w:type="dxa"/>
          <w:right w:w="28" w:type="dxa"/>
        </w:tblCellMar>
      </w:tblPr>
      <w:tblGrid>
        <w:gridCol w:w="476"/>
        <w:gridCol w:w="419"/>
        <w:gridCol w:w="42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Structured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held $20.8 billion and $20.5 billion of Structured Securities, at estimated fair value, at March 31, 2026 and December 31, 2025, respectively, as presented in the RMBS, CMBS and ABS sections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RMBS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RMBS holdings are diversified by security type, risk profile and ratings profile, which were as follows at:</w:t>
      </w:r>
    </w:p>
    <w:tbl>
      <w:tblPr>
        <w:tblW w:w="10205" w:type="dxa"/>
        <w:jc w:val="left"/>
        <w:tblInd w:w="0" w:type="dxa"/>
        <w:tblLayout w:type="fixed"/>
        <w:tblCellMar>
          <w:top w:w="28" w:type="dxa"/>
          <w:left w:w="28" w:type="dxa"/>
          <w:bottom w:w="28" w:type="dxa"/>
          <w:right w:w="28" w:type="dxa"/>
        </w:tblCellMar>
      </w:tblPr>
      <w:tblGrid>
        <w:gridCol w:w="553"/>
        <w:gridCol w:w="488"/>
        <w:gridCol w:w="481"/>
        <w:gridCol w:w="109"/>
        <w:gridCol w:w="109"/>
        <w:gridCol w:w="109"/>
        <w:gridCol w:w="247"/>
        <w:gridCol w:w="703"/>
        <w:gridCol w:w="137"/>
        <w:gridCol w:w="109"/>
        <w:gridCol w:w="109"/>
        <w:gridCol w:w="109"/>
        <w:gridCol w:w="278"/>
        <w:gridCol w:w="278"/>
        <w:gridCol w:w="268"/>
        <w:gridCol w:w="109"/>
        <w:gridCol w:w="109"/>
        <w:gridCol w:w="109"/>
        <w:gridCol w:w="375"/>
        <w:gridCol w:w="837"/>
        <w:gridCol w:w="210"/>
        <w:gridCol w:w="109"/>
        <w:gridCol w:w="109"/>
        <w:gridCol w:w="109"/>
        <w:gridCol w:w="247"/>
        <w:gridCol w:w="703"/>
        <w:gridCol w:w="137"/>
        <w:gridCol w:w="109"/>
        <w:gridCol w:w="109"/>
        <w:gridCol w:w="109"/>
        <w:gridCol w:w="278"/>
        <w:gridCol w:w="278"/>
        <w:gridCol w:w="268"/>
        <w:gridCol w:w="109"/>
        <w:gridCol w:w="109"/>
        <w:gridCol w:w="109"/>
        <w:gridCol w:w="365"/>
        <w:gridCol w:w="813"/>
        <w:gridCol w:w="299"/>
      </w:tblGrid>
      <w:tr>
        <w:trPr/>
        <w:tc>
          <w:tcPr>
            <w:tcW w:w="5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Security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Pass-through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8,879 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Risk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8,879 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Ratings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Rated 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NAIC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8,863 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CMBS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CMBS holdings are diversified by vintage year, which were as follows at:</w:t>
      </w:r>
    </w:p>
    <w:tbl>
      <w:tblPr>
        <w:tblW w:w="8129"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283"/>
        <w:gridCol w:w="803"/>
        <w:gridCol w:w="158"/>
        <w:gridCol w:w="109"/>
        <w:gridCol w:w="109"/>
        <w:gridCol w:w="109"/>
        <w:gridCol w:w="375"/>
        <w:gridCol w:w="1066"/>
        <w:gridCol w:w="209"/>
        <w:gridCol w:w="109"/>
        <w:gridCol w:w="109"/>
        <w:gridCol w:w="109"/>
        <w:gridCol w:w="283"/>
        <w:gridCol w:w="803"/>
        <w:gridCol w:w="158"/>
        <w:gridCol w:w="109"/>
        <w:gridCol w:w="109"/>
        <w:gridCol w:w="109"/>
        <w:gridCol w:w="366"/>
        <w:gridCol w:w="1040"/>
        <w:gridCol w:w="288"/>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2006 - 2011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6,072 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5,870 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CMBS rated Aaa using rating agency ratings was $4.0 billion, or 68.6% of total CMBS, and designated NAIC 1 was $5.6 billion, or 95.1% of total CMBS, at March 31, 2026. The estimated fair value of CMBS rated Aaa using rating agency ratings was $3.9 billion, or 67.2% of total CMBS, and designated NAIC 1 was $5.6 billion, or 94.8% of total CMBS,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ABS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ABS holdings are diversified by both collateral type and issuer. Our ABS holdings by collateral type and ratings profile were as follows at:</w:t>
      </w:r>
    </w:p>
    <w:tbl>
      <w:tblPr>
        <w:tblW w:w="10205" w:type="dxa"/>
        <w:jc w:val="left"/>
        <w:tblInd w:w="0" w:type="dxa"/>
        <w:tblLayout w:type="fixed"/>
        <w:tblCellMar>
          <w:top w:w="28" w:type="dxa"/>
          <w:left w:w="28" w:type="dxa"/>
          <w:bottom w:w="28" w:type="dxa"/>
          <w:right w:w="28" w:type="dxa"/>
        </w:tblCellMar>
      </w:tblPr>
      <w:tblGrid>
        <w:gridCol w:w="533"/>
        <w:gridCol w:w="467"/>
        <w:gridCol w:w="409"/>
        <w:gridCol w:w="267"/>
        <w:gridCol w:w="760"/>
        <w:gridCol w:w="149"/>
        <w:gridCol w:w="109"/>
        <w:gridCol w:w="109"/>
        <w:gridCol w:w="109"/>
        <w:gridCol w:w="278"/>
        <w:gridCol w:w="278"/>
        <w:gridCol w:w="268"/>
        <w:gridCol w:w="109"/>
        <w:gridCol w:w="109"/>
        <w:gridCol w:w="109"/>
        <w:gridCol w:w="467"/>
        <w:gridCol w:w="826"/>
        <w:gridCol w:w="261"/>
        <w:gridCol w:w="109"/>
        <w:gridCol w:w="109"/>
        <w:gridCol w:w="109"/>
        <w:gridCol w:w="267"/>
        <w:gridCol w:w="760"/>
        <w:gridCol w:w="149"/>
        <w:gridCol w:w="109"/>
        <w:gridCol w:w="109"/>
        <w:gridCol w:w="109"/>
        <w:gridCol w:w="278"/>
        <w:gridCol w:w="278"/>
        <w:gridCol w:w="268"/>
        <w:gridCol w:w="109"/>
        <w:gridCol w:w="109"/>
        <w:gridCol w:w="109"/>
        <w:gridCol w:w="450"/>
        <w:gridCol w:w="794"/>
        <w:gridCol w:w="363"/>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4208"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8796"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Collateral type: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obligations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Consumer loans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Student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loans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6,102 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Ratings profile: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Rated Aaa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NAIC 1</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5,843 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Allowance for Credit Losses for Fixed Maturity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7 of the Notes to the Interim Condensed Consolidated Financial Statements for information about the evaluation of fixed maturity securities for an allowance for credit losses or write-offs due to uncollectibility.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Securities Lending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 Liquidity and Capital Resources — The Company — Primary Uses of Liquidity and Capital — Securities Lending” and Note 7 of the Notes to the Interim Condensed Consolidated Financial Statements for information regarding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Mortgage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mortgage loans are principally collateralized by commercial, agricultural and residential properties. Information regarding mortgage loans by portfolio segment is summarized as follows at:</w:t>
      </w:r>
    </w:p>
    <w:tbl>
      <w:tblPr>
        <w:tblW w:w="10314" w:type="dxa"/>
        <w:jc w:val="left"/>
        <w:tblInd w:w="0" w:type="dxa"/>
        <w:tblLayout w:type="fixed"/>
        <w:tblCellMar>
          <w:top w:w="28" w:type="dxa"/>
          <w:left w:w="28" w:type="dxa"/>
          <w:bottom w:w="28" w:type="dxa"/>
          <w:right w:w="28" w:type="dxa"/>
        </w:tblCellMar>
      </w:tblPr>
      <w:tblGrid>
        <w:gridCol w:w="353"/>
        <w:gridCol w:w="311"/>
        <w:gridCol w:w="312"/>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200"/>
        <w:gridCol w:w="200"/>
        <w:gridCol w:w="471"/>
        <w:gridCol w:w="109"/>
        <w:gridCol w:w="109"/>
        <w:gridCol w:w="109"/>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192"/>
        <w:gridCol w:w="192"/>
        <w:gridCol w:w="5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4483"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Amortized Cost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9338" w:type="dxa"/>
            <w:gridSpan w:val="45"/>
            <w:tcBorders/>
            <w:shd w:fill="FFFFFF" w:val="clear"/>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mortgage loan portfolio is diversified by both geographic region and property type to reduce the risk of concentration. The percentage of our commercial and agricultural mortgage loan portfolios collateralized by properties located in the U.S. was 99% at both March 31, 2026 and December 31, 2025. The remainder was collateralized by properties located outside of the U.S. At March 31, 2026, the carrying value as a percentage of total commercial and agricultural mortgage loans for the top three states in the U.S. was 17% for California, 12% for Texas and 7% for New York. Additionally, we manage risk when originating commercial and agricultural mortgage loans by generally lending up to 75% of the estimated fair value of the underlying real estate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residential mortgage loan portfolio is managed in a similar manner to reduce risk of concentration. All residential mortgage loans were collateralized by properties located in the U.S. at both March 31, 2026 and December 31, 2025. At March 31, 2026, the carrying value as a percentage of total residential mortgage loans for the top three states in the U.S. was 36% for California, 9% for Florida and 6% for Texas.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pPr>
      <w:r>
        <w:rPr>
          <w:rFonts w:ascii="Times New Roman;serif" w:hAnsi="Times New Roman;serif"/>
          <w:b w:val="false"/>
          <w:i/>
          <w:color w:val="000000"/>
          <w:sz w:val="20"/>
        </w:rPr>
        <w:t>Commercial Mortgage Loans by Geographic Region and Property Type</w:t>
      </w:r>
      <w:r>
        <w:rPr>
          <w:rFonts w:ascii="Times New Roman;serif" w:hAnsi="Times New Roman;serif"/>
          <w:b w:val="false"/>
          <w:color w:val="000000"/>
          <w:sz w:val="20"/>
        </w:rPr>
        <w:t>. Commercial mortgage loans are the largest component of the mortgage loan invested asset class. The diversification across geographic regions and property types of commercial mortgage loans was as follows at:</w:t>
      </w:r>
    </w:p>
    <w:tbl>
      <w:tblPr>
        <w:tblW w:w="8943" w:type="dxa"/>
        <w:jc w:val="left"/>
        <w:tblInd w:w="0" w:type="dxa"/>
        <w:tblLayout w:type="fixed"/>
        <w:tblCellMar>
          <w:top w:w="28" w:type="dxa"/>
          <w:left w:w="28" w:type="dxa"/>
          <w:bottom w:w="28" w:type="dxa"/>
          <w:right w:w="28" w:type="dxa"/>
        </w:tblCellMar>
      </w:tblPr>
      <w:tblGrid>
        <w:gridCol w:w="1299"/>
        <w:gridCol w:w="1140"/>
        <w:gridCol w:w="1146"/>
        <w:gridCol w:w="109"/>
        <w:gridCol w:w="109"/>
        <w:gridCol w:w="109"/>
        <w:gridCol w:w="196"/>
        <w:gridCol w:w="646"/>
        <w:gridCol w:w="109"/>
        <w:gridCol w:w="109"/>
        <w:gridCol w:w="109"/>
        <w:gridCol w:w="109"/>
        <w:gridCol w:w="278"/>
        <w:gridCol w:w="278"/>
        <w:gridCol w:w="486"/>
        <w:gridCol w:w="109"/>
        <w:gridCol w:w="109"/>
        <w:gridCol w:w="109"/>
        <w:gridCol w:w="196"/>
        <w:gridCol w:w="646"/>
        <w:gridCol w:w="109"/>
        <w:gridCol w:w="109"/>
        <w:gridCol w:w="109"/>
        <w:gridCol w:w="109"/>
        <w:gridCol w:w="278"/>
        <w:gridCol w:w="278"/>
        <w:gridCol w:w="550"/>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Geographic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South 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Middle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West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East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East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West North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Multi-region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recorded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Apartment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recorded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erif" w:hAnsi="Times New Roman;serif"/>
          <w:b w:val="false"/>
          <w:i/>
          <w:color w:val="000000"/>
          <w:sz w:val="20"/>
        </w:rPr>
        <w:t>Mortgage Loan Credit Quality — Monitoring Process.</w:t>
      </w:r>
      <w:r>
        <w:rPr>
          <w:color w:val="000000"/>
        </w:rPr>
        <w:t> </w:t>
      </w:r>
      <w:r>
        <w:rPr>
          <w:rFonts w:ascii="Times New Roman;serif" w:hAnsi="Times New Roman;serif"/>
          <w:b w:val="false"/>
          <w:color w:val="000000"/>
          <w:sz w:val="20"/>
        </w:rPr>
        <w:t xml:space="preserve">Our mortgage loan investments are monitored on an ongoing basis, including a review of loans 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68% and 67% at March 31, 2026 and December 31, 2025, respectively, and our average debt-service coverage ratio was 2.2x at both March 31, 2026 and December 31, 2025.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at both March 31, 2026 and December 31, 2025. The values utilized in calculating the agricultural mortgage loan loan-to-value ratio are developed in connection with the ongoing review of the agricultural loan portfolio and are routinely updated.</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Mortgage Loan Allowance for Credit Losses</w:t>
      </w:r>
      <w:r>
        <w:rPr>
          <w:rFonts w:ascii="Times New Roman;serif" w:hAnsi="Times New Roman;serif"/>
          <w:b w:val="false"/>
          <w:color w:val="000000"/>
          <w:sz w:val="20"/>
        </w:rPr>
        <w:t>. See Note 7 of the Notes to the Interim Condensed Consolidated Financial Statements for information about how the allowance for credit losses is established and monitored, as well as activity in and balances of the allowance for credit losses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Limited Partnerships and Limited Liability Companies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of our limited partnerships and limited liability companies (“LLC”) were as follows at:</w:t>
      </w:r>
    </w:p>
    <w:tbl>
      <w:tblPr>
        <w:tblW w:w="6773" w:type="dxa"/>
        <w:jc w:val="left"/>
        <w:tblInd w:w="0" w:type="dxa"/>
        <w:tblLayout w:type="fixed"/>
        <w:tblCellMar>
          <w:top w:w="28" w:type="dxa"/>
          <w:left w:w="28" w:type="dxa"/>
          <w:bottom w:w="28" w:type="dxa"/>
          <w:right w:w="28" w:type="dxa"/>
        </w:tblCellMar>
      </w:tblPr>
      <w:tblGrid>
        <w:gridCol w:w="1202"/>
        <w:gridCol w:w="1053"/>
        <w:gridCol w:w="1060"/>
        <w:gridCol w:w="109"/>
        <w:gridCol w:w="109"/>
        <w:gridCol w:w="109"/>
        <w:gridCol w:w="287"/>
        <w:gridCol w:w="814"/>
        <w:gridCol w:w="159"/>
        <w:gridCol w:w="109"/>
        <w:gridCol w:w="109"/>
        <w:gridCol w:w="109"/>
        <w:gridCol w:w="334"/>
        <w:gridCol w:w="948"/>
        <w:gridCol w:w="262"/>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limited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4,099 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Real estate limited partnerships and LLCs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4,673 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estimated fair value of real estate limited partnerships and LLCs was $600 million and $599 million at March 31,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Other Invested Assets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our other invested assets by type was as follows at:</w:t>
      </w:r>
    </w:p>
    <w:tbl>
      <w:tblPr>
        <w:tblW w:w="9780" w:type="dxa"/>
        <w:jc w:val="left"/>
        <w:tblInd w:w="0" w:type="dxa"/>
        <w:tblLayout w:type="fixed"/>
        <w:tblCellMar>
          <w:top w:w="28" w:type="dxa"/>
          <w:left w:w="28" w:type="dxa"/>
          <w:bottom w:w="28" w:type="dxa"/>
          <w:right w:w="28" w:type="dxa"/>
        </w:tblCellMar>
      </w:tblPr>
      <w:tblGrid>
        <w:gridCol w:w="1553"/>
        <w:gridCol w:w="1363"/>
        <w:gridCol w:w="1373"/>
        <w:gridCol w:w="109"/>
        <w:gridCol w:w="109"/>
        <w:gridCol w:w="109"/>
        <w:gridCol w:w="283"/>
        <w:gridCol w:w="804"/>
        <w:gridCol w:w="157"/>
        <w:gridCol w:w="109"/>
        <w:gridCol w:w="109"/>
        <w:gridCol w:w="109"/>
        <w:gridCol w:w="278"/>
        <w:gridCol w:w="278"/>
        <w:gridCol w:w="268"/>
        <w:gridCol w:w="109"/>
        <w:gridCol w:w="109"/>
        <w:gridCol w:w="109"/>
        <w:gridCol w:w="283"/>
        <w:gridCol w:w="804"/>
        <w:gridCol w:w="157"/>
        <w:gridCol w:w="109"/>
        <w:gridCol w:w="109"/>
        <w:gridCol w:w="109"/>
        <w:gridCol w:w="278"/>
        <w:gridCol w:w="278"/>
        <w:gridCol w:w="315"/>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Freestanding derivatives with positive estimated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Home Loan Bank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Leveraged leases, net of non-recourse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Tax credit and renewable energy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9,617 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7,932 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Derivative Risks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various risks relating to our ongoing business operations, including interest rate, foreign currency exchange rate, credit and equity market risks. We use a variety of strategies to manage these risks, including the use of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the Interim Condensed Consolidated Financial Statements for: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information about the gross notional amount, estimated fair value and primary underlying risk exposure of our derivatives by type of hedge designation, excluding embedded derivatives held at March 31, 2026 and December 31, 2025;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effects of derivatives in cash flow, fair value or non-qualifying hedge relationships on the statements of operations for the three months ended March 31, 2026 and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Risk Management Strategies” included in our 2025 Annual Report for more information about our hedging strategies.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Fair Value Hierarchy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categorized as Level 3 at March 31, 2026 include: credit default swaps priced using unobservable credit spreads, or that are priced through independent broker quotations; and foreign currency swaps with certain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notional amount and estimated fair value of credit default swaps were as follows at:</w:t>
      </w:r>
    </w:p>
    <w:tbl>
      <w:tblPr>
        <w:tblW w:w="895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416"/>
        <w:gridCol w:w="1182"/>
        <w:gridCol w:w="231"/>
        <w:gridCol w:w="109"/>
        <w:gridCol w:w="109"/>
        <w:gridCol w:w="109"/>
        <w:gridCol w:w="507"/>
        <w:gridCol w:w="857"/>
        <w:gridCol w:w="285"/>
        <w:gridCol w:w="109"/>
        <w:gridCol w:w="109"/>
        <w:gridCol w:w="109"/>
        <w:gridCol w:w="492"/>
        <w:gridCol w:w="1059"/>
        <w:gridCol w:w="278"/>
        <w:gridCol w:w="109"/>
        <w:gridCol w:w="109"/>
        <w:gridCol w:w="109"/>
        <w:gridCol w:w="486"/>
        <w:gridCol w:w="823"/>
        <w:gridCol w:w="38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Embedded Derivatives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Summary of Critical Accounting Estimates — Derivatives” included in our 2025 Annual Report for additional information on the estimates and assumptions that affect embedded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Policyholder Liabilities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2025 Annual Report for more details on policyholder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Policy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liabilities for future amounts payable under insurance policies. See Note 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Policyholder Account Balances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Market Risk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Select information that management considers relevant to understanding our variable annuity risk management strategy has been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Amount at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variable annuity account value and NAR by type of GMxB were as follows at:</w:t>
      </w:r>
    </w:p>
    <w:tbl>
      <w:tblPr>
        <w:tblW w:w="10758" w:type="dxa"/>
        <w:jc w:val="left"/>
        <w:tblInd w:w="0" w:type="dxa"/>
        <w:tblLayout w:type="fixed"/>
        <w:tblCellMar>
          <w:top w:w="28" w:type="dxa"/>
          <w:left w:w="28" w:type="dxa"/>
          <w:bottom w:w="28" w:type="dxa"/>
          <w:right w:w="28" w:type="dxa"/>
        </w:tblCellMar>
      </w:tblPr>
      <w:tblGrid>
        <w:gridCol w:w="322"/>
        <w:gridCol w:w="191"/>
        <w:gridCol w:w="19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52"/>
        <w:gridCol w:w="252"/>
        <w:gridCol w:w="59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9"/>
        <w:gridCol w:w="239"/>
        <w:gridCol w:w="663"/>
      </w:tblGrid>
      <w:tr>
        <w:trPr/>
        <w:tc>
          <w:tcPr>
            <w:tcW w:w="3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Account Value In-the-Money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of Account Value In-the-Money (2)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 </w:t>
            </w:r>
          </w:p>
        </w:tc>
        <w:tc>
          <w:tcPr>
            <w:tcW w:w="10052" w:type="dxa"/>
            <w:gridSpan w:val="4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 Max with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 Max without EDB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GMWB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18,038 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GMAB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GMDB only (other than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EDB only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75,008 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12,673 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“Death Benefit NAR” and “Living Benefit NAR” are not additive at the contract level.</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(2)In-the-money is defined as any contract with a living benefit NAR in excess of zero.</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(3)Enhanced Death Benefit (“EDB”).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Reserves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 Shield embedded derivative liabilities were valued at $9.4 billion at March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variable annuity MRBs by type of GMxB were as follows at:</w:t>
      </w:r>
    </w:p>
    <w:tbl>
      <w:tblPr>
        <w:tblW w:w="3837" w:type="dxa"/>
        <w:jc w:val="left"/>
        <w:tblInd w:w="0" w:type="dxa"/>
        <w:tblLayout w:type="fixed"/>
        <w:tblCellMar>
          <w:top w:w="28" w:type="dxa"/>
          <w:left w:w="28" w:type="dxa"/>
          <w:bottom w:w="28" w:type="dxa"/>
          <w:right w:w="28" w:type="dxa"/>
        </w:tblCellMar>
      </w:tblPr>
      <w:tblGrid>
        <w:gridCol w:w="254"/>
        <w:gridCol w:w="224"/>
        <w:gridCol w:w="228"/>
        <w:gridCol w:w="287"/>
        <w:gridCol w:w="814"/>
        <w:gridCol w:w="159"/>
        <w:gridCol w:w="109"/>
        <w:gridCol w:w="109"/>
        <w:gridCol w:w="109"/>
        <w:gridCol w:w="334"/>
        <w:gridCol w:w="948"/>
        <w:gridCol w:w="262"/>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GMIB</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7,673 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7,298 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GMWB</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GMDB</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8,484 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8,048 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Differences between actual experience and actuarial assumptions may adversely affect our financial results, capitalization and financial condition” and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 and Capital Management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substantial short-term liquidity position, which was $3.9 billion and $4.3 billion at March 31, 2026 and December 31, 2025,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integral part of our liquidity management includes managing our level of liquid assets, which was $48.2 billion and $50.1 billion at March 31, 2026 and December 31, 2025,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Liquidity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capital position to maintain our financial strength and credit ratings. We target a combined risk-based capital (“RBC”) ratio of 400% to 450% in normal market conditions. We believe a ratio at this level in normal markets provides us with sufficient capital to absorb risks associated with stressed market scenarios. In addition,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2023, we authorized a $750 million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we have agreed that during the period beginning the date of the Merger Agreement through the earlier of the closing of the Merger and the termination of the Merger Agreement, we will not, without the written consent of Aquarian Parent, pay any dividend or other distribution payable in cash, stock or property with respect to our common stock, or subject to certain exceptions, purchase directly or indirectly any of BHF’s or its subsidiaries’ capital stock or other equity or voting interests of BHF or any of its subsidiaries.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permits us to pay periodic cash dividends on our preferred stock not in excess of $412.50 per share on the 6.600% Non-Cumulative Preferred Stock, Series A (the “Series A Preferred Stock”), $421.875 per share on the 6.750% Non-Cumulative Preferred Stock, Series B (the “Series B Preferred Stock”), $335.9375 per share on the 5.375% Non-Cumulative Preferred Stock, Series C (the “Series C Preferred Stock”), and $289.0625 per share on the 4.625% Non-Cumulative Preferred Stock, Series D (the “Series D Preferred Stock” and, together with the Series A Preferred Stock, the Series B Preferred Stock and the Series C Preferred Stock, the “Preferred Stock”), in each case, per quarter during the period beginning the date of the Merger Agreement through the earlier of the closing of the Merger and the termination of the Merger Agreement, consistent with the per-quarter dividends due under each applicable Certificate of Designations.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Sources and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sources and uses of liquidity and capital were as follows at:</w:t>
      </w:r>
    </w:p>
    <w:tbl>
      <w:tblPr>
        <w:tblW w:w="8859" w:type="dxa"/>
        <w:jc w:val="left"/>
        <w:tblInd w:w="0" w:type="dxa"/>
        <w:tblLayout w:type="fixed"/>
        <w:tblCellMar>
          <w:top w:w="28" w:type="dxa"/>
          <w:left w:w="28" w:type="dxa"/>
          <w:bottom w:w="28" w:type="dxa"/>
          <w:right w:w="28" w:type="dxa"/>
        </w:tblCellMar>
      </w:tblPr>
      <w:tblGrid>
        <w:gridCol w:w="2493"/>
        <w:gridCol w:w="2185"/>
        <w:gridCol w:w="2207"/>
        <w:gridCol w:w="196"/>
        <w:gridCol w:w="496"/>
        <w:gridCol w:w="109"/>
        <w:gridCol w:w="109"/>
        <w:gridCol w:w="109"/>
        <w:gridCol w:w="109"/>
        <w:gridCol w:w="196"/>
        <w:gridCol w:w="496"/>
        <w:gridCol w:w="154"/>
      </w:tblGrid>
      <w:tr>
        <w:trPr/>
        <w:tc>
          <w:tcPr>
            <w:tcW w:w="249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24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color w:val="000000"/>
                <w:sz w:val="18"/>
              </w:rPr>
            </w:pPr>
            <w:r>
              <w:rPr>
                <w:rFonts w:ascii="Times New Roman;serif" w:hAnsi="Times New Roman;serif"/>
                <w:b/>
                <w:color w:val="000000"/>
                <w:sz w:val="18"/>
              </w:rPr>
              <w:t>Sources: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policyholder account balances,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payables for collateral under securities loaned and other transactions,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Financing element on certain derivative instruments and other derivative related transactions,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 sources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color w:val="000000"/>
                <w:sz w:val="18"/>
              </w:rPr>
            </w:pPr>
            <w:r>
              <w:rPr>
                <w:rFonts w:ascii="Times New Roman;serif" w:hAnsi="Times New Roman;serif"/>
                <w:b/>
                <w:color w:val="000000"/>
                <w:sz w:val="18"/>
              </w:rPr>
              <w:t>Uses: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Operating activities,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policyholder account balances,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Changes in payables for collateral under securities loaned and other transactions,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Long-term debt repaid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Treasury stock acquired in connection with share repurchases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Financing element on certain derivative instruments and other derivative related transactions,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Primary Sources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summary description of liquidity and capital sources discussed in “— Sources and Uses of Liquidity and Capital,” the following additional information is provided regarding our primary sources of liquidity and capital: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Funding Sources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of the Notes to the Interim Condensed Consolidated Financial Statements and Note 12 of the Notes to the Consolidated Financial Statements included in our 2025 Annual Report for information on preferred stock issuances.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2025 Annual Report for additional information on funding agreements.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Agreement-Backed Repurchase Agreement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Agreement-Backed Commercial Paper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Agreement-Backed Notes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Federal Home Loan Bank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is a member of the Federal Home Loan Bank (“FHLB”) of Atlanta, where it maintains a secured funding agreement program, under which funding agreements may be issued.</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Farmer Mac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funding agreements issued for spread lending purposes is as follows:</w:t>
      </w:r>
    </w:p>
    <w:tbl>
      <w:tblPr>
        <w:tblW w:w="10205" w:type="dxa"/>
        <w:jc w:val="left"/>
        <w:tblInd w:w="0" w:type="dxa"/>
        <w:tblLayout w:type="fixed"/>
        <w:tblCellMar>
          <w:top w:w="28" w:type="dxa"/>
          <w:left w:w="28" w:type="dxa"/>
          <w:bottom w:w="28" w:type="dxa"/>
          <w:right w:w="28" w:type="dxa"/>
        </w:tblCellMar>
      </w:tblPr>
      <w:tblGrid>
        <w:gridCol w:w="824"/>
        <w:gridCol w:w="683"/>
        <w:gridCol w:w="688"/>
        <w:gridCol w:w="109"/>
        <w:gridCol w:w="109"/>
        <w:gridCol w:w="109"/>
        <w:gridCol w:w="267"/>
        <w:gridCol w:w="758"/>
        <w:gridCol w:w="147"/>
        <w:gridCol w:w="116"/>
        <w:gridCol w:w="116"/>
        <w:gridCol w:w="116"/>
        <w:gridCol w:w="309"/>
        <w:gridCol w:w="879"/>
        <w:gridCol w:w="17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61"/>
      </w:tblGrid>
      <w:tr>
        <w:trPr/>
        <w:tc>
          <w:tcPr>
            <w:tcW w:w="82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vMerge w:val="restart"/>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 xml:space="preserve">Aggregate Principal Amount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Repayments</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3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9,454 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2,772 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40" w:after="283"/>
              <w:jc w:val="right"/>
              <w:rPr>
                <w:rFonts w:ascii="Times New Roman;serif" w:hAnsi="Times New Roman;serif"/>
                <w:b w:val="false"/>
                <w:color w:val="000000"/>
                <w:sz w:val="18"/>
              </w:rPr>
            </w:pPr>
            <w:r>
              <w:rPr>
                <w:rFonts w:ascii="Times New Roman;serif" w:hAnsi="Times New Roman;serif"/>
                <w:b w:val="false"/>
                <w:color w:val="000000"/>
                <w:sz w:val="18"/>
              </w:rPr>
              <w:t>3,660 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Issuances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included in our 2025 Annual Report for information on debt issuances.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Credit and Committed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included in our 2025 Annual Report for information regarding our credit and committed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March 31, 2026, we were in compliance with these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Primary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summarized description of liquidity and capital uses discussed in “— Sources and Uses of Liquidity and Capital,” the following additional information is provided regarding our primary uses of liquidity and capital: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Stock Repurchases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March 31, 2026. See also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included in our 2025 Annual Report.</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Preferred Stock Dividends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of the Notes to the Interim Condensed Consolidated Financial Statements for information relating to dividends declared and paid on our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color w:val="000000"/>
          <w:u w:val="single"/>
        </w:rPr>
      </w:pPr>
      <w:r>
        <w:rPr>
          <w:color w:val="000000"/>
          <w:u w:val="single"/>
        </w:rPr>
        <w:t>“</w:t>
      </w:r>
      <w:r>
        <w:rPr>
          <w:rFonts w:ascii="Times New Roman;serif" w:hAnsi="Times New Roman;serif"/>
          <w:b w:val="false"/>
          <w:i/>
          <w:color w:val="000000"/>
          <w:sz w:val="20"/>
          <w:u w:val="single"/>
        </w:rPr>
        <w:t>Dividend Stopper” Provisions in BHF’s Preferred Stock and Junior Subordinated Debentures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Debt Repayments, Repurchases, Redemptions and Exchanges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of the Notes to the Consolidated Financial Statements included in our 2025 Annual Report for information on debt repayments and repurchases, as well as debt maturities and the terms of our outstanding long-term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Insurance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Pledged Collateral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derivatives to manage various risks relating to our ongoing business operations. We pledge collateral to, and have collateral pledged to us by, counterparties in connection with our derivatives. At March 31, 2026 and December 31, 2025, we pledged $23 million and $34 million, respectively, of cash collateral to counterparties. At both March 31, 2026 and December 31, 2025, we were obligated to return cash collateral pledged to us by counterparties of $1.5 billion. The timing of the return of the derivatives collateral is uncertain. We also pledge collateral from time to time in connection with certain funding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non-cash collateral from counterparties for derivatives, which can be sold or re-pledged subject to certain constraints, and which is not recorded on our consolidated balance sheets. The amount of this non-cash collateral at estimated fair value was $2.6 billion and $3.2 billion at March 31, 2026 and December 31,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of the Notes to the Interim Condensed Consolidated Financial Statements for additional information regarding pledged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 Lending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$3.2 billion at both March 31, 2026 and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non-cash collateral for securities lending from counterparties, which cannot be sold or re-pledged, and which is not recorded on our consolidated balance sheets. There was no non-cash collateral at both March 31, 2026 and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7 of the Notes to the Interim Condensed Consolidated Financial Statements for further discussion of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Contingencies, Commitments and Guarantees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Parent Company</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Liquidity and Liquid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BHF and certain of its non-insurance subsidiaries had short-term liquidity of $659 million and $763 million, respectively. Short-term liquidity is comprised of cash and cash equivalents and short-term investments,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BHF and certain of its non-insurance subsidiaries had liquid assets of $862 million and $911 million, respectively, of which $827 million and $868 million,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Statutory Capital and Dividends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2026 would be subject to Delaware Department of Insurance approval. See Note 12 of the Notes to the Consolidated Financial Statements included in our 2025 Annual Report for additional information regarding the applicable dividend restrictions and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our subsidiaries’ ordinary dividend capacity, as well as the circumstances under which regulatory approval would be required.</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Primary Sources and Uses of Liquidity and Capital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uses of liquidity of BHF include debt-service obligations (including interest expense and debt repayments), preferred stock dividends, capital contributions to subsidiaries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pay all general operating expenses and meet its cash needs.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from MetLife, Inc. (together with its subsidiaries and affiliates, “MetLife”), the Company entered into a tax receivables agreement (the “Tax Receivables Agreement”) with MetLife. In connection with the Tax Receivables Agreement, the Company has a payable to MetLife of $328 million at both March 31, 2026 and December 31, 2025 reported in other liabilities, which would be accelerated upon closing of the Merger. See Note 15 of the Notes to the Consolidated Financial Statements included in our 2025 Annual Report for additional information regarding income tax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liquidity and capital sources discussed in “— The Company — Primary Sources of Liquidity and Capital” and “— The Company — Primary Uses of Liquidity and Capital,” the following additional information is provided regarding BHF’s primary sources and uses of liquidity and capital:</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Distributions from and Capital Contributions to BH Holdings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both the three months ended March 31, 2026 and 2025, BHF did not receive any cash distributions from BH Holdings and did not make any cash capital contributions to BH Holdings.</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Intercompany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three months ended March 31, 2026 and 2025, BHF borrowed $108 million and $185 million, respectively, from certain of its non-insurance subsidiaries and repaid $117 million and $227 million of such borrowings during the three months ended March 31, 2026 and 2025, respectively. At March 31, 2026 and December 31, 2025, BHF had total obligations outstanding of $436 million and $445 million, respectively, under such agreements. </w:t>
      </w:r>
    </w:p>
    <w:p>
      <w:pPr>
        <w:pStyle w:val="TextBody"/>
        <w:bidi w:val="0"/>
        <w:spacing w:lineRule="auto" w:line="288" w:before="12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Intercompany Liquidity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three months ended March 31, 2026 and 2025, there were no borrowings or repayments by BHF under these facilities and, at both March 31, 2026 and December 31, 2025, BHF had no obligations outstanding under such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the pendency of the Merger on our ongoing business and operations, including disruption to our business relationships, the diversion of management’s attention from ongoing business operations and opportunities, or the outcome of any legal proceedings that may be instituted against Aquarian Parent or BHF following announcement of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restrictions on the conduct of our business prior to the closing of the Merger and on our ability to pursue alternatives to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possibility that the Merger may be more expensive to complete than anticipated, including as a result of unexpected factors or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risk management costs and exposure to increased market risk due to guarantees within certain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material differences between actual outcomes and the sensitivities calculated under certain scenarios that we may utilize in connection with our risk management strategies;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interest rates on our future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adverse effect of changes in accounting standards, practices or policies applicable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business and other negative impacts resulting from a downgrade or a potential downgrade in our financial strength or credit ratings;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heightened competition, including with respect to service, product features, product mix, scale, price, actual or perceived financial strength, claims-paying ratings, credit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market and distribute our products through distribution channels and maintain relationships with key distribution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of our subsidiaries to pay dividends to us, and our ability to pay dividends to our shareholders and repurchase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adverse capital and credit market conditions, including with respect to our ability to meet liquidity needs and access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changes in regulation and in supervisory and enforcement policies or interpretations thereof on our insurance business or other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all or any portion of the tax consequences of our separation from MetLife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factors described in this report and from time to time in documents that we file with the SEC.</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2025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Corporate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exposures from the market risk exposures previously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MetLife provides certain services to the Company through services agreements, some of which are on a transitional basis. The Company continues to change business processes, implement systems and establish new third-party arrangements. We consider these in aggregate to be material changes in our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as noted above, there were no changes to the Company’s internal control over financial reporting (as defined in Rules 13a-15(f) and 15d-15(f) under the Exchange Act) that occurred during the quarter ended March 31, 2026 that have materially affected, or are reasonably likely to materially affect, these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in this report, in our 2025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16, 2023, BHF’s Board of Directors authorized the repurchase of up to $750 million of BHF’s common stock, which does not have an expiration date. Repurchases made under such authorization may be made through open market purchases, including pursuant to Rule 10b5-1 plans or pursuant to accelerated stock repurchase plans, or through privately negotiated transactions, from time to time at management’s discretion in accordance with applicable legal requirements. The Company did not repurchase any shares of its common stock during the first quarter of 2026. In addition, pursuant to the Merger Agreement, we have agreed that during the period beginning the date of the Merger Agreement through the earlier of the closing of the Merger and the termination of the Merger Agreement, we will not, subject to certain exceptions, purchase directly or indirectly any of BHF’s or its subsidiaries’ capital stock or other equity or voting interests of BHF or any of its subsidiaries. At March 31, 2026, BHF had $441 million remaining under its common stock repurchase program. See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included in our 2025 Annual Report, as well as “Management’s Discussion and Analysis of Financial Condition and Results of Operations — Liquidity and Capital Resources — The Company — Capital,”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Director and Officer Rule 10b5-1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420"/>
        <w:ind w:left="0" w:right="0" w:firstLine="180"/>
        <w:jc w:val="both"/>
        <w:rPr/>
      </w:pPr>
      <w:r>
        <w:rPr>
          <w:rFonts w:ascii="Times New Roman;serif" w:hAnsi="Times New Roman;serif"/>
          <w:b w:val="false"/>
          <w:i/>
          <w:color w:val="000000"/>
          <w:sz w:val="20"/>
        </w:rPr>
        <w:t>(</w:t>
      </w:r>
      <w:r>
        <w:rPr>
          <w:rFonts w:ascii="Times New Roman;serif" w:hAnsi="Times New Roman;serif"/>
          <w:b/>
          <w:i/>
          <w:color w:val="000000"/>
          <w:sz w:val="20"/>
        </w:rPr>
        <w:t>Note Regarding Reliance on Statements in Our Contracts:</w:t>
      </w:r>
      <w:r>
        <w:rPr>
          <w:color w:val="000000"/>
        </w:rPr>
        <w:t xml:space="preserve"> </w:t>
      </w:r>
      <w:r>
        <w:rPr>
          <w:rFonts w:ascii="Times New Roman;serif" w:hAnsi="Times New Roman;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2770"/>
        <w:gridCol w:w="2576"/>
        <w:gridCol w:w="3668"/>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6xex101.htm">
              <w:r>
                <w:rPr>
                  <w:rStyle w:val="InternetLink"/>
                  <w:rFonts w:ascii="Times New Roman;serif" w:hAnsi="Times New Roman;serif"/>
                  <w:b w:val="false"/>
                  <w:color w:val="0000FF"/>
                  <w:sz w:val="20"/>
                  <w:u w:val="single"/>
                </w:rPr>
                <w:t>Form of Restricted Stock Unit Agreement (Employee Plan) for awards with ratable vesting, as amended March 1, 2026 (replaces and updates Exhibit 10.12 to our Annual Report on Form 10-K, filed on February 24, 2026 (our “2025 Annual Report”)).</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6xex102.htm">
              <w:r>
                <w:rPr>
                  <w:rStyle w:val="InternetLink"/>
                  <w:rFonts w:ascii="Times New Roman;serif" w:hAnsi="Times New Roman;serif"/>
                  <w:b w:val="false"/>
                  <w:color w:val="0000FF"/>
                  <w:sz w:val="20"/>
                  <w:u w:val="single"/>
                </w:rPr>
                <w:t>Form of Restricted Stock Unit Agreement (Employee Plan) for awards with cliff vesting, as amended March 1, 2026 (replaces and updates Exhibit 10.13 to our 2025 Annual Report).</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6xex103.htm">
              <w:r>
                <w:rPr>
                  <w:rStyle w:val="InternetLink"/>
                  <w:rFonts w:ascii="Times New Roman;serif" w:hAnsi="Times New Roman;serif"/>
                  <w:b w:val="false"/>
                  <w:color w:val="000080"/>
                  <w:sz w:val="20"/>
                  <w:u w:val="single"/>
                </w:rPr>
                <w:t>A</w:t>
              </w:r>
            </w:hyperlink>
            <w:hyperlink w:anchor="bhf-03312026xex103.htm">
              <w:r>
                <w:rPr>
                  <w:rStyle w:val="InternetLink"/>
                  <w:rFonts w:ascii="Times New Roman;serif" w:hAnsi="Times New Roman;serif"/>
                  <w:b w:val="false"/>
                  <w:color w:val="000080"/>
                  <w:sz w:val="20"/>
                  <w:u w:val="single"/>
                </w:rPr>
                <w:t>ward Agreement Supplement (</w:t>
              </w:r>
            </w:hyperlink>
            <w:hyperlink w:anchor="bhf-03312026xex103.htm">
              <w:r>
                <w:rPr>
                  <w:rStyle w:val="InternetLink"/>
                  <w:rFonts w:ascii="Times New Roman;serif" w:hAnsi="Times New Roman;serif"/>
                  <w:b w:val="false"/>
                  <w:color w:val="000080"/>
                  <w:sz w:val="20"/>
                  <w:u w:val="single"/>
                </w:rPr>
                <w:t>Employee Plan</w:t>
              </w:r>
            </w:hyperlink>
            <w:hyperlink w:anchor="bhf-03312026xex103.htm">
              <w:r>
                <w:rPr>
                  <w:rStyle w:val="InternetLink"/>
                  <w:rFonts w:ascii="Times New Roman;serif" w:hAnsi="Times New Roman;serif"/>
                  <w:b w:val="false"/>
                  <w:color w:val="000080"/>
                  <w:sz w:val="20"/>
                  <w:u w:val="single"/>
                </w:rPr>
                <w:t>)</w:t>
              </w:r>
            </w:hyperlink>
            <w:hyperlink w:anchor="bhf-03312026xex103.htm">
              <w:r>
                <w:rPr>
                  <w:rStyle w:val="InternetLink"/>
                  <w:rFonts w:ascii="Times New Roman;serif" w:hAnsi="Times New Roman;serif"/>
                  <w:b w:val="false"/>
                  <w:color w:val="000080"/>
                  <w:sz w:val="20"/>
                  <w:u w:val="single"/>
                </w:rPr>
                <w:t xml:space="preserve"> for </w:t>
              </w:r>
            </w:hyperlink>
            <w:hyperlink w:anchor="bhf-03312026xex103.htm">
              <w:r>
                <w:rPr>
                  <w:rStyle w:val="InternetLink"/>
                  <w:rFonts w:ascii="Times New Roman;serif" w:hAnsi="Times New Roman;serif"/>
                  <w:b w:val="false"/>
                  <w:color w:val="000080"/>
                  <w:sz w:val="20"/>
                  <w:u w:val="single"/>
                </w:rPr>
                <w:t>awards with ratable vesting</w:t>
              </w:r>
            </w:hyperlink>
            <w:hyperlink w:anchor="bhf-03312026xex103.htm">
              <w:r>
                <w:rPr>
                  <w:rStyle w:val="InternetLink"/>
                  <w:rFonts w:ascii="Times New Roman;serif" w:hAnsi="Times New Roman;serif"/>
                  <w:b w:val="false"/>
                  <w:color w:val="000080"/>
                  <w:sz w:val="20"/>
                  <w:u w:val="single"/>
                </w:rPr>
                <w:t xml:space="preserve">, cliff vesting and Performance Share Unit and Restricted </w:t>
              </w:r>
            </w:hyperlink>
            <w:hyperlink w:anchor="bhf-03312026xex103.htm">
              <w:r>
                <w:rPr>
                  <w:rStyle w:val="InternetLink"/>
                  <w:rFonts w:ascii="Times New Roman;serif" w:hAnsi="Times New Roman;serif"/>
                  <w:b w:val="false"/>
                  <w:color w:val="000080"/>
                  <w:sz w:val="20"/>
                  <w:u w:val="single"/>
                </w:rPr>
                <w:t>Sto</w:t>
              </w:r>
            </w:hyperlink>
            <w:hyperlink w:anchor="bhf-03312026xex103.htm">
              <w:r>
                <w:rPr>
                  <w:rStyle w:val="InternetLink"/>
                  <w:rFonts w:ascii="Times New Roman;serif" w:hAnsi="Times New Roman;serif"/>
                  <w:b w:val="false"/>
                  <w:color w:val="000080"/>
                  <w:sz w:val="20"/>
                  <w:u w:val="single"/>
                </w:rPr>
                <w:t>ck Unit awards granted i</w:t>
              </w:r>
            </w:hyperlink>
            <w:hyperlink w:anchor="bhf-03312026xex103.htm">
              <w:r>
                <w:rPr>
                  <w:rStyle w:val="InternetLink"/>
                  <w:rFonts w:ascii="Times New Roman;serif" w:hAnsi="Times New Roman;serif"/>
                  <w:b w:val="false"/>
                  <w:color w:val="000080"/>
                  <w:sz w:val="20"/>
                  <w:u w:val="single"/>
                </w:rPr>
                <w:t xml:space="preserve">n 2026, as </w:t>
              </w:r>
            </w:hyperlink>
            <w:hyperlink w:anchor="bhf-03312026xex103.htm">
              <w:r>
                <w:rPr>
                  <w:rStyle w:val="InternetLink"/>
                  <w:rFonts w:ascii="Times New Roman;serif" w:hAnsi="Times New Roman;serif"/>
                  <w:b w:val="false"/>
                  <w:color w:val="000080"/>
                  <w:sz w:val="20"/>
                  <w:u w:val="single"/>
                </w:rPr>
                <w:t>amended</w:t>
              </w:r>
            </w:hyperlink>
            <w:hyperlink w:anchor="bhf-03312026xex103.htm">
              <w:r>
                <w:rPr>
                  <w:rStyle w:val="InternetLink"/>
                  <w:rFonts w:ascii="Times New Roman;serif" w:hAnsi="Times New Roman;serif"/>
                  <w:b w:val="false"/>
                  <w:color w:val="000080"/>
                  <w:sz w:val="20"/>
                  <w:u w:val="single"/>
                </w:rPr>
                <w:t xml:space="preserve"> March 1</w:t>
              </w:r>
            </w:hyperlink>
            <w:hyperlink w:anchor="bhf-03312026xex103.htm">
              <w:r>
                <w:rPr>
                  <w:rStyle w:val="InternetLink"/>
                  <w:rFonts w:ascii="Times New Roman;serif" w:hAnsi="Times New Roman;serif"/>
                  <w:b w:val="false"/>
                  <w:color w:val="000080"/>
                  <w:sz w:val="20"/>
                  <w:u w:val="single"/>
                </w:rPr>
                <w:t>, 2026 (replaces and updates Exhibits 10.17, 10.18 and 1</w:t>
              </w:r>
            </w:hyperlink>
            <w:hyperlink w:anchor="bhf-03312026xex103.htm">
              <w:r>
                <w:rPr>
                  <w:rStyle w:val="InternetLink"/>
                  <w:rFonts w:ascii="Times New Roman;serif" w:hAnsi="Times New Roman;serif"/>
                  <w:b w:val="false"/>
                  <w:color w:val="000080"/>
                  <w:sz w:val="20"/>
                  <w:u w:val="single"/>
                </w:rPr>
                <w:t>0.19 to our 2025 Annual Report).</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6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6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6xe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6xe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Brighthouse Financial, Inc.’s Quarterly Report on Form 10-Q for the quarter ended March 31, 2026, formatted in Inline XBRL (included within the Exhibit 101 attachments).</w:t>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Denotes management contracts or compensation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20" w:after="283"/>
        <w:jc w:val="both"/>
        <w:rPr/>
      </w:pPr>
      <w:hyperlink w:anchor="i63cdcf02a87745ecaa05794f6780e69e_7">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ind w:left="0" w:right="0" w:firstLine="180"/>
        <w:jc w:val="both"/>
        <w:rPr/>
      </w:pPr>
      <w:r>
        <w:rPr/>
      </w:r>
    </w:p>
    <w:tbl>
      <w:tblPr>
        <w:tblW w:w="6973" w:type="dxa"/>
        <w:jc w:val="center"/>
        <w:tblInd w:w="0" w:type="dxa"/>
        <w:tblLayout w:type="fixed"/>
        <w:tblCellMar>
          <w:top w:w="28" w:type="dxa"/>
          <w:left w:w="28" w:type="dxa"/>
          <w:bottom w:w="28" w:type="dxa"/>
          <w:right w:w="28" w:type="dxa"/>
        </w:tblCellMar>
      </w:tblPr>
      <w:tblGrid>
        <w:gridCol w:w="275"/>
        <w:gridCol w:w="241"/>
        <w:gridCol w:w="241"/>
        <w:gridCol w:w="241"/>
        <w:gridCol w:w="241"/>
        <w:gridCol w:w="241"/>
        <w:gridCol w:w="241"/>
        <w:gridCol w:w="241"/>
        <w:gridCol w:w="241"/>
        <w:gridCol w:w="1366"/>
        <w:gridCol w:w="1366"/>
        <w:gridCol w:w="2038"/>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69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BRIGHTHOUSE FINANCIAL, INC.</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RESTRICTED STOCK UNIT AGREEMENT </w:t>
        <w:br/>
        <w:t>(Ratable Vesting)</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Brighthouse Financial, Inc. confirms that, on </w:t>
      </w:r>
      <w:r>
        <w:rPr>
          <w:rFonts w:ascii="Times New Roman;serif" w:hAnsi="Times New Roman;serif"/>
          <w:b/>
          <w:color w:val="000000"/>
          <w:sz w:val="24"/>
        </w:rPr>
        <w:t>/$GrantDate$/</w:t>
      </w:r>
      <w:r>
        <w:rPr>
          <w:color w:val="000000"/>
        </w:rPr>
        <w:t> </w:t>
      </w:r>
      <w:r>
        <w:rPr>
          <w:rFonts w:ascii="Times New Roman;serif" w:hAnsi="Times New Roman;serif"/>
          <w:b w:val="false"/>
          <w:color w:val="000000"/>
          <w:sz w:val="24"/>
        </w:rPr>
        <w:t>(the “Grant Date”), it granted you, </w:t>
      </w:r>
      <w:r>
        <w:rPr>
          <w:rFonts w:ascii="Times New Roman;serif" w:hAnsi="Times New Roman;serif"/>
          <w:b/>
          <w:color w:val="000000"/>
          <w:sz w:val="24"/>
        </w:rPr>
        <w:t>/$ParticipantName$/</w:t>
      </w:r>
      <w:r>
        <w:rPr>
          <w:rFonts w:ascii="Times New Roman;serif" w:hAnsi="Times New Roman;serif"/>
          <w:b w:val="false"/>
          <w:color w:val="000000"/>
          <w:sz w:val="24"/>
        </w:rPr>
        <w:t>, </w:t>
      </w:r>
      <w:r>
        <w:rPr>
          <w:rFonts w:ascii="Times New Roman;serif" w:hAnsi="Times New Roman;serif"/>
          <w:b/>
          <w:color w:val="000000"/>
          <w:sz w:val="24"/>
        </w:rPr>
        <w:t>/$AwardsGranted$/</w:t>
      </w:r>
      <w:r>
        <w:rPr>
          <w:color w:val="000000"/>
        </w:rPr>
        <w:t> </w:t>
      </w:r>
      <w:r>
        <w:rPr>
          <w:rFonts w:ascii="Times New Roman;serif" w:hAnsi="Times New Roman;serif"/>
          <w:b w:val="false"/>
          <w:color w:val="000000"/>
          <w:sz w:val="24"/>
        </w:rPr>
        <w:t>Restricted Stock Units. Your Restricted Stock Units are subject to the terms and conditions of the Brighthouse Financial, Inc. Amended and Restated 2017 Stock and Incentive Compensation Plan and this Restricted Stock Unit Agreement (this “Agreement”), which includes the Award Agreement Supplement (the “Supplement”). Please note that the Supplement includes terms for forfeiture of your Restricted Stock Units under some circumstances.</w:t>
      </w:r>
    </w:p>
    <w:p>
      <w:pPr>
        <w:pStyle w:val="TextBody"/>
        <w:bidi w:val="0"/>
        <w:spacing w:before="0" w:after="0"/>
        <w:ind w:left="0" w:right="0" w:firstLine="720"/>
        <w:jc w:val="left"/>
        <w:rPr/>
      </w:pPr>
      <w:r>
        <w:rPr/>
      </w:r>
    </w:p>
    <w:p>
      <w:pPr>
        <w:pStyle w:val="TextBody"/>
        <w:bidi w:val="0"/>
        <w:spacing w:lineRule="auto" w:line="333" w:before="0" w:after="0"/>
        <w:jc w:val="left"/>
        <w:rPr/>
      </w:pPr>
      <w:r>
        <w:rPr>
          <w:rFonts w:ascii="Times New Roman;serif" w:hAnsi="Times New Roman;serif"/>
          <w:b/>
          <w:color w:val="000000"/>
          <w:sz w:val="24"/>
          <w:u w:val="single"/>
        </w:rPr>
        <w:t>Standard Terms</w:t>
      </w:r>
      <w:r>
        <w:rPr>
          <w:rFonts w:ascii="Times New Roman;serif" w:hAnsi="Times New Roman;serif"/>
          <w:b/>
          <w:color w:val="000000"/>
          <w:sz w:val="24"/>
        </w:rPr>
        <w:t>.</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These terms are the “Standard Terms” and will apply to your Restricted Stock Units except in so far as Sections S-1 (“Change of Status”), S-2 (“Change of Control”), or S-14 (“Restrictive Covenants”) of the Supplement apply. If Shares are paid to you, you will receive evidence of ownership of those Shares.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Period of Restriction for your Restricted Stock Units will end in stages on the first business day in March on or following each of the first three anniversaries of the Grant Date. Each portion of your Restricted Stock Units subject to a different Period of Restriction shall be referred to as a “Unit Tranche” and during its Period of Restriction as an “Outstanding Unit Tranche.” The Period of Restriction for one-third (1/3rd) of your Restricted Stock Units (rounding down to the nearest whole number of Restricted Stock Units, the “First Unit Tranche”) will begin on the Grant Date and end on the first business day in March on or following the first anniversary of the Grant Date. The Period of Restriction for one-third (1/3rd) of your Restricted Stock Units (rounding down to the nearest whole number of Restricted Stock Units, the “Second Unit Tranche”) will begin on the Grant Date and end on the first business day in March on or following the second anniversary of the Grant Date. The Period of Restriction for each of your Restricted Stock Units not included in either the First or the Second Unit Tranches (the “Third Unit Tranche”) will begin on the Grant Date and end on the first business day in March on or following the third anniversary of the Grant Date.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Each Unit Tranche will be due and payable in the form of Shares after the conclusion of the Period of Restriction applicable to that Unit Tranche, at the time specified in Section S-7 (“Timing of Payment”).</w:t>
      </w:r>
    </w:p>
    <w:p>
      <w:pPr>
        <w:pStyle w:val="TextBody"/>
        <w:bidi w:val="0"/>
        <w:spacing w:before="0" w:after="0"/>
        <w:ind w:left="0" w:right="0" w:firstLine="720"/>
        <w:jc w:val="left"/>
        <w:rPr/>
      </w:pPr>
      <w:r>
        <w:rPr/>
      </w:r>
    </w:p>
    <w:p>
      <w:pPr>
        <w:pStyle w:val="TextBody"/>
        <w:bidi w:val="0"/>
        <w:spacing w:lineRule="auto" w:line="33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Brighthouse Financial, Inc. has caused this Agreement to be offered to you, and you have accepted this Agreement by the electronic means made available to you.</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(3-year Cliff Vesting)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Brighthouse Financial, Inc. (the “Company”) confirms that, on </w:t>
      </w:r>
      <w:r>
        <w:rPr>
          <w:rFonts w:ascii="Times New Roman;serif" w:hAnsi="Times New Roman;serif"/>
          <w:b/>
          <w:color w:val="000000"/>
          <w:sz w:val="24"/>
        </w:rPr>
        <w:t>/$GrantDate$/</w:t>
      </w:r>
      <w:r>
        <w:rPr>
          <w:color w:val="000000"/>
        </w:rPr>
        <w:t> </w:t>
      </w:r>
      <w:r>
        <w:rPr>
          <w:rFonts w:ascii="Times New Roman;serif" w:hAnsi="Times New Roman;serif"/>
          <w:b w:val="false"/>
          <w:color w:val="000000"/>
          <w:sz w:val="24"/>
        </w:rPr>
        <w:t>(the “Grant Date”), it granted you, </w:t>
      </w:r>
      <w:r>
        <w:rPr>
          <w:rFonts w:ascii="Times New Roman;serif" w:hAnsi="Times New Roman;serif"/>
          <w:b/>
          <w:color w:val="000000"/>
          <w:sz w:val="24"/>
        </w:rPr>
        <w:t>/$ParticipantName$/</w:t>
      </w:r>
      <w:r>
        <w:rPr>
          <w:rFonts w:ascii="Times New Roman;serif" w:hAnsi="Times New Roman;serif"/>
          <w:b w:val="false"/>
          <w:color w:val="000000"/>
          <w:sz w:val="24"/>
        </w:rPr>
        <w:t>, </w:t>
      </w:r>
      <w:r>
        <w:rPr>
          <w:rFonts w:ascii="Times New Roman;serif" w:hAnsi="Times New Roman;serif"/>
          <w:b/>
          <w:color w:val="000000"/>
          <w:sz w:val="24"/>
        </w:rPr>
        <w:t>/$AwardsGranted$/</w:t>
      </w:r>
      <w:r>
        <w:rPr>
          <w:color w:val="000000"/>
        </w:rPr>
        <w:t> </w:t>
      </w:r>
      <w:r>
        <w:rPr>
          <w:rFonts w:ascii="Times New Roman;serif" w:hAnsi="Times New Roman;serif"/>
          <w:b w:val="false"/>
          <w:color w:val="000000"/>
          <w:sz w:val="24"/>
        </w:rPr>
        <w:t xml:space="preserve">Restricted Stock Units.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Your Restricted Stock Units are subject to the terms and conditions of the Brighthouse Financial, Inc. Amended and Restated 2017 Stock and Incentive Compensation Plan and this Restricted Stock Unit Agreement (this “Agreement”), which includes the Award Agreement Supplement (the “Supplement”). Please note that the Supplement includes terms for forfeiture of your Restricted Stock Units under certain circumstances.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These are the “Standard Terms” referenced in the Supplement and will apply to your Restricted Stock Units except in so far as Supplement Sections S-1 (“Change of Status”), S-2 (“Change of Control”), or S-14 (“Restrictive Covenants”) apply. If Shares are paid to you, you will receive evidence of ownership of those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Period of Restriction for your Restricted Stock Units will begin on the Grant Date and end on the first business day following the third anniversary of the Grant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Restricted Stock Units will be due and payable, net of any necessary tax withholding, in the form of Shares after the conclusion of the Period of Restriction, at the time specified in Supplement Section S-7 (“Timing of Payment”).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Brighthouse Financial, Inc. has caused this Agreement to be offered to you, and you have accepted this Agreement by the electronic means made available to you.</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25"/>
        <w:jc w:val="center"/>
        <w:rPr>
          <w:rFonts w:ascii="Times New Roman;serif" w:hAnsi="Times New Roman;serif"/>
          <w:b/>
          <w:color w:val="000000"/>
          <w:sz w:val="24"/>
        </w:rPr>
      </w:pPr>
      <w:r>
        <w:rPr>
          <w:rFonts w:ascii="Times New Roman;serif" w:hAnsi="Times New Roman;serif"/>
          <w:b/>
          <w:color w:val="000000"/>
          <w:sz w:val="24"/>
        </w:rPr>
        <w:t>AWARD AGREEMENT SUPPLEMENT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Award Agreement Supplement (this “Supplement”) provides terms that are part of your Award Agreement (the “Agreement”) under the Brighthouse Financial, Inc. Amended and Restated 2017 Stock and Incentive Compensation Plan (the “AR 2017 Plan”). In this Supplement, “Award” refers to the Performance Shares, Restricted Stock Units, Stock Options, Performance Units, or Restricted Units, that are the subject of the Award Agreement. All capitalized terms used in this document that are not defined herein are defined in the AR 2017 Plan document.</w:t>
      </w:r>
    </w:p>
    <w:p>
      <w:pPr>
        <w:pStyle w:val="TextBody"/>
        <w:bidi w:val="0"/>
        <w:spacing w:lineRule="auto" w:line="240" w:before="240" w:after="240"/>
        <w:ind w:left="0" w:right="0" w:firstLine="720"/>
        <w:jc w:val="left"/>
        <w:rPr/>
      </w:pPr>
      <w:r>
        <w:rPr>
          <w:rFonts w:ascii="Times New Roman;serif" w:hAnsi="Times New Roman;serif"/>
          <w:b/>
          <w:color w:val="000000"/>
          <w:sz w:val="24"/>
        </w:rPr>
        <w:t>S-1.</w:t>
      </w:r>
      <w:r>
        <w:rPr>
          <w:rFonts w:ascii="Times New Roman;serif" w:hAnsi="Times New Roman;serif"/>
          <w:b/>
          <w:color w:val="000000"/>
          <w:sz w:val="24"/>
          <w:u w:val="single"/>
        </w:rPr>
        <w:t>Change of Status</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terms of this Section S-1 describe how various events affect your Covered Award, subject to Sections S-14(b) (“Non-Disparagement”), S-14(c) (“Violation of Agreement to Protect”), and S-14(d) (“Restrictions Applicable to Insiders and Section 16 Officers”). </w:t>
      </w:r>
      <w:r>
        <w:rPr>
          <w:color w:val="000000"/>
        </w:rPr>
        <w:t>“</w:t>
      </w:r>
      <w:r>
        <w:rPr>
          <w:rFonts w:ascii="sans-serif" w:hAnsi="sans-serif"/>
          <w:b w:val="false"/>
          <w:color w:val="000000"/>
          <w:sz w:val="24"/>
        </w:rPr>
        <w:t xml:space="preserve">Covered Award” shall </w:t>
      </w:r>
      <w:r>
        <w:rPr>
          <w:rFonts w:ascii="Times New Roman;serif" w:hAnsi="Times New Roman;serif"/>
          <w:b w:val="false"/>
          <w:color w:val="000000"/>
          <w:sz w:val="24"/>
        </w:rPr>
        <w:t>refer to:</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(1)your unexercised Stock Options;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(2)your Restricted Stock Units or Restricted Units during their Period of Restriction (Outstanding Unit Tranches during their Period of Restriction, in the case of Restricted Stock Units or Restricted Units divided into Unit Tranches); or</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(3)your Performance Shares or Performance Units during their Performance Period.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For purposes of this Section S-1, your transfer between the Company and an Affiliate, or among Affiliates, will not be a termination of employment, but any other termination of employment with the Company or any of its Affiliates (including the end of your employer’s status as an Affiliate) will be a termination of employment. The terms of this Section S-1 shall apply as provided, except as otherwise determined by the Committee. Any payment will be made at the time specified in Section S-7 (“Timing of Payment”).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Long-Term Disability</w:t>
      </w:r>
      <w:r>
        <w:rPr>
          <w:rFonts w:ascii="Times New Roman;serif" w:hAnsi="Times New Roman;serif"/>
          <w:b w:val="false"/>
          <w:color w:val="000000"/>
          <w:sz w:val="24"/>
        </w:rPr>
        <w:t>. In the event you qualify for long-term disability benefits under a plan or arrangement offered by the Company or an Affiliate for its Employees, or under another plan or under another disability insurance policy issued to you provided that you can prove the existence of such coverage and that you are receiving long-term disability payments from the carrier that issued the coverage, then the Standard Terms will continue to apply to your Covered Award. Once this Section S-1(c) applies, then none of Section S-1(d) (“Death”), Section S-1(e) (“Post-Employment Award Continuation”), Section S-1(g) (“Involuntary Termination by the Company without Cause”) or Section S-1(h) (“Other Termination of Employment”) will apply to your Covered Award, even if you subsequently return to active service. Section 2(f) (“Termination for Cause”) will continue to apply to your Covered Award, and will supersede the terms of this Section S-1(c).</w:t>
      </w:r>
    </w:p>
    <w:p>
      <w:pPr>
        <w:pStyle w:val="TextBody"/>
        <w:bidi w:val="0"/>
        <w:spacing w:lineRule="auto" w:line="240" w:before="24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Death</w:t>
      </w:r>
      <w:r>
        <w:rPr>
          <w:rFonts w:ascii="Times New Roman;serif" w:hAnsi="Times New Roman;serif"/>
          <w:b w:val="false"/>
          <w:color w:val="000000"/>
          <w:sz w:val="24"/>
        </w:rPr>
        <w:t xml:space="preserve">. In the event that your employment with the Company or an Affiliate terminates due to your death: </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(1)all of your Stock Options in your Covered Award will be immediately exercisable and will remain exercisable through the end of the period provided by the Standard Terms;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(2)any other Covered Award payable in Shares under the Standard Terms will be due and payable in the form of Shares (or cash at a value equal to the number of Shares otherwise payable under the Covered Award multiplied by Closing Price on the date of your death, if so determined by the Committee), without multiplication by any Final Performance Factor that might be applicable under the Standard Terms (in the case of Performance Shares or Performance Units); and</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(3)any other Covered Award payable in cash under the Standard Terms will be due and payable in cash at a value equal to the number of units in the Covered Award multiplied by the Closing Price on the date of your death.</w:t>
      </w:r>
    </w:p>
    <w:p>
      <w:pPr>
        <w:pStyle w:val="TextBody"/>
        <w:bidi w:val="0"/>
        <w:spacing w:lineRule="auto" w:line="240" w:before="24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Post-Employment Award Continuation.</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(1)If your employment with the Company or an Affiliate terminates (other than for Cause) on or after your Rule of 65 Date, as defined below, then the Standard Terms will continue to apply to your Covered Award as if you remained in active employment.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(2)For this purpose:</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a.the “Rule of 65 Date” means the date that the sum of your total completed years of age plus total Service is equal to or greater than sixty-five (65), so long as your Service (as defined below) is equal to or greater than five (5);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Service” means the aggregate number of completed years of employment with MetLife, the Company and its Affiliates (solely during your employer’s status as an Affiliate), as conclusively determined by the Company without regard to any later determinations or findings regarding your employment status by any third party.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In the event that your employment with the Company or an Affiliate terminates for Cause, your Covered Award will be forfeited immediately.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Involuntary Termination by the Company without Cause</w:t>
      </w:r>
      <w:r>
        <w:rPr>
          <w:rFonts w:ascii="Times New Roman;serif" w:hAnsi="Times New Roman;serif"/>
          <w:b w:val="false"/>
          <w:color w:val="000000"/>
          <w:sz w:val="24"/>
        </w:rPr>
        <w:t>. In the event that your employment with the Company or an Affiliate is involuntarily terminated by the Company or such Affiliate without Cause, provided that you execute and do not revoke a separation agreement and release as offered to you by the Company within the time period(s) specified in the separation agreement, then the Standard Terms will continue to apply to your Covered Award as if you remained in active employment.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Other Termination of Employment</w:t>
      </w:r>
      <w:r>
        <w:rPr>
          <w:rFonts w:ascii="Times New Roman;serif" w:hAnsi="Times New Roman;serif"/>
          <w:b w:val="false"/>
          <w:color w:val="000000"/>
          <w:sz w:val="24"/>
        </w:rPr>
        <w:t>. If none of Sections S-1(c) (“Long Term Disability”), (d) (“Death”), (e) (“Post-Employment Award Continuation”), (f) (“Termination for Cause”), or (g) (“Involuntary Termination by the Company without Cause”) applies, then:</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(1)your Stock Options or Option Units in your Covered Award that are exercisable as of your date of termination will remain exercisable until the close of business on the thirtieth (30th) calendar day after the date of the termination of your employment or until they would expire under the Standard Terms, whichever period is shorter, and all of your Stock Options in your Covered Award that are not exercisable at the date of termination of your employment will be forfeited immediately upon your termination of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20065"/>
                <wp:effectExtent l="0" t="0" r="0" b="0"/>
                <wp:wrapNone/>
                <wp:docPr id="99" name="Frame98"/>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(2)your Outstanding Unit Tranches in your Covered Award (in the case of Restricted Stock or Restricted Stock Units divided into Unit Tranches) will be forfeited immediately upon your termination of employment;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(3)your Restricted Stock Units or Restricted Units in your Covered Award that are not divided into Outstanding Unit Tranches will be forfeited immediately upon your termination of employment; and</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(4)your Performance Shares or Performance Units in your Covered Award will be forfeited immediately upon your termination of employment.</w:t>
      </w:r>
    </w:p>
    <w:p>
      <w:pPr>
        <w:pStyle w:val="TextBody"/>
        <w:bidi w:val="0"/>
        <w:spacing w:lineRule="auto" w:line="240" w:before="240" w:after="240"/>
        <w:ind w:left="0" w:right="0" w:firstLine="720"/>
        <w:jc w:val="left"/>
        <w:rPr/>
      </w:pPr>
      <w:r>
        <w:rPr>
          <w:rFonts w:ascii="Times New Roman;serif" w:hAnsi="Times New Roman;serif"/>
          <w:b/>
          <w:color w:val="000000"/>
          <w:sz w:val="24"/>
        </w:rPr>
        <w:t>S-2.</w:t>
      </w:r>
      <w:r>
        <w:rPr>
          <w:rFonts w:ascii="Times New Roman;serif" w:hAnsi="Times New Roman;serif"/>
          <w:b/>
          <w:color w:val="000000"/>
          <w:sz w:val="24"/>
          <w:u w:val="single"/>
        </w:rPr>
        <w:t>Change of Control</w:t>
      </w:r>
      <w:r>
        <w:rPr>
          <w:rFonts w:ascii="Times New Roman;serif" w:hAnsi="Times New Roman;serif"/>
          <w:b w:val="false"/>
          <w:color w:val="000000"/>
          <w:sz w:val="24"/>
        </w:rPr>
        <w:t>.</w:t>
      </w:r>
    </w:p>
    <w:p>
      <w:pPr>
        <w:pStyle w:val="TextBody"/>
        <w:bidi w:val="0"/>
        <w:spacing w:lineRule="auto" w:line="288" w:before="5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terms of this Section S-2 describe how a Change of Control will affect your Covered Award. If a Change of Control occurs prior to any of the events described in Section S- 1, or, unless the Change in Control does not constitute a change in ownership or effective control, or a change in the ownership of a substantial portion of the assets, of the Company for purposes of Section 409A, subsequent to the events described in Section S-1(c) (“Long Term Disability”), Section S-1(e) (“Post-Employment Award Continuation”) or Section S-1(g) (“Involuntary Termination by the Company without Cause”), this Section S-2 will supersede the terms of Section S-1. If any of the events described in the provisions of Section S-1(d) (“Death”), Section S-1(f) (“Termination for Cause”), or Section S-1(h) (“Other Termination of Employment”) occurs prior to a Change of Control, the applicable terms of Section S-1 will supersede the terms of this Section S-2. </w:t>
      </w:r>
    </w:p>
    <w:p>
      <w:pPr>
        <w:pStyle w:val="TextBody"/>
        <w:bidi w:val="0"/>
        <w:spacing w:lineRule="auto" w:line="240" w:before="24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terms of Section S-2(b) below will not apply to your Covered Award if (i) the Committee reasonably determines in good faith, prior to the Change of Control, that you have been granted an Alternative Award for your Covered Award pursuant to Section 14.1 of the AR 2017 Plan or (ii) your Covered Award is canceled and converted into a Converted Cash Award pursuant to </w:t>
      </w:r>
      <w:r>
        <w:rPr>
          <w:rFonts w:ascii="Times New Roman;serif" w:hAnsi="Times New Roman;serif"/>
          <w:b w:val="false"/>
          <w:color w:val="000000"/>
          <w:sz w:val="24"/>
          <w:u w:val="single"/>
        </w:rPr>
        <w:t>Section S-2(c)</w:t>
      </w:r>
      <w:r>
        <w:rPr>
          <w:color w:val="000000"/>
        </w:rPr>
        <w:t xml:space="preserve"> </w:t>
      </w:r>
      <w:r>
        <w:rPr>
          <w:rFonts w:ascii="Times New Roman;serif" w:hAnsi="Times New Roman;serif"/>
          <w:b w:val="false"/>
          <w:color w:val="000000"/>
          <w:sz w:val="24"/>
        </w:rPr>
        <w:t xml:space="preserve">below;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no Alternative Award may be granted in respect of any Award (i) following the events described in Section S-1(c) (“Long Term Disability”) or Section S-1(g) (“Involuntary Termination by the Company without Cause”) or (ii) after satisfying the Rule of 65 Date set forth in Section S-1(e) (“Post-Employment Award Continuation”) if granting such Alternative Award would result in a violation of Section 409A. In the event that you receive an Alternative Award and your employment is involuntarily terminated without Cause or Constructively Terminated (as defined in the AR 2017 Plan) following the Change of Control, your Alternative Award shall be treated as follows: (1) all of your Stock Options in your Alternative Award will be immediately exercisable and will remain exercisable through the end of the period provided by the Standard Terms; (2) any other Alternative Award payable in Shares will be due and payable in cash at a value equal to the number of Shares otherwise payable under the Alternative Award multiplied by the Closing Price on the date of your termination of employment, without multiplication by any Final Performance Factor that might be applicable (in the case of Alternative Awards issued in respect of Performance Shares or Performance Units); and (3) any other Alternative Award payable in cash will be due and payable in cash at a value equal to the number of units in the Alternative Award multiplied by the Closing Price on the date of your termination of employment. Any such Alternative Award shall not accelerate the timing of payment or otherwise violate Code Section 409A; </w:t>
      </w:r>
      <w:r>
        <w:rPr>
          <w:rFonts w:ascii="Times New Roman;serif" w:hAnsi="Times New Roman;serif"/>
          <w:b w:val="false"/>
          <w:color w:val="000000"/>
          <w:sz w:val="24"/>
          <w:u w:val="single"/>
        </w:rPr>
        <w:t>provided, that</w:t>
      </w:r>
      <w:r>
        <w:rPr>
          <w:rFonts w:ascii="Times New Roman;serif" w:hAnsi="Times New Roman;serif"/>
          <w:b w:val="false"/>
          <w:color w:val="000000"/>
          <w:sz w:val="24"/>
        </w:rPr>
        <w:t xml:space="preserve">, in the event that your employment is involuntarily terminated without Cause or Constructively Terminated (as defined in the AR 2017 Plan) upon or within two (2)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0065"/>
                <wp:effectExtent l="0" t="0" r="0" b="0"/>
                <wp:wrapNone/>
                <wp:docPr id="100" name="Frame99"/>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years following a Change of Control that is a “change of control” as defined under Code Section 409A, payment will be made at the time specified in Section S-7 (“Timing of Payment”).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Except as provided in Section S-2(a) above, and unless otherwise prohibited under law or by applicable rules of a national security exchange, if a Change of Control occurs: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(1)all of your Stock Options in your Covered Award will be immediately exercisable and will remain exercisable through the end of the period provided by the Standard Terms, unless the Committee elects to redeem your Stock Options for a cash payment equal to the Change of Control Price less the Exercise Price, multiplied by the number of exercisable Stock Options that you have not yet exercised; and</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(2)any other Covered Award payable in Shares will be due and payable in the form of cash at a value equal to the number of Shares or units in the Covered Award multiplied by the Change of Control Price without multiplication by any Final Performance Factor that might be applicable under the Standard Terms (in the case of Performance Shares or Performance Units).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Capitalized terms used in this Section S-2(c) and not defined elsewhere in this Supplement have the meanings given to them in the Agreement and Plan of Merger, dated as of November 6, 2025, among the Company, Aquarian Holdings VI L.P. and the other parties thereto (the “Merger Agreement”). Notwithstanding anything in the Plan or this Supplement to the contrary, subject to and conditioned on the occurrence of the Closing, at the Effective Time, each unpaid Unit Tranche of your Award that consists of Restricted Stock Units granted on or after the date of the Merger Agreement shall be canceled and converted into a contingent right to receive an amount in cash, without interest, equal to (x) the Merger Consideration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(y) the number of Shares subject to such Unit Tranche as of immediately prior to the Effective Time (a “Converted Cash Award”). Each Converted Cash Award shall be subject to the same Period of Restriction and other vesting-related terms as the Unit Tranche from which it was converted. If your employment is involuntarily terminated without Cause or Constructively Terminated, or your employment terminates under other circumstances (other than for Cause) on or after your Rule of 65 Date, the Standard Terms will continue to apply to your Converted Cash Award as if you remained in active employment through the end of the applicable Period of Restriction;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event that your employment is involuntarily terminated without Cause or Constructively Terminated upon or within two (2) years following the Effective Time, your award will become due and payable at the time or times specified in Section S-7 (“Timing of Payment”).</w:t>
      </w:r>
    </w:p>
    <w:p>
      <w:pPr>
        <w:pStyle w:val="TextBody"/>
        <w:bidi w:val="0"/>
        <w:spacing w:lineRule="auto" w:line="240" w:before="240" w:after="240"/>
        <w:ind w:left="0" w:right="0" w:firstLine="720"/>
        <w:jc w:val="left"/>
        <w:rPr/>
      </w:pPr>
      <w:r>
        <w:rPr>
          <w:rFonts w:ascii="Times New Roman;serif" w:hAnsi="Times New Roman;serif"/>
          <w:b/>
          <w:color w:val="000000"/>
          <w:sz w:val="24"/>
        </w:rPr>
        <w:t>S-3.</w:t>
      </w:r>
      <w:r>
        <w:rPr>
          <w:rFonts w:ascii="Times New Roman;serif" w:hAnsi="Times New Roman;serif"/>
          <w:b/>
          <w:color w:val="000000"/>
          <w:sz w:val="24"/>
          <w:u w:val="single"/>
        </w:rPr>
        <w:t>Nontransferability of Award</w:t>
      </w:r>
      <w:r>
        <w:rPr>
          <w:rFonts w:ascii="Times New Roman;serif" w:hAnsi="Times New Roman;serif"/>
          <w:b w:val="false"/>
          <w:color w:val="000000"/>
          <w:sz w:val="24"/>
        </w:rPr>
        <w:t>. Except as provided in Section S-4, the AR 2017 Plan or as otherwise permitted by the Committee, you may not sell, transfer, pledge, assign or otherwise alienate or hypothecate any of your Award, and all rights with respect to your Award are exercisable during your lifetime only by you.</w:t>
      </w:r>
    </w:p>
    <w:p>
      <w:pPr>
        <w:pStyle w:val="TextBody"/>
        <w:bidi w:val="0"/>
        <w:spacing w:lineRule="auto" w:line="240" w:before="240" w:after="240"/>
        <w:ind w:left="0" w:right="0" w:firstLine="720"/>
        <w:jc w:val="left"/>
        <w:rPr/>
      </w:pPr>
      <w:r>
        <w:rPr>
          <w:rFonts w:ascii="Times New Roman;serif" w:hAnsi="Times New Roman;serif"/>
          <w:b/>
          <w:color w:val="000000"/>
          <w:sz w:val="24"/>
        </w:rPr>
        <w:t>S-4.</w:t>
      </w:r>
      <w:r>
        <w:rPr>
          <w:rFonts w:ascii="Times New Roman;serif" w:hAnsi="Times New Roman;serif"/>
          <w:b/>
          <w:color w:val="000000"/>
          <w:sz w:val="24"/>
          <w:u w:val="single"/>
        </w:rPr>
        <w:t>Payment to Estate or Beneficiary Designation</w:t>
      </w:r>
      <w:r>
        <w:rPr>
          <w:rFonts w:ascii="Times New Roman;serif" w:hAnsi="Times New Roman;serif"/>
          <w:b w:val="false"/>
          <w:color w:val="000000"/>
          <w:sz w:val="24"/>
        </w:rPr>
        <w:t xml:space="preserve">. You may name one or more beneficiary or beneficiaries who may then exercise any right under this Agreement in the event of your death. Each beneficiary designation for such purpose will revoke all such prior designations. Beneficiary designations must be properly completed on a form prescribed by the Committee and must be filed with the Company during your lifetime. If you have not designated a beneficiary at the time of your death, then the beneficiary shall be the individual named as the beneficiary for your employer provided life insurance coverage. If there is no beneficiary for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20065"/>
                <wp:effectExtent l="0" t="0" r="0" b="0"/>
                <wp:wrapNone/>
                <wp:docPr id="101" name="Frame100"/>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employer provided life insurance coverage for any reason, then the beneficiary shall be your estate.</w:t>
      </w:r>
    </w:p>
    <w:p>
      <w:pPr>
        <w:pStyle w:val="TextBody"/>
        <w:bidi w:val="0"/>
        <w:spacing w:lineRule="auto" w:line="240" w:before="240" w:after="240"/>
        <w:ind w:left="0" w:right="0" w:firstLine="720"/>
        <w:jc w:val="left"/>
        <w:rPr/>
      </w:pPr>
      <w:r>
        <w:rPr>
          <w:rFonts w:ascii="Times New Roman;serif" w:hAnsi="Times New Roman;serif"/>
          <w:b/>
          <w:color w:val="000000"/>
          <w:sz w:val="24"/>
        </w:rPr>
        <w:t>S-5.</w:t>
      </w:r>
      <w:r>
        <w:rPr>
          <w:rFonts w:ascii="Times New Roman;serif" w:hAnsi="Times New Roman;serif"/>
          <w:b/>
          <w:color w:val="000000"/>
          <w:sz w:val="24"/>
          <w:u w:val="single"/>
        </w:rPr>
        <w:t>Tax Withholding</w:t>
      </w:r>
      <w:r>
        <w:rPr>
          <w:rFonts w:ascii="Times New Roman;serif" w:hAnsi="Times New Roman;serif"/>
          <w:b w:val="false"/>
          <w:color w:val="000000"/>
          <w:sz w:val="24"/>
        </w:rPr>
        <w:t>. The Company or an Affiliate shall deduct or withhold, or require you to remit to the Company or any Affiliate, amounts it determines are sufficient to satisfy federal, state and local taxes, domestic or other (including your FICA or other employment tax obligations or tax penalties that can be assessed against you, including but not limited to those under Code Section 409A) that the Company or any Affiliate determines is required by law or regulation to be withheld with or respect to any taxable event arising or as a result of your Award or the application of the AR 2017 Plan to your Award. To satisfy these withholding requirements, the Company or an Affiliate may withhold amounts from payment made under this Agreement, or from other payments due to you to the extent permissible under law. The Company will defer payment of cash or the issuance of Shares, as applicable, until this requirement is satisfied. To the extent Shares are payable to you under your Award and you are an executive officer subject to Section 16 of the Exchange Act, you may direct the Company to satisfy the withholding requirement by withholding Shares otherwise issuable to you based on the Fair Market Value of a Share on the date the taxable event with respect to your Award occurs. To the extent Shares are payable to you under your Award and you are not an executive officer subject to Section 16, the Company may elect to satisfy the withholding requirement by withholding Shares otherwise issuable based on the Fair Market Value of a Share on the date the taxable event with respect to your Award occurs.</w:t>
      </w:r>
    </w:p>
    <w:p>
      <w:pPr>
        <w:pStyle w:val="TextBody"/>
        <w:bidi w:val="0"/>
        <w:spacing w:lineRule="auto" w:line="240" w:before="240" w:after="240"/>
        <w:ind w:left="0" w:right="0" w:firstLine="720"/>
        <w:jc w:val="left"/>
        <w:rPr/>
      </w:pPr>
      <w:r>
        <w:rPr>
          <w:rFonts w:ascii="Times New Roman;serif" w:hAnsi="Times New Roman;serif"/>
          <w:b/>
          <w:color w:val="000000"/>
          <w:sz w:val="24"/>
        </w:rPr>
        <w:t>S-6.</w:t>
      </w:r>
      <w:r>
        <w:rPr>
          <w:rFonts w:ascii="Times New Roman;serif" w:hAnsi="Times New Roman;serif"/>
          <w:b/>
          <w:color w:val="000000"/>
          <w:sz w:val="24"/>
          <w:u w:val="single"/>
        </w:rPr>
        <w:t>Adjustments</w:t>
      </w:r>
      <w:r>
        <w:rPr>
          <w:rFonts w:ascii="Times New Roman;serif" w:hAnsi="Times New Roman;serif"/>
          <w:b w:val="false"/>
          <w:color w:val="000000"/>
          <w:sz w:val="24"/>
        </w:rPr>
        <w:t>. The Committee will make appropriate adjustments in the terms and conditions of your Award as provided in Section 4.2 of the AR 2017 Plan, and may make adjustments in the terms and conditions of your Award as provided in Section 15.2 of the AR 2017 Plan. The Committee’s determinations in this regard will be conclusive.</w:t>
      </w:r>
    </w:p>
    <w:p>
      <w:pPr>
        <w:pStyle w:val="TextBody"/>
        <w:bidi w:val="0"/>
        <w:spacing w:lineRule="auto" w:line="240" w:before="240" w:after="240"/>
        <w:ind w:left="0" w:right="0" w:firstLine="720"/>
        <w:jc w:val="left"/>
        <w:rPr/>
      </w:pPr>
      <w:r>
        <w:rPr>
          <w:rFonts w:ascii="Times New Roman;serif" w:hAnsi="Times New Roman;serif"/>
          <w:b/>
          <w:color w:val="000000"/>
          <w:sz w:val="24"/>
        </w:rPr>
        <w:t>S-7.</w:t>
      </w:r>
      <w:r>
        <w:rPr>
          <w:rFonts w:ascii="Times New Roman;serif" w:hAnsi="Times New Roman;serif"/>
          <w:b/>
          <w:color w:val="000000"/>
          <w:sz w:val="24"/>
          <w:u w:val="single"/>
        </w:rPr>
        <w:t>Timing of Payment</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To the extent applicable, this Agreement is intended to comply with Code Section 409A and shall be interpreted accordingly.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For Awards that are Stock Options, Shares will be paid to you upon your exercise of any of your Stock Options, except where Section S-2(b) applies, the Company will pay you cash upon redemption of the Stock Options.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For Awards other than Stock Options: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(1)If payment is due and payable for Awards that are Restricted Stock Units or Restricted Units (including Unit Tranches) under the Standard Terms, payment will be made on or following the date the applicable Period of Restriction ends but no later than the end of the calendar year in which the applicable Period of Restriction ends. If payment is due and payable for Awards that are Performance Shares or Performance Units, payment will be made in the calendar year following the calendar year in which the Performance Period ends.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(2)If payment is due and payable under the terms of Section S-1(d) (“Death”), it will be made upon your death.</w:t>
      </w:r>
    </w:p>
    <w:p>
      <w:pPr>
        <w:pStyle w:val="TextBody"/>
        <w:bidi w:val="0"/>
        <w:spacing w:lineRule="auto" w:line="240" w:before="240" w:after="240"/>
        <w:ind w:left="0" w:right="0" w:firstLine="720"/>
        <w:jc w:val="left"/>
        <w:rPr/>
      </w:pPr>
      <w:r>
        <w:rPr>
          <w:rFonts w:ascii="Times New Roman;serif" w:hAnsi="Times New Roman;serif"/>
          <w:b w:val="false"/>
          <w:color w:val="000000"/>
          <w:sz w:val="24"/>
        </w:rPr>
        <w:t xml:space="preserve">(3)Any Alternative Award or Converted Cash Award shall not accelerate the timing of payment; </w:t>
      </w:r>
      <w:r>
        <w:rPr>
          <w:rFonts w:ascii="Times New Roman;serif" w:hAnsi="Times New Roman;serif"/>
          <w:b w:val="false"/>
          <w:color w:val="000000"/>
          <w:sz w:val="24"/>
          <w:u w:val="single"/>
        </w:rPr>
        <w:t>except,</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with respect to Alternative Awards and Converted Cash Awards granted in respect of Restricted Stock Units or Restricted Units (including Unit Tranches), if payment is due and payable under Section S-2(a) in the event that your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0065"/>
                <wp:effectExtent l="0" t="0" r="0" b="0"/>
                <wp:wrapNone/>
                <wp:docPr id="102" name="Frame101"/>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employment is involuntarily terminated without Cause or Constructively Terminated (as defined in the AR 2017 Plan) upon or within two (2) years following a Change of Control that is a “change of control” as defined under Code Section 409A, it will be made in cash within thirty (30) days of your termination of employment or, if you are a “specified employee” as defined under Code Section 409A, it will be made six (6) months after the termination of your employment (or, to the extent Code Section 409A applies to your Award, six (6) months after your “separation from service” under Code Section 409A, if that is a different date).</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(4)If payment is due and payable under Section S-2(b):</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a.if the Change of Control that causes payment to be due and payable is a “change of control” as defined under Code Section 409A, such sum shall be paid to you within thirty (30) days after the Change of Control; or</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b.if the Change of Control that causes payment to be due and payable is not a “change of control” as defined under Code Section 409A, such sum shall be paid to you at the time determined under Section S-7(c)(1) on the same basis as if the Standard Terms applied.</w:t>
      </w:r>
    </w:p>
    <w:p>
      <w:pPr>
        <w:pStyle w:val="TextBody"/>
        <w:bidi w:val="0"/>
        <w:spacing w:lineRule="auto" w:line="240" w:before="240" w:after="240"/>
        <w:ind w:left="0" w:right="0" w:firstLine="720"/>
        <w:jc w:val="left"/>
        <w:rPr/>
      </w:pPr>
      <w:r>
        <w:rPr>
          <w:rFonts w:ascii="Times New Roman;serif" w:hAnsi="Times New Roman;serif"/>
          <w:b/>
          <w:color w:val="000000"/>
          <w:sz w:val="24"/>
        </w:rPr>
        <w:t>S-8.</w:t>
      </w:r>
      <w:r>
        <w:rPr>
          <w:rFonts w:ascii="Times New Roman;serif" w:hAnsi="Times New Roman;serif"/>
          <w:b/>
          <w:color w:val="000000"/>
          <w:sz w:val="24"/>
          <w:u w:val="single"/>
        </w:rPr>
        <w:t>Closing Price</w:t>
      </w:r>
      <w:r>
        <w:rPr>
          <w:rFonts w:ascii="Times New Roman;serif" w:hAnsi="Times New Roman;serif"/>
          <w:b w:val="false"/>
          <w:color w:val="000000"/>
          <w:sz w:val="24"/>
        </w:rPr>
        <w:t>. For purposes of this Agreement, Closing Price will mean the closing price of a Share as reported in the principal consolidated transaction reporting system for the National Association of Securities Dealers Automated Quotations (or on such other recognized quotation system on which the trading prices of the Shares are quoted at the relevant time), or in the event that there are no Share transactions reported on such tape or other system on the applicable date, the closing price on the immediately preceding date on which Share transactions were reported. Closing Price shall constitute “Fair Market Value” under the AR 2017 Plan for all purposes related to your Award.</w:t>
      </w:r>
    </w:p>
    <w:p>
      <w:pPr>
        <w:pStyle w:val="TextBody"/>
        <w:bidi w:val="0"/>
        <w:spacing w:lineRule="auto" w:line="240" w:before="240" w:after="240"/>
        <w:ind w:left="0" w:right="0" w:firstLine="720"/>
        <w:jc w:val="left"/>
        <w:rPr/>
      </w:pPr>
      <w:r>
        <w:rPr>
          <w:rFonts w:ascii="Times New Roman;serif" w:hAnsi="Times New Roman;serif"/>
          <w:b/>
          <w:color w:val="000000"/>
          <w:sz w:val="24"/>
        </w:rPr>
        <w:t>S-9.</w:t>
      </w:r>
      <w:r>
        <w:rPr>
          <w:rFonts w:ascii="Times New Roman;serif" w:hAnsi="Times New Roman;serif"/>
          <w:b/>
          <w:color w:val="000000"/>
          <w:sz w:val="24"/>
          <w:u w:val="single"/>
        </w:rPr>
        <w:t>No Guarantee of Employment</w:t>
      </w:r>
      <w:r>
        <w:rPr>
          <w:rFonts w:ascii="Times New Roman;serif" w:hAnsi="Times New Roman;serif"/>
          <w:b w:val="false"/>
          <w:color w:val="000000"/>
          <w:sz w:val="24"/>
        </w:rPr>
        <w:t>. This Agreement is not a contract of employment and it is not a guarantee of employment for life or any period of time. Nothing in this Agreement interferes with or limits in any way the right of the Company or an Affiliate to terminate your employment at any time. This Agreement does not give you any right to continue in the employ of the Company or an Affiliate.</w:t>
      </w:r>
    </w:p>
    <w:p>
      <w:pPr>
        <w:pStyle w:val="TextBody"/>
        <w:bidi w:val="0"/>
        <w:spacing w:lineRule="auto" w:line="240" w:before="240" w:after="240"/>
        <w:ind w:left="0" w:right="0" w:firstLine="720"/>
        <w:jc w:val="left"/>
        <w:rPr/>
      </w:pPr>
      <w:r>
        <w:rPr>
          <w:rFonts w:ascii="Times New Roman;serif" w:hAnsi="Times New Roman;serif"/>
          <w:b/>
          <w:color w:val="000000"/>
          <w:sz w:val="24"/>
        </w:rPr>
        <w:t>S-10.</w:t>
      </w:r>
      <w:r>
        <w:rPr>
          <w:rFonts w:ascii="Times New Roman;serif" w:hAnsi="Times New Roman;serif"/>
          <w:b/>
          <w:color w:val="000000"/>
          <w:sz w:val="24"/>
          <w:u w:val="single"/>
        </w:rPr>
        <w:t>Governing Law; Choice of Forum</w:t>
      </w:r>
      <w:r>
        <w:rPr>
          <w:rFonts w:ascii="Times New Roman;serif" w:hAnsi="Times New Roman;serif"/>
          <w:b w:val="false"/>
          <w:color w:val="000000"/>
          <w:sz w:val="24"/>
        </w:rPr>
        <w:t>. This Agreement will be construed in accordance with and governed by the laws of the State of Delaware, regardless of the law that might be applied under principles of conflict of laws. Except as otherwise provided in the Company’s Certificate of Incorporation or By-Laws, any action to enforce this Agreement or any action otherwise regarding this Agreement must be brought in a court in the State of New York to which jurisdiction the Company and you consent.</w:t>
      </w:r>
    </w:p>
    <w:p>
      <w:pPr>
        <w:pStyle w:val="TextBody"/>
        <w:bidi w:val="0"/>
        <w:spacing w:lineRule="auto" w:line="240" w:before="1" w:after="240"/>
        <w:ind w:left="0" w:right="0" w:firstLine="720"/>
        <w:jc w:val="left"/>
        <w:rPr/>
      </w:pPr>
      <w:r>
        <w:rPr>
          <w:rFonts w:ascii="Times New Roman;serif" w:hAnsi="Times New Roman;serif"/>
          <w:b/>
          <w:color w:val="000000"/>
          <w:sz w:val="24"/>
        </w:rPr>
        <w:t>S-11.</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For purposes of this Agreement, “Committee” includes any direct or indirect delegate of the Committee as defined in the AR 2017 Plan and (unless otherwise indicated) the word “Section” refers to a Section in this Agreement. Any other capitalized word used in this Agreement and not defined in this Agreement, including each form of that word, is defined in the AR 2017 Plan.</w:t>
      </w:r>
    </w:p>
    <w:p>
      <w:pPr>
        <w:pStyle w:val="TextBody"/>
        <w:bidi w:val="0"/>
        <w:spacing w:lineRule="auto" w:line="240" w:before="24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Any determination or interpretation by the Committee pursuant to this Agreement will be final and conclusive. In the event of a conflict between any term of this Agreement and the terms of the AR 2017 Plan, the terms of the AR 2017 Plan control. This Agreement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0065"/>
                <wp:effectExtent l="0" t="0" r="0" b="0"/>
                <wp:wrapNone/>
                <wp:docPr id="103" name="Frame102"/>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AR 2017 Plan represent the entire agreement between you and the Company, and you and all Affiliates, regarding your Award. No promises, terms, or agreements of any kind regarding your Award that are not set forth, or referred to, in this Agreement or in the AR 2017 Plan are part of this Agreement. In the event any provision of this Agreement is held illegal or invalid, the rest of this Agreement will remain enforceable.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Your Award is not Shares and does not give you the rights of a holder of Shares. You will not be credited with anything additional with respect to your Award on account of any dividend paid on Shares.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The Committee may, in its discretion, settle an Award otherwise payable in Shares instead in the form of cash, to the extent settlement in Shares is prohibited by law or would require you or the Company to obtain the approval of any governmental and/or regulatory body. The Committee may, in its discretion, require you at any time to immediately sell Shares you acquire under this Agreement, in which case, the Company shall have the authority to issue sales instructions in relation to such Shares on your behalf. If the Committee determines that applicable law requires that you receive fewer Shares or a lesser amount of cash than that otherwise determined under the terms of this Agreement, you will receive that number of Shares or amount of cash the Committee determines is due under applicable law. No Shares will be issued or no cash will be paid if that issuance or payment would result in a violation of applicable law, including United States securities laws and any other applicable securities laws.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rPr>
        <w:t>The issuance of Shares or payment of cash pursuant to your Award is subject to all applicable laws, rules and regulations, and to any approvals by any governmental agencies or national securities exchanges as may be required. The Company’s grant of the Award to you is not intended to be a public offering of securities outside the United States, and the Company has not submitted any registration statement, prospectus, or other securities filing with authorities outside the United States, except where required by law. Your Award has not been, and will not be, reviewed by or registered with any securities authorities outside the United States.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rPr>
        <w:t>You agree to repatriate all payments under this Agreement or cash attributable to Shares you acquire under this Agreement to the extent required under any applicable legal requirements, such as foreign exchange rules and regulations in your country of residence or country of employment.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(g)</w:t>
      </w:r>
      <w:r>
        <w:rPr>
          <w:rFonts w:ascii="Times New Roman;serif" w:hAnsi="Times New Roman;serif"/>
          <w:b w:val="false"/>
          <w:color w:val="000000"/>
          <w:sz w:val="24"/>
        </w:rPr>
        <w:t>Your Award is subject to any Company compensation recoupment policy in effect from time to time.</w:t>
      </w:r>
    </w:p>
    <w:p>
      <w:pPr>
        <w:pStyle w:val="TextBody"/>
        <w:bidi w:val="0"/>
        <w:spacing w:lineRule="auto" w:line="240" w:before="240" w:after="240"/>
        <w:ind w:left="0" w:right="0" w:firstLine="720"/>
        <w:jc w:val="left"/>
        <w:rPr/>
      </w:pPr>
      <w:r>
        <w:rPr>
          <w:rFonts w:ascii="Times New Roman;serif" w:hAnsi="Times New Roman;serif"/>
          <w:b w:val="false"/>
          <w:color w:val="000000"/>
          <w:sz w:val="24"/>
        </w:rPr>
        <w:t>(h)</w:t>
      </w:r>
      <w:r>
        <w:rPr>
          <w:rFonts w:ascii="Times New Roman;serif" w:hAnsi="Times New Roman;serif"/>
          <w:b w:val="false"/>
          <w:color w:val="000000"/>
          <w:sz w:val="24"/>
        </w:rPr>
        <w:t>Regardless of any action the Company or any Affiliate takes with respect to any or all tax withholding (including social insurance contributions and payment on account obligations, if any), you acknowledge that the ultimate liability for all such taxes is and remains your responsibility (or that of your beneficiary or estate) and that neither the Company nor any Affiliate makes any representations or undertakings regarding the treatment of any tax withholding in connection with any aspect of any of your Award, including the grant or payment on account of the Award, and that neither the Company nor any Affiliate commits to structure the terms of the grant of or any aspect of any Award to reduce or eliminate your (or you estate’s or any heir’s) liability for such tax. You agree to take any and all actions as may be required to comply with your personal tax obligations.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rPr>
        <w:t>You agree that this Agreement and any other documents related to the AR 2017 Plan or your Award are to be presented to you in English, except where prohibited by law. If any such document is translated into a language other than English, the English version will control, to the extent permitted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0065"/>
                <wp:effectExtent l="0" t="0" r="0" b="0"/>
                <wp:wrapNone/>
                <wp:docPr id="104" name="Frame103"/>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(j)</w:t>
      </w:r>
      <w:r>
        <w:rPr>
          <w:rFonts w:ascii="Times New Roman;serif" w:hAnsi="Times New Roman;serif"/>
          <w:b w:val="false"/>
          <w:color w:val="000000"/>
          <w:sz w:val="24"/>
        </w:rPr>
        <w:t>The collection, processing and transfer of your personal data (collectively “Data Handling”) is necessary for the Company’s administration of the AR 2017 Plan, this Agreement and your Award, and such Data Handling shall be done consistent with applicable law, the data privacy consents, if any, signed by you, the terms of your employment contract (if any) and/or your local company’s governing policies with respect to data privacy.</w:t>
      </w:r>
    </w:p>
    <w:p>
      <w:pPr>
        <w:pStyle w:val="TextBody"/>
        <w:bidi w:val="0"/>
        <w:spacing w:lineRule="auto" w:line="240" w:before="240" w:after="240"/>
        <w:ind w:left="0" w:right="0" w:firstLine="720"/>
        <w:jc w:val="left"/>
        <w:rPr/>
      </w:pPr>
      <w:r>
        <w:rPr>
          <w:rFonts w:ascii="Times New Roman;serif" w:hAnsi="Times New Roman;serif"/>
          <w:b w:val="false"/>
          <w:color w:val="000000"/>
          <w:sz w:val="24"/>
        </w:rPr>
        <w:t>(k)</w:t>
      </w:r>
      <w:r>
        <w:rPr>
          <w:rFonts w:ascii="Times New Roman;serif" w:hAnsi="Times New Roman;serif"/>
          <w:b w:val="false"/>
          <w:color w:val="000000"/>
          <w:sz w:val="24"/>
        </w:rPr>
        <w:t>In accepting this Agreement, you acknowledge, to the extent allowed by law, that: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(1)The AR 2017 Plan and this Agreement are each established voluntarily by the Company, and that each is discretionary in nature and may be modified, suspended or terminated at any time, as provided in the AR 2017 Plan and this Agreement, respectively, and such change or the end of your participation in the AR 2017 Plan shall not constitute a change or impairment of the terms and conditions of your employment or give rise to any liability to you;</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(2)the grant of your Award is voluntary and occasional and does not create any contractual or other right to receive future grants of Awards, or benefits in lieu of an Award, even if Awards have been granted repeatedly in the past;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(3)all decisions with respect to future Award grants, if any, will be at the discretion of the Committee, including, but not limited to, the timing of any grants, the number of units or Shares in any Award, and vesting provisions;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(4)your participation in the AR 2017 Plan is voluntary;</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(5)the Award is an extraordinary item which is outside the terms and conditions of your employment and the scope of your employment contract, if any;</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(6)the Award is not part of normal or expected compensation or salary for any purposes, including, but not limited to, calculating any severance, resignation, termination, redundancy, end of service payments, bonuses, long-service awards, pension or retirement benefits or similar payments;</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(7)the Award grant will not be interpreted to form an employment contract or relationship with any Affiliate or the Company, and you are not an employee of the Company;</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(8)the future Closing Price of Shares is unknown and cannot be predicted with certainty;</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(9)to the fullest extent permitted by law, no claim or entitlement to compensation or damages arises from termination of the Award or diminution in value of the Award and you irrevocably release the Company and each Affiliate from any such claim that may arise; and</w:t>
      </w:r>
    </w:p>
    <w:p>
      <w:pPr>
        <w:pStyle w:val="TextBody"/>
        <w:bidi w:val="0"/>
        <w:spacing w:lineRule="auto" w:line="240" w:before="240" w:after="240"/>
        <w:ind w:left="0" w:right="0" w:firstLine="720"/>
        <w:jc w:val="left"/>
        <w:rPr/>
      </w:pPr>
      <w:r>
        <w:rPr>
          <w:rFonts w:ascii="Times New Roman;serif" w:hAnsi="Times New Roman;serif"/>
          <w:b w:val="false"/>
          <w:color w:val="000000"/>
          <w:sz w:val="24"/>
        </w:rPr>
        <w:t>(10)in the event of the termination of your employment, neither your eligibility, nor any right to receive Awards, nor any period within which payment may be made on account of your Award, if any, will be extended beyond the period specified under this Agreement by any notice period mandated under law (</w:t>
      </w:r>
      <w:r>
        <w:rPr>
          <w:rFonts w:ascii="Times New Roman;serif" w:hAnsi="Times New Roman;serif"/>
          <w:b w:val="false"/>
          <w:i/>
          <w:color w:val="000000"/>
          <w:sz w:val="24"/>
        </w:rPr>
        <w:t>e.g.</w:t>
      </w:r>
      <w:r>
        <w:rPr>
          <w:rFonts w:ascii="Times New Roman;serif" w:hAnsi="Times New Roman;serif"/>
          <w:b w:val="false"/>
          <w:color w:val="000000"/>
          <w:sz w:val="24"/>
        </w:rPr>
        <w:t>, active employment would not include a period of “garden leave” or similar period pursuant to local law); furthermore, in the event of the termination of your employment, your right to payment on account of your Award, if any, will not be extended by any notice period mandated under law; and</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0065"/>
                <wp:effectExtent l="0" t="0" r="0" b="0"/>
                <wp:wrapNone/>
                <wp:docPr id="105" name="Frame104"/>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(11)you have been granted your Award as a consequence of the commercial relationship between the Company and the Affiliate that employs you, and the Affiliate that employs you is your sole employer.</w:t>
      </w:r>
    </w:p>
    <w:p>
      <w:pPr>
        <w:pStyle w:val="TextBody"/>
        <w:bidi w:val="0"/>
        <w:spacing w:lineRule="auto" w:line="240" w:before="240" w:after="240"/>
        <w:ind w:left="0" w:right="0" w:firstLine="720"/>
        <w:jc w:val="left"/>
        <w:rPr/>
      </w:pPr>
      <w:r>
        <w:rPr>
          <w:rFonts w:ascii="Times New Roman;serif" w:hAnsi="Times New Roman;serif"/>
          <w:b w:val="false"/>
          <w:color w:val="000000"/>
          <w:sz w:val="24"/>
        </w:rPr>
        <w:t>(l)</w:t>
      </w:r>
      <w:r>
        <w:rPr>
          <w:rFonts w:ascii="Times New Roman;serif" w:hAnsi="Times New Roman;serif"/>
          <w:b w:val="false"/>
          <w:color w:val="000000"/>
          <w:sz w:val="24"/>
        </w:rPr>
        <w:t>The Company may impose other requirements as a condition of your Award, to the extent the Committee determines, in its discretion, that such other requirements are necessary or advisable in order to comply with law or facilitate the operation or administration of this Agreement, your Award, or the AR 2017 Plan. To the extent the Company determines in its discretion that you are required to execute any document or undertaking for this purpose, you agree to do so.</w:t>
      </w:r>
    </w:p>
    <w:p>
      <w:pPr>
        <w:pStyle w:val="TextBody"/>
        <w:bidi w:val="0"/>
        <w:spacing w:lineRule="auto" w:line="240" w:before="240" w:after="240"/>
        <w:ind w:left="0" w:right="0" w:firstLine="720"/>
        <w:jc w:val="left"/>
        <w:rPr/>
      </w:pPr>
      <w:r>
        <w:rPr>
          <w:rFonts w:ascii="Times New Roman;serif" w:hAnsi="Times New Roman;serif"/>
          <w:b/>
          <w:color w:val="000000"/>
          <w:sz w:val="24"/>
        </w:rPr>
        <w:t>S-12.</w:t>
      </w:r>
      <w:r>
        <w:rPr>
          <w:rFonts w:ascii="Times New Roman;serif" w:hAnsi="Times New Roman;serif"/>
          <w:b/>
          <w:color w:val="000000"/>
          <w:sz w:val="24"/>
          <w:u w:val="single"/>
        </w:rPr>
        <w:t>Amendments</w:t>
      </w:r>
      <w:r>
        <w:rPr>
          <w:rFonts w:ascii="Times New Roman;serif" w:hAnsi="Times New Roman;serif"/>
          <w:b w:val="false"/>
          <w:color w:val="000000"/>
          <w:sz w:val="24"/>
        </w:rPr>
        <w:t>. The Committee has the exclusive right to amend this Agreement as long as the amendment does not adversely affect any of your previously-granted Awards in any material way (without your written consent) and is otherwise consistent with the AR 2017 Plan. The Company will give written notice to you (or, in the event of your death, to your beneficiary or estate) of any amendment as promptly as practicable after its adoption.</w:t>
      </w:r>
    </w:p>
    <w:p>
      <w:pPr>
        <w:pStyle w:val="TextBody"/>
        <w:bidi w:val="0"/>
        <w:spacing w:lineRule="auto" w:line="240" w:before="240" w:after="240"/>
        <w:ind w:left="0" w:right="0" w:firstLine="720"/>
        <w:jc w:val="left"/>
        <w:rPr/>
      </w:pPr>
      <w:r>
        <w:rPr>
          <w:rFonts w:ascii="Times New Roman;serif" w:hAnsi="Times New Roman;serif"/>
          <w:b/>
          <w:color w:val="000000"/>
          <w:sz w:val="24"/>
        </w:rPr>
        <w:t>S-13.</w:t>
      </w:r>
      <w:r>
        <w:rPr>
          <w:rFonts w:ascii="Times New Roman;serif" w:hAnsi="Times New Roman;serif"/>
          <w:b/>
          <w:color w:val="000000"/>
          <w:sz w:val="24"/>
          <w:u w:val="single"/>
        </w:rPr>
        <w:t>Agreement to Protect Corporate Property</w:t>
      </w:r>
      <w:r>
        <w:rPr>
          <w:rFonts w:ascii="Times New Roman;serif" w:hAnsi="Times New Roman;serif"/>
          <w:b w:val="false"/>
          <w:color w:val="000000"/>
          <w:sz w:val="24"/>
        </w:rPr>
        <w:t>. If, as and when the Company or any Affiliate that employs you, adopts an Agreement to Protect Corporate Property (a “Property Agreement”), then the grant of your Award is subject to and contingent upon your execution of the Property Agreement within the time frame specified by the Company and in the method specified by the Company. If the Company does not receive your executed Property Agreement within the time frame specified by the Company, then this Agreement and the Award granted to you will be void. The Committee may, in its sole discretion, allow an extension of time for you to return your signed Property Agreement.</w:t>
      </w:r>
    </w:p>
    <w:p>
      <w:pPr>
        <w:pStyle w:val="TextBody"/>
        <w:bidi w:val="0"/>
        <w:spacing w:lineRule="auto" w:line="240" w:before="1" w:after="240"/>
        <w:ind w:left="0" w:right="0" w:firstLine="720"/>
        <w:jc w:val="left"/>
        <w:rPr/>
      </w:pPr>
      <w:r>
        <w:rPr>
          <w:rFonts w:ascii="Times New Roman;serif" w:hAnsi="Times New Roman;serif"/>
          <w:b/>
          <w:color w:val="000000"/>
          <w:sz w:val="24"/>
        </w:rPr>
        <w:t>S-14.</w:t>
      </w:r>
      <w:r>
        <w:rPr>
          <w:rFonts w:ascii="Times New Roman;serif" w:hAnsi="Times New Roman;serif"/>
          <w:b/>
          <w:color w:val="000000"/>
          <w:sz w:val="24"/>
          <w:u w:val="single"/>
        </w:rPr>
        <w:t>Restrictive Covenants</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The terms of this Section S-14 shall apply notwithstanding any other terms of this Agreement, other than Section S-2 (“Change of Control”), to the contrary. If a Change of Control occurs prior to any “finding” described in this Section S-14, any applicable terms of Section S-2 (“Change of Control”) will supersede the terms of this Section S-14. Notwithstanding the terms of Section S-10 (“Governing Law; Choice of Forum”) to the contrary, this Section S-14 will be construed in accordance with and governed by the laws of the State of North Carolina regardless of the law that might be applied under principles of conflict of laws.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Your Award shall be forfeited if the Committee finds that you have, at any time after your employment ends and before your Award is paid to you (in the case of Performance Shares, Performance Units, Restricted Stock Units, or Restricted Units) or exercised by you (in the case of Stock Options), made statements that damage, disparage, or otherwise diminish the reputation or business of the Company, any of its Affiliates, or of any their respective employees, officers, directors, products, or services, with the exception of truthful statements that are (i) compelled by law or otherwise authorized pursuant to legal or administrative processes, (ii) made in connection with raising in good faith, or participating in an investigation regarding, any violation of law or regulation with any state or federal governmental or regulatory agency or (iii) otherwise protected by law under the whistleblower provisions of any state or federal statutes or regulations.</w:t>
      </w:r>
    </w:p>
    <w:p>
      <w:pPr>
        <w:pStyle w:val="TextBody"/>
        <w:bidi w:val="0"/>
        <w:spacing w:lineRule="auto" w:line="240" w:before="24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Violation of Agreement to Protect Corporate Property</w:t>
      </w:r>
      <w:r>
        <w:rPr>
          <w:rFonts w:ascii="Times New Roman;serif" w:hAnsi="Times New Roman;serif"/>
          <w:b w:val="false"/>
          <w:color w:val="000000"/>
          <w:sz w:val="24"/>
        </w:rPr>
        <w:t>. Your Award shall be forfeited if the Committee finds that you have, at any time before your Award is paid to you (in the case of Performance Shares, Performance Units, Restricted Stock Units, or Restricted Units) or exercised by you (in the case of Stock Options), violated any of the terms of any Property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20065"/>
                <wp:effectExtent l="0" t="0" r="0" b="0"/>
                <wp:wrapNone/>
                <wp:docPr id="106" name="Frame105"/>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240" w:after="283"/>
                        <w:jc w:val="left"/>
                        <w:rPr/>
                      </w:pPr>
                      <w:r>
                        <w:rPr/>
                      </w:r>
                    </w:p>
                  </w:txbxContent>
                </v:textbox>
                <w10:wrap type="none"/>
              </v:rect>
            </w:pict>
          </mc:Fallback>
        </mc:AlternateContent>
      </w:r>
    </w:p>
    <w:p>
      <w:pPr>
        <w:pStyle w:val="TextBody"/>
        <w:bidi w:val="0"/>
        <w:spacing w:lineRule="auto" w:line="240" w:before="24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Restrictions Applicable to Insiders and Section 16 Officers</w:t>
      </w:r>
      <w:r>
        <w:rPr>
          <w:rFonts w:ascii="Times New Roman;serif" w:hAnsi="Times New Roman;serif"/>
          <w:b w:val="false"/>
          <w:color w:val="000000"/>
          <w:sz w:val="24"/>
        </w:rPr>
        <w:t>.</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(1)The terms of this Section S-14(d) shall apply if you are an Insider at any time during the Performance Period (in the case of Performance Shares or Performance Units) or Period of Restriction (in the case of Restricted Stock Units or Restricted Units), or at any time prior to your exercise of each of your Stock Options, notwithstanding any other terms of this Agreement, other than Section S-2 (“Change of Control”), to the contrary.</w:t>
      </w:r>
    </w:p>
    <w:p>
      <w:pPr>
        <w:pStyle w:val="TextBody"/>
        <w:bidi w:val="0"/>
        <w:spacing w:lineRule="auto" w:line="240"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(2)If the Committee reasonably finds that, at any time during the Performance Period (in the case of Performance Shares or Performance Units) or Period of Restriction (in the case of Restricted Stock Units or Restricted Units), or at any time prior to your exercise of each of your Stock Options, whether during your employment with the Company and its Affiliates or thereafter, you directly or indirectly owned any interest in, managed, controlled, participated in, consulted with, or rendered services, as an officer, director, employee, partner, member, consultant, independent contractor or agent, to any person or entities currently engaged in business activities which compete (or will compete based on the anticipated plans of the Company or an Affiliate at the time of your employment termination) with the business of the Company or an Affiliate in any country in which the Company or an Affiliate conducts business or has plans to conduct business during your employment or as of the date your employment terminated, then, to the maximum extent permissible by law, your Award and any payments otherwise due under your separation agreement, if any, under Section S-1(g) (“ Involuntary Termination by the Company without Cause”) will be immediately forfeit.</w:t>
      </w:r>
    </w:p>
    <w:p>
      <w:pPr>
        <w:pStyle w:val="TextBody"/>
        <w:bidi w:val="0"/>
        <w:spacing w:lineRule="auto" w:line="240" w:before="240" w:after="240"/>
        <w:ind w:left="0" w:right="0" w:firstLine="720"/>
        <w:jc w:val="left"/>
        <w:rPr/>
      </w:pPr>
      <w:r>
        <w:rPr>
          <w:rFonts w:ascii="Times New Roman;serif" w:hAnsi="Times New Roman;serif"/>
          <w:b/>
          <w:color w:val="000000"/>
          <w:sz w:val="24"/>
        </w:rPr>
        <w:t>S-15.</w:t>
      </w:r>
      <w:r>
        <w:rPr>
          <w:rFonts w:ascii="Times New Roman;serif" w:hAnsi="Times New Roman;serif"/>
          <w:b/>
          <w:color w:val="000000"/>
          <w:sz w:val="24"/>
          <w:u w:val="single"/>
        </w:rPr>
        <w:t>Deadline to Accept</w:t>
      </w:r>
      <w:r>
        <w:rPr>
          <w:rFonts w:ascii="Times New Roman;serif" w:hAnsi="Times New Roman;serif"/>
          <w:b w:val="false"/>
          <w:color w:val="000000"/>
          <w:sz w:val="24"/>
        </w:rPr>
        <w:t>. If you wish to accept the terms of this Agreement you must do so by the electronic means made available to you within sixty (60) days after receiving this Agreement. The Committee may, in its sole discretion, extend the time within which you may accept this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0065"/>
                <wp:effectExtent l="0" t="0" r="0" b="0"/>
                <wp:wrapNone/>
                <wp:docPr id="107" name="Frame106"/>
                <a:graphic xmlns:a="http://schemas.openxmlformats.org/drawingml/2006/main">
                  <a:graphicData uri="http://schemas.microsoft.com/office/word/2010/wordprocessingShape">
                    <wps:wsp>
                      <wps:cNvSpPr txBox="1"/>
                      <wps:spPr>
                        <a:xfrm>
                          <a:off x="0" y="0"/>
                          <a:ext cx="6480175" cy="520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Eric T. Steigerwalt, certify that: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Edward A. Spehar, certify that: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Eric T. Steigerwalt, certify that, to my knowledge, (i) Brighthouse Financial, Inc.’s Quarterly Report on Form 10-Q for the quarter ended March 31, 2026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lineRule="auto" w:line="288" w:before="0" w:after="0"/>
        <w:jc w:val="left"/>
        <w:rPr>
          <w:color w:val="000000"/>
        </w:rPr>
      </w:pPr>
      <w:r>
        <w:rPr>
          <w:color w:val="000000"/>
        </w:rPr>
        <w:t> </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Edward A. Spehar, certify that, to my knowledge, (i) Brighthouse Financial, Inc.’s Quarterly Report on Form 10-Q for the quarter ended March 31, 2026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lineRule="auto" w:line="288" w:before="0" w:after="0"/>
        <w:jc w:val="left"/>
        <w:rPr>
          <w:color w:val="000000"/>
        </w:rPr>
      </w:pPr>
      <w:r>
        <w:rPr>
          <w:color w:val="000000"/>
        </w:rPr>
        <w:t> </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1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49485</Words>
  <Characters>272443</Characters>
  <CharactersWithSpaces>317719</CharactersWithSpaces>
  <Paragraphs>8294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