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829310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787400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2502535</wp:posOffset>
            </wp:positionH>
            <wp:positionV relativeFrom="paragraph">
              <wp:posOffset>164465</wp:posOffset>
            </wp:positionV>
            <wp:extent cx="2347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10-Q</w:t>
      </w:r>
    </w:p>
    <w:p>
      <w:pPr>
        <w:spacing w:after="0" w:line="148" w:lineRule="exact"/>
        <w:rPr>
          <w:sz w:val="24"/>
          <w:szCs w:val="24"/>
          <w:color w:val="auto"/>
        </w:rPr>
      </w:pPr>
    </w:p>
    <w:p>
      <w:pPr>
        <w:ind w:left="1800" w:hanging="370"/>
        <w:spacing w:after="0"/>
        <w:tabs>
          <w:tab w:leader="none" w:pos="180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September 30, 2022</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57" w:lineRule="exact"/>
        <w:rPr>
          <w:sz w:val="24"/>
          <w:szCs w:val="24"/>
          <w:color w:val="auto"/>
        </w:rPr>
      </w:pPr>
    </w:p>
    <w:p>
      <w:pPr>
        <w:ind w:left="1640" w:hanging="369"/>
        <w:spacing w:after="0"/>
        <w:tabs>
          <w:tab w:leader="none" w:pos="16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2830830</wp:posOffset>
            </wp:positionH>
            <wp:positionV relativeFrom="paragraph">
              <wp:posOffset>198120</wp:posOffset>
            </wp:positionV>
            <wp:extent cx="148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9075" cy="825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340995</wp:posOffset>
            </wp:positionV>
            <wp:extent cx="2061210" cy="471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61210" cy="471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Brighthouse Financial, Inc.</w:t>
      </w:r>
    </w:p>
    <w:p>
      <w:pPr>
        <w:spacing w:after="0" w:line="47" w:lineRule="exact"/>
        <w:rPr>
          <w:sz w:val="24"/>
          <w:szCs w:val="24"/>
          <w:color w:val="auto"/>
        </w:rPr>
      </w:pPr>
    </w:p>
    <w:p>
      <w:pPr>
        <w:jc w:val="center"/>
        <w:ind w:right="-33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71" w:lineRule="exact"/>
        <w:rPr>
          <w:sz w:val="24"/>
          <w:szCs w:val="24"/>
          <w:color w:val="auto"/>
        </w:rPr>
      </w:pPr>
    </w:p>
    <w:tbl>
      <w:tblPr>
        <w:tblLayout w:type="fixed"/>
        <w:tblInd w:w="3080" w:type="dxa"/>
        <w:tblCellMar>
          <w:top w:w="0" w:type="dxa"/>
          <w:left w:w="0" w:type="dxa"/>
          <w:bottom w:w="0" w:type="dxa"/>
          <w:right w:w="0" w:type="dxa"/>
        </w:tblCellMar>
      </w:tblPr>
      <w:tr>
        <w:trPr>
          <w:trHeight w:val="184"/>
        </w:trPr>
        <w:tc>
          <w:tcPr>
            <w:tcW w:w="2640" w:type="dxa"/>
            <w:vAlign w:val="bottom"/>
          </w:tcPr>
          <w:p>
            <w:pPr>
              <w:spacing w:after="0"/>
              <w:rPr>
                <w:sz w:val="20"/>
                <w:szCs w:val="20"/>
                <w:color w:val="auto"/>
              </w:rPr>
            </w:pPr>
            <w:r>
              <w:rPr>
                <w:rFonts w:ascii="Arial" w:cs="Arial" w:eastAsia="Arial" w:hAnsi="Arial"/>
                <w:sz w:val="14"/>
                <w:szCs w:val="14"/>
                <w:b w:val="1"/>
                <w:bCs w:val="1"/>
                <w:color w:val="auto"/>
              </w:rPr>
              <w:t>Delaware</w:t>
            </w:r>
          </w:p>
        </w:tc>
        <w:tc>
          <w:tcPr>
            <w:tcW w:w="2780" w:type="dxa"/>
            <w:vAlign w:val="bottom"/>
          </w:tcPr>
          <w:p>
            <w:pPr>
              <w:jc w:val="right"/>
              <w:spacing w:after="0"/>
              <w:rPr>
                <w:sz w:val="20"/>
                <w:szCs w:val="20"/>
                <w:color w:val="auto"/>
              </w:rPr>
            </w:pPr>
            <w:r>
              <w:rPr>
                <w:rFonts w:ascii="Arial" w:cs="Arial" w:eastAsia="Arial" w:hAnsi="Arial"/>
                <w:sz w:val="14"/>
                <w:szCs w:val="14"/>
                <w:b w:val="1"/>
                <w:bCs w:val="1"/>
                <w:color w:val="auto"/>
              </w:rPr>
              <w:t>81-3846992</w:t>
            </w:r>
          </w:p>
        </w:tc>
      </w:tr>
    </w:tbl>
    <w:p>
      <w:pPr>
        <w:spacing w:after="0" w:line="19" w:lineRule="exact"/>
        <w:rPr>
          <w:sz w:val="24"/>
          <w:szCs w:val="24"/>
          <w:color w:val="auto"/>
        </w:rPr>
      </w:pPr>
    </w:p>
    <w:p>
      <w:pPr>
        <w:sectPr>
          <w:pgSz w:w="11900" w:h="16838" w:orient="portrait"/>
          <w:cols w:equalWidth="0" w:num="1">
            <w:col w:w="11240"/>
          </w:cols>
          <w:pgMar w:left="320" w:top="1393" w:right="339" w:bottom="1440" w:gutter="0" w:footer="0" w:header="0"/>
        </w:sectPr>
      </w:pPr>
    </w:p>
    <w:p>
      <w:pPr>
        <w:jc w:val="center"/>
        <w:ind w:right="320"/>
        <w:spacing w:after="0"/>
        <w:rPr>
          <w:sz w:val="20"/>
          <w:szCs w:val="20"/>
          <w:color w:val="auto"/>
        </w:rPr>
      </w:pPr>
      <w:r>
        <w:rPr>
          <w:rFonts w:ascii="Arial" w:cs="Arial" w:eastAsia="Arial" w:hAnsi="Arial"/>
          <w:sz w:val="14"/>
          <w:szCs w:val="14"/>
          <w:i w:val="1"/>
          <w:iCs w:val="1"/>
          <w:color w:val="auto"/>
        </w:rPr>
        <w:t>(State or other jurisdiction of incorporation or organization)</w:t>
      </w:r>
    </w:p>
    <w:p>
      <w:pPr>
        <w:spacing w:after="0" w:line="180" w:lineRule="exact"/>
        <w:rPr>
          <w:sz w:val="24"/>
          <w:szCs w:val="24"/>
          <w:color w:val="auto"/>
        </w:rPr>
      </w:pPr>
    </w:p>
    <w:p>
      <w:pPr>
        <w:jc w:val="center"/>
        <w:ind w:right="320"/>
        <w:spacing w:after="0"/>
        <w:rPr>
          <w:sz w:val="20"/>
          <w:szCs w:val="20"/>
          <w:color w:val="auto"/>
        </w:rPr>
      </w:pPr>
      <w:r>
        <w:rPr>
          <w:rFonts w:ascii="Arial" w:cs="Arial" w:eastAsia="Arial" w:hAnsi="Arial"/>
          <w:sz w:val="14"/>
          <w:szCs w:val="14"/>
          <w:b w:val="1"/>
          <w:bCs w:val="1"/>
          <w:color w:val="auto"/>
        </w:rPr>
        <w:t>11225 North Community House Road, Charlotte, North Carolina</w:t>
      </w:r>
    </w:p>
    <w:p>
      <w:pPr>
        <w:spacing w:after="0" w:line="121" w:lineRule="exact"/>
        <w:rPr>
          <w:sz w:val="24"/>
          <w:szCs w:val="24"/>
          <w:color w:val="auto"/>
        </w:rPr>
      </w:pPr>
    </w:p>
    <w:p>
      <w:pPr>
        <w:jc w:val="center"/>
        <w:ind w:right="32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33" w:lineRule="exact"/>
        <w:rPr>
          <w:sz w:val="24"/>
          <w:szCs w:val="24"/>
          <w:color w:val="auto"/>
        </w:rPr>
      </w:pPr>
    </w:p>
    <w:tbl>
      <w:tblPr>
        <w:tblLayout w:type="fixed"/>
        <w:tblInd w:w="1120" w:type="dxa"/>
        <w:tblCellMar>
          <w:top w:w="0" w:type="dxa"/>
          <w:left w:w="0" w:type="dxa"/>
          <w:bottom w:w="0" w:type="dxa"/>
          <w:right w:w="0" w:type="dxa"/>
        </w:tblCellMar>
      </w:tblPr>
      <w:tr>
        <w:trPr>
          <w:trHeight w:val="181"/>
        </w:trPr>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60" w:type="dxa"/>
            <w:vAlign w:val="bottom"/>
            <w:gridSpan w:val="2"/>
          </w:tcPr>
          <w:p>
            <w:pPr>
              <w:jc w:val="center"/>
              <w:ind w:right="118"/>
              <w:spacing w:after="0"/>
              <w:rPr>
                <w:sz w:val="20"/>
                <w:szCs w:val="20"/>
                <w:color w:val="auto"/>
              </w:rPr>
            </w:pPr>
            <w:r>
              <w:rPr>
                <w:rFonts w:ascii="Arial" w:cs="Arial" w:eastAsia="Arial" w:hAnsi="Arial"/>
                <w:sz w:val="14"/>
                <w:szCs w:val="14"/>
                <w:b w:val="1"/>
                <w:bCs w:val="1"/>
                <w:color w:val="auto"/>
                <w:w w:val="91"/>
              </w:rPr>
              <w:t>(980) 365-7100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40" w:type="dxa"/>
            <w:vAlign w:val="bottom"/>
            <w:gridSpan w:val="4"/>
          </w:tcPr>
          <w:p>
            <w:pPr>
              <w:jc w:val="center"/>
              <w:ind w:left="758"/>
              <w:spacing w:after="0"/>
              <w:rPr>
                <w:sz w:val="20"/>
                <w:szCs w:val="20"/>
                <w:color w:val="auto"/>
              </w:rPr>
            </w:pPr>
            <w:r>
              <w:rPr>
                <w:rFonts w:ascii="Arial" w:cs="Arial" w:eastAsia="Arial" w:hAnsi="Arial"/>
                <w:sz w:val="12"/>
                <w:szCs w:val="12"/>
                <w:i w:val="1"/>
                <w:iCs w:val="1"/>
                <w:color w:val="auto"/>
                <w:w w:val="92"/>
              </w:rPr>
              <w:t>(Registrant’s telephone number, including area code)</w:t>
            </w: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40" w:type="dxa"/>
            <w:vAlign w:val="bottom"/>
            <w:gridSpan w:val="4"/>
          </w:tcPr>
          <w:p>
            <w:pPr>
              <w:jc w:val="center"/>
              <w:ind w:left="738"/>
              <w:spacing w:after="0"/>
              <w:rPr>
                <w:sz w:val="20"/>
                <w:szCs w:val="20"/>
                <w:color w:val="auto"/>
              </w:rPr>
            </w:pPr>
            <w:r>
              <w:rPr>
                <w:rFonts w:ascii="Arial" w:cs="Arial" w:eastAsia="Arial" w:hAnsi="Arial"/>
                <w:sz w:val="12"/>
                <w:szCs w:val="12"/>
                <w:color w:val="auto"/>
                <w:w w:val="93"/>
              </w:rPr>
              <w:t>Securities registered pursuant to Section 12(b) of the Act:</w:t>
            </w:r>
          </w:p>
        </w:tc>
        <w:tc>
          <w:tcPr>
            <w:tcW w:w="0" w:type="dxa"/>
            <w:vAlign w:val="bottom"/>
          </w:tcPr>
          <w:p>
            <w:pPr>
              <w:spacing w:after="0"/>
              <w:rPr>
                <w:sz w:val="1"/>
                <w:szCs w:val="1"/>
                <w:color w:val="auto"/>
              </w:rPr>
            </w:pPr>
          </w:p>
        </w:tc>
      </w:tr>
      <w:tr>
        <w:trPr>
          <w:trHeight w:val="348"/>
        </w:trPr>
        <w:tc>
          <w:tcPr>
            <w:tcW w:w="1400" w:type="dxa"/>
            <w:vAlign w:val="bottom"/>
          </w:tcPr>
          <w:p>
            <w:pPr>
              <w:spacing w:after="0"/>
              <w:rPr>
                <w:sz w:val="24"/>
                <w:szCs w:val="24"/>
                <w:color w:val="auto"/>
              </w:rPr>
            </w:pPr>
          </w:p>
        </w:tc>
        <w:tc>
          <w:tcPr>
            <w:tcW w:w="2460" w:type="dxa"/>
            <w:vAlign w:val="bottom"/>
            <w:gridSpan w:val="2"/>
          </w:tcPr>
          <w:p>
            <w:pPr>
              <w:jc w:val="center"/>
              <w:ind w:right="1518"/>
              <w:spacing w:after="0"/>
              <w:rPr>
                <w:sz w:val="20"/>
                <w:szCs w:val="20"/>
                <w:color w:val="auto"/>
              </w:rPr>
            </w:pPr>
            <w:r>
              <w:rPr>
                <w:rFonts w:ascii="Arial" w:cs="Arial" w:eastAsia="Arial" w:hAnsi="Arial"/>
                <w:sz w:val="12"/>
                <w:szCs w:val="12"/>
                <w:color w:val="auto"/>
                <w:w w:val="91"/>
              </w:rPr>
              <w:t>Title of each class</w:t>
            </w:r>
          </w:p>
        </w:tc>
        <w:tc>
          <w:tcPr>
            <w:tcW w:w="2060" w:type="dxa"/>
            <w:vAlign w:val="bottom"/>
            <w:gridSpan w:val="3"/>
          </w:tcPr>
          <w:p>
            <w:pPr>
              <w:jc w:val="center"/>
              <w:ind w:right="60"/>
              <w:spacing w:after="0"/>
              <w:rPr>
                <w:sz w:val="20"/>
                <w:szCs w:val="20"/>
                <w:color w:val="auto"/>
              </w:rPr>
            </w:pPr>
            <w:r>
              <w:rPr>
                <w:rFonts w:ascii="Arial" w:cs="Arial" w:eastAsia="Arial" w:hAnsi="Arial"/>
                <w:sz w:val="12"/>
                <w:szCs w:val="12"/>
                <w:color w:val="auto"/>
                <w:w w:val="95"/>
              </w:rPr>
              <w:t>Trading symbol(s)</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2"/>
              </w:rPr>
              <w:t>Common Stock, par value $0.01 per share</w:t>
            </w:r>
          </w:p>
        </w:tc>
        <w:tc>
          <w:tcPr>
            <w:tcW w:w="54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rPr>
              <w:t>BHF</w:t>
            </w:r>
          </w:p>
        </w:tc>
        <w:tc>
          <w:tcPr>
            <w:tcW w:w="0" w:type="dxa"/>
            <w:vAlign w:val="bottom"/>
          </w:tcPr>
          <w:p>
            <w:pPr>
              <w:spacing w:after="0"/>
              <w:rPr>
                <w:sz w:val="1"/>
                <w:szCs w:val="1"/>
                <w:color w:val="auto"/>
              </w:rPr>
            </w:pPr>
          </w:p>
        </w:tc>
      </w:tr>
      <w:tr>
        <w:trPr>
          <w:trHeight w:val="150"/>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00"/>
              <w:spacing w:after="0"/>
              <w:rPr>
                <w:sz w:val="20"/>
                <w:szCs w:val="20"/>
                <w:color w:val="auto"/>
              </w:rPr>
            </w:pPr>
            <w:r>
              <w:rPr>
                <w:rFonts w:ascii="Arial" w:cs="Arial" w:eastAsia="Arial" w:hAnsi="Arial"/>
                <w:sz w:val="12"/>
                <w:szCs w:val="12"/>
                <w:b w:val="1"/>
                <w:bCs w:val="1"/>
                <w:color w:val="auto"/>
                <w:w w:val="96"/>
              </w:rPr>
              <w:t>BHFAP</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6.600% Non-Cumulative Preferred Stock, Series A</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00"/>
              <w:spacing w:after="0"/>
              <w:rPr>
                <w:sz w:val="20"/>
                <w:szCs w:val="20"/>
                <w:color w:val="auto"/>
              </w:rPr>
            </w:pPr>
            <w:r>
              <w:rPr>
                <w:rFonts w:ascii="Arial" w:cs="Arial" w:eastAsia="Arial" w:hAnsi="Arial"/>
                <w:sz w:val="12"/>
                <w:szCs w:val="12"/>
                <w:b w:val="1"/>
                <w:bCs w:val="1"/>
                <w:color w:val="auto"/>
              </w:rPr>
              <w:t>BHFAO</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6.750% Non-Cumulative Preferred Stock, Series B</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20"/>
              <w:spacing w:after="0"/>
              <w:rPr>
                <w:sz w:val="20"/>
                <w:szCs w:val="20"/>
                <w:color w:val="auto"/>
              </w:rPr>
            </w:pPr>
            <w:r>
              <w:rPr>
                <w:rFonts w:ascii="Arial" w:cs="Arial" w:eastAsia="Arial" w:hAnsi="Arial"/>
                <w:sz w:val="12"/>
                <w:szCs w:val="12"/>
                <w:b w:val="1"/>
                <w:bCs w:val="1"/>
                <w:color w:val="auto"/>
                <w:w w:val="99"/>
              </w:rPr>
              <w:t>BHFAN</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5.375% Non-Cumulative Preferred Stock, Series C</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20"/>
              <w:spacing w:after="0"/>
              <w:rPr>
                <w:sz w:val="20"/>
                <w:szCs w:val="20"/>
                <w:color w:val="auto"/>
              </w:rPr>
            </w:pPr>
            <w:r>
              <w:rPr>
                <w:rFonts w:ascii="Arial" w:cs="Arial" w:eastAsia="Arial" w:hAnsi="Arial"/>
                <w:sz w:val="12"/>
                <w:szCs w:val="12"/>
                <w:b w:val="1"/>
                <w:bCs w:val="1"/>
                <w:color w:val="auto"/>
              </w:rPr>
              <w:t>BHFAM</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4.625% Non-Cumulative Preferred Stock, Series D</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3"/>
              </w:rPr>
              <w:t>6.250% Junior Subordinated Debentures due 2058</w:t>
            </w:r>
          </w:p>
        </w:tc>
        <w:tc>
          <w:tcPr>
            <w:tcW w:w="54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rPr>
              <w:t>BHFAL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3"/>
          <w:szCs w:val="13"/>
          <w:i w:val="1"/>
          <w:iCs w:val="1"/>
          <w:color w:val="auto"/>
        </w:rPr>
        <w:t>(I.R.S. Employer Identification No.)</w:t>
      </w:r>
    </w:p>
    <w:p>
      <w:pPr>
        <w:spacing w:after="0" w:line="191" w:lineRule="exact"/>
        <w:rPr>
          <w:sz w:val="24"/>
          <w:szCs w:val="24"/>
          <w:color w:val="auto"/>
        </w:rPr>
      </w:pPr>
    </w:p>
    <w:p>
      <w:pPr>
        <w:jc w:val="center"/>
        <w:ind w:right="2080"/>
        <w:spacing w:after="0"/>
        <w:rPr>
          <w:sz w:val="20"/>
          <w:szCs w:val="20"/>
          <w:color w:val="auto"/>
        </w:rPr>
      </w:pPr>
      <w:r>
        <w:rPr>
          <w:rFonts w:ascii="Arial" w:cs="Arial" w:eastAsia="Arial" w:hAnsi="Arial"/>
          <w:sz w:val="14"/>
          <w:szCs w:val="14"/>
          <w:b w:val="1"/>
          <w:bCs w:val="1"/>
          <w:color w:val="auto"/>
        </w:rPr>
        <w:t>28277</w:t>
      </w:r>
    </w:p>
    <w:p>
      <w:pPr>
        <w:spacing w:after="0" w:line="121" w:lineRule="exact"/>
        <w:rPr>
          <w:sz w:val="24"/>
          <w:szCs w:val="24"/>
          <w:color w:val="auto"/>
        </w:rPr>
      </w:pPr>
    </w:p>
    <w:p>
      <w:pPr>
        <w:jc w:val="center"/>
        <w:ind w:right="208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100"/>
        <w:spacing w:after="0"/>
        <w:rPr>
          <w:sz w:val="20"/>
          <w:szCs w:val="20"/>
          <w:color w:val="auto"/>
        </w:rPr>
      </w:pPr>
      <w:r>
        <w:rPr>
          <w:rFonts w:ascii="Arial" w:cs="Arial" w:eastAsia="Arial" w:hAnsi="Arial"/>
          <w:sz w:val="11"/>
          <w:szCs w:val="11"/>
          <w:u w:val="single" w:color="auto"/>
          <w:color w:val="auto"/>
        </w:rPr>
        <w:t>Name of each exchange on which registered</w:t>
      </w:r>
    </w:p>
    <w:p>
      <w:pPr>
        <w:spacing w:after="0" w:line="82" w:lineRule="exact"/>
        <w:rPr>
          <w:sz w:val="24"/>
          <w:szCs w:val="24"/>
          <w:color w:val="auto"/>
        </w:rPr>
      </w:pPr>
    </w:p>
    <w:p>
      <w:pPr>
        <w:jc w:val="center"/>
        <w:ind w:right="1100"/>
        <w:spacing w:after="0"/>
        <w:rPr>
          <w:sz w:val="20"/>
          <w:szCs w:val="20"/>
          <w:color w:val="auto"/>
        </w:rPr>
      </w:pPr>
      <w:r>
        <w:rPr>
          <w:rFonts w:ascii="Arial" w:cs="Arial" w:eastAsia="Arial" w:hAnsi="Arial"/>
          <w:sz w:val="12"/>
          <w:szCs w:val="12"/>
          <w:b w:val="1"/>
          <w:bCs w:val="1"/>
          <w:color w:val="auto"/>
        </w:rPr>
        <w:t>The Nasdaq Stock Market LLC</w:t>
      </w:r>
    </w:p>
    <w:p>
      <w:pPr>
        <w:spacing w:after="0" w:line="114" w:lineRule="exact"/>
        <w:rPr>
          <w:sz w:val="24"/>
          <w:szCs w:val="24"/>
          <w:color w:val="auto"/>
        </w:rPr>
      </w:pPr>
    </w:p>
    <w:p>
      <w:pPr>
        <w:ind w:left="660"/>
        <w:spacing w:after="0"/>
        <w:rPr>
          <w:sz w:val="20"/>
          <w:szCs w:val="20"/>
          <w:color w:val="auto"/>
        </w:rPr>
      </w:pPr>
      <w:r>
        <w:rPr>
          <w:rFonts w:ascii="Arial" w:cs="Arial" w:eastAsia="Arial" w:hAnsi="Arial"/>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Arial" w:cs="Arial" w:eastAsia="Arial" w:hAnsi="Arial"/>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Arial" w:cs="Arial" w:eastAsia="Arial" w:hAnsi="Arial"/>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Arial" w:cs="Arial" w:eastAsia="Arial" w:hAnsi="Arial"/>
          <w:sz w:val="12"/>
          <w:szCs w:val="12"/>
          <w:b w:val="1"/>
          <w:bCs w:val="1"/>
          <w:color w:val="auto"/>
        </w:rPr>
        <w:t>The Nasdaq Stock Market LLC</w:t>
      </w:r>
    </w:p>
    <w:p>
      <w:pPr>
        <w:spacing w:after="0" w:line="127" w:lineRule="exact"/>
        <w:rPr>
          <w:sz w:val="24"/>
          <w:szCs w:val="24"/>
          <w:color w:val="auto"/>
        </w:rPr>
      </w:pPr>
    </w:p>
    <w:p>
      <w:pPr>
        <w:ind w:left="660"/>
        <w:spacing w:after="0"/>
        <w:rPr>
          <w:sz w:val="20"/>
          <w:szCs w:val="20"/>
          <w:color w:val="auto"/>
        </w:rPr>
      </w:pPr>
      <w:r>
        <w:rPr>
          <w:rFonts w:ascii="Arial" w:cs="Arial" w:eastAsia="Arial" w:hAnsi="Arial"/>
          <w:sz w:val="12"/>
          <w:szCs w:val="12"/>
          <w:b w:val="1"/>
          <w:bCs w:val="1"/>
          <w:color w:val="auto"/>
        </w:rPr>
        <w:t>The Nasdaq Stock Market LLC</w:t>
      </w:r>
    </w:p>
    <w:p>
      <w:pPr>
        <w:spacing w:after="0" w:line="210" w:lineRule="exact"/>
        <w:rPr>
          <w:sz w:val="24"/>
          <w:szCs w:val="24"/>
          <w:color w:val="auto"/>
        </w:rPr>
      </w:pPr>
    </w:p>
    <w:p>
      <w:pPr>
        <w:sectPr>
          <w:pgSz w:w="11900" w:h="16838" w:orient="portrait"/>
          <w:cols w:equalWidth="0" w:num="2">
            <w:col w:w="7040" w:space="100"/>
            <w:col w:w="4100"/>
          </w:cols>
          <w:pgMar w:left="320" w:top="1393" w:right="339" w:bottom="1440" w:gutter="0" w:footer="0" w:header="0"/>
          <w:type w:val="continuous"/>
        </w:sectPr>
      </w:pPr>
    </w:p>
    <w:p>
      <w:pPr>
        <w:spacing w:after="0" w:line="15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96" w:lineRule="exact"/>
        <w:rPr>
          <w:sz w:val="24"/>
          <w:szCs w:val="24"/>
          <w:color w:val="auto"/>
        </w:rPr>
      </w:pPr>
    </w:p>
    <w:p>
      <w:pPr>
        <w:spacing w:after="0" w:line="158"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82" w:lineRule="exact"/>
        <w:rPr>
          <w:sz w:val="24"/>
          <w:szCs w:val="24"/>
          <w:color w:val="auto"/>
        </w:rPr>
      </w:pPr>
    </w:p>
    <w:p>
      <w:pPr>
        <w:spacing w:after="0" w:line="28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3" w:lineRule="exact"/>
        <w:rPr>
          <w:sz w:val="24"/>
          <w:szCs w:val="24"/>
          <w:color w:val="auto"/>
        </w:rPr>
      </w:pPr>
    </w:p>
    <w:tbl>
      <w:tblPr>
        <w:tblLayout w:type="fixed"/>
        <w:tblInd w:w="1100" w:type="dxa"/>
        <w:tblCellMar>
          <w:top w:w="0" w:type="dxa"/>
          <w:left w:w="0" w:type="dxa"/>
          <w:bottom w:w="0" w:type="dxa"/>
          <w:right w:w="0" w:type="dxa"/>
        </w:tblCellMar>
      </w:tblPr>
      <w:tr>
        <w:trPr>
          <w:trHeight w:val="193"/>
        </w:trPr>
        <w:tc>
          <w:tcPr>
            <w:tcW w:w="1180" w:type="dxa"/>
            <w:vAlign w:val="bottom"/>
          </w:tcPr>
          <w:p>
            <w:pPr>
              <w:spacing w:after="0"/>
              <w:rPr>
                <w:sz w:val="20"/>
                <w:szCs w:val="20"/>
                <w:color w:val="auto"/>
              </w:rPr>
            </w:pPr>
            <w:r>
              <w:rPr>
                <w:rFonts w:ascii="Arial" w:cs="Arial" w:eastAsia="Arial" w:hAnsi="Arial"/>
                <w:sz w:val="12"/>
                <w:szCs w:val="12"/>
                <w:color w:val="auto"/>
                <w:w w:val="97"/>
              </w:rPr>
              <w:t>Large accelerated filer</w:t>
            </w:r>
          </w:p>
        </w:tc>
        <w:tc>
          <w:tcPr>
            <w:tcW w:w="29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780"/>
              <w:spacing w:after="0"/>
              <w:rPr>
                <w:sz w:val="20"/>
                <w:szCs w:val="20"/>
                <w:color w:val="auto"/>
              </w:rPr>
            </w:pPr>
            <w:r>
              <w:rPr>
                <w:rFonts w:ascii="Arial" w:cs="Arial" w:eastAsia="Arial" w:hAnsi="Arial"/>
                <w:sz w:val="12"/>
                <w:szCs w:val="12"/>
                <w:color w:val="auto"/>
              </w:rPr>
              <w:t>Accelerated filer</w:t>
            </w:r>
          </w:p>
        </w:tc>
        <w:tc>
          <w:tcPr>
            <w:tcW w:w="240" w:type="dxa"/>
            <w:vAlign w:val="bottom"/>
            <w:vMerge w:val="restart"/>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53"/>
        </w:trPr>
        <w:tc>
          <w:tcPr>
            <w:tcW w:w="11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42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1180" w:type="dxa"/>
            <w:vAlign w:val="bottom"/>
          </w:tcPr>
          <w:p>
            <w:pPr>
              <w:spacing w:after="0"/>
              <w:rPr>
                <w:sz w:val="20"/>
                <w:szCs w:val="20"/>
                <w:color w:val="auto"/>
              </w:rPr>
            </w:pPr>
            <w:r>
              <w:rPr>
                <w:rFonts w:ascii="Arial" w:cs="Arial" w:eastAsia="Arial" w:hAnsi="Arial"/>
                <w:sz w:val="12"/>
                <w:szCs w:val="12"/>
                <w:color w:val="auto"/>
              </w:rPr>
              <w:t>Non-accelerated filer</w:t>
            </w:r>
          </w:p>
        </w:tc>
        <w:tc>
          <w:tcPr>
            <w:tcW w:w="29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780"/>
              <w:spacing w:after="0"/>
              <w:rPr>
                <w:sz w:val="20"/>
                <w:szCs w:val="20"/>
                <w:color w:val="auto"/>
              </w:rPr>
            </w:pPr>
            <w:r>
              <w:rPr>
                <w:rFonts w:ascii="Arial" w:cs="Arial" w:eastAsia="Arial" w:hAnsi="Arial"/>
                <w:sz w:val="12"/>
                <w:szCs w:val="12"/>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40" w:type="dxa"/>
            <w:vAlign w:val="bottom"/>
          </w:tcPr>
          <w:p>
            <w:pPr>
              <w:ind w:left="2780"/>
              <w:spacing w:after="0"/>
              <w:rPr>
                <w:sz w:val="20"/>
                <w:szCs w:val="20"/>
                <w:color w:val="auto"/>
              </w:rPr>
            </w:pPr>
            <w:r>
              <w:rPr>
                <w:rFonts w:ascii="Arial" w:cs="Arial" w:eastAsia="Arial" w:hAnsi="Arial"/>
                <w:sz w:val="12"/>
                <w:szCs w:val="12"/>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166" w:lineRule="exact"/>
        <w:rPr>
          <w:sz w:val="24"/>
          <w:szCs w:val="24"/>
          <w:color w:val="auto"/>
        </w:rPr>
      </w:pPr>
    </w:p>
    <w:p>
      <w:pPr>
        <w:spacing w:after="0" w:line="16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59" w:lineRule="exact"/>
        <w:rPr>
          <w:sz w:val="24"/>
          <w:szCs w:val="24"/>
          <w:color w:val="auto"/>
        </w:rPr>
      </w:pPr>
    </w:p>
    <w:p>
      <w:pPr>
        <w:ind w:right="4860"/>
        <w:spacing w:after="0" w:line="216"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No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As of November 3, 2022, 69,129,693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738505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137160</wp:posOffset>
            </wp:positionV>
            <wp:extent cx="69951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65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111760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8" w:lineRule="exact"/>
        <w:rPr>
          <w:sz w:val="20"/>
          <w:szCs w:val="20"/>
          <w:color w:val="auto"/>
        </w:rPr>
      </w:pPr>
    </w:p>
    <w:p>
      <w:pPr>
        <w:ind w:left="10740"/>
        <w:spacing w:after="0"/>
        <w:rPr>
          <w:sz w:val="20"/>
          <w:szCs w:val="20"/>
          <w:color w:val="auto"/>
        </w:rPr>
      </w:pPr>
      <w:r>
        <w:rPr>
          <w:rFonts w:ascii="Arial" w:cs="Arial" w:eastAsia="Arial" w:hAnsi="Arial"/>
          <w:sz w:val="18"/>
          <w:szCs w:val="18"/>
          <w:b w:val="1"/>
          <w:bCs w:val="1"/>
          <w:u w:val="single" w:color="auto"/>
          <w:color w:val="auto"/>
        </w:rPr>
        <w:t>Page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Part I — Financial Information</w:t>
      </w:r>
    </w:p>
    <w:tbl>
      <w:tblPr>
        <w:tblLayout w:type="fixed"/>
        <w:tblInd w:w="120" w:type="dxa"/>
        <w:tblCellMar>
          <w:top w:w="0" w:type="dxa"/>
          <w:left w:w="0" w:type="dxa"/>
          <w:bottom w:w="0" w:type="dxa"/>
          <w:right w:w="0" w:type="dxa"/>
        </w:tblCellMar>
      </w:tblPr>
      <w:tr>
        <w:trPr>
          <w:trHeight w:val="192"/>
        </w:trPr>
        <w:tc>
          <w:tcPr>
            <w:tcW w:w="760" w:type="dxa"/>
            <w:vAlign w:val="bottom"/>
          </w:tcPr>
          <w:p>
            <w:pPr>
              <w:spacing w:after="0" w:line="193" w:lineRule="exact"/>
              <w:rPr>
                <w:sz w:val="20"/>
                <w:szCs w:val="20"/>
                <w:color w:val="auto"/>
              </w:rPr>
            </w:pPr>
            <w:r>
              <w:rPr>
                <w:rFonts w:ascii="Arial" w:cs="Arial" w:eastAsia="Arial" w:hAnsi="Arial"/>
                <w:sz w:val="18"/>
                <w:szCs w:val="18"/>
                <w:b w:val="1"/>
                <w:bCs w:val="1"/>
                <w:color w:val="auto"/>
              </w:rPr>
              <w:t>Item 1.</w:t>
            </w:r>
          </w:p>
        </w:tc>
        <w:tc>
          <w:tcPr>
            <w:tcW w:w="10000" w:type="dxa"/>
            <w:vAlign w:val="bottom"/>
            <w:gridSpan w:val="7"/>
          </w:tcPr>
          <w:p>
            <w:pPr>
              <w:ind w:left="240"/>
              <w:spacing w:after="0" w:line="193" w:lineRule="exact"/>
              <w:rPr>
                <w:sz w:val="20"/>
                <w:szCs w:val="20"/>
                <w:color w:val="auto"/>
              </w:rPr>
            </w:pPr>
            <w:r>
              <w:rPr>
                <w:rFonts w:ascii="Arial" w:cs="Arial" w:eastAsia="Arial" w:hAnsi="Arial"/>
                <w:sz w:val="18"/>
                <w:szCs w:val="18"/>
                <w:color w:val="auto"/>
                <w:w w:val="92"/>
              </w:rPr>
              <w:t>Consolidated Financial Statements (at September 30, 2022 (Unaudited) and December 31, 2021 and for the Three Months and Nine</w:t>
            </w:r>
          </w:p>
        </w:tc>
        <w:tc>
          <w:tcPr>
            <w:tcW w:w="100" w:type="dxa"/>
            <w:vAlign w:val="bottom"/>
          </w:tcPr>
          <w:p>
            <w:pPr>
              <w:spacing w:after="0"/>
              <w:rPr>
                <w:sz w:val="16"/>
                <w:szCs w:val="16"/>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Months Ended September 30, 2022 and 2021 (Unaudited)):</w:t>
            </w:r>
          </w:p>
        </w:tc>
        <w:tc>
          <w:tcPr>
            <w:tcW w:w="100" w:type="dxa"/>
            <w:vAlign w:val="bottom"/>
          </w:tcPr>
          <w:p>
            <w:pPr>
              <w:spacing w:after="0"/>
              <w:rPr>
                <w:sz w:val="19"/>
                <w:szCs w:val="19"/>
                <w:color w:val="auto"/>
              </w:rPr>
            </w:pPr>
          </w:p>
        </w:tc>
      </w:tr>
      <w:tr>
        <w:trPr>
          <w:trHeight w:val="200"/>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60" w:type="dxa"/>
            <w:vAlign w:val="bottom"/>
            <w:tcBorders>
              <w:bottom w:val="single" w:sz="8" w:color="0000FF"/>
            </w:tcBorders>
          </w:tcPr>
          <w:p>
            <w:pPr>
              <w:spacing w:after="0" w:line="200" w:lineRule="exact"/>
              <w:rPr>
                <w:sz w:val="20"/>
                <w:szCs w:val="20"/>
                <w:color w:val="auto"/>
              </w:rPr>
            </w:pPr>
            <w:r>
              <w:rPr>
                <w:rFonts w:ascii="Arial" w:cs="Arial" w:eastAsia="Arial" w:hAnsi="Arial"/>
                <w:sz w:val="18"/>
                <w:szCs w:val="18"/>
                <w:color w:val="0000FF"/>
                <w:w w:val="87"/>
              </w:rPr>
              <w:t>Interim Condensed Consolidated Balance Sheets</w:t>
            </w:r>
          </w:p>
        </w:tc>
        <w:tc>
          <w:tcPr>
            <w:tcW w:w="6160" w:type="dxa"/>
            <w:vAlign w:val="bottom"/>
            <w:gridSpan w:val="5"/>
          </w:tcPr>
          <w:p>
            <w:pPr>
              <w:spacing w:after="0"/>
              <w:rPr>
                <w:sz w:val="17"/>
                <w:szCs w:val="17"/>
                <w:color w:val="auto"/>
              </w:rPr>
            </w:pPr>
          </w:p>
        </w:tc>
        <w:tc>
          <w:tcPr>
            <w:tcW w:w="100" w:type="dxa"/>
            <w:vAlign w:val="bottom"/>
            <w:tcBorders>
              <w:bottom w:val="single" w:sz="8" w:color="0000FF"/>
            </w:tcBorders>
          </w:tcPr>
          <w:p>
            <w:pPr>
              <w:jc w:val="right"/>
              <w:spacing w:after="0" w:line="200" w:lineRule="exact"/>
              <w:rPr>
                <w:sz w:val="20"/>
                <w:szCs w:val="20"/>
                <w:color w:val="auto"/>
              </w:rPr>
            </w:pPr>
            <w:r>
              <w:rPr>
                <w:rFonts w:ascii="Arial" w:cs="Arial" w:eastAsia="Arial" w:hAnsi="Arial"/>
                <w:sz w:val="18"/>
                <w:szCs w:val="18"/>
                <w:color w:val="0000FF"/>
                <w:w w:val="79"/>
              </w:rPr>
              <w:t>2</w:t>
            </w:r>
          </w:p>
        </w:tc>
      </w:tr>
      <w:tr>
        <w:trPr>
          <w:trHeight w:val="205"/>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20" w:type="dxa"/>
            <w:vAlign w:val="bottom"/>
            <w:gridSpan w:val="6"/>
          </w:tcPr>
          <w:p>
            <w:pPr>
              <w:spacing w:after="0" w:line="205" w:lineRule="exact"/>
              <w:rPr>
                <w:sz w:val="20"/>
                <w:szCs w:val="20"/>
                <w:color w:val="auto"/>
              </w:rPr>
            </w:pPr>
            <w:r>
              <w:rPr>
                <w:rFonts w:ascii="Arial" w:cs="Arial" w:eastAsia="Arial" w:hAnsi="Arial"/>
                <w:sz w:val="18"/>
                <w:szCs w:val="18"/>
                <w:color w:val="0000FF"/>
              </w:rPr>
              <w:t>Interim Condensed Consolidated Statements of Operations and Comprehensive Income (Loss)</w:t>
            </w:r>
          </w:p>
        </w:tc>
        <w:tc>
          <w:tcPr>
            <w:tcW w:w="100" w:type="dxa"/>
            <w:vAlign w:val="bottom"/>
          </w:tcPr>
          <w:p>
            <w:pPr>
              <w:jc w:val="right"/>
              <w:spacing w:after="0" w:line="205" w:lineRule="exact"/>
              <w:rPr>
                <w:sz w:val="20"/>
                <w:szCs w:val="20"/>
                <w:color w:val="auto"/>
              </w:rPr>
            </w:pPr>
            <w:r>
              <w:rPr>
                <w:rFonts w:ascii="Arial" w:cs="Arial" w:eastAsia="Arial" w:hAnsi="Arial"/>
                <w:sz w:val="18"/>
                <w:szCs w:val="18"/>
                <w:color w:val="0000FF"/>
                <w:w w:val="79"/>
              </w:rPr>
              <w:t>3</w:t>
            </w:r>
          </w:p>
        </w:tc>
      </w:tr>
      <w:tr>
        <w:trPr>
          <w:trHeight w:val="205"/>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60" w:type="dxa"/>
            <w:vAlign w:val="bottom"/>
            <w:tcBorders>
              <w:top w:val="single" w:sz="8" w:color="0000FF"/>
              <w:bottom w:val="single" w:sz="8" w:color="0000FF"/>
            </w:tcBorders>
            <w:gridSpan w:val="2"/>
          </w:tcPr>
          <w:p>
            <w:pPr>
              <w:spacing w:after="0" w:line="205" w:lineRule="exact"/>
              <w:rPr>
                <w:sz w:val="20"/>
                <w:szCs w:val="20"/>
                <w:color w:val="auto"/>
              </w:rPr>
            </w:pPr>
            <w:r>
              <w:rPr>
                <w:rFonts w:ascii="Arial" w:cs="Arial" w:eastAsia="Arial" w:hAnsi="Arial"/>
                <w:sz w:val="18"/>
                <w:szCs w:val="18"/>
                <w:color w:val="0000FF"/>
                <w:w w:val="88"/>
              </w:rPr>
              <w:t>Interim Condensed Consolidated Statements of Equity</w:t>
            </w:r>
          </w:p>
        </w:tc>
        <w:tc>
          <w:tcPr>
            <w:tcW w:w="2820" w:type="dxa"/>
            <w:vAlign w:val="bottom"/>
            <w:tcBorders>
              <w:top w:val="single" w:sz="8" w:color="0000FF"/>
            </w:tcBorders>
            <w:gridSpan w:val="3"/>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right"/>
              <w:spacing w:after="0" w:line="205" w:lineRule="exact"/>
              <w:rPr>
                <w:sz w:val="20"/>
                <w:szCs w:val="20"/>
                <w:color w:val="auto"/>
              </w:rPr>
            </w:pPr>
            <w:r>
              <w:rPr>
                <w:rFonts w:ascii="Arial" w:cs="Arial" w:eastAsia="Arial" w:hAnsi="Arial"/>
                <w:sz w:val="18"/>
                <w:szCs w:val="18"/>
                <w:color w:val="0000FF"/>
                <w:w w:val="79"/>
              </w:rPr>
              <w:t>4</w:t>
            </w:r>
          </w:p>
        </w:tc>
      </w:tr>
      <w:tr>
        <w:trPr>
          <w:trHeight w:val="205"/>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20" w:type="dxa"/>
            <w:vAlign w:val="bottom"/>
            <w:tcBorders>
              <w:bottom w:val="single" w:sz="8" w:color="0000FF"/>
            </w:tcBorders>
            <w:gridSpan w:val="3"/>
          </w:tcPr>
          <w:p>
            <w:pPr>
              <w:spacing w:after="0" w:line="205" w:lineRule="exact"/>
              <w:rPr>
                <w:sz w:val="20"/>
                <w:szCs w:val="20"/>
                <w:color w:val="auto"/>
              </w:rPr>
            </w:pPr>
            <w:r>
              <w:rPr>
                <w:rFonts w:ascii="Arial" w:cs="Arial" w:eastAsia="Arial" w:hAnsi="Arial"/>
                <w:sz w:val="18"/>
                <w:szCs w:val="18"/>
                <w:color w:val="0000FF"/>
                <w:w w:val="88"/>
              </w:rPr>
              <w:t>Interim Condensed Consolidated Statements of Cash Flows</w:t>
            </w:r>
          </w:p>
        </w:tc>
        <w:tc>
          <w:tcPr>
            <w:tcW w:w="5400" w:type="dxa"/>
            <w:vAlign w:val="bottom"/>
            <w:gridSpan w:val="3"/>
          </w:tcPr>
          <w:p>
            <w:pPr>
              <w:spacing w:after="0"/>
              <w:rPr>
                <w:sz w:val="17"/>
                <w:szCs w:val="17"/>
                <w:color w:val="auto"/>
              </w:rPr>
            </w:pPr>
          </w:p>
        </w:tc>
        <w:tc>
          <w:tcPr>
            <w:tcW w:w="100" w:type="dxa"/>
            <w:vAlign w:val="bottom"/>
            <w:tcBorders>
              <w:bottom w:val="single" w:sz="8" w:color="0000FF"/>
            </w:tcBorders>
          </w:tcPr>
          <w:p>
            <w:pPr>
              <w:jc w:val="right"/>
              <w:spacing w:after="0" w:line="205" w:lineRule="exact"/>
              <w:rPr>
                <w:sz w:val="20"/>
                <w:szCs w:val="20"/>
                <w:color w:val="auto"/>
              </w:rPr>
            </w:pPr>
            <w:r>
              <w:rPr>
                <w:rFonts w:ascii="Arial" w:cs="Arial" w:eastAsia="Arial" w:hAnsi="Arial"/>
                <w:sz w:val="18"/>
                <w:szCs w:val="18"/>
                <w:color w:val="0000FF"/>
                <w:w w:val="79"/>
              </w:rPr>
              <w:t>5</w:t>
            </w:r>
          </w:p>
        </w:tc>
      </w:tr>
      <w:tr>
        <w:trPr>
          <w:trHeight w:val="205"/>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700" w:type="dxa"/>
            <w:vAlign w:val="bottom"/>
            <w:tcBorders>
              <w:bottom w:val="single" w:sz="8" w:color="0000FF"/>
            </w:tcBorders>
            <w:gridSpan w:val="4"/>
          </w:tcPr>
          <w:p>
            <w:pPr>
              <w:spacing w:after="0" w:line="205" w:lineRule="exact"/>
              <w:rPr>
                <w:sz w:val="20"/>
                <w:szCs w:val="20"/>
                <w:color w:val="auto"/>
              </w:rPr>
            </w:pPr>
            <w:r>
              <w:rPr>
                <w:rFonts w:ascii="Arial" w:cs="Arial" w:eastAsia="Arial" w:hAnsi="Arial"/>
                <w:sz w:val="18"/>
                <w:szCs w:val="18"/>
                <w:color w:val="0000FF"/>
                <w:w w:val="88"/>
              </w:rPr>
              <w:t>Notes to the Interim Condensed Consolidated Financial Statements (Unaudited):</w:t>
            </w:r>
          </w:p>
        </w:tc>
        <w:tc>
          <w:tcPr>
            <w:tcW w:w="39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40" w:type="dxa"/>
            <w:vAlign w:val="bottom"/>
            <w:gridSpan w:val="19"/>
          </w:tcPr>
          <w:p>
            <w:pPr>
              <w:spacing w:after="0"/>
              <w:rPr>
                <w:sz w:val="20"/>
                <w:szCs w:val="20"/>
                <w:color w:val="auto"/>
              </w:rPr>
            </w:pPr>
            <w:r>
              <w:rPr>
                <w:rFonts w:ascii="Arial" w:cs="Arial" w:eastAsia="Arial" w:hAnsi="Arial"/>
                <w:sz w:val="18"/>
                <w:szCs w:val="18"/>
                <w:color w:val="0000FF"/>
              </w:rPr>
              <w:t>Note 1 — Business, Basis of Presentation and Summary of Significant Accounting Policies</w:t>
            </w:r>
          </w:p>
        </w:tc>
        <w:tc>
          <w:tcPr>
            <w:tcW w:w="1660" w:type="dxa"/>
            <w:vAlign w:val="bottom"/>
            <w:gridSpan w:val="2"/>
          </w:tcPr>
          <w:p>
            <w:pPr>
              <w:jc w:val="center"/>
              <w:ind w:left="1392"/>
              <w:spacing w:after="0"/>
              <w:rPr>
                <w:sz w:val="20"/>
                <w:szCs w:val="20"/>
                <w:color w:val="auto"/>
              </w:rPr>
            </w:pPr>
            <w:r>
              <w:rPr>
                <w:rFonts w:ascii="Arial" w:cs="Arial" w:eastAsia="Arial" w:hAnsi="Arial"/>
                <w:sz w:val="18"/>
                <w:szCs w:val="18"/>
                <w:color w:val="0000FF"/>
                <w:w w:val="99"/>
              </w:rPr>
              <w:t>6</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tcBorders>
              <w:top w:val="single" w:sz="8" w:color="0000FF"/>
              <w:bottom w:val="single" w:sz="8" w:color="0000FF"/>
            </w:tcBorders>
            <w:gridSpan w:val="11"/>
          </w:tcPr>
          <w:p>
            <w:pPr>
              <w:spacing w:after="0" w:line="205" w:lineRule="exact"/>
              <w:rPr>
                <w:sz w:val="20"/>
                <w:szCs w:val="20"/>
                <w:color w:val="auto"/>
              </w:rPr>
            </w:pPr>
            <w:r>
              <w:rPr>
                <w:rFonts w:ascii="Arial" w:cs="Arial" w:eastAsia="Arial" w:hAnsi="Arial"/>
                <w:sz w:val="18"/>
                <w:szCs w:val="18"/>
                <w:color w:val="0000FF"/>
                <w:w w:val="90"/>
              </w:rPr>
              <w:t>Note 2 — Segment Information</w:t>
            </w:r>
          </w:p>
        </w:tc>
        <w:tc>
          <w:tcPr>
            <w:tcW w:w="4200" w:type="dxa"/>
            <w:vAlign w:val="bottom"/>
            <w:tcBorders>
              <w:top w:val="single" w:sz="8" w:color="0000FF"/>
            </w:tcBorders>
            <w:gridSpan w:val="7"/>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99"/>
              </w:rPr>
              <w:t>7</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Borders>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88"/>
              </w:rPr>
              <w:t>Note 3 — Insurance</w:t>
            </w:r>
          </w:p>
        </w:tc>
        <w:tc>
          <w:tcPr>
            <w:tcW w:w="6500" w:type="dxa"/>
            <w:vAlign w:val="bottom"/>
            <w:gridSpan w:val="13"/>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11</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40" w:type="dxa"/>
            <w:vAlign w:val="bottom"/>
            <w:gridSpan w:val="19"/>
          </w:tcPr>
          <w:p>
            <w:pPr>
              <w:spacing w:after="0" w:line="205" w:lineRule="exact"/>
              <w:rPr>
                <w:sz w:val="20"/>
                <w:szCs w:val="20"/>
                <w:color w:val="auto"/>
              </w:rPr>
            </w:pPr>
            <w:r>
              <w:rPr>
                <w:rFonts w:ascii="Arial" w:cs="Arial" w:eastAsia="Arial" w:hAnsi="Arial"/>
                <w:sz w:val="18"/>
                <w:szCs w:val="18"/>
                <w:color w:val="0000FF"/>
              </w:rPr>
              <w:t>Note 4 — Investments</w:t>
            </w:r>
          </w:p>
        </w:tc>
        <w:tc>
          <w:tcPr>
            <w:tcW w:w="1660" w:type="dxa"/>
            <w:vAlign w:val="bottom"/>
            <w:gridSpan w:val="2"/>
          </w:tcPr>
          <w:p>
            <w:pPr>
              <w:jc w:val="center"/>
              <w:ind w:left="1392"/>
              <w:spacing w:after="0" w:line="205" w:lineRule="exact"/>
              <w:rPr>
                <w:sz w:val="20"/>
                <w:szCs w:val="20"/>
                <w:color w:val="auto"/>
              </w:rPr>
            </w:pPr>
            <w:r>
              <w:rPr>
                <w:rFonts w:ascii="Arial" w:cs="Arial" w:eastAsia="Arial" w:hAnsi="Arial"/>
                <w:sz w:val="18"/>
                <w:szCs w:val="18"/>
                <w:color w:val="0000FF"/>
                <w:w w:val="89"/>
              </w:rPr>
              <w:t>12</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Borders>
              <w:top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92"/>
              </w:rPr>
              <w:t>Note 5 — Derivatives</w:t>
            </w:r>
          </w:p>
        </w:tc>
        <w:tc>
          <w:tcPr>
            <w:tcW w:w="6340" w:type="dxa"/>
            <w:vAlign w:val="bottom"/>
            <w:gridSpan w:val="10"/>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24</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7"/>
          </w:tcPr>
          <w:p>
            <w:pPr>
              <w:spacing w:after="0" w:line="205" w:lineRule="exact"/>
              <w:rPr>
                <w:sz w:val="20"/>
                <w:szCs w:val="20"/>
                <w:color w:val="auto"/>
              </w:rPr>
            </w:pPr>
            <w:r>
              <w:rPr>
                <w:rFonts w:ascii="Arial" w:cs="Arial" w:eastAsia="Arial" w:hAnsi="Arial"/>
                <w:sz w:val="18"/>
                <w:szCs w:val="18"/>
                <w:color w:val="0000FF"/>
                <w:w w:val="89"/>
              </w:rPr>
              <w:t>Note 6 — Fair Value</w:t>
            </w:r>
          </w:p>
        </w:tc>
        <w:tc>
          <w:tcPr>
            <w:tcW w:w="80" w:type="dxa"/>
            <w:vAlign w:val="bottom"/>
            <w:tcBorders>
              <w:top w:val="single" w:sz="8" w:color="0000FF"/>
            </w:tcBorders>
          </w:tcPr>
          <w:p>
            <w:pPr>
              <w:spacing w:after="0"/>
              <w:rPr>
                <w:sz w:val="17"/>
                <w:szCs w:val="17"/>
                <w:color w:val="auto"/>
              </w:rPr>
            </w:pPr>
          </w:p>
        </w:tc>
        <w:tc>
          <w:tcPr>
            <w:tcW w:w="6380" w:type="dxa"/>
            <w:vAlign w:val="bottom"/>
            <w:gridSpan w:val="11"/>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w w:val="73"/>
              </w:rPr>
              <w:t>30</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Borders>
              <w:bottom w:val="single" w:sz="8" w:color="0000FF"/>
            </w:tcBorders>
            <w:gridSpan w:val="10"/>
          </w:tcPr>
          <w:p>
            <w:pPr>
              <w:spacing w:after="0" w:line="205" w:lineRule="exact"/>
              <w:rPr>
                <w:sz w:val="20"/>
                <w:szCs w:val="20"/>
                <w:color w:val="auto"/>
              </w:rPr>
            </w:pPr>
            <w:r>
              <w:rPr>
                <w:rFonts w:ascii="Arial" w:cs="Arial" w:eastAsia="Arial" w:hAnsi="Arial"/>
                <w:sz w:val="18"/>
                <w:szCs w:val="18"/>
                <w:color w:val="0000FF"/>
                <w:w w:val="91"/>
              </w:rPr>
              <w:t>Note 7 — Long-term Debt</w:t>
            </w:r>
          </w:p>
        </w:tc>
        <w:tc>
          <w:tcPr>
            <w:tcW w:w="604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39</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Borders>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91"/>
              </w:rPr>
              <w:t>Note 8 — Equity</w:t>
            </w:r>
          </w:p>
        </w:tc>
        <w:tc>
          <w:tcPr>
            <w:tcW w:w="6720" w:type="dxa"/>
            <w:vAlign w:val="bottom"/>
            <w:gridSpan w:val="14"/>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39</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tcBorders>
              <w:bottom w:val="single" w:sz="8" w:color="0000FF"/>
            </w:tcBorders>
            <w:gridSpan w:val="13"/>
          </w:tcPr>
          <w:p>
            <w:pPr>
              <w:spacing w:after="0" w:line="205" w:lineRule="exact"/>
              <w:rPr>
                <w:sz w:val="20"/>
                <w:szCs w:val="20"/>
                <w:color w:val="auto"/>
              </w:rPr>
            </w:pPr>
            <w:r>
              <w:rPr>
                <w:rFonts w:ascii="Arial" w:cs="Arial" w:eastAsia="Arial" w:hAnsi="Arial"/>
                <w:sz w:val="18"/>
                <w:szCs w:val="18"/>
                <w:color w:val="0000FF"/>
                <w:w w:val="87"/>
              </w:rPr>
              <w:t>Note 9 — Other Revenues and Other Expenses</w:t>
            </w:r>
          </w:p>
        </w:tc>
        <w:tc>
          <w:tcPr>
            <w:tcW w:w="4600" w:type="dxa"/>
            <w:vAlign w:val="bottom"/>
            <w:gridSpan w:val="6"/>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42</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tcBorders>
              <w:bottom w:val="single" w:sz="8" w:color="0000FF"/>
            </w:tcBorders>
            <w:gridSpan w:val="12"/>
          </w:tcPr>
          <w:p>
            <w:pPr>
              <w:spacing w:after="0" w:line="205" w:lineRule="exact"/>
              <w:rPr>
                <w:sz w:val="20"/>
                <w:szCs w:val="20"/>
                <w:color w:val="auto"/>
              </w:rPr>
            </w:pPr>
            <w:r>
              <w:rPr>
                <w:rFonts w:ascii="Arial" w:cs="Arial" w:eastAsia="Arial" w:hAnsi="Arial"/>
                <w:sz w:val="18"/>
                <w:szCs w:val="18"/>
                <w:color w:val="0000FF"/>
                <w:w w:val="88"/>
              </w:rPr>
              <w:t>Note 10 — Earnings Per Common Share</w:t>
            </w:r>
          </w:p>
        </w:tc>
        <w:tc>
          <w:tcPr>
            <w:tcW w:w="5040" w:type="dxa"/>
            <w:vAlign w:val="bottom"/>
            <w:gridSpan w:val="7"/>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43</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40" w:type="dxa"/>
            <w:vAlign w:val="bottom"/>
            <w:gridSpan w:val="19"/>
          </w:tcPr>
          <w:p>
            <w:pPr>
              <w:spacing w:after="0" w:line="205" w:lineRule="exact"/>
              <w:rPr>
                <w:sz w:val="20"/>
                <w:szCs w:val="20"/>
                <w:color w:val="auto"/>
              </w:rPr>
            </w:pPr>
            <w:r>
              <w:rPr>
                <w:rFonts w:ascii="Arial" w:cs="Arial" w:eastAsia="Arial" w:hAnsi="Arial"/>
                <w:sz w:val="18"/>
                <w:szCs w:val="18"/>
                <w:color w:val="0000FF"/>
              </w:rPr>
              <w:t>Note 11 — Contingencies, Commitments and Guarantees</w:t>
            </w:r>
          </w:p>
        </w:tc>
        <w:tc>
          <w:tcPr>
            <w:tcW w:w="1660" w:type="dxa"/>
            <w:vAlign w:val="bottom"/>
            <w:gridSpan w:val="2"/>
          </w:tcPr>
          <w:p>
            <w:pPr>
              <w:jc w:val="center"/>
              <w:ind w:left="1392"/>
              <w:spacing w:after="0" w:line="205" w:lineRule="exact"/>
              <w:rPr>
                <w:sz w:val="20"/>
                <w:szCs w:val="20"/>
                <w:color w:val="auto"/>
              </w:rPr>
            </w:pPr>
            <w:r>
              <w:rPr>
                <w:rFonts w:ascii="Arial" w:cs="Arial" w:eastAsia="Arial" w:hAnsi="Arial"/>
                <w:sz w:val="18"/>
                <w:szCs w:val="18"/>
                <w:color w:val="0000FF"/>
                <w:w w:val="89"/>
              </w:rPr>
              <w:t>44</w:t>
            </w: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2.</w:t>
            </w:r>
          </w:p>
        </w:tc>
        <w:tc>
          <w:tcPr>
            <w:tcW w:w="6700" w:type="dxa"/>
            <w:vAlign w:val="bottom"/>
            <w:tcBorders>
              <w:bottom w:val="single" w:sz="8" w:color="0000FF"/>
            </w:tcBorders>
            <w:gridSpan w:val="18"/>
          </w:tcPr>
          <w:p>
            <w:pPr>
              <w:spacing w:after="0" w:line="205" w:lineRule="exact"/>
              <w:rPr>
                <w:sz w:val="20"/>
                <w:szCs w:val="20"/>
                <w:color w:val="auto"/>
              </w:rPr>
            </w:pPr>
            <w:r>
              <w:rPr>
                <w:rFonts w:ascii="Arial" w:cs="Arial" w:eastAsia="Arial" w:hAnsi="Arial"/>
                <w:sz w:val="18"/>
                <w:szCs w:val="18"/>
                <w:b w:val="1"/>
                <w:bCs w:val="1"/>
                <w:color w:val="0000FF"/>
                <w:w w:val="87"/>
              </w:rPr>
              <w:t>Management’s Discussion and Analysis of Financial Condition and Results of Operations</w:t>
            </w:r>
          </w:p>
        </w:tc>
        <w:tc>
          <w:tcPr>
            <w:tcW w:w="1540" w:type="dxa"/>
            <w:vAlign w:val="bottom"/>
            <w:gridSpan w:val="2"/>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47</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3.</w:t>
            </w:r>
          </w:p>
        </w:tc>
        <w:tc>
          <w:tcPr>
            <w:tcW w:w="8240" w:type="dxa"/>
            <w:vAlign w:val="bottom"/>
            <w:gridSpan w:val="20"/>
          </w:tcPr>
          <w:p>
            <w:pPr>
              <w:spacing w:after="0" w:line="205" w:lineRule="exact"/>
              <w:rPr>
                <w:sz w:val="20"/>
                <w:szCs w:val="20"/>
                <w:color w:val="auto"/>
              </w:rPr>
            </w:pPr>
            <w:r>
              <w:rPr>
                <w:rFonts w:ascii="Arial" w:cs="Arial" w:eastAsia="Arial" w:hAnsi="Arial"/>
                <w:sz w:val="18"/>
                <w:szCs w:val="18"/>
                <w:b w:val="1"/>
                <w:bCs w:val="1"/>
                <w:color w:val="0000FF"/>
              </w:rPr>
              <w:t>Quantitative and Qualitative Disclosures About Market Risk</w:t>
            </w:r>
          </w:p>
        </w:tc>
        <w:tc>
          <w:tcPr>
            <w:tcW w:w="1660" w:type="dxa"/>
            <w:vAlign w:val="bottom"/>
            <w:gridSpan w:val="2"/>
          </w:tcPr>
          <w:p>
            <w:pPr>
              <w:jc w:val="center"/>
              <w:ind w:left="1392"/>
              <w:spacing w:after="0" w:line="205" w:lineRule="exact"/>
              <w:rPr>
                <w:sz w:val="20"/>
                <w:szCs w:val="20"/>
                <w:color w:val="auto"/>
              </w:rPr>
            </w:pPr>
            <w:r>
              <w:rPr>
                <w:rFonts w:ascii="Arial" w:cs="Arial" w:eastAsia="Arial" w:hAnsi="Arial"/>
                <w:sz w:val="18"/>
                <w:szCs w:val="18"/>
                <w:color w:val="0000FF"/>
                <w:w w:val="89"/>
              </w:rPr>
              <w:t>91</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4.</w:t>
            </w:r>
          </w:p>
        </w:tc>
        <w:tc>
          <w:tcPr>
            <w:tcW w:w="4560" w:type="dxa"/>
            <w:vAlign w:val="bottom"/>
            <w:tcBorders>
              <w:top w:val="single" w:sz="8" w:color="0000FF"/>
            </w:tcBorders>
            <w:gridSpan w:val="17"/>
          </w:tcPr>
          <w:p>
            <w:pPr>
              <w:spacing w:after="0" w:line="205" w:lineRule="exact"/>
              <w:rPr>
                <w:sz w:val="20"/>
                <w:szCs w:val="20"/>
                <w:color w:val="auto"/>
              </w:rPr>
            </w:pPr>
            <w:r>
              <w:rPr>
                <w:rFonts w:ascii="Arial" w:cs="Arial" w:eastAsia="Arial" w:hAnsi="Arial"/>
                <w:sz w:val="18"/>
                <w:szCs w:val="18"/>
                <w:b w:val="1"/>
                <w:bCs w:val="1"/>
                <w:color w:val="0000FF"/>
              </w:rPr>
              <w:t>Controls and Procedures</w:t>
            </w:r>
          </w:p>
        </w:tc>
        <w:tc>
          <w:tcPr>
            <w:tcW w:w="368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92</w:t>
            </w: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340" w:type="dxa"/>
            <w:vAlign w:val="bottom"/>
            <w:gridSpan w:val="22"/>
          </w:tcPr>
          <w:p>
            <w:pPr>
              <w:spacing w:after="0"/>
              <w:rPr>
                <w:sz w:val="20"/>
                <w:szCs w:val="20"/>
                <w:color w:val="auto"/>
              </w:rPr>
            </w:pPr>
            <w:r>
              <w:rPr>
                <w:rFonts w:ascii="Arial" w:cs="Arial" w:eastAsia="Arial" w:hAnsi="Arial"/>
                <w:sz w:val="18"/>
                <w:szCs w:val="18"/>
                <w:b w:val="1"/>
                <w:bCs w:val="1"/>
                <w:color w:val="0000FF"/>
              </w:rPr>
              <w:t>Part II — Other Information</w:t>
            </w:r>
          </w:p>
        </w:tc>
        <w:tc>
          <w:tcPr>
            <w:tcW w:w="1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gridSpan w:val="11"/>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1.</w:t>
            </w:r>
          </w:p>
        </w:tc>
        <w:tc>
          <w:tcPr>
            <w:tcW w:w="8240" w:type="dxa"/>
            <w:vAlign w:val="bottom"/>
            <w:gridSpan w:val="20"/>
          </w:tcPr>
          <w:p>
            <w:pPr>
              <w:spacing w:after="0" w:line="205" w:lineRule="exact"/>
              <w:rPr>
                <w:sz w:val="20"/>
                <w:szCs w:val="20"/>
                <w:color w:val="auto"/>
              </w:rPr>
            </w:pPr>
            <w:r>
              <w:rPr>
                <w:rFonts w:ascii="Arial" w:cs="Arial" w:eastAsia="Arial" w:hAnsi="Arial"/>
                <w:sz w:val="18"/>
                <w:szCs w:val="18"/>
                <w:b w:val="1"/>
                <w:bCs w:val="1"/>
                <w:color w:val="0000FF"/>
              </w:rPr>
              <w:t>Legal Proceedings</w:t>
            </w:r>
          </w:p>
        </w:tc>
        <w:tc>
          <w:tcPr>
            <w:tcW w:w="1660" w:type="dxa"/>
            <w:vAlign w:val="bottom"/>
            <w:gridSpan w:val="2"/>
          </w:tcPr>
          <w:p>
            <w:pPr>
              <w:jc w:val="center"/>
              <w:ind w:left="1392"/>
              <w:spacing w:after="0" w:line="205" w:lineRule="exact"/>
              <w:rPr>
                <w:sz w:val="20"/>
                <w:szCs w:val="20"/>
                <w:color w:val="auto"/>
              </w:rPr>
            </w:pPr>
            <w:r>
              <w:rPr>
                <w:rFonts w:ascii="Arial" w:cs="Arial" w:eastAsia="Arial" w:hAnsi="Arial"/>
                <w:sz w:val="18"/>
                <w:szCs w:val="18"/>
                <w:color w:val="0000FF"/>
                <w:w w:val="89"/>
              </w:rPr>
              <w:t>93</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1A.</w:t>
            </w:r>
          </w:p>
        </w:tc>
        <w:tc>
          <w:tcPr>
            <w:tcW w:w="1360" w:type="dxa"/>
            <w:vAlign w:val="bottom"/>
            <w:tcBorders>
              <w:top w:val="single" w:sz="8" w:color="0000FF"/>
            </w:tcBorders>
            <w:gridSpan w:val="5"/>
          </w:tcPr>
          <w:p>
            <w:pPr>
              <w:spacing w:after="0" w:line="205" w:lineRule="exact"/>
              <w:rPr>
                <w:sz w:val="20"/>
                <w:szCs w:val="20"/>
                <w:color w:val="auto"/>
              </w:rPr>
            </w:pPr>
            <w:r>
              <w:rPr>
                <w:rFonts w:ascii="Arial" w:cs="Arial" w:eastAsia="Arial" w:hAnsi="Arial"/>
                <w:sz w:val="18"/>
                <w:szCs w:val="18"/>
                <w:b w:val="1"/>
                <w:bCs w:val="1"/>
                <w:color w:val="0000FF"/>
              </w:rPr>
              <w:t>Risk Factors</w:t>
            </w:r>
          </w:p>
        </w:tc>
        <w:tc>
          <w:tcPr>
            <w:tcW w:w="6880" w:type="dxa"/>
            <w:vAlign w:val="bottom"/>
            <w:gridSpan w:val="15"/>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93</w:t>
            </w: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540" w:type="dxa"/>
            <w:vAlign w:val="bottom"/>
            <w:gridSpan w:val="13"/>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2.</w:t>
            </w:r>
          </w:p>
        </w:tc>
        <w:tc>
          <w:tcPr>
            <w:tcW w:w="4480" w:type="dxa"/>
            <w:vAlign w:val="bottom"/>
            <w:tcBorders>
              <w:bottom w:val="single" w:sz="8" w:color="0000FF"/>
            </w:tcBorders>
            <w:gridSpan w:val="16"/>
          </w:tcPr>
          <w:p>
            <w:pPr>
              <w:spacing w:after="0" w:line="205" w:lineRule="exact"/>
              <w:rPr>
                <w:sz w:val="20"/>
                <w:szCs w:val="20"/>
                <w:color w:val="auto"/>
              </w:rPr>
            </w:pPr>
            <w:r>
              <w:rPr>
                <w:rFonts w:ascii="Arial" w:cs="Arial" w:eastAsia="Arial" w:hAnsi="Arial"/>
                <w:sz w:val="18"/>
                <w:szCs w:val="18"/>
                <w:b w:val="1"/>
                <w:bCs w:val="1"/>
                <w:color w:val="0000FF"/>
                <w:w w:val="85"/>
              </w:rPr>
              <w:t>Unregistered Sales of Equity Securities and Use of Proceeds</w:t>
            </w:r>
          </w:p>
        </w:tc>
        <w:tc>
          <w:tcPr>
            <w:tcW w:w="3760" w:type="dxa"/>
            <w:vAlign w:val="bottom"/>
            <w:gridSpan w:val="4"/>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93</w:t>
            </w:r>
          </w:p>
        </w:tc>
        <w:tc>
          <w:tcPr>
            <w:tcW w:w="22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1100" w:type="dxa"/>
            <w:vAlign w:val="bottom"/>
            <w:gridSpan w:val="2"/>
          </w:tcPr>
          <w:p>
            <w:pPr>
              <w:ind w:left="100"/>
              <w:spacing w:after="0" w:line="185" w:lineRule="exact"/>
              <w:rPr>
                <w:sz w:val="20"/>
                <w:szCs w:val="20"/>
                <w:color w:val="auto"/>
              </w:rPr>
            </w:pPr>
            <w:r>
              <w:rPr>
                <w:rFonts w:ascii="Arial" w:cs="Arial" w:eastAsia="Arial" w:hAnsi="Arial"/>
                <w:sz w:val="18"/>
                <w:szCs w:val="18"/>
                <w:b w:val="1"/>
                <w:bCs w:val="1"/>
                <w:color w:val="auto"/>
              </w:rPr>
              <w:t>Item 6.</w:t>
            </w:r>
          </w:p>
        </w:tc>
        <w:tc>
          <w:tcPr>
            <w:tcW w:w="620" w:type="dxa"/>
            <w:vAlign w:val="bottom"/>
            <w:tcBorders>
              <w:bottom w:val="single" w:sz="8" w:color="0000FF"/>
            </w:tcBorders>
            <w:gridSpan w:val="2"/>
          </w:tcPr>
          <w:p>
            <w:pPr>
              <w:spacing w:after="0" w:line="185" w:lineRule="exact"/>
              <w:rPr>
                <w:sz w:val="20"/>
                <w:szCs w:val="20"/>
                <w:color w:val="auto"/>
              </w:rPr>
            </w:pPr>
            <w:r>
              <w:rPr>
                <w:rFonts w:ascii="Arial" w:cs="Arial" w:eastAsia="Arial" w:hAnsi="Arial"/>
                <w:sz w:val="18"/>
                <w:szCs w:val="18"/>
                <w:b w:val="1"/>
                <w:bCs w:val="1"/>
                <w:color w:val="0000FF"/>
                <w:w w:val="85"/>
              </w:rPr>
              <w:t>Exhibits</w:t>
            </w:r>
          </w:p>
        </w:tc>
        <w:tc>
          <w:tcPr>
            <w:tcW w:w="7620" w:type="dxa"/>
            <w:vAlign w:val="bottom"/>
            <w:gridSpan w:val="18"/>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w w:val="73"/>
              </w:rPr>
              <w:t>94</w:t>
            </w:r>
          </w:p>
        </w:tc>
        <w:tc>
          <w:tcPr>
            <w:tcW w:w="220" w:type="dxa"/>
            <w:vAlign w:val="bottom"/>
          </w:tcPr>
          <w:p>
            <w:pPr>
              <w:spacing w:after="0"/>
              <w:rPr>
                <w:sz w:val="16"/>
                <w:szCs w:val="16"/>
                <w:color w:val="auto"/>
              </w:rPr>
            </w:pPr>
          </w:p>
        </w:tc>
      </w:tr>
      <w:tr>
        <w:trPr>
          <w:trHeight w:val="258"/>
        </w:trPr>
        <w:tc>
          <w:tcPr>
            <w:tcW w:w="20" w:type="dxa"/>
            <w:vAlign w:val="bottom"/>
          </w:tcPr>
          <w:p>
            <w:pPr>
              <w:spacing w:after="0"/>
              <w:rPr>
                <w:sz w:val="22"/>
                <w:szCs w:val="22"/>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0000FF"/>
              </w:rPr>
              <w:t>Signature</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660" w:type="dxa"/>
            <w:vAlign w:val="bottom"/>
            <w:gridSpan w:val="2"/>
          </w:tcPr>
          <w:p>
            <w:pPr>
              <w:jc w:val="center"/>
              <w:ind w:left="1392"/>
              <w:spacing w:after="0"/>
              <w:rPr>
                <w:sz w:val="20"/>
                <w:szCs w:val="20"/>
                <w:color w:val="auto"/>
              </w:rPr>
            </w:pPr>
            <w:r>
              <w:rPr>
                <w:rFonts w:ascii="Arial" w:cs="Arial" w:eastAsia="Arial" w:hAnsi="Arial"/>
                <w:sz w:val="18"/>
                <w:szCs w:val="18"/>
                <w:color w:val="0000FF"/>
                <w:w w:val="89"/>
              </w:rPr>
              <w:t>95</w:t>
            </w:r>
          </w:p>
        </w:tc>
        <w:tc>
          <w:tcPr>
            <w:tcW w:w="220" w:type="dxa"/>
            <w:vAlign w:val="bottom"/>
          </w:tcPr>
          <w:p>
            <w:pPr>
              <w:spacing w:after="0"/>
              <w:rPr>
                <w:sz w:val="22"/>
                <w:szCs w:val="22"/>
                <w:color w:val="auto"/>
              </w:rPr>
            </w:pPr>
          </w:p>
        </w:tc>
      </w:tr>
      <w:tr>
        <w:trPr>
          <w:trHeight w:val="1166"/>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6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Interim Condensed 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 (Unaudited) and December 31, 2021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5"/>
                <w:szCs w:val="15"/>
                <w:color w:val="auto"/>
              </w:rPr>
            </w:pPr>
          </w:p>
        </w:tc>
        <w:tc>
          <w:tcPr>
            <w:tcW w:w="1520" w:type="dxa"/>
            <w:vAlign w:val="bottom"/>
          </w:tcPr>
          <w:p>
            <w:pPr>
              <w:jc w:val="right"/>
              <w:ind w:right="209"/>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38"/>
        </w:trPr>
        <w:tc>
          <w:tcPr>
            <w:tcW w:w="77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93"/>
              </w:rPr>
              <w:t>Fixed maturity securities available-for-sale, at estimated fair value (amortized cost: $85,307 and $79,246, respectively; allowance for</w:t>
            </w:r>
          </w:p>
        </w:tc>
        <w:tc>
          <w:tcPr>
            <w:tcW w:w="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75,271</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87,582</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losses of $5 and $11, respectively)</w:t>
            </w:r>
          </w:p>
        </w:tc>
        <w:tc>
          <w:tcPr>
            <w:tcW w:w="180" w:type="dxa"/>
            <w:vAlign w:val="bottom"/>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Equity securities, at estimated fair value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 (net of allowance for credit losses of $99 and $123, respectively)</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19,850</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Policy loans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 partnerships and limited liability companies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Short-term investments, principally at estimated fair value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invested assets, principally at estimated fair value (net of allowance for credit losses of $13 and $13,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w:t>
            </w:r>
          </w:p>
        </w:tc>
        <w:tc>
          <w:tcPr>
            <w:tcW w:w="0" w:type="dxa"/>
            <w:vAlign w:val="bottom"/>
          </w:tcPr>
          <w:p>
            <w:pPr>
              <w:spacing w:after="0"/>
              <w:rPr>
                <w:sz w:val="1"/>
                <w:szCs w:val="1"/>
                <w:color w:val="auto"/>
              </w:rPr>
            </w:pPr>
          </w:p>
        </w:tc>
      </w:tr>
      <w:tr>
        <w:trPr>
          <w:trHeight w:val="183"/>
        </w:trPr>
        <w:tc>
          <w:tcPr>
            <w:tcW w:w="7720" w:type="dxa"/>
            <w:vAlign w:val="bottom"/>
          </w:tcPr>
          <w:p>
            <w:pPr>
              <w:ind w:left="180"/>
              <w:spacing w:after="0"/>
              <w:rPr>
                <w:sz w:val="20"/>
                <w:szCs w:val="20"/>
                <w:color w:val="auto"/>
              </w:rPr>
            </w:pPr>
            <w:r>
              <w:rPr>
                <w:rFonts w:ascii="Arial" w:cs="Arial" w:eastAsia="Arial" w:hAnsi="Arial"/>
                <w:sz w:val="14"/>
                <w:szCs w:val="14"/>
                <w:color w:val="auto"/>
              </w:rPr>
              <w:t>Total investments</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108,504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118,225</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4,474</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Accrued investment income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Premiums, reinsurance and other receivables (net of allowance for credit losses of $10 and $10, respectively)</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16,094</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Deferred policy acquisition costs and value of business acquired</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5,639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5,377</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income tax recoverable</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Deferred income tax asset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Separate account assets</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81,836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114,464</w:t>
            </w:r>
          </w:p>
        </w:tc>
        <w:tc>
          <w:tcPr>
            <w:tcW w:w="0" w:type="dxa"/>
            <w:vAlign w:val="bottom"/>
          </w:tcPr>
          <w:p>
            <w:pPr>
              <w:spacing w:after="0"/>
              <w:rPr>
                <w:sz w:val="1"/>
                <w:szCs w:val="1"/>
                <w:color w:val="auto"/>
              </w:rPr>
            </w:pPr>
          </w:p>
        </w:tc>
      </w:tr>
      <w:tr>
        <w:trPr>
          <w:trHeight w:val="224"/>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221,641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259,840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Future policy benefits</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41,786</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43,807</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Policyholder account balances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66,851</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Other policy-related balances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3,364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3,457</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6,269</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3,157</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income tax payable</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Deferred income tax liability</w:t>
            </w:r>
          </w:p>
        </w:tc>
        <w:tc>
          <w:tcPr>
            <w:tcW w:w="18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4,504</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Separate account liabilities</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81,836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114,464</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215,762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243,633</w:t>
            </w:r>
          </w:p>
        </w:tc>
        <w:tc>
          <w:tcPr>
            <w:tcW w:w="0" w:type="dxa"/>
            <w:vAlign w:val="bottom"/>
          </w:tcPr>
          <w:p>
            <w:pPr>
              <w:spacing w:after="0"/>
              <w:rPr>
                <w:sz w:val="1"/>
                <w:szCs w:val="1"/>
                <w:color w:val="auto"/>
              </w:rPr>
            </w:pPr>
          </w:p>
        </w:tc>
      </w:tr>
      <w:tr>
        <w:trPr>
          <w:trHeight w:val="171"/>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Contingencies, Commitments and Guarantees (Note 11)</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Brighthouse Financial, Inc.’s stockholders’ equity:</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par value $0.01 per share; $1,753 aggregate liquidation preference</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7720" w:type="dxa"/>
            <w:vAlign w:val="bottom"/>
          </w:tcPr>
          <w:p>
            <w:pPr>
              <w:ind w:left="20"/>
              <w:spacing w:after="0" w:line="133" w:lineRule="exact"/>
              <w:rPr>
                <w:sz w:val="20"/>
                <w:szCs w:val="20"/>
                <w:color w:val="auto"/>
              </w:rPr>
            </w:pPr>
            <w:r>
              <w:rPr>
                <w:rFonts w:ascii="Arial" w:cs="Arial" w:eastAsia="Arial" w:hAnsi="Arial"/>
                <w:sz w:val="14"/>
                <w:szCs w:val="14"/>
                <w:color w:val="auto"/>
              </w:rPr>
              <w:t>Common stock, par value $0.01 per share; 1,000,000,000 shares authorized; 122,129,392 and 121,513,442 shares issued,</w:t>
            </w:r>
          </w:p>
        </w:tc>
        <w:tc>
          <w:tcPr>
            <w:tcW w:w="1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7720" w:type="dxa"/>
            <w:vAlign w:val="bottom"/>
          </w:tcPr>
          <w:p>
            <w:pPr>
              <w:ind w:left="180"/>
              <w:spacing w:after="0"/>
              <w:rPr>
                <w:sz w:val="20"/>
                <w:szCs w:val="20"/>
                <w:color w:val="auto"/>
              </w:rPr>
            </w:pPr>
            <w:r>
              <w:rPr>
                <w:rFonts w:ascii="Arial" w:cs="Arial" w:eastAsia="Arial" w:hAnsi="Arial"/>
                <w:sz w:val="14"/>
                <w:szCs w:val="14"/>
                <w:color w:val="auto"/>
              </w:rPr>
              <w:t>respectively; 70,060,560 and 77,870,072 shares outstanding, respectively</w:t>
            </w: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14,154</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Retained earnings (deficit)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at cost; 52,068,832 and 43,643,370 shares, respectively</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4,172</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Brighthouse Financial, Inc.’s stockholders’ equity</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16,142</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2"/>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equity</w:t>
            </w: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16,207</w:t>
            </w:r>
          </w:p>
        </w:tc>
        <w:tc>
          <w:tcPr>
            <w:tcW w:w="0" w:type="dxa"/>
            <w:vAlign w:val="bottom"/>
          </w:tcPr>
          <w:p>
            <w:pPr>
              <w:spacing w:after="0"/>
              <w:rPr>
                <w:sz w:val="1"/>
                <w:szCs w:val="1"/>
                <w:color w:val="auto"/>
              </w:rPr>
            </w:pPr>
          </w:p>
        </w:tc>
      </w:tr>
      <w:tr>
        <w:trPr>
          <w:trHeight w:val="199"/>
        </w:trPr>
        <w:tc>
          <w:tcPr>
            <w:tcW w:w="7720" w:type="dxa"/>
            <w:vAlign w:val="bottom"/>
          </w:tcPr>
          <w:p>
            <w:pPr>
              <w:ind w:left="180"/>
              <w:spacing w:after="0"/>
              <w:rPr>
                <w:sz w:val="20"/>
                <w:szCs w:val="20"/>
                <w:color w:val="auto"/>
              </w:rPr>
            </w:pPr>
            <w:r>
              <w:rPr>
                <w:rFonts w:ascii="Arial" w:cs="Arial" w:eastAsia="Arial" w:hAnsi="Arial"/>
                <w:sz w:val="14"/>
                <w:szCs w:val="14"/>
                <w:color w:val="auto"/>
              </w:rPr>
              <w:t>Total liabilities and equity</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221,641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259,840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Interim Condensed Consolidated Statements of Operations and Comprehensive Income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Nine Months Ended September 30, 2022 and 2021 (Unaudited)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4"/>
                <w:szCs w:val="14"/>
                <w:color w:val="auto"/>
              </w:rPr>
            </w:pPr>
          </w:p>
        </w:tc>
        <w:tc>
          <w:tcPr>
            <w:tcW w:w="1640" w:type="dxa"/>
            <w:vAlign w:val="bottom"/>
            <w:gridSpan w:val="4"/>
          </w:tcPr>
          <w:p>
            <w:pPr>
              <w:jc w:val="right"/>
              <w:ind w:right="22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7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6"/>
                <w:szCs w:val="16"/>
                <w:color w:val="auto"/>
              </w:rPr>
            </w:pPr>
          </w:p>
        </w:tc>
        <w:tc>
          <w:tcPr>
            <w:tcW w:w="1640" w:type="dxa"/>
            <w:vAlign w:val="bottom"/>
            <w:gridSpan w:val="4"/>
          </w:tcPr>
          <w:p>
            <w:pPr>
              <w:jc w:val="right"/>
              <w:ind w:right="40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0"/>
        </w:trPr>
        <w:tc>
          <w:tcPr>
            <w:tcW w:w="74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80" w:type="dxa"/>
            <w:vAlign w:val="bottom"/>
          </w:tcPr>
          <w:p>
            <w:pPr>
              <w:ind w:left="20"/>
              <w:spacing w:after="0"/>
              <w:rPr>
                <w:sz w:val="20"/>
                <w:szCs w:val="20"/>
                <w:color w:val="auto"/>
              </w:rPr>
            </w:pPr>
            <w:r>
              <w:rPr>
                <w:rFonts w:ascii="Arial" w:cs="Arial" w:eastAsia="Arial" w:hAnsi="Arial"/>
                <w:sz w:val="16"/>
                <w:szCs w:val="16"/>
                <w:color w:val="auto"/>
              </w:rPr>
              <w:t>Premiums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 life and investment-type product policy fees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w:t>
            </w:r>
          </w:p>
        </w:tc>
        <w:tc>
          <w:tcPr>
            <w:tcW w:w="0" w:type="dxa"/>
            <w:vAlign w:val="bottom"/>
          </w:tcPr>
          <w:p>
            <w:pPr>
              <w:spacing w:after="0"/>
              <w:rPr>
                <w:sz w:val="1"/>
                <w:szCs w:val="1"/>
                <w:color w:val="auto"/>
              </w:rPr>
            </w:pPr>
          </w:p>
        </w:tc>
      </w:tr>
      <w:tr>
        <w:trPr>
          <w:trHeight w:val="209"/>
        </w:trPr>
        <w:tc>
          <w:tcPr>
            <w:tcW w:w="74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3,680</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1,830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03"/>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5,126</w:t>
            </w:r>
          </w:p>
        </w:tc>
        <w:tc>
          <w:tcPr>
            <w:tcW w:w="0" w:type="dxa"/>
            <w:vAlign w:val="bottom"/>
          </w:tcPr>
          <w:p>
            <w:pPr>
              <w:spacing w:after="0"/>
              <w:rPr>
                <w:sz w:val="1"/>
                <w:szCs w:val="1"/>
                <w:color w:val="auto"/>
              </w:rPr>
            </w:pPr>
          </w:p>
        </w:tc>
      </w:tr>
      <w:tr>
        <w:trPr>
          <w:trHeight w:val="19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Policyholder benefits and claims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3,260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2,620</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credited to policyholder account balances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09"/>
        </w:trPr>
        <w:tc>
          <w:tcPr>
            <w:tcW w:w="7480" w:type="dxa"/>
            <w:vAlign w:val="bottom"/>
          </w:tcPr>
          <w:p>
            <w:pPr>
              <w:ind w:left="20"/>
              <w:spacing w:after="0"/>
              <w:rPr>
                <w:sz w:val="20"/>
                <w:szCs w:val="20"/>
                <w:color w:val="auto"/>
              </w:rPr>
            </w:pPr>
            <w:r>
              <w:rPr>
                <w:rFonts w:ascii="Arial" w:cs="Arial" w:eastAsia="Arial" w:hAnsi="Arial"/>
                <w:sz w:val="16"/>
                <w:szCs w:val="16"/>
                <w:color w:val="auto"/>
              </w:rPr>
              <w:t>Amortization of deferred policy acquisition costs and value of business acquired</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203"/>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6,867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5,383</w:t>
            </w:r>
          </w:p>
        </w:tc>
        <w:tc>
          <w:tcPr>
            <w:tcW w:w="0" w:type="dxa"/>
            <w:vAlign w:val="bottom"/>
          </w:tcPr>
          <w:p>
            <w:pPr>
              <w:spacing w:after="0"/>
              <w:rPr>
                <w:sz w:val="1"/>
                <w:szCs w:val="1"/>
                <w:color w:val="auto"/>
              </w:rPr>
            </w:pPr>
          </w:p>
        </w:tc>
      </w:tr>
      <w:tr>
        <w:trPr>
          <w:trHeight w:val="208"/>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8"/>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8"/>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Brighthouse Financial, Inc.</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Preferred stock dividends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3"/>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868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Comprehensive income (loss)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vMerge w:val="continue"/>
          </w:tcPr>
          <w:p>
            <w:pPr>
              <w:spacing w:after="0"/>
              <w:rPr>
                <w:sz w:val="15"/>
                <w:szCs w:val="15"/>
                <w:color w:val="auto"/>
              </w:rPr>
            </w:pPr>
          </w:p>
        </w:tc>
        <w:tc>
          <w:tcPr>
            <w:tcW w:w="180" w:type="dxa"/>
            <w:vAlign w:val="bottom"/>
          </w:tcPr>
          <w:p>
            <w:pPr>
              <w:jc w:val="right"/>
              <w:ind w:right="1"/>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(4,221)</w:t>
            </w:r>
          </w:p>
        </w:tc>
        <w:tc>
          <w:tcPr>
            <w:tcW w:w="100" w:type="dxa"/>
            <w:vAlign w:val="bottom"/>
          </w:tcPr>
          <w:p>
            <w:pPr>
              <w:spacing w:after="0"/>
              <w:rPr>
                <w:sz w:val="15"/>
                <w:szCs w:val="15"/>
                <w:color w:val="auto"/>
              </w:rPr>
            </w:pPr>
          </w:p>
        </w:tc>
        <w:tc>
          <w:tcPr>
            <w:tcW w:w="200" w:type="dxa"/>
            <w:vAlign w:val="bottom"/>
          </w:tcPr>
          <w:p>
            <w:pPr>
              <w:jc w:val="right"/>
              <w:ind w:right="21"/>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79</w:t>
            </w:r>
          </w:p>
        </w:tc>
        <w:tc>
          <w:tcPr>
            <w:tcW w:w="120" w:type="dxa"/>
            <w:vAlign w:val="bottom"/>
          </w:tcPr>
          <w:p>
            <w:pPr>
              <w:spacing w:after="0"/>
              <w:rPr>
                <w:sz w:val="15"/>
                <w:szCs w:val="15"/>
                <w:color w:val="auto"/>
              </w:rPr>
            </w:pPr>
          </w:p>
        </w:tc>
        <w:tc>
          <w:tcPr>
            <w:tcW w:w="180" w:type="dxa"/>
            <w:vAlign w:val="bottom"/>
          </w:tcPr>
          <w:p>
            <w:pPr>
              <w:jc w:val="right"/>
              <w:ind w:right="1"/>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(9,859)</w:t>
            </w:r>
          </w:p>
        </w:tc>
        <w:tc>
          <w:tcPr>
            <w:tcW w:w="100" w:type="dxa"/>
            <w:vAlign w:val="bottom"/>
          </w:tcPr>
          <w:p>
            <w:pPr>
              <w:spacing w:after="0"/>
              <w:rPr>
                <w:sz w:val="15"/>
                <w:szCs w:val="15"/>
                <w:color w:val="auto"/>
              </w:rPr>
            </w:pPr>
          </w:p>
        </w:tc>
        <w:tc>
          <w:tcPr>
            <w:tcW w:w="200" w:type="dxa"/>
            <w:vAlign w:val="bottom"/>
          </w:tcPr>
          <w:p>
            <w:pPr>
              <w:jc w:val="right"/>
              <w:ind w:right="21"/>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(1,593)</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8"/>
        </w:trPr>
        <w:tc>
          <w:tcPr>
            <w:tcW w:w="7480" w:type="dxa"/>
            <w:vAlign w:val="bottom"/>
          </w:tcPr>
          <w:p>
            <w:pPr>
              <w:ind w:left="180"/>
              <w:spacing w:after="0"/>
              <w:rPr>
                <w:sz w:val="20"/>
                <w:szCs w:val="20"/>
                <w:color w:val="auto"/>
              </w:rPr>
            </w:pPr>
            <w:r>
              <w:rPr>
                <w:rFonts w:ascii="Arial" w:cs="Arial" w:eastAsia="Arial" w:hAnsi="Arial"/>
                <w:sz w:val="16"/>
                <w:szCs w:val="16"/>
                <w:color w:val="auto"/>
              </w:rPr>
              <w:t>Comprehensive income (loss) attributable to Brighthouse Financial, Inc.</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80" w:type="dxa"/>
            <w:vAlign w:val="bottom"/>
          </w:tcPr>
          <w:p>
            <w:pPr>
              <w:ind w:left="2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11.61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Interim Condensed Consolidated Statements of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Nine Months Ended September 30, 2022 and 2021 (Unaudited)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restart"/>
          </w:tcPr>
          <w:p>
            <w:pPr>
              <w:jc w:val="center"/>
              <w:ind w:right="220"/>
              <w:spacing w:after="0"/>
              <w:rPr>
                <w:sz w:val="20"/>
                <w:szCs w:val="20"/>
                <w:color w:val="auto"/>
              </w:rPr>
            </w:pPr>
            <w:r>
              <w:rPr>
                <w:rFonts w:ascii="Arial" w:cs="Arial" w:eastAsia="Arial" w:hAnsi="Arial"/>
                <w:sz w:val="12"/>
                <w:szCs w:val="12"/>
                <w:b w:val="1"/>
                <w:bCs w:val="1"/>
                <w:color w:val="auto"/>
                <w:w w:val="94"/>
              </w:rPr>
              <w:t>Retained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3"/>
              </w:rPr>
              <w:t>Brighthouse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center"/>
              <w:ind w:right="220"/>
              <w:spacing w:after="0"/>
              <w:rPr>
                <w:sz w:val="20"/>
                <w:szCs w:val="20"/>
                <w:color w:val="auto"/>
              </w:rPr>
            </w:pPr>
            <w:r>
              <w:rPr>
                <w:rFonts w:ascii="Arial" w:cs="Arial" w:eastAsia="Arial" w:hAnsi="Arial"/>
                <w:sz w:val="12"/>
                <w:szCs w:val="12"/>
                <w:b w:val="1"/>
                <w:bCs w:val="1"/>
                <w:color w:val="auto"/>
                <w:w w:val="97"/>
              </w:rPr>
              <w:t>Preferred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2"/>
                <w:szCs w:val="12"/>
                <w:b w:val="1"/>
                <w:bCs w:val="1"/>
                <w:color w:val="auto"/>
                <w:w w:val="92"/>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Additional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Treasury</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20"/>
              <w:spacing w:after="0" w:line="120" w:lineRule="exact"/>
              <w:rPr>
                <w:sz w:val="20"/>
                <w:szCs w:val="20"/>
                <w:color w:val="auto"/>
              </w:rPr>
            </w:pPr>
            <w:r>
              <w:rPr>
                <w:rFonts w:ascii="Arial" w:cs="Arial" w:eastAsia="Arial" w:hAnsi="Arial"/>
                <w:sz w:val="12"/>
                <w:szCs w:val="12"/>
                <w:b w:val="1"/>
                <w:bCs w:val="1"/>
                <w:color w:val="auto"/>
                <w:w w:val="99"/>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0" w:lineRule="exact"/>
              <w:rPr>
                <w:sz w:val="20"/>
                <w:szCs w:val="20"/>
                <w:color w:val="auto"/>
              </w:rPr>
            </w:pPr>
            <w:r>
              <w:rPr>
                <w:rFonts w:ascii="Arial" w:cs="Arial" w:eastAsia="Arial" w:hAnsi="Arial"/>
                <w:sz w:val="12"/>
                <w:szCs w:val="12"/>
                <w:b w:val="1"/>
                <w:bCs w:val="1"/>
                <w:color w:val="auto"/>
                <w:w w:val="96"/>
              </w:rPr>
              <w:t>Financial, Inc.’s</w:t>
            </w:r>
          </w:p>
        </w:tc>
        <w:tc>
          <w:tcPr>
            <w:tcW w:w="120" w:type="dxa"/>
            <w:vAlign w:val="bottom"/>
          </w:tcPr>
          <w:p>
            <w:pPr>
              <w:spacing w:after="0"/>
              <w:rPr>
                <w:sz w:val="10"/>
                <w:szCs w:val="10"/>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2"/>
                <w:szCs w:val="12"/>
                <w:b w:val="1"/>
                <w:bCs w:val="1"/>
                <w:color w:val="auto"/>
                <w:w w:val="93"/>
              </w:rPr>
              <w:t>Noncontrolling</w:t>
            </w:r>
          </w:p>
        </w:tc>
        <w:tc>
          <w:tcPr>
            <w:tcW w:w="100" w:type="dxa"/>
            <w:vAlign w:val="bottom"/>
          </w:tcPr>
          <w:p>
            <w:pPr>
              <w:spacing w:after="0"/>
              <w:rPr>
                <w:sz w:val="10"/>
                <w:szCs w:val="10"/>
                <w:color w:val="auto"/>
              </w:rPr>
            </w:pPr>
          </w:p>
        </w:tc>
        <w:tc>
          <w:tcPr>
            <w:tcW w:w="5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220"/>
              <w:spacing w:after="0" w:line="120" w:lineRule="exact"/>
              <w:rPr>
                <w:sz w:val="20"/>
                <w:szCs w:val="20"/>
                <w:color w:val="auto"/>
              </w:rPr>
            </w:pPr>
            <w:r>
              <w:rPr>
                <w:rFonts w:ascii="Arial" w:cs="Arial" w:eastAsia="Arial" w:hAnsi="Arial"/>
                <w:sz w:val="12"/>
                <w:szCs w:val="12"/>
                <w:b w:val="1"/>
                <w:bCs w:val="1"/>
                <w:color w:val="auto"/>
                <w:w w:val="93"/>
              </w:rPr>
              <w:t>Earnings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4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Stockholders’</w:t>
            </w:r>
          </w:p>
        </w:tc>
        <w:tc>
          <w:tcPr>
            <w:tcW w:w="12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5"/>
              </w:rPr>
              <w:t>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1"/>
              </w:rPr>
              <w:t>Stock</w:t>
            </w:r>
          </w:p>
        </w:tc>
        <w:tc>
          <w:tcPr>
            <w:tcW w:w="960" w:type="dxa"/>
            <w:vAlign w:val="bottom"/>
            <w:gridSpan w:val="4"/>
          </w:tcPr>
          <w:p>
            <w:pPr>
              <w:ind w:left="20"/>
              <w:spacing w:after="0"/>
              <w:rPr>
                <w:sz w:val="20"/>
                <w:szCs w:val="20"/>
                <w:color w:val="auto"/>
              </w:rPr>
            </w:pPr>
            <w:r>
              <w:rPr>
                <w:rFonts w:ascii="Arial" w:cs="Arial" w:eastAsia="Arial" w:hAnsi="Arial"/>
                <w:sz w:val="12"/>
                <w:szCs w:val="12"/>
                <w:b w:val="1"/>
                <w:bCs w:val="1"/>
                <w:color w:val="auto"/>
              </w:rPr>
              <w:t>Paid-in 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8"/>
              </w:rPr>
              <w:t>(Deficit)</w:t>
            </w:r>
          </w:p>
        </w:tc>
        <w:tc>
          <w:tcPr>
            <w:tcW w:w="2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Stock at Cost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0"/>
              </w:rPr>
              <w:t>Income (Loss)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5"/>
                <w:szCs w:val="15"/>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72"/>
        </w:trPr>
        <w:tc>
          <w:tcPr>
            <w:tcW w:w="20" w:type="dxa"/>
            <w:vAlign w:val="bottom"/>
            <w:tcBorders>
              <w:top w:val="single" w:sz="8" w:color="CCEEFF"/>
            </w:tcBorders>
            <w:shd w:val="clear" w:color="auto" w:fill="CCEEFF"/>
          </w:tcPr>
          <w:p>
            <w:pPr>
              <w:spacing w:after="0"/>
              <w:rPr>
                <w:sz w:val="14"/>
                <w:szCs w:val="14"/>
                <w:color w:val="auto"/>
              </w:rPr>
            </w:pPr>
          </w:p>
        </w:tc>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December 31, 2021</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14,154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(642)</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4,172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16,142</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16,207</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line="120" w:lineRule="exact"/>
              <w:rPr>
                <w:sz w:val="20"/>
                <w:szCs w:val="20"/>
                <w:color w:val="auto"/>
              </w:rPr>
            </w:pPr>
            <w:r>
              <w:rPr>
                <w:rFonts w:ascii="Arial" w:cs="Arial" w:eastAsia="Arial" w:hAnsi="Arial"/>
                <w:sz w:val="12"/>
                <w:szCs w:val="12"/>
                <w:color w:val="auto"/>
                <w:w w:val="97"/>
              </w:rPr>
              <w:t>Treasury stock acquired in connection with share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60" w:type="dxa"/>
            <w:vAlign w:val="bottom"/>
          </w:tcPr>
          <w:p>
            <w:pPr>
              <w:ind w:left="160"/>
              <w:spacing w:after="0"/>
              <w:rPr>
                <w:sz w:val="20"/>
                <w:szCs w:val="20"/>
                <w:color w:val="auto"/>
              </w:rPr>
            </w:pPr>
            <w:r>
              <w:rPr>
                <w:rFonts w:ascii="Arial" w:cs="Arial" w:eastAsia="Arial" w:hAnsi="Arial"/>
                <w:sz w:val="12"/>
                <w:szCs w:val="12"/>
                <w:color w:val="auto"/>
              </w:rPr>
              <w:t>repurchases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Dividends on preferred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Change in noncontrolling interests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Net 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1,623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Other comprehensive income (loss), net of</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income tax</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(7,263)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(7,263)</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(7,263)</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Balance at June 30, 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ind w:left="4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14,113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(3,091)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10,191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10,256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97"/>
              </w:rPr>
              <w:t>Treasury stock acquired in connection with share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repurchases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Share-based compensation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Dividends on preferred stock</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Change in noncontrolling interests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line="120" w:lineRule="exact"/>
              <w:rPr>
                <w:sz w:val="20"/>
                <w:szCs w:val="20"/>
                <w:color w:val="auto"/>
              </w:rPr>
            </w:pPr>
            <w:r>
              <w:rPr>
                <w:rFonts w:ascii="Arial" w:cs="Arial" w:eastAsia="Arial" w:hAnsi="Arial"/>
                <w:sz w:val="12"/>
                <w:szCs w:val="12"/>
                <w:color w:val="auto"/>
              </w:rPr>
              <w:t>Other comprehensive income (loss), net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256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income tax</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(3,546)</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shd w:val="clear" w:color="auto" w:fill="CCEEFF"/>
          </w:tcPr>
          <w:p>
            <w:pPr>
              <w:spacing w:after="0"/>
              <w:rPr>
                <w:sz w:val="16"/>
                <w:szCs w:val="16"/>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September 30, 2022</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14,095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304</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(6,637)</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5,814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5,879</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8"/>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2"/>
                <w:szCs w:val="12"/>
                <w:b w:val="1"/>
                <w:bCs w:val="1"/>
                <w:color w:val="auto"/>
                <w:w w:val="94"/>
              </w:rPr>
              <w:t>Retained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3"/>
              </w:rPr>
              <w:t>Brighthouse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2"/>
                <w:szCs w:val="12"/>
                <w:b w:val="1"/>
                <w:bCs w:val="1"/>
                <w:color w:val="auto"/>
                <w:w w:val="93"/>
              </w:rPr>
              <w:t>Preferred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2"/>
                <w:szCs w:val="12"/>
                <w:b w:val="1"/>
                <w:bCs w:val="1"/>
                <w:color w:val="auto"/>
                <w:w w:val="92"/>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Treasury</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20"/>
              <w:spacing w:after="0" w:line="124" w:lineRule="exact"/>
              <w:rPr>
                <w:sz w:val="20"/>
                <w:szCs w:val="20"/>
                <w:color w:val="auto"/>
              </w:rPr>
            </w:pPr>
            <w:r>
              <w:rPr>
                <w:rFonts w:ascii="Arial" w:cs="Arial" w:eastAsia="Arial" w:hAnsi="Arial"/>
                <w:sz w:val="12"/>
                <w:szCs w:val="12"/>
                <w:b w:val="1"/>
                <w:bCs w:val="1"/>
                <w:color w:val="auto"/>
                <w:w w:val="99"/>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4" w:lineRule="exact"/>
              <w:rPr>
                <w:sz w:val="20"/>
                <w:szCs w:val="20"/>
                <w:color w:val="auto"/>
              </w:rPr>
            </w:pPr>
            <w:r>
              <w:rPr>
                <w:rFonts w:ascii="Arial" w:cs="Arial" w:eastAsia="Arial" w:hAnsi="Arial"/>
                <w:sz w:val="12"/>
                <w:szCs w:val="12"/>
                <w:b w:val="1"/>
                <w:bCs w:val="1"/>
                <w:color w:val="auto"/>
                <w:w w:val="96"/>
              </w:rPr>
              <w:t>Financial, Inc.’s</w:t>
            </w:r>
          </w:p>
        </w:tc>
        <w:tc>
          <w:tcPr>
            <w:tcW w:w="120" w:type="dxa"/>
            <w:vAlign w:val="bottom"/>
          </w:tcPr>
          <w:p>
            <w:pPr>
              <w:spacing w:after="0"/>
              <w:rPr>
                <w:sz w:val="10"/>
                <w:szCs w:val="10"/>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2"/>
                <w:szCs w:val="12"/>
                <w:b w:val="1"/>
                <w:bCs w:val="1"/>
                <w:color w:val="auto"/>
                <w:w w:val="91"/>
              </w:rPr>
              <w:t>Noncontrolling</w:t>
            </w:r>
          </w:p>
        </w:tc>
        <w:tc>
          <w:tcPr>
            <w:tcW w:w="100" w:type="dxa"/>
            <w:vAlign w:val="bottom"/>
          </w:tcPr>
          <w:p>
            <w:pPr>
              <w:spacing w:after="0"/>
              <w:rPr>
                <w:sz w:val="10"/>
                <w:szCs w:val="10"/>
                <w:color w:val="auto"/>
              </w:rPr>
            </w:pPr>
          </w:p>
        </w:tc>
        <w:tc>
          <w:tcPr>
            <w:tcW w:w="5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Paid-in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180"/>
              <w:spacing w:after="0" w:line="120" w:lineRule="exact"/>
              <w:rPr>
                <w:sz w:val="20"/>
                <w:szCs w:val="20"/>
                <w:color w:val="auto"/>
              </w:rPr>
            </w:pPr>
            <w:r>
              <w:rPr>
                <w:rFonts w:ascii="Arial" w:cs="Arial" w:eastAsia="Arial" w:hAnsi="Arial"/>
                <w:sz w:val="12"/>
                <w:szCs w:val="12"/>
                <w:b w:val="1"/>
                <w:bCs w:val="1"/>
                <w:color w:val="auto"/>
                <w:w w:val="93"/>
              </w:rPr>
              <w:t>Earnings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0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Stockholders’</w:t>
            </w:r>
          </w:p>
        </w:tc>
        <w:tc>
          <w:tcPr>
            <w:tcW w:w="12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1"/>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1"/>
              </w:rPr>
              <w:t>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8"/>
              </w:rPr>
              <w:t>(Deficit)</w:t>
            </w: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Stock at 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0"/>
              </w:rPr>
              <w:t>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December 31, 2020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13,878</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(534)</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(1,038)</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5,716</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18,023</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ind w:left="20"/>
              <w:spacing w:after="0" w:line="132" w:lineRule="exact"/>
              <w:rPr>
                <w:sz w:val="20"/>
                <w:szCs w:val="20"/>
                <w:color w:val="auto"/>
              </w:rPr>
            </w:pPr>
            <w:r>
              <w:rPr>
                <w:rFonts w:ascii="Arial" w:cs="Arial" w:eastAsia="Arial" w:hAnsi="Arial"/>
                <w:sz w:val="12"/>
                <w:szCs w:val="12"/>
                <w:color w:val="auto"/>
                <w:w w:val="96"/>
              </w:rPr>
              <w:t>Treasury stock acquired in connection with share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tcPr>
          <w:p>
            <w:pPr>
              <w:ind w:left="180"/>
              <w:spacing w:after="0"/>
              <w:rPr>
                <w:sz w:val="20"/>
                <w:szCs w:val="20"/>
                <w:color w:val="auto"/>
              </w:rPr>
            </w:pPr>
            <w:r>
              <w:rPr>
                <w:rFonts w:ascii="Arial" w:cs="Arial" w:eastAsia="Arial" w:hAnsi="Arial"/>
                <w:sz w:val="12"/>
                <w:szCs w:val="12"/>
                <w:color w:val="auto"/>
              </w:rPr>
              <w:t>repurchases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Share-based compensation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Dividends on preferred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noncontrolling interests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(554)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 (loss), net of</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tax</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(1,120)</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Balance at June 30, 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13,842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(1,088)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(1,236)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4,596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16,115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16,180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Treasury stock acquired in connection with share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repurchases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Share-based compensation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Dividends on preferred stock</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Change in noncontrolling interests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ind w:left="20"/>
              <w:spacing w:after="0" w:line="132" w:lineRule="exact"/>
              <w:rPr>
                <w:sz w:val="20"/>
                <w:szCs w:val="20"/>
                <w:color w:val="auto"/>
              </w:rPr>
            </w:pPr>
            <w:r>
              <w:rPr>
                <w:rFonts w:ascii="Arial" w:cs="Arial" w:eastAsia="Arial" w:hAnsi="Arial"/>
                <w:sz w:val="12"/>
                <w:szCs w:val="12"/>
                <w:color w:val="auto"/>
              </w:rPr>
              <w:t>Other comprehensive income (loss), net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income tax</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6"/>
                <w:szCs w:val="16"/>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September 30, 2021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13,830</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(705)</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(1,385)</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4,290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16,031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6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Interim Condensed 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2022 and 2021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Nine Months Ended</w:t>
      </w:r>
    </w:p>
    <w:p>
      <w:pPr>
        <w:spacing w:after="0" w:line="14"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September 30,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60" w:type="dxa"/>
            <w:vAlign w:val="bottom"/>
          </w:tcPr>
          <w:p>
            <w:pPr>
              <w:spacing w:after="0"/>
              <w:rPr>
                <w:sz w:val="17"/>
                <w:szCs w:val="17"/>
                <w:color w:val="auto"/>
              </w:rPr>
            </w:pPr>
          </w:p>
        </w:tc>
        <w:tc>
          <w:tcPr>
            <w:tcW w:w="11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2021</w:t>
            </w:r>
          </w:p>
        </w:tc>
      </w:tr>
      <w:tr>
        <w:trPr>
          <w:trHeight w:val="38"/>
        </w:trPr>
        <w:tc>
          <w:tcPr>
            <w:tcW w:w="76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92"/>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120" w:type="dxa"/>
            <w:vAlign w:val="bottom"/>
            <w:tcBorders>
              <w:bottom w:val="single" w:sz="8" w:color="auto"/>
            </w:tcBorders>
            <w:shd w:val="clear" w:color="auto" w:fill="CCEEFF"/>
          </w:tcPr>
          <w:p>
            <w:pPr>
              <w:jc w:val="right"/>
              <w:ind w:right="9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w:t>
            </w:r>
          </w:p>
        </w:tc>
      </w:tr>
      <w:tr>
        <w:trPr>
          <w:trHeight w:val="171"/>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maturities and repayments of:</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89"/>
        </w:trPr>
        <w:tc>
          <w:tcPr>
            <w:tcW w:w="7660" w:type="dxa"/>
            <w:vAlign w:val="bottom"/>
          </w:tcPr>
          <w:p>
            <w:pPr>
              <w:ind w:left="140"/>
              <w:spacing w:after="0"/>
              <w:rPr>
                <w:sz w:val="20"/>
                <w:szCs w:val="20"/>
                <w:color w:val="auto"/>
              </w:rPr>
            </w:pPr>
            <w:r>
              <w:rPr>
                <w:rFonts w:ascii="Arial" w:cs="Arial" w:eastAsia="Arial" w:hAnsi="Arial"/>
                <w:sz w:val="14"/>
                <w:szCs w:val="14"/>
                <w:color w:val="auto"/>
              </w:rPr>
              <w:t>Fixed maturity securities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8,479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8,541</w:t>
            </w:r>
          </w:p>
        </w:tc>
      </w:tr>
      <w:tr>
        <w:trPr>
          <w:trHeight w:val="20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189"/>
        </w:trPr>
        <w:tc>
          <w:tcPr>
            <w:tcW w:w="7660" w:type="dxa"/>
            <w:vAlign w:val="bottom"/>
          </w:tcPr>
          <w:p>
            <w:pPr>
              <w:ind w:left="140"/>
              <w:spacing w:after="0"/>
              <w:rPr>
                <w:sz w:val="20"/>
                <w:szCs w:val="20"/>
                <w:color w:val="auto"/>
              </w:rPr>
            </w:pPr>
            <w:r>
              <w:rPr>
                <w:rFonts w:ascii="Arial" w:cs="Arial" w:eastAsia="Arial" w:hAnsi="Arial"/>
                <w:sz w:val="14"/>
                <w:szCs w:val="14"/>
                <w:color w:val="auto"/>
              </w:rPr>
              <w:t>Mortgage loans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1,770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2,005</w:t>
            </w:r>
          </w:p>
        </w:tc>
      </w:tr>
      <w:tr>
        <w:trPr>
          <w:trHeight w:val="20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Limited partnerships and limited liability companies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189"/>
        </w:trPr>
        <w:tc>
          <w:tcPr>
            <w:tcW w:w="7660" w:type="dxa"/>
            <w:vAlign w:val="bottom"/>
          </w:tcPr>
          <w:p>
            <w:pPr>
              <w:ind w:left="20"/>
              <w:spacing w:after="0"/>
              <w:rPr>
                <w:sz w:val="20"/>
                <w:szCs w:val="20"/>
                <w:color w:val="auto"/>
              </w:rPr>
            </w:pPr>
            <w:r>
              <w:rPr>
                <w:rFonts w:ascii="Arial" w:cs="Arial" w:eastAsia="Arial" w:hAnsi="Arial"/>
                <w:sz w:val="14"/>
                <w:szCs w:val="14"/>
                <w:color w:val="auto"/>
              </w:rPr>
              <w:t>Purchases of:</w:t>
            </w: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maturity securities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(16,168)</w:t>
            </w:r>
          </w:p>
        </w:tc>
      </w:tr>
      <w:tr>
        <w:trPr>
          <w:trHeight w:val="189"/>
        </w:trPr>
        <w:tc>
          <w:tcPr>
            <w:tcW w:w="7660" w:type="dxa"/>
            <w:vAlign w:val="bottom"/>
          </w:tcPr>
          <w:p>
            <w:pPr>
              <w:ind w:left="140"/>
              <w:spacing w:after="0"/>
              <w:rPr>
                <w:sz w:val="20"/>
                <w:szCs w:val="20"/>
                <w:color w:val="auto"/>
              </w:rPr>
            </w:pPr>
            <w:r>
              <w:rPr>
                <w:rFonts w:ascii="Arial" w:cs="Arial" w:eastAsia="Arial" w:hAnsi="Arial"/>
                <w:sz w:val="14"/>
                <w:szCs w:val="14"/>
                <w:color w:val="auto"/>
              </w:rPr>
              <w:t>Equity securities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loans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(4,421)</w:t>
            </w:r>
          </w:p>
        </w:tc>
      </w:tr>
      <w:tr>
        <w:trPr>
          <w:trHeight w:val="189"/>
        </w:trPr>
        <w:tc>
          <w:tcPr>
            <w:tcW w:w="7660" w:type="dxa"/>
            <w:vAlign w:val="bottom"/>
          </w:tcPr>
          <w:p>
            <w:pPr>
              <w:ind w:left="140"/>
              <w:spacing w:after="0"/>
              <w:rPr>
                <w:sz w:val="20"/>
                <w:szCs w:val="20"/>
                <w:color w:val="auto"/>
              </w:rPr>
            </w:pPr>
            <w:r>
              <w:rPr>
                <w:rFonts w:ascii="Arial" w:cs="Arial" w:eastAsia="Arial" w:hAnsi="Arial"/>
                <w:sz w:val="14"/>
                <w:szCs w:val="14"/>
                <w:color w:val="auto"/>
              </w:rPr>
              <w:t>Limited partnerships and limited liability companies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(560)</w:t>
            </w: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received in connection with freestanding derivatives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3,213</w:t>
            </w:r>
          </w:p>
        </w:tc>
      </w:tr>
      <w:tr>
        <w:trPr>
          <w:trHeight w:val="189"/>
        </w:trPr>
        <w:tc>
          <w:tcPr>
            <w:tcW w:w="7660" w:type="dxa"/>
            <w:vAlign w:val="bottom"/>
          </w:tcPr>
          <w:p>
            <w:pPr>
              <w:ind w:left="20"/>
              <w:spacing w:after="0"/>
              <w:rPr>
                <w:sz w:val="20"/>
                <w:szCs w:val="20"/>
                <w:color w:val="auto"/>
              </w:rPr>
            </w:pPr>
            <w:r>
              <w:rPr>
                <w:rFonts w:ascii="Arial" w:cs="Arial" w:eastAsia="Arial" w:hAnsi="Arial"/>
                <w:sz w:val="14"/>
                <w:szCs w:val="14"/>
                <w:color w:val="auto"/>
              </w:rPr>
              <w:t>Cash paid in connection with freestanding derivatives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(3,395)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(3,914)</w:t>
            </w: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policy loans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9"/>
        </w:trPr>
        <w:tc>
          <w:tcPr>
            <w:tcW w:w="7660" w:type="dxa"/>
            <w:vAlign w:val="bottom"/>
          </w:tcPr>
          <w:p>
            <w:pPr>
              <w:ind w:left="20"/>
              <w:spacing w:after="0"/>
              <w:rPr>
                <w:sz w:val="20"/>
                <w:szCs w:val="20"/>
                <w:color w:val="auto"/>
              </w:rPr>
            </w:pPr>
            <w:r>
              <w:rPr>
                <w:rFonts w:ascii="Arial" w:cs="Arial" w:eastAsia="Arial" w:hAnsi="Arial"/>
                <w:sz w:val="14"/>
                <w:szCs w:val="14"/>
                <w:color w:val="auto"/>
              </w:rPr>
              <w:t>Net change in short-term investments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1,349</w:t>
            </w: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other invested assets</w:t>
            </w:r>
          </w:p>
        </w:tc>
        <w:tc>
          <w:tcPr>
            <w:tcW w:w="1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5"/>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(9,665)</w:t>
            </w:r>
          </w:p>
        </w:tc>
      </w:tr>
      <w:tr>
        <w:trPr>
          <w:trHeight w:val="185"/>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4"/>
                <w:szCs w:val="14"/>
                <w:color w:val="auto"/>
              </w:rPr>
              <w:t>Policyholder account balances:</w:t>
            </w: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11,182</w:t>
            </w:r>
          </w:p>
        </w:tc>
      </w:tr>
      <w:tr>
        <w:trPr>
          <w:trHeight w:val="189"/>
        </w:trPr>
        <w:tc>
          <w:tcPr>
            <w:tcW w:w="7660" w:type="dxa"/>
            <w:vAlign w:val="bottom"/>
          </w:tcPr>
          <w:p>
            <w:pPr>
              <w:ind w:left="140"/>
              <w:spacing w:after="0"/>
              <w:rPr>
                <w:sz w:val="20"/>
                <w:szCs w:val="20"/>
                <w:color w:val="auto"/>
              </w:rPr>
            </w:pPr>
            <w:r>
              <w:rPr>
                <w:rFonts w:ascii="Arial" w:cs="Arial" w:eastAsia="Arial" w:hAnsi="Arial"/>
                <w:sz w:val="14"/>
                <w:szCs w:val="14"/>
                <w:color w:val="auto"/>
              </w:rPr>
              <w:t>Withdrawals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(14,285)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(1,945)</w:t>
            </w: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payables for collateral under securities loaned and other transactions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r>
      <w:tr>
        <w:trPr>
          <w:trHeight w:val="189"/>
        </w:trPr>
        <w:tc>
          <w:tcPr>
            <w:tcW w:w="7660" w:type="dxa"/>
            <w:vAlign w:val="bottom"/>
          </w:tcPr>
          <w:p>
            <w:pPr>
              <w:ind w:left="20"/>
              <w:spacing w:after="0"/>
              <w:rPr>
                <w:sz w:val="20"/>
                <w:szCs w:val="20"/>
                <w:color w:val="auto"/>
              </w:rPr>
            </w:pPr>
            <w:r>
              <w:rPr>
                <w:rFonts w:ascii="Arial" w:cs="Arial" w:eastAsia="Arial" w:hAnsi="Arial"/>
                <w:sz w:val="14"/>
                <w:szCs w:val="14"/>
                <w:color w:val="auto"/>
              </w:rPr>
              <w:t>Long-term debt repaid</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9"/>
        </w:trPr>
        <w:tc>
          <w:tcPr>
            <w:tcW w:w="7660" w:type="dxa"/>
            <w:vAlign w:val="bottom"/>
          </w:tcPr>
          <w:p>
            <w:pPr>
              <w:ind w:left="20"/>
              <w:spacing w:after="0"/>
              <w:rPr>
                <w:sz w:val="20"/>
                <w:szCs w:val="20"/>
                <w:color w:val="auto"/>
              </w:rPr>
            </w:pPr>
            <w:r>
              <w:rPr>
                <w:rFonts w:ascii="Arial" w:cs="Arial" w:eastAsia="Arial" w:hAnsi="Arial"/>
                <w:sz w:val="14"/>
                <w:szCs w:val="14"/>
                <w:color w:val="auto"/>
              </w:rPr>
              <w:t>Treasury stock acquired in connection with share repurchases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(341)</w:t>
            </w: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element on certain derivative instruments and other derivative related transactions, net</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92"/>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net</w:t>
            </w: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9,021</w:t>
            </w:r>
          </w:p>
        </w:tc>
      </w:tr>
      <w:tr>
        <w:trPr>
          <w:trHeight w:val="183"/>
        </w:trPr>
        <w:tc>
          <w:tcPr>
            <w:tcW w:w="7660" w:type="dxa"/>
            <w:vAlign w:val="bottom"/>
          </w:tcPr>
          <w:p>
            <w:pPr>
              <w:ind w:left="20"/>
              <w:spacing w:after="0"/>
              <w:rPr>
                <w:sz w:val="20"/>
                <w:szCs w:val="20"/>
                <w:color w:val="auto"/>
              </w:rPr>
            </w:pPr>
            <w:r>
              <w:rPr>
                <w:rFonts w:ascii="Arial" w:cs="Arial" w:eastAsia="Arial" w:hAnsi="Arial"/>
                <w:sz w:val="14"/>
                <w:szCs w:val="14"/>
                <w:color w:val="auto"/>
              </w:rPr>
              <w:t>Change in cash, cash equivalents and restricted cash</w:t>
            </w: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4,108</w:t>
            </w:r>
          </w:p>
        </w:tc>
      </w:tr>
      <w:tr>
        <w:trPr>
          <w:trHeight w:val="199"/>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1120" w:type="dxa"/>
            <w:vAlign w:val="bottom"/>
            <w:tcBorders>
              <w:bottom w:val="single" w:sz="8" w:color="auto"/>
            </w:tcBorders>
          </w:tcPr>
          <w:p>
            <w:pPr>
              <w:jc w:val="right"/>
              <w:ind w:right="9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4,108</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5"/>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4"/>
                <w:szCs w:val="14"/>
                <w:color w:val="auto"/>
              </w:rPr>
              <w:t>Net cash paid (received) for:</w:t>
            </w: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3"/>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w:t>
            </w:r>
          </w:p>
        </w:tc>
        <w:tc>
          <w:tcPr>
            <w:tcW w:w="1120" w:type="dxa"/>
            <w:vAlign w:val="bottom"/>
            <w:tcBorders>
              <w:bottom w:val="single" w:sz="8" w:color="auto"/>
            </w:tcBorders>
            <w:shd w:val="clear" w:color="auto" w:fill="CCEEFF"/>
          </w:tcPr>
          <w:p>
            <w:pPr>
              <w:jc w:val="right"/>
              <w:ind w:right="9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7660" w:type="dxa"/>
            <w:vAlign w:val="bottom"/>
          </w:tcPr>
          <w:p>
            <w:pPr>
              <w:ind w:left="140"/>
              <w:spacing w:after="0"/>
              <w:rPr>
                <w:sz w:val="20"/>
                <w:szCs w:val="20"/>
                <w:color w:val="auto"/>
              </w:rPr>
            </w:pPr>
            <w:r>
              <w:rPr>
                <w:rFonts w:ascii="Arial" w:cs="Arial" w:eastAsia="Arial" w:hAnsi="Arial"/>
                <w:sz w:val="14"/>
                <w:szCs w:val="14"/>
                <w:color w:val="auto"/>
              </w:rPr>
              <w:t>Income tax</w:t>
            </w:r>
          </w:p>
        </w:tc>
        <w:tc>
          <w:tcPr>
            <w:tcW w:w="1120" w:type="dxa"/>
            <w:vAlign w:val="bottom"/>
            <w:tcBorders>
              <w:bottom w:val="single" w:sz="8" w:color="auto"/>
            </w:tcBorders>
          </w:tcPr>
          <w:p>
            <w:pPr>
              <w:jc w:val="right"/>
              <w:ind w:right="9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60"/>
        <w:spacing w:after="0" w:line="372"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18"/>
        <w:spacing w:after="0" w:line="268" w:lineRule="auto"/>
        <w:rPr>
          <w:sz w:val="20"/>
          <w:szCs w:val="20"/>
          <w:color w:val="auto"/>
        </w:rPr>
      </w:pPr>
      <w:r>
        <w:rPr>
          <w:rFonts w:ascii="Arial" w:cs="Arial" w:eastAsia="Arial" w:hAnsi="Arial"/>
          <w:sz w:val="17"/>
          <w:szCs w:val="17"/>
          <w:color w:val="auto"/>
        </w:rPr>
        <w:t>Brighthouse Financial, Inc. (“BHF” and together with its subsidiaries, “Brighthouse Financial” or the “Company”) is a holding company formed in 2016 to own the legal entities that historically operated a substantial portion of MetLife, Inc.’s former retail segment until becoming a separate, publicly-traded company in August 2017. Brighthouse Financial is one of the largest providers of annuity and life insurance products in the U.S. through multiple independent distribution channels and marketing arrangements with a diverse network of distribution partners. The Company is organized into three segments: Annuities; Life; and Run-off. In addition, the Company reports certain of its results of operations in Corporate &amp; Other.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1"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The accompanying interim condensed consolidated financial statements include the accounts of Brighthouse Financial, as well as partnerships and limited liability companies (“LLC”) that the Company controls. Intercompany accounts and transactions have been eliminated.</w:t>
      </w:r>
    </w:p>
    <w:p>
      <w:pPr>
        <w:spacing w:after="0" w:line="5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40"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2021 consolidated balance sheet data was derived from audited consolidated financial statements included in Brighthouse Financial, Inc.’s Annual Report on Form 10-K for the year ended December 31, 2021 (the “2021 Annual Report”), which include all disclosures required by GAAP. Therefore, these interim condensed consolidated financial statements should be read in conjunction with the consolidated financial statements of the Company included in the 2021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September 30, 2022.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New Accounting Pronouncements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August 2018, the FASB issued new guidance on long-duration contracts (ASU 2018-12, Financial Services-Insurance (Topic 944): Targeted Improvements to the Accounting for Long-Duration Contracts (“LDTI”)). LDTI is effective for fiscal years beginning after January 1, 2023. LDTI will result in significant changes to the measurement, presentation and disclosure requirements for long-duration insurance contracts. A summary of the most significant changes is provided below:</w:t>
      </w:r>
    </w:p>
    <w:p>
      <w:pPr>
        <w:spacing w:after="0" w:line="85" w:lineRule="exact"/>
        <w:rPr>
          <w:sz w:val="20"/>
          <w:szCs w:val="20"/>
          <w:color w:val="auto"/>
        </w:rPr>
      </w:pPr>
    </w:p>
    <w:p>
      <w:pPr>
        <w:jc w:val="both"/>
        <w:ind w:firstLine="324"/>
        <w:spacing w:after="0" w:line="330" w:lineRule="auto"/>
        <w:tabs>
          <w:tab w:leader="none" w:pos="568" w:val="left"/>
        </w:tabs>
        <w:numPr>
          <w:ilvl w:val="0"/>
          <w:numId w:val="3"/>
        </w:numPr>
        <w:rPr>
          <w:rFonts w:ascii="Arial" w:cs="Arial" w:eastAsia="Arial" w:hAnsi="Arial"/>
          <w:sz w:val="15"/>
          <w:szCs w:val="15"/>
          <w:color w:val="auto"/>
        </w:rPr>
      </w:pPr>
      <w:r>
        <w:rPr>
          <w:rFonts w:ascii="Arial" w:cs="Arial" w:eastAsia="Arial" w:hAnsi="Arial"/>
          <w:sz w:val="15"/>
          <w:szCs w:val="15"/>
          <w:color w:val="auto"/>
        </w:rPr>
        <w:t>Guaranteed benefits associated with variable annuity and certain fixed annuity contracts will be classified and presented separately on the consolidated balance sheets as market risk benefits (“MRB”). MRBs will be measured at fair value through net income and reported separately on the consolidated statements of operations, except for instrument-specific credit risk changes, which will be recognized in other comprehensive income (loss) (“OCI”).</w:t>
      </w:r>
    </w:p>
    <w:p>
      <w:pPr>
        <w:spacing w:after="0" w:line="30" w:lineRule="exact"/>
        <w:rPr>
          <w:rFonts w:ascii="Arial" w:cs="Arial" w:eastAsia="Arial" w:hAnsi="Arial"/>
          <w:sz w:val="15"/>
          <w:szCs w:val="15"/>
          <w:color w:val="auto"/>
        </w:rPr>
      </w:pPr>
    </w:p>
    <w:p>
      <w:pPr>
        <w:ind w:firstLine="324"/>
        <w:spacing w:after="0" w:line="264" w:lineRule="auto"/>
        <w:tabs>
          <w:tab w:leader="none" w:pos="603"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assumptions used to measure the liability for future policy benefits on traditional long-duration contracts (including term and non-participating whole life insurance and immediate annuities) will be updated on an annual basis using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6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retrospective method. The resulting remeasurement gain or loss will be reported separately on the consolidated statements of operations along with the remeasurement gain or loss on universal life-type contract liabilities.</w:t>
      </w:r>
    </w:p>
    <w:p>
      <w:pPr>
        <w:spacing w:after="0" w:line="75" w:lineRule="exact"/>
        <w:rPr>
          <w:sz w:val="20"/>
          <w:szCs w:val="20"/>
          <w:color w:val="auto"/>
        </w:rPr>
      </w:pPr>
    </w:p>
    <w:p>
      <w:pPr>
        <w:ind w:firstLine="324"/>
        <w:spacing w:after="0" w:line="264" w:lineRule="auto"/>
        <w:tabs>
          <w:tab w:leader="none" w:pos="59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discount rate assumption used to measure the liability for traditional long-duration contracts will be based on an upper-medium grade fixed income yield, updated quarterly, with changes recognized in OCI.</w:t>
      </w:r>
    </w:p>
    <w:p>
      <w:pPr>
        <w:spacing w:after="0" w:line="74" w:lineRule="exact"/>
        <w:rPr>
          <w:rFonts w:ascii="Arial" w:cs="Arial" w:eastAsia="Arial" w:hAnsi="Arial"/>
          <w:sz w:val="18"/>
          <w:szCs w:val="18"/>
          <w:color w:val="auto"/>
        </w:rPr>
      </w:pPr>
    </w:p>
    <w:p>
      <w:pPr>
        <w:jc w:val="both"/>
        <w:ind w:firstLine="324"/>
        <w:spacing w:after="0" w:line="255" w:lineRule="auto"/>
        <w:tabs>
          <w:tab w:leader="none" w:pos="574"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Deferred policy acquisition costs (“DAC”) for all insurance products are required to be amortized on a constant-level basis over the expected term of the contracts, using amortization methods that are not a function of revenue or profit emergence. Changes in assumptions used to amortize DAC will be recognized as a revision to future amortization amounts.</w:t>
      </w:r>
    </w:p>
    <w:p>
      <w:pPr>
        <w:spacing w:after="0" w:line="82" w:lineRule="exact"/>
        <w:rPr>
          <w:rFonts w:ascii="Arial" w:cs="Arial" w:eastAsia="Arial" w:hAnsi="Arial"/>
          <w:sz w:val="18"/>
          <w:szCs w:val="18"/>
          <w:color w:val="auto"/>
        </w:rPr>
      </w:pPr>
    </w:p>
    <w:p>
      <w:pPr>
        <w:ind w:firstLine="324"/>
        <w:spacing w:after="0" w:line="365" w:lineRule="auto"/>
        <w:tabs>
          <w:tab w:leader="none" w:pos="616"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There will be a significant increase in required disclosures, including disaggregated rollforwards of insurance contract assets and liabilities supplemented by qualitative and quantitative information regarding the cash flows, assumptions, methods and judgements used to measure those balances.</w:t>
      </w:r>
    </w:p>
    <w:p>
      <w:pPr>
        <w:spacing w:after="0" w:line="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LDTI will be applied to the earliest period presented in the financial statements, making the transition date January 1, 2021. The MRB changes are required to be applied on a retrospective basis, while the changes for insurance liability assumption updates and DAC amortization will be applied to existing carrying amounts on the transition date.</w:t>
      </w:r>
    </w:p>
    <w:p>
      <w:pPr>
        <w:spacing w:after="0" w:line="8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LDTI will have a significant impact on the Company’s financial statements and will change the pattern and market sensitivity of the Company’s earnings after the transition date. The most significant impact will be the requirement that all variable annuity guarantees be considered MRBs and measured at fair value, because a significant amount of variable annuity guarantees are classified as insurance liabilities under current GAAP. The impacts to the financial statements are highly dependent on market conditions, especially interest rates. The Company estimates the impact of LDTI to total stockholders’ equity as of December 31, 2021 to be a reduction of between $6 billion and $8 billion, and a reduction to total stockholders’ equity excluding accumulated other comprehensive income of between $3 billion and $4 billion, both primarily driven by the MRB changes. Based on prevailing interest rates at September 30, 2022, post adoption of LDTI, the Company expects the impact to total stockholders’ equity as of September 30, 2022 to have significantly improved since December 31, 2021.</w:t>
      </w:r>
    </w:p>
    <w:p>
      <w:pPr>
        <w:spacing w:after="0" w:line="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has made significant progress toward adopting the new guidance, including updating systems, validating computations, establishing proper controls, finalizing accounting policies and developing disclosures.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1"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Life segment consists of insurance products and services, including term, universal, whole and variable life products designed to address policyholders’ needs for financial security and protected wealth transfer, which may be on a tax-advantaged basis.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1"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The Run-off segment consists of products that are no longer actively sold and are separately managed, including universal life with secondary guarantees, structured settlements, pension risk transfer contracts, certain company-owned life insurance policies and certain funding agreements.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Corporate &amp; Other contains the excess capital not allocated to the segments and interest expense related to the Company’s outstanding debt, as well as expenses associated with certain legal proceedings and income tax audit issues. Corporate &amp; Other also includes long-term care and workers’ compensation business reinsured through 100% quota share reinsurance agreements, activities related to funding agreements associated with the Company’s institutional spread margin business, as well as direct-to-consumer life insurance that is no longer actively sold.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Adjusted earnings is a financial measure used by management to evaluate performance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Adjusted earnings, which may be positive or negative, focuses on the Company’s primary businesses by excluding the impact of market volatility, which could distort trends.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are significant items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derivative gains (losses) except earned income and amortization of premium on derivatives that are hedges of investments or that are used to replicate certain investments, but do not qualify for hedge accounting treatment;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variable annuity guaranteed minimum income benefits (“GMIB”) fees (“GMIB Fees”).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are significant items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Amounts associated with periodic crediting rate adjustments based on the total return of a contractually referenced pool of assets; and</w:t>
      </w:r>
    </w:p>
    <w:p>
      <w:pPr>
        <w:spacing w:after="0" w:line="12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DAC and value of business acquired (“VOBA”) related to (i) net investment gains (losses), (ii) net derivative gains (losses) and (iii) GMIB Fees and GMIB Costs.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tax impact of the adjustments discussed above is calculated net of the statutory tax rate, which could differ from the Company’s effective tax rate.</w:t>
      </w:r>
    </w:p>
    <w:p>
      <w:pPr>
        <w:spacing w:after="0" w:line="1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spacing w:after="0" w:line="8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results by segment, as well as Corporate &amp; Other,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1"/>
              </w:rPr>
              <w:t>Three Months Ended September 30, 2022</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6"/>
        </w:trPr>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0"/>
                <w:szCs w:val="10"/>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0"/>
                <w:szCs w:val="10"/>
                <w:color w:val="auto"/>
              </w:rPr>
            </w:pPr>
          </w:p>
        </w:tc>
        <w:tc>
          <w:tcPr>
            <w:tcW w:w="98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0"/>
                <w:szCs w:val="10"/>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1"/>
              </w:rPr>
              <w:t>Nine Months Ended September 30, 2022</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1,648</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6"/>
        </w:trPr>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1"/>
              </w:rPr>
              <w:t>Nine Months Ended September 30, 2021</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0"/>
                <w:szCs w:val="10"/>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0"/>
                <w:szCs w:val="10"/>
                <w:color w:val="auto"/>
              </w:rPr>
            </w:pPr>
          </w:p>
        </w:tc>
        <w:tc>
          <w:tcPr>
            <w:tcW w:w="98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0"/>
                <w:szCs w:val="10"/>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revenues by segment, as well as Corporate &amp; Other,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4"/>
                <w:szCs w:val="14"/>
                <w:color w:val="auto"/>
              </w:rPr>
            </w:pPr>
          </w:p>
        </w:tc>
        <w:tc>
          <w:tcPr>
            <w:tcW w:w="1640" w:type="dxa"/>
            <w:vAlign w:val="bottom"/>
            <w:gridSpan w:val="4"/>
          </w:tcPr>
          <w:p>
            <w:pPr>
              <w:jc w:val="right"/>
              <w:ind w:right="22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6"/>
                <w:szCs w:val="16"/>
                <w:color w:val="auto"/>
              </w:rPr>
            </w:pPr>
          </w:p>
        </w:tc>
        <w:tc>
          <w:tcPr>
            <w:tcW w:w="1640" w:type="dxa"/>
            <w:vAlign w:val="bottom"/>
            <w:gridSpan w:val="4"/>
          </w:tcPr>
          <w:p>
            <w:pPr>
              <w:jc w:val="right"/>
              <w:ind w:right="402"/>
              <w:spacing w:after="0"/>
              <w:rPr>
                <w:sz w:val="20"/>
                <w:szCs w:val="20"/>
                <w:color w:val="auto"/>
              </w:rPr>
            </w:pPr>
            <w:r>
              <w:rPr>
                <w:rFonts w:ascii="Arial" w:cs="Arial" w:eastAsia="Arial" w:hAnsi="Arial"/>
                <w:sz w:val="14"/>
                <w:szCs w:val="14"/>
                <w:b w:val="1"/>
                <w:bCs w:val="1"/>
                <w:color w:val="auto"/>
              </w:rPr>
              <w:t>September 30,</w:t>
            </w:r>
          </w:p>
        </w:tc>
      </w:tr>
      <w:tr>
        <w:trPr>
          <w:trHeight w:val="191"/>
        </w:trPr>
        <w:tc>
          <w:tcPr>
            <w:tcW w:w="74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2021</w:t>
            </w:r>
          </w:p>
        </w:tc>
      </w:tr>
      <w:tr>
        <w:trPr>
          <w:trHeight w:val="191"/>
        </w:trPr>
        <w:tc>
          <w:tcPr>
            <w:tcW w:w="7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w:t>
            </w:r>
          </w:p>
        </w:tc>
      </w:tr>
      <w:tr>
        <w:trPr>
          <w:trHeight w:val="209"/>
        </w:trPr>
        <w:tc>
          <w:tcPr>
            <w:tcW w:w="7480" w:type="dxa"/>
            <w:vAlign w:val="bottom"/>
          </w:tcPr>
          <w:p>
            <w:pPr>
              <w:ind w:left="20"/>
              <w:spacing w:after="0"/>
              <w:rPr>
                <w:sz w:val="20"/>
                <w:szCs w:val="20"/>
                <w:color w:val="auto"/>
              </w:rPr>
            </w:pPr>
            <w:r>
              <w:rPr>
                <w:rFonts w:ascii="Arial" w:cs="Arial" w:eastAsia="Arial" w:hAnsi="Arial"/>
                <w:sz w:val="16"/>
                <w:szCs w:val="16"/>
                <w:color w:val="auto"/>
              </w:rPr>
              <w:t>Life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w:t>
            </w: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Corporate &amp; Other</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1,795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08"/>
        </w:trPr>
        <w:tc>
          <w:tcPr>
            <w:tcW w:w="7480" w:type="dxa"/>
            <w:vAlign w:val="bottom"/>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8,019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5,126</w:t>
            </w: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assets by segment, as well as Corporate &amp; Other,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320" w:type="dxa"/>
            <w:vAlign w:val="bottom"/>
          </w:tcPr>
          <w:p>
            <w:pPr>
              <w:spacing w:after="0"/>
              <w:rPr>
                <w:sz w:val="15"/>
                <w:szCs w:val="15"/>
                <w:color w:val="auto"/>
              </w:rPr>
            </w:pPr>
          </w:p>
        </w:tc>
        <w:tc>
          <w:tcPr>
            <w:tcW w:w="1460" w:type="dxa"/>
            <w:vAlign w:val="bottom"/>
          </w:tcPr>
          <w:p>
            <w:pPr>
              <w:jc w:val="right"/>
              <w:ind w:right="242"/>
              <w:spacing w:after="0"/>
              <w:rPr>
                <w:sz w:val="20"/>
                <w:szCs w:val="20"/>
                <w:color w:val="auto"/>
              </w:rPr>
            </w:pPr>
            <w:r>
              <w:rPr>
                <w:rFonts w:ascii="Arial" w:cs="Arial" w:eastAsia="Arial" w:hAnsi="Arial"/>
                <w:sz w:val="14"/>
                <w:szCs w:val="14"/>
                <w:b w:val="1"/>
                <w:bCs w:val="1"/>
                <w:color w:val="auto"/>
                <w:w w:val="88"/>
              </w:rPr>
              <w:t>December 31, 2021</w:t>
            </w:r>
          </w:p>
        </w:tc>
      </w:tr>
      <w:tr>
        <w:trPr>
          <w:trHeight w:val="24"/>
        </w:trPr>
        <w:tc>
          <w:tcPr>
            <w:tcW w:w="7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5"/>
        </w:trPr>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6"/>
                <w:szCs w:val="16"/>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178,700</w:t>
            </w: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color w:val="auto"/>
              </w:rPr>
              <w:t>Life</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21,109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24,514</w:t>
            </w:r>
          </w:p>
        </w:tc>
      </w:tr>
      <w:tr>
        <w:trPr>
          <w:trHeight w:val="214"/>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37,055</w:t>
            </w:r>
          </w:p>
        </w:tc>
      </w:tr>
      <w:tr>
        <w:trPr>
          <w:trHeight w:val="21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&amp; Other</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19,571</w:t>
            </w:r>
          </w:p>
        </w:tc>
      </w:tr>
      <w:tr>
        <w:trPr>
          <w:trHeight w:val="233"/>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221,641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259,840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discussed in Notes 1 and 3 of the Notes to the Consolidated Financial Statements included in the 2021 Annual Report, the Company issues variable annuity contracts with guaranteed minimum benefits. Guaranteed minimum death benefits, the life contingent portion of guaranteed minimum withdrawal benefits (“GMWB”) and certain portions of GMIBs are accounted for as insurance liabilities in future policyholder benefits, while other guarantees are accounted for in whole or in part as embedded derivatives in policyholder account balances and are further discussed in Note 5.</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also has secondary guarantees on universal and variable life insurance contracts accounted for as insurance liabilities.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4"/>
          </w:tcPr>
          <w:p>
            <w:pPr>
              <w:jc w:val="right"/>
              <w:ind w:right="824"/>
              <w:spacing w:after="0"/>
              <w:rPr>
                <w:sz w:val="20"/>
                <w:szCs w:val="20"/>
                <w:color w:val="auto"/>
              </w:rPr>
            </w:pPr>
            <w:r>
              <w:rPr>
                <w:rFonts w:ascii="Arial" w:cs="Arial" w:eastAsia="Arial" w:hAnsi="Arial"/>
                <w:sz w:val="14"/>
                <w:szCs w:val="14"/>
                <w:b w:val="1"/>
                <w:bCs w:val="1"/>
                <w:color w:val="auto"/>
              </w:rPr>
              <w:t>September 30, 2022</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gridSpan w:val="4"/>
          </w:tcPr>
          <w:p>
            <w:pPr>
              <w:jc w:val="right"/>
              <w:ind w:right="863"/>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Pr>
          <w:p>
            <w:pPr>
              <w:spacing w:after="0"/>
              <w:rPr>
                <w:sz w:val="15"/>
                <w:szCs w:val="15"/>
                <w:color w:val="auto"/>
              </w:rPr>
            </w:pPr>
          </w:p>
        </w:tc>
      </w:tr>
      <w:tr>
        <w:trPr>
          <w:trHeight w:val="24"/>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130"/>
        </w:trPr>
        <w:tc>
          <w:tcPr>
            <w:tcW w:w="4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144"/>
              <w:spacing w:after="0" w:line="130" w:lineRule="exact"/>
              <w:rPr>
                <w:sz w:val="20"/>
                <w:szCs w:val="20"/>
                <w:color w:val="auto"/>
              </w:rPr>
            </w:pPr>
            <w:r>
              <w:rPr>
                <w:rFonts w:ascii="Arial" w:cs="Arial" w:eastAsia="Arial" w:hAnsi="Arial"/>
                <w:sz w:val="14"/>
                <w:szCs w:val="14"/>
                <w:b w:val="1"/>
                <w:bCs w:val="1"/>
                <w:color w:val="auto"/>
                <w:w w:val="96"/>
              </w:rPr>
              <w:t>In the</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484"/>
              <w:spacing w:after="0" w:line="130" w:lineRule="exact"/>
              <w:rPr>
                <w:sz w:val="20"/>
                <w:szCs w:val="20"/>
                <w:color w:val="auto"/>
              </w:rPr>
            </w:pPr>
            <w:r>
              <w:rPr>
                <w:rFonts w:ascii="Arial" w:cs="Arial" w:eastAsia="Arial" w:hAnsi="Arial"/>
                <w:sz w:val="14"/>
                <w:szCs w:val="14"/>
                <w:b w:val="1"/>
                <w:bCs w:val="1"/>
                <w:color w:val="auto"/>
              </w:rPr>
              <w:t>At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ind w:right="524"/>
              <w:spacing w:after="0" w:line="130" w:lineRule="exact"/>
              <w:rPr>
                <w:sz w:val="20"/>
                <w:szCs w:val="20"/>
                <w:color w:val="auto"/>
              </w:rPr>
            </w:pPr>
            <w:r>
              <w:rPr>
                <w:rFonts w:ascii="Arial" w:cs="Arial" w:eastAsia="Arial" w:hAnsi="Arial"/>
                <w:sz w:val="14"/>
                <w:szCs w:val="14"/>
                <w:b w:val="1"/>
                <w:bCs w:val="1"/>
                <w:color w:val="auto"/>
              </w:rPr>
              <w:t>In the</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ind w:right="483"/>
              <w:spacing w:after="0" w:line="130" w:lineRule="exact"/>
              <w:rPr>
                <w:sz w:val="20"/>
                <w:szCs w:val="20"/>
                <w:color w:val="auto"/>
              </w:rPr>
            </w:pPr>
            <w:r>
              <w:rPr>
                <w:rFonts w:ascii="Arial" w:cs="Arial" w:eastAsia="Arial" w:hAnsi="Arial"/>
                <w:sz w:val="14"/>
                <w:szCs w:val="14"/>
                <w:b w:val="1"/>
                <w:bCs w:val="1"/>
                <w:color w:val="auto"/>
              </w:rPr>
              <w:t>At</w:t>
            </w:r>
          </w:p>
        </w:tc>
        <w:tc>
          <w:tcPr>
            <w:tcW w:w="380" w:type="dxa"/>
            <w:vAlign w:val="bottom"/>
          </w:tcPr>
          <w:p>
            <w:pPr>
              <w:spacing w:after="0"/>
              <w:rPr>
                <w:sz w:val="11"/>
                <w:szCs w:val="11"/>
                <w:color w:val="auto"/>
              </w:rPr>
            </w:pPr>
          </w:p>
        </w:tc>
      </w:tr>
      <w:tr>
        <w:trPr>
          <w:trHeight w:val="189"/>
        </w:trPr>
        <w:tc>
          <w:tcPr>
            <w:tcW w:w="4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1"/>
              </w:rPr>
              <w:t>Event of Death</w:t>
            </w: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96"/>
              </w:rPr>
              <w:t>Annuitization</w:t>
            </w: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w w:val="95"/>
              </w:rPr>
              <w:t>Event of Death</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9"/>
              </w:rPr>
              <w:t>Annuitization</w:t>
            </w:r>
          </w:p>
        </w:tc>
        <w:tc>
          <w:tcPr>
            <w:tcW w:w="380" w:type="dxa"/>
            <w:vAlign w:val="bottom"/>
          </w:tcPr>
          <w:p>
            <w:pPr>
              <w:spacing w:after="0"/>
              <w:rPr>
                <w:sz w:val="16"/>
                <w:szCs w:val="16"/>
                <w:color w:val="auto"/>
              </w:rPr>
            </w:pPr>
          </w:p>
        </w:tc>
      </w:tr>
      <w:tr>
        <w:trPr>
          <w:trHeight w:val="190"/>
        </w:trPr>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4"/>
          </w:tcPr>
          <w:p>
            <w:pPr>
              <w:jc w:val="right"/>
              <w:ind w:right="944"/>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Annuity Contracts (1), (2)</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Variable Annuity Guarantees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4"/>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center"/>
              <w:ind w:left="464"/>
              <w:spacing w:after="0"/>
              <w:rPr>
                <w:sz w:val="20"/>
                <w:szCs w:val="20"/>
                <w:color w:val="auto"/>
              </w:rPr>
            </w:pPr>
            <w:r>
              <w:rPr>
                <w:rFonts w:ascii="Arial" w:cs="Arial" w:eastAsia="Arial" w:hAnsi="Arial"/>
                <w:sz w:val="16"/>
                <w:szCs w:val="16"/>
                <w:color w:val="auto"/>
                <w:w w:val="89"/>
              </w:rPr>
              <w:t>79,834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42,520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109,968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59,735</w:t>
            </w:r>
          </w:p>
        </w:tc>
        <w:tc>
          <w:tcPr>
            <w:tcW w:w="380" w:type="dxa"/>
            <w:vAlign w:val="bottom"/>
            <w:shd w:val="clear" w:color="auto" w:fill="CCEEFF"/>
          </w:tcPr>
          <w:p>
            <w:pPr>
              <w:spacing w:after="0"/>
              <w:rPr>
                <w:sz w:val="18"/>
                <w:szCs w:val="18"/>
                <w:color w:val="auto"/>
              </w:rPr>
            </w:pPr>
          </w:p>
        </w:tc>
      </w:tr>
      <w:tr>
        <w:trPr>
          <w:trHeight w:val="209"/>
        </w:trPr>
        <w:tc>
          <w:tcPr>
            <w:tcW w:w="4460" w:type="dxa"/>
            <w:vAlign w:val="bottom"/>
          </w:tcPr>
          <w:p>
            <w:pPr>
              <w:ind w:left="20"/>
              <w:spacing w:after="0"/>
              <w:rPr>
                <w:sz w:val="20"/>
                <w:szCs w:val="20"/>
                <w:color w:val="auto"/>
              </w:rPr>
            </w:pPr>
            <w:r>
              <w:rPr>
                <w:rFonts w:ascii="Arial" w:cs="Arial" w:eastAsia="Arial" w:hAnsi="Arial"/>
                <w:sz w:val="16"/>
                <w:szCs w:val="16"/>
                <w:color w:val="auto"/>
              </w:rPr>
              <w:t>Separate account value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center"/>
              <w:ind w:left="464"/>
              <w:spacing w:after="0"/>
              <w:rPr>
                <w:sz w:val="20"/>
                <w:szCs w:val="20"/>
                <w:color w:val="auto"/>
              </w:rPr>
            </w:pPr>
            <w:r>
              <w:rPr>
                <w:rFonts w:ascii="Arial" w:cs="Arial" w:eastAsia="Arial" w:hAnsi="Arial"/>
                <w:sz w:val="16"/>
                <w:szCs w:val="16"/>
                <w:color w:val="auto"/>
                <w:w w:val="89"/>
              </w:rPr>
              <w:t>74,918</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41,356</w:t>
            </w:r>
          </w:p>
        </w:tc>
        <w:tc>
          <w:tcPr>
            <w:tcW w:w="3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64"/>
              <w:spacing w:after="0"/>
              <w:rPr>
                <w:sz w:val="20"/>
                <w:szCs w:val="20"/>
                <w:color w:val="auto"/>
              </w:rPr>
            </w:pPr>
            <w:r>
              <w:rPr>
                <w:rFonts w:ascii="Arial" w:cs="Arial" w:eastAsia="Arial" w:hAnsi="Arial"/>
                <w:sz w:val="16"/>
                <w:szCs w:val="16"/>
                <w:color w:val="auto"/>
              </w:rPr>
              <w:t>105,023</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58,555</w:t>
            </w:r>
          </w:p>
        </w:tc>
        <w:tc>
          <w:tcPr>
            <w:tcW w:w="380" w:type="dxa"/>
            <w:vAlign w:val="bottom"/>
          </w:tcPr>
          <w:p>
            <w:pPr>
              <w:spacing w:after="0"/>
              <w:rPr>
                <w:sz w:val="18"/>
                <w:szCs w:val="18"/>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amount at risk</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center"/>
              <w:ind w:left="464"/>
              <w:spacing w:after="0"/>
              <w:rPr>
                <w:sz w:val="20"/>
                <w:szCs w:val="20"/>
                <w:color w:val="auto"/>
              </w:rPr>
            </w:pPr>
            <w:r>
              <w:rPr>
                <w:rFonts w:ascii="Arial" w:cs="Arial" w:eastAsia="Arial" w:hAnsi="Arial"/>
                <w:sz w:val="16"/>
                <w:szCs w:val="16"/>
                <w:color w:val="auto"/>
                <w:w w:val="89"/>
              </w:rPr>
              <w:t>18,461</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6,361</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7"/>
        </w:trPr>
        <w:tc>
          <w:tcPr>
            <w:tcW w:w="4460" w:type="dxa"/>
            <w:vAlign w:val="bottom"/>
          </w:tcPr>
          <w:p>
            <w:pPr>
              <w:ind w:left="20"/>
              <w:spacing w:after="0"/>
              <w:rPr>
                <w:sz w:val="20"/>
                <w:szCs w:val="20"/>
                <w:color w:val="auto"/>
              </w:rPr>
            </w:pPr>
            <w:r>
              <w:rPr>
                <w:rFonts w:ascii="Arial" w:cs="Arial" w:eastAsia="Arial" w:hAnsi="Arial"/>
                <w:sz w:val="16"/>
                <w:szCs w:val="16"/>
                <w:color w:val="auto"/>
              </w:rPr>
              <w:t>Average attained age of contract holders</w:t>
            </w:r>
          </w:p>
        </w:tc>
        <w:tc>
          <w:tcPr>
            <w:tcW w:w="160" w:type="dxa"/>
            <w:vAlign w:val="bottom"/>
          </w:tcPr>
          <w:p>
            <w:pPr>
              <w:spacing w:after="0"/>
              <w:rPr>
                <w:sz w:val="18"/>
                <w:szCs w:val="18"/>
                <w:color w:val="auto"/>
              </w:rPr>
            </w:pPr>
          </w:p>
        </w:tc>
        <w:tc>
          <w:tcPr>
            <w:tcW w:w="1260" w:type="dxa"/>
            <w:vAlign w:val="bottom"/>
          </w:tcPr>
          <w:p>
            <w:pPr>
              <w:jc w:val="center"/>
              <w:ind w:left="484"/>
              <w:spacing w:after="0"/>
              <w:rPr>
                <w:sz w:val="20"/>
                <w:szCs w:val="20"/>
                <w:color w:val="auto"/>
              </w:rPr>
            </w:pPr>
            <w:r>
              <w:rPr>
                <w:rFonts w:ascii="Arial" w:cs="Arial" w:eastAsia="Arial" w:hAnsi="Arial"/>
                <w:sz w:val="16"/>
                <w:szCs w:val="16"/>
                <w:color w:val="auto"/>
                <w:w w:val="87"/>
              </w:rPr>
              <w:t>72 years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 years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4"/>
              <w:spacing w:after="0"/>
              <w:rPr>
                <w:sz w:val="20"/>
                <w:szCs w:val="20"/>
                <w:color w:val="auto"/>
              </w:rPr>
            </w:pPr>
            <w:r>
              <w:rPr>
                <w:rFonts w:ascii="Arial" w:cs="Arial" w:eastAsia="Arial" w:hAnsi="Arial"/>
                <w:sz w:val="16"/>
                <w:szCs w:val="16"/>
                <w:color w:val="auto"/>
              </w:rPr>
              <w:t>71 years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 years</w:t>
            </w:r>
          </w:p>
        </w:tc>
        <w:tc>
          <w:tcPr>
            <w:tcW w:w="3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ind w:right="343"/>
              <w:spacing w:after="0"/>
              <w:rPr>
                <w:sz w:val="20"/>
                <w:szCs w:val="20"/>
                <w:color w:val="auto"/>
              </w:rPr>
            </w:pPr>
            <w:r>
              <w:rPr>
                <w:rFonts w:ascii="Arial" w:cs="Arial" w:eastAsia="Arial" w:hAnsi="Arial"/>
                <w:sz w:val="14"/>
                <w:szCs w:val="14"/>
                <w:b w:val="1"/>
                <w:bCs w:val="1"/>
                <w:color w:val="auto"/>
                <w:w w:val="97"/>
              </w:rPr>
              <w:t>September 30, 2022</w:t>
            </w:r>
          </w:p>
        </w:tc>
        <w:tc>
          <w:tcPr>
            <w:tcW w:w="320" w:type="dxa"/>
            <w:vAlign w:val="bottom"/>
          </w:tcPr>
          <w:p>
            <w:pPr>
              <w:spacing w:after="0"/>
              <w:rPr>
                <w:sz w:val="15"/>
                <w:szCs w:val="15"/>
                <w:color w:val="auto"/>
              </w:rPr>
            </w:pPr>
          </w:p>
        </w:tc>
        <w:tc>
          <w:tcPr>
            <w:tcW w:w="1780" w:type="dxa"/>
            <w:vAlign w:val="bottom"/>
          </w:tcPr>
          <w:p>
            <w:pPr>
              <w:jc w:val="right"/>
              <w:ind w:right="382"/>
              <w:spacing w:after="0"/>
              <w:rPr>
                <w:sz w:val="20"/>
                <w:szCs w:val="20"/>
                <w:color w:val="auto"/>
              </w:rPr>
            </w:pPr>
            <w:r>
              <w:rPr>
                <w:rFonts w:ascii="Arial" w:cs="Arial" w:eastAsia="Arial" w:hAnsi="Arial"/>
                <w:sz w:val="14"/>
                <w:szCs w:val="14"/>
                <w:b w:val="1"/>
                <w:bCs w:val="1"/>
                <w:color w:val="auto"/>
              </w:rPr>
              <w:t>December 31, 2021</w:t>
            </w:r>
          </w:p>
        </w:tc>
      </w:tr>
      <w:tr>
        <w:trPr>
          <w:trHeight w:val="24"/>
        </w:trPr>
        <w:tc>
          <w:tcPr>
            <w:tcW w:w="7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3"/>
          </w:tcPr>
          <w:p>
            <w:pPr>
              <w:spacing w:after="0"/>
              <w:rPr>
                <w:sz w:val="2"/>
                <w:szCs w:val="2"/>
                <w:color w:val="auto"/>
              </w:rPr>
            </w:pPr>
          </w:p>
        </w:tc>
      </w:tr>
      <w:tr>
        <w:trPr>
          <w:trHeight w:val="185"/>
        </w:trPr>
        <w:tc>
          <w:tcPr>
            <w:tcW w:w="7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Secondary Guarantees</w:t>
            </w:r>
          </w:p>
        </w:tc>
      </w:tr>
      <w:tr>
        <w:trPr>
          <w:trHeight w:val="191"/>
        </w:trPr>
        <w:tc>
          <w:tcPr>
            <w:tcW w:w="7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3"/>
          </w:tcPr>
          <w:p>
            <w:pPr>
              <w:jc w:val="right"/>
              <w:ind w:right="1342"/>
              <w:spacing w:after="0"/>
              <w:rPr>
                <w:sz w:val="20"/>
                <w:szCs w:val="20"/>
                <w:color w:val="auto"/>
              </w:rPr>
            </w:pPr>
            <w:r>
              <w:rPr>
                <w:rFonts w:ascii="Arial" w:cs="Arial" w:eastAsia="Arial" w:hAnsi="Arial"/>
                <w:sz w:val="14"/>
                <w:szCs w:val="14"/>
                <w:b w:val="1"/>
                <w:bCs w:val="1"/>
                <w:color w:val="auto"/>
              </w:rPr>
              <w:t>(Dollars in millions)</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Universal Life Contracts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09"/>
        </w:trPr>
        <w:tc>
          <w:tcPr>
            <w:tcW w:w="7180" w:type="dxa"/>
            <w:vAlign w:val="bottom"/>
          </w:tcPr>
          <w:p>
            <w:pPr>
              <w:ind w:left="20"/>
              <w:spacing w:after="0"/>
              <w:rPr>
                <w:sz w:val="20"/>
                <w:szCs w:val="20"/>
                <w:color w:val="auto"/>
              </w:rPr>
            </w:pPr>
            <w:r>
              <w:rPr>
                <w:rFonts w:ascii="Arial" w:cs="Arial" w:eastAsia="Arial" w:hAnsi="Arial"/>
                <w:sz w:val="16"/>
                <w:szCs w:val="16"/>
                <w:color w:val="auto"/>
              </w:rPr>
              <w:t>Total account value (3)</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3"/>
              <w:spacing w:after="0"/>
              <w:rPr>
                <w:sz w:val="20"/>
                <w:szCs w:val="20"/>
                <w:color w:val="auto"/>
              </w:rPr>
            </w:pPr>
            <w:r>
              <w:rPr>
                <w:rFonts w:ascii="Arial" w:cs="Arial" w:eastAsia="Arial" w:hAnsi="Arial"/>
                <w:sz w:val="16"/>
                <w:szCs w:val="16"/>
                <w:color w:val="auto"/>
              </w:rPr>
              <w:t>5,317</w:t>
            </w:r>
          </w:p>
        </w:tc>
        <w:tc>
          <w:tcPr>
            <w:tcW w:w="3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5,518</w:t>
            </w:r>
          </w:p>
        </w:tc>
      </w:tr>
      <w:tr>
        <w:trPr>
          <w:trHeight w:val="214"/>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amount at risk (6)</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65,935</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67,248</w:t>
            </w: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Average attained age of policyholders</w:t>
            </w:r>
          </w:p>
        </w:tc>
        <w:tc>
          <w:tcPr>
            <w:tcW w:w="240" w:type="dxa"/>
            <w:vAlign w:val="bottom"/>
          </w:tcPr>
          <w:p>
            <w:pPr>
              <w:spacing w:after="0"/>
              <w:rPr>
                <w:sz w:val="18"/>
                <w:szCs w:val="18"/>
                <w:color w:val="auto"/>
              </w:rPr>
            </w:pPr>
          </w:p>
        </w:tc>
        <w:tc>
          <w:tcPr>
            <w:tcW w:w="1720" w:type="dxa"/>
            <w:vAlign w:val="bottom"/>
          </w:tcPr>
          <w:p>
            <w:pPr>
              <w:ind w:left="1120"/>
              <w:spacing w:after="0"/>
              <w:rPr>
                <w:sz w:val="20"/>
                <w:szCs w:val="20"/>
                <w:color w:val="auto"/>
              </w:rPr>
            </w:pPr>
            <w:r>
              <w:rPr>
                <w:rFonts w:ascii="Arial" w:cs="Arial" w:eastAsia="Arial" w:hAnsi="Arial"/>
                <w:sz w:val="16"/>
                <w:szCs w:val="16"/>
                <w:color w:val="auto"/>
                <w:w w:val="94"/>
              </w:rPr>
              <w:t>69 years</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68 years</w:t>
            </w:r>
          </w:p>
        </w:tc>
      </w:tr>
      <w:tr>
        <w:trPr>
          <w:trHeight w:val="254"/>
        </w:trPr>
        <w:tc>
          <w:tcPr>
            <w:tcW w:w="7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Variable Life Contracts</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4"/>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3,677</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w:t>
            </w: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Net amount at risk (6)</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3"/>
              <w:spacing w:after="0"/>
              <w:rPr>
                <w:sz w:val="20"/>
                <w:szCs w:val="20"/>
                <w:color w:val="auto"/>
              </w:rPr>
            </w:pPr>
            <w:r>
              <w:rPr>
                <w:rFonts w:ascii="Arial" w:cs="Arial" w:eastAsia="Arial" w:hAnsi="Arial"/>
                <w:sz w:val="16"/>
                <w:szCs w:val="16"/>
                <w:color w:val="auto"/>
              </w:rPr>
              <w:t>18,366</w:t>
            </w:r>
          </w:p>
        </w:tc>
        <w:tc>
          <w:tcPr>
            <w:tcW w:w="3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18,857</w:t>
            </w:r>
          </w:p>
        </w:tc>
      </w:tr>
      <w:tr>
        <w:trPr>
          <w:trHeight w:val="214"/>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attained age of policyholders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ind w:left="1120"/>
              <w:spacing w:after="0"/>
              <w:rPr>
                <w:sz w:val="20"/>
                <w:szCs w:val="20"/>
                <w:color w:val="auto"/>
              </w:rPr>
            </w:pPr>
            <w:r>
              <w:rPr>
                <w:rFonts w:ascii="Arial" w:cs="Arial" w:eastAsia="Arial" w:hAnsi="Arial"/>
                <w:sz w:val="16"/>
                <w:szCs w:val="16"/>
                <w:color w:val="auto"/>
                <w:w w:val="94"/>
              </w:rPr>
              <w:t>53 years</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years</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right="20" w:hanging="314"/>
        <w:spacing w:after="0" w:line="264" w:lineRule="auto"/>
        <w:tabs>
          <w:tab w:leader="none" w:pos="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74" w:lineRule="exact"/>
        <w:rPr>
          <w:rFonts w:ascii="Arial" w:cs="Arial" w:eastAsia="Arial" w:hAnsi="Arial"/>
          <w:sz w:val="18"/>
          <w:szCs w:val="18"/>
          <w:color w:val="auto"/>
        </w:rPr>
      </w:pPr>
    </w:p>
    <w:p>
      <w:pPr>
        <w:jc w:val="both"/>
        <w:ind w:left="320" w:hanging="314"/>
        <w:spacing w:after="0" w:line="252" w:lineRule="auto"/>
        <w:tabs>
          <w:tab w:leader="none" w:pos="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of the Notes to the Consolidated Financial Statements included in the 2021 Annual Report for a discussion of guaranteed minimum benefits which have been reinsured.</w:t>
      </w:r>
    </w:p>
    <w:p>
      <w:pPr>
        <w:spacing w:after="0" w:line="84" w:lineRule="exact"/>
        <w:rPr>
          <w:rFonts w:ascii="Arial" w:cs="Arial" w:eastAsia="Arial" w:hAnsi="Arial"/>
          <w:sz w:val="18"/>
          <w:szCs w:val="18"/>
          <w:color w:val="auto"/>
        </w:rPr>
      </w:pPr>
    </w:p>
    <w:p>
      <w:pPr>
        <w:ind w:left="320" w:hanging="314"/>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contract holder’s investments in the general account and separate account, if applicable.</w:t>
      </w:r>
    </w:p>
    <w:p>
      <w:pPr>
        <w:spacing w:after="0" w:line="111"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82" w:lineRule="exact"/>
        <w:rPr>
          <w:rFonts w:ascii="Arial" w:cs="Arial" w:eastAsia="Arial" w:hAnsi="Arial"/>
          <w:sz w:val="18"/>
          <w:szCs w:val="18"/>
          <w:color w:val="auto"/>
        </w:rPr>
      </w:pPr>
    </w:p>
    <w:p>
      <w:pPr>
        <w:jc w:val="both"/>
        <w:ind w:left="320" w:hanging="314"/>
        <w:spacing w:after="0" w:line="318" w:lineRule="auto"/>
        <w:tabs>
          <w:tab w:leader="none" w:pos="314" w:val="left"/>
        </w:tabs>
        <w:numPr>
          <w:ilvl w:val="0"/>
          <w:numId w:val="7"/>
        </w:numPr>
        <w:rPr>
          <w:rFonts w:ascii="Arial" w:cs="Arial" w:eastAsia="Arial" w:hAnsi="Arial"/>
          <w:sz w:val="15"/>
          <w:szCs w:val="15"/>
          <w:color w:val="auto"/>
        </w:rPr>
      </w:pPr>
      <w:r>
        <w:rPr>
          <w:rFonts w:ascii="Arial" w:cs="Arial" w:eastAsia="Arial" w:hAnsi="Arial"/>
          <w:sz w:val="15"/>
          <w:szCs w:val="15"/>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39"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See Notes 1 and 8 of the Notes to the Consolidated Financial Statements included in the 2021 Annual Report for a description of the Company’s accounting policies for investments and the fair value hierarchy for investments and the related valuation methodologies.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 by Sector</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Fixed maturity securities by sector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w w:val="89"/>
              </w:rPr>
              <w:t>September 30, 2022</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580"/>
              <w:spacing w:after="0"/>
              <w:rPr>
                <w:sz w:val="20"/>
                <w:szCs w:val="20"/>
                <w:color w:val="auto"/>
              </w:rPr>
            </w:pPr>
            <w:r>
              <w:rPr>
                <w:rFonts w:ascii="Arial" w:cs="Arial" w:eastAsia="Arial" w:hAnsi="Arial"/>
                <w:sz w:val="12"/>
                <w:szCs w:val="12"/>
                <w:b w:val="1"/>
                <w:bCs w:val="1"/>
                <w:color w:val="auto"/>
              </w:rPr>
              <w:t>December 31, 2021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85"/>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5"/>
          </w:tcPr>
          <w:p>
            <w:pPr>
              <w:ind w:left="140"/>
              <w:spacing w:after="0"/>
              <w:rPr>
                <w:sz w:val="20"/>
                <w:szCs w:val="20"/>
                <w:color w:val="auto"/>
              </w:rPr>
            </w:pPr>
            <w:r>
              <w:rPr>
                <w:rFonts w:ascii="Arial" w:cs="Arial" w:eastAsia="Arial" w:hAnsi="Arial"/>
                <w:sz w:val="12"/>
                <w:szCs w:val="12"/>
                <w:b w:val="1"/>
                <w:bCs w:val="1"/>
                <w:color w:val="auto"/>
              </w:rPr>
              <w:t>Gross Unrealized</w:t>
            </w: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Estimated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5"/>
          </w:tcPr>
          <w:p>
            <w:pPr>
              <w:ind w:left="120"/>
              <w:spacing w:after="0"/>
              <w:rPr>
                <w:sz w:val="20"/>
                <w:szCs w:val="20"/>
                <w:color w:val="auto"/>
              </w:rPr>
            </w:pPr>
            <w:r>
              <w:rPr>
                <w:rFonts w:ascii="Arial" w:cs="Arial" w:eastAsia="Arial" w:hAnsi="Arial"/>
                <w:sz w:val="12"/>
                <w:szCs w:val="12"/>
                <w:b w:val="1"/>
                <w:bCs w:val="1"/>
                <w:color w:val="auto"/>
              </w:rPr>
              <w:t>Gross Unrealized</w:t>
            </w:r>
          </w:p>
        </w:tc>
        <w:tc>
          <w:tcPr>
            <w:tcW w:w="100" w:type="dxa"/>
            <w:vAlign w:val="bottom"/>
          </w:tcPr>
          <w:p>
            <w:pPr>
              <w:spacing w:after="0"/>
              <w:rPr>
                <w:sz w:val="16"/>
                <w:szCs w:val="16"/>
                <w:color w:val="auto"/>
              </w:rPr>
            </w:pPr>
          </w:p>
        </w:tc>
        <w:tc>
          <w:tcPr>
            <w:tcW w:w="700" w:type="dxa"/>
            <w:vAlign w:val="bottom"/>
          </w:tcPr>
          <w:p>
            <w:pPr>
              <w:jc w:val="center"/>
              <w:ind w:right="34"/>
              <w:spacing w:after="0"/>
              <w:rPr>
                <w:sz w:val="20"/>
                <w:szCs w:val="20"/>
                <w:color w:val="auto"/>
              </w:rPr>
            </w:pPr>
            <w:r>
              <w:rPr>
                <w:rFonts w:ascii="Arial" w:cs="Arial" w:eastAsia="Arial" w:hAnsi="Arial"/>
                <w:sz w:val="12"/>
                <w:szCs w:val="12"/>
                <w:b w:val="1"/>
                <w:bCs w:val="1"/>
                <w:color w:val="auto"/>
                <w:w w:val="90"/>
              </w:rPr>
              <w:t>Estimated</w:t>
            </w:r>
          </w:p>
        </w:tc>
      </w:tr>
      <w:tr>
        <w:trPr>
          <w:trHeight w:val="60"/>
        </w:trPr>
        <w:tc>
          <w:tcPr>
            <w:tcW w:w="2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2"/>
          </w:tcPr>
          <w:p>
            <w:pPr>
              <w:jc w:val="center"/>
              <w:ind w:right="240"/>
              <w:spacing w:after="0" w:line="60" w:lineRule="exact"/>
              <w:rPr>
                <w:sz w:val="20"/>
                <w:szCs w:val="20"/>
                <w:color w:val="auto"/>
              </w:rPr>
            </w:pPr>
            <w:r>
              <w:rPr>
                <w:rFonts w:ascii="Arial" w:cs="Arial" w:eastAsia="Arial" w:hAnsi="Arial"/>
                <w:sz w:val="6"/>
                <w:szCs w:val="6"/>
                <w:b w:val="1"/>
                <w:bCs w:val="1"/>
                <w:color w:val="auto"/>
              </w:rPr>
              <w:t>Amortized</w:t>
            </w:r>
          </w:p>
        </w:tc>
        <w:tc>
          <w:tcPr>
            <w:tcW w:w="980" w:type="dxa"/>
            <w:vAlign w:val="bottom"/>
            <w:gridSpan w:val="3"/>
          </w:tcPr>
          <w:p>
            <w:pPr>
              <w:ind w:left="80"/>
              <w:spacing w:after="0" w:line="60" w:lineRule="exact"/>
              <w:rPr>
                <w:sz w:val="20"/>
                <w:szCs w:val="20"/>
                <w:color w:val="auto"/>
              </w:rPr>
            </w:pPr>
            <w:r>
              <w:rPr>
                <w:rFonts w:ascii="Arial" w:cs="Arial" w:eastAsia="Arial" w:hAnsi="Arial"/>
                <w:sz w:val="6"/>
                <w:szCs w:val="6"/>
                <w:b w:val="1"/>
                <w:bCs w:val="1"/>
                <w:color w:val="auto"/>
              </w:rPr>
              <w:t>Allowance for</w:t>
            </w: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tcPr>
          <w:p>
            <w:pPr>
              <w:jc w:val="center"/>
              <w:ind w:right="220"/>
              <w:spacing w:after="0" w:line="60" w:lineRule="exact"/>
              <w:rPr>
                <w:sz w:val="20"/>
                <w:szCs w:val="20"/>
                <w:color w:val="auto"/>
              </w:rPr>
            </w:pPr>
            <w:r>
              <w:rPr>
                <w:rFonts w:ascii="Arial" w:cs="Arial" w:eastAsia="Arial" w:hAnsi="Arial"/>
                <w:sz w:val="6"/>
                <w:szCs w:val="6"/>
                <w:b w:val="1"/>
                <w:bCs w:val="1"/>
                <w:color w:val="auto"/>
              </w:rPr>
              <w:t>Fair</w:t>
            </w:r>
          </w:p>
        </w:tc>
        <w:tc>
          <w:tcPr>
            <w:tcW w:w="140" w:type="dxa"/>
            <w:vAlign w:val="bottom"/>
          </w:tcPr>
          <w:p>
            <w:pPr>
              <w:spacing w:after="0"/>
              <w:rPr>
                <w:sz w:val="5"/>
                <w:szCs w:val="5"/>
                <w:color w:val="auto"/>
              </w:rPr>
            </w:pPr>
          </w:p>
        </w:tc>
        <w:tc>
          <w:tcPr>
            <w:tcW w:w="880" w:type="dxa"/>
            <w:vAlign w:val="bottom"/>
            <w:gridSpan w:val="2"/>
          </w:tcPr>
          <w:p>
            <w:pPr>
              <w:jc w:val="center"/>
              <w:ind w:right="200"/>
              <w:spacing w:after="0" w:line="60" w:lineRule="exact"/>
              <w:rPr>
                <w:sz w:val="20"/>
                <w:szCs w:val="20"/>
                <w:color w:val="auto"/>
              </w:rPr>
            </w:pPr>
            <w:r>
              <w:rPr>
                <w:rFonts w:ascii="Arial" w:cs="Arial" w:eastAsia="Arial" w:hAnsi="Arial"/>
                <w:sz w:val="6"/>
                <w:szCs w:val="6"/>
                <w:b w:val="1"/>
                <w:bCs w:val="1"/>
                <w:color w:val="auto"/>
              </w:rPr>
              <w:t>Amortized</w:t>
            </w:r>
          </w:p>
        </w:tc>
        <w:tc>
          <w:tcPr>
            <w:tcW w:w="100" w:type="dxa"/>
            <w:vAlign w:val="bottom"/>
          </w:tcPr>
          <w:p>
            <w:pPr>
              <w:spacing w:after="0"/>
              <w:rPr>
                <w:sz w:val="5"/>
                <w:szCs w:val="5"/>
                <w:color w:val="auto"/>
              </w:rPr>
            </w:pPr>
          </w:p>
        </w:tc>
        <w:tc>
          <w:tcPr>
            <w:tcW w:w="920" w:type="dxa"/>
            <w:vAlign w:val="bottom"/>
            <w:gridSpan w:val="2"/>
          </w:tcPr>
          <w:p>
            <w:pPr>
              <w:spacing w:after="0" w:line="60" w:lineRule="exact"/>
              <w:rPr>
                <w:sz w:val="20"/>
                <w:szCs w:val="20"/>
                <w:color w:val="auto"/>
              </w:rPr>
            </w:pPr>
            <w:r>
              <w:rPr>
                <w:rFonts w:ascii="Arial" w:cs="Arial" w:eastAsia="Arial" w:hAnsi="Arial"/>
                <w:sz w:val="6"/>
                <w:szCs w:val="6"/>
                <w:b w:val="1"/>
                <w:bCs w:val="1"/>
                <w:color w:val="auto"/>
              </w:rPr>
              <w:t>Allowance for</w:t>
            </w: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jc w:val="center"/>
              <w:ind w:right="34"/>
              <w:spacing w:after="0" w:line="60" w:lineRule="exact"/>
              <w:rPr>
                <w:sz w:val="20"/>
                <w:szCs w:val="20"/>
                <w:color w:val="auto"/>
              </w:rPr>
            </w:pPr>
            <w:r>
              <w:rPr>
                <w:rFonts w:ascii="Arial" w:cs="Arial" w:eastAsia="Arial" w:hAnsi="Arial"/>
                <w:sz w:val="6"/>
                <w:szCs w:val="6"/>
                <w:b w:val="1"/>
                <w:bCs w:val="1"/>
                <w:color w:val="auto"/>
              </w:rPr>
              <w:t>Fair</w:t>
            </w:r>
          </w:p>
        </w:tc>
      </w:tr>
      <w:tr>
        <w:trPr>
          <w:trHeight w:val="179"/>
        </w:trPr>
        <w:tc>
          <w:tcPr>
            <w:tcW w:w="2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9"/>
              </w:rPr>
              <w:t>Cost</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Credit Losses</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Gains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Losses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87"/>
              </w:rPr>
              <w:t>Value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9"/>
              </w:rPr>
              <w:t>Cost</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Credit Losses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Gains</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Losses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4"/>
              <w:spacing w:after="0"/>
              <w:rPr>
                <w:sz w:val="20"/>
                <w:szCs w:val="20"/>
                <w:color w:val="auto"/>
              </w:rPr>
            </w:pPr>
            <w:r>
              <w:rPr>
                <w:rFonts w:ascii="Arial" w:cs="Arial" w:eastAsia="Arial" w:hAnsi="Arial"/>
                <w:sz w:val="12"/>
                <w:szCs w:val="12"/>
                <w:b w:val="1"/>
                <w:bCs w:val="1"/>
                <w:color w:val="auto"/>
                <w:w w:val="93"/>
              </w:rPr>
              <w:t>Value</w:t>
            </w:r>
          </w:p>
        </w:tc>
      </w:tr>
      <w:tr>
        <w:trPr>
          <w:trHeight w:val="166"/>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46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5"/>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37,214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39,081</w:t>
            </w: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12,493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11,706</w:t>
            </w:r>
          </w:p>
        </w:tc>
      </w:tr>
      <w:tr>
        <w:trPr>
          <w:trHeight w:val="20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9,307</w:t>
            </w: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8,764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9,259</w:t>
            </w:r>
          </w:p>
        </w:tc>
      </w:tr>
      <w:tr>
        <w:trPr>
          <w:trHeight w:val="20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7,282</w:t>
            </w: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4,110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4,835</w:t>
            </w:r>
          </w:p>
        </w:tc>
      </w:tr>
      <w:tr>
        <w:trPr>
          <w:trHeight w:val="20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4,280</w:t>
            </w:r>
          </w:p>
        </w:tc>
      </w:tr>
      <w:tr>
        <w:trPr>
          <w:trHeight w:val="192"/>
        </w:trPr>
        <w:tc>
          <w:tcPr>
            <w:tcW w:w="232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1,832</w:t>
            </w:r>
          </w:p>
        </w:tc>
      </w:tr>
      <w:tr>
        <w:trPr>
          <w:trHeight w:val="224"/>
        </w:trPr>
        <w:tc>
          <w:tcPr>
            <w:tcW w:w="2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87,582</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Company held non-income producing fixed maturity securities with an estimated fair value of $15 million and $3 million at September 30, 2022 and December 31, 2021,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amortized cost and estimated fair value of fixed maturity securities, by contractual maturity date, were as follows at September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Due in One</w:t>
            </w:r>
          </w:p>
        </w:tc>
        <w:tc>
          <w:tcPr>
            <w:tcW w:w="240" w:type="dxa"/>
            <w:vAlign w:val="bottom"/>
          </w:tcPr>
          <w:p>
            <w:pPr>
              <w:spacing w:after="0"/>
              <w:rPr>
                <w:sz w:val="14"/>
                <w:szCs w:val="14"/>
                <w:color w:val="auto"/>
              </w:rPr>
            </w:pPr>
          </w:p>
        </w:tc>
        <w:tc>
          <w:tcPr>
            <w:tcW w:w="1180" w:type="dxa"/>
            <w:vAlign w:val="bottom"/>
          </w:tcPr>
          <w:p>
            <w:pPr>
              <w:jc w:val="center"/>
              <w:ind w:right="106"/>
              <w:spacing w:after="0"/>
              <w:rPr>
                <w:sz w:val="20"/>
                <w:szCs w:val="20"/>
                <w:color w:val="auto"/>
              </w:rPr>
            </w:pPr>
            <w:r>
              <w:rPr>
                <w:rFonts w:ascii="Arial" w:cs="Arial" w:eastAsia="Arial" w:hAnsi="Arial"/>
                <w:sz w:val="14"/>
                <w:szCs w:val="14"/>
                <w:b w:val="1"/>
                <w:bCs w:val="1"/>
                <w:color w:val="auto"/>
                <w:w w:val="93"/>
              </w:rPr>
              <w:t>Due After One</w:t>
            </w:r>
          </w:p>
        </w:tc>
        <w:tc>
          <w:tcPr>
            <w:tcW w:w="240" w:type="dxa"/>
            <w:vAlign w:val="bottom"/>
          </w:tcPr>
          <w:p>
            <w:pPr>
              <w:spacing w:after="0"/>
              <w:rPr>
                <w:sz w:val="14"/>
                <w:szCs w:val="14"/>
                <w:color w:val="auto"/>
              </w:rPr>
            </w:pPr>
          </w:p>
        </w:tc>
        <w:tc>
          <w:tcPr>
            <w:tcW w:w="1180" w:type="dxa"/>
            <w:vAlign w:val="bottom"/>
          </w:tcPr>
          <w:p>
            <w:pPr>
              <w:jc w:val="center"/>
              <w:ind w:right="106"/>
              <w:spacing w:after="0"/>
              <w:rPr>
                <w:sz w:val="20"/>
                <w:szCs w:val="20"/>
                <w:color w:val="auto"/>
              </w:rPr>
            </w:pPr>
            <w:r>
              <w:rPr>
                <w:rFonts w:ascii="Arial" w:cs="Arial" w:eastAsia="Arial" w:hAnsi="Arial"/>
                <w:sz w:val="14"/>
                <w:szCs w:val="14"/>
                <w:b w:val="1"/>
                <w:bCs w:val="1"/>
                <w:color w:val="auto"/>
                <w:w w:val="92"/>
              </w:rPr>
              <w:t>Due After Five</w:t>
            </w:r>
          </w:p>
        </w:tc>
        <w:tc>
          <w:tcPr>
            <w:tcW w:w="240" w:type="dxa"/>
            <w:vAlign w:val="bottom"/>
          </w:tcPr>
          <w:p>
            <w:pPr>
              <w:spacing w:after="0"/>
              <w:rPr>
                <w:sz w:val="14"/>
                <w:szCs w:val="14"/>
                <w:color w:val="auto"/>
              </w:rPr>
            </w:pPr>
          </w:p>
        </w:tc>
        <w:tc>
          <w:tcPr>
            <w:tcW w:w="118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w w:val="98"/>
              </w:rPr>
              <w:t>Due After Ten</w:t>
            </w:r>
          </w:p>
        </w:tc>
        <w:tc>
          <w:tcPr>
            <w:tcW w:w="260" w:type="dxa"/>
            <w:vAlign w:val="bottom"/>
          </w:tcPr>
          <w:p>
            <w:pPr>
              <w:spacing w:after="0"/>
              <w:rPr>
                <w:sz w:val="14"/>
                <w:szCs w:val="14"/>
                <w:color w:val="auto"/>
              </w:rPr>
            </w:pPr>
          </w:p>
        </w:tc>
        <w:tc>
          <w:tcPr>
            <w:tcW w:w="118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Structured</w:t>
            </w:r>
          </w:p>
        </w:tc>
        <w:tc>
          <w:tcPr>
            <w:tcW w:w="300" w:type="dxa"/>
            <w:vAlign w:val="bottom"/>
          </w:tcPr>
          <w:p>
            <w:pPr>
              <w:spacing w:after="0"/>
              <w:rPr>
                <w:sz w:val="14"/>
                <w:szCs w:val="14"/>
                <w:color w:val="auto"/>
              </w:rPr>
            </w:pPr>
          </w:p>
        </w:tc>
        <w:tc>
          <w:tcPr>
            <w:tcW w:w="1120" w:type="dxa"/>
            <w:vAlign w:val="bottom"/>
          </w:tcPr>
          <w:p>
            <w:pPr>
              <w:jc w:val="center"/>
              <w:ind w:right="126"/>
              <w:spacing w:after="0"/>
              <w:rPr>
                <w:sz w:val="20"/>
                <w:szCs w:val="20"/>
                <w:color w:val="auto"/>
              </w:rPr>
            </w:pPr>
            <w:r>
              <w:rPr>
                <w:rFonts w:ascii="Arial" w:cs="Arial" w:eastAsia="Arial" w:hAnsi="Arial"/>
                <w:sz w:val="14"/>
                <w:szCs w:val="14"/>
                <w:b w:val="1"/>
                <w:bCs w:val="1"/>
                <w:color w:val="auto"/>
                <w:w w:val="91"/>
              </w:rPr>
              <w:t>Total Fixed</w:t>
            </w: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06"/>
              <w:spacing w:after="0" w:line="146" w:lineRule="exact"/>
              <w:rPr>
                <w:sz w:val="20"/>
                <w:szCs w:val="20"/>
                <w:color w:val="auto"/>
              </w:rPr>
            </w:pPr>
            <w:r>
              <w:rPr>
                <w:rFonts w:ascii="Arial" w:cs="Arial" w:eastAsia="Arial" w:hAnsi="Arial"/>
                <w:sz w:val="14"/>
                <w:szCs w:val="14"/>
                <w:b w:val="1"/>
                <w:bCs w:val="1"/>
                <w:color w:val="auto"/>
                <w:w w:val="92"/>
              </w:rPr>
              <w:t>Year Through</w:t>
            </w:r>
          </w:p>
        </w:tc>
        <w:tc>
          <w:tcPr>
            <w:tcW w:w="240" w:type="dxa"/>
            <w:vAlign w:val="bottom"/>
          </w:tcPr>
          <w:p>
            <w:pPr>
              <w:spacing w:after="0"/>
              <w:rPr>
                <w:sz w:val="12"/>
                <w:szCs w:val="12"/>
                <w:color w:val="auto"/>
              </w:rPr>
            </w:pPr>
          </w:p>
        </w:tc>
        <w:tc>
          <w:tcPr>
            <w:tcW w:w="1180" w:type="dxa"/>
            <w:vAlign w:val="bottom"/>
          </w:tcPr>
          <w:p>
            <w:pPr>
              <w:jc w:val="center"/>
              <w:ind w:right="106"/>
              <w:spacing w:after="0" w:line="146" w:lineRule="exact"/>
              <w:rPr>
                <w:sz w:val="20"/>
                <w:szCs w:val="20"/>
                <w:color w:val="auto"/>
              </w:rPr>
            </w:pPr>
            <w:r>
              <w:rPr>
                <w:rFonts w:ascii="Arial" w:cs="Arial" w:eastAsia="Arial" w:hAnsi="Arial"/>
                <w:sz w:val="14"/>
                <w:szCs w:val="14"/>
                <w:b w:val="1"/>
                <w:bCs w:val="1"/>
                <w:color w:val="auto"/>
                <w:w w:val="93"/>
              </w:rPr>
              <w:t>Years Through</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146"/>
              <w:spacing w:after="0" w:line="146" w:lineRule="exact"/>
              <w:rPr>
                <w:sz w:val="20"/>
                <w:szCs w:val="20"/>
                <w:color w:val="auto"/>
              </w:rPr>
            </w:pPr>
            <w:r>
              <w:rPr>
                <w:rFonts w:ascii="Arial" w:cs="Arial" w:eastAsia="Arial" w:hAnsi="Arial"/>
                <w:sz w:val="14"/>
                <w:szCs w:val="14"/>
                <w:b w:val="1"/>
                <w:bCs w:val="1"/>
                <w:color w:val="auto"/>
                <w:w w:val="99"/>
              </w:rPr>
              <w:t>Maturity</w:t>
            </w: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7"/>
              </w:rPr>
              <w:t>Year or Less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1"/>
              </w:rPr>
              <w:t>Five Years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89"/>
              </w:rPr>
              <w:t>Ten Years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7"/>
              </w:rPr>
              <w:t>Securities (1)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3"/>
          </w:tcPr>
          <w:p>
            <w:pPr>
              <w:jc w:val="right"/>
              <w:ind w:right="925"/>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Amortized cost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1,192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13,566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17,400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31,526</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21,623</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85,307</w:t>
            </w:r>
          </w:p>
        </w:tc>
        <w:tc>
          <w:tcPr>
            <w:tcW w:w="0" w:type="dxa"/>
            <w:vAlign w:val="bottom"/>
          </w:tcPr>
          <w:p>
            <w:pPr>
              <w:spacing w:after="0"/>
              <w:rPr>
                <w:sz w:val="1"/>
                <w:szCs w:val="1"/>
                <w:color w:val="auto"/>
              </w:rPr>
            </w:pPr>
          </w:p>
        </w:tc>
      </w:tr>
      <w:tr>
        <w:trPr>
          <w:trHeight w:val="207"/>
        </w:trPr>
        <w:tc>
          <w:tcPr>
            <w:tcW w:w="2780" w:type="dxa"/>
            <w:vAlign w:val="bottom"/>
          </w:tcPr>
          <w:p>
            <w:pPr>
              <w:ind w:left="20"/>
              <w:spacing w:after="0"/>
              <w:rPr>
                <w:sz w:val="20"/>
                <w:szCs w:val="20"/>
                <w:color w:val="auto"/>
              </w:rPr>
            </w:pPr>
            <w:r>
              <w:rPr>
                <w:rFonts w:ascii="Arial" w:cs="Arial" w:eastAsia="Arial" w:hAnsi="Arial"/>
                <w:sz w:val="16"/>
                <w:szCs w:val="16"/>
                <w:color w:val="auto"/>
              </w:rPr>
              <w:t>Estimated fair value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1,171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
              <w:spacing w:after="0"/>
              <w:rPr>
                <w:sz w:val="20"/>
                <w:szCs w:val="20"/>
                <w:color w:val="auto"/>
              </w:rPr>
            </w:pPr>
            <w:r>
              <w:rPr>
                <w:rFonts w:ascii="Arial" w:cs="Arial" w:eastAsia="Arial" w:hAnsi="Arial"/>
                <w:sz w:val="16"/>
                <w:szCs w:val="16"/>
                <w:color w:val="auto"/>
              </w:rPr>
              <w:t>12,716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6"/>
              <w:spacing w:after="0"/>
              <w:rPr>
                <w:sz w:val="20"/>
                <w:szCs w:val="20"/>
                <w:color w:val="auto"/>
              </w:rPr>
            </w:pPr>
            <w:r>
              <w:rPr>
                <w:rFonts w:ascii="Arial" w:cs="Arial" w:eastAsia="Arial" w:hAnsi="Arial"/>
                <w:sz w:val="16"/>
                <w:szCs w:val="16"/>
                <w:color w:val="auto"/>
              </w:rPr>
              <w:t>14,982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5"/>
              <w:spacing w:after="0"/>
              <w:rPr>
                <w:sz w:val="20"/>
                <w:szCs w:val="20"/>
                <w:color w:val="auto"/>
              </w:rPr>
            </w:pPr>
            <w:r>
              <w:rPr>
                <w:rFonts w:ascii="Arial" w:cs="Arial" w:eastAsia="Arial" w:hAnsi="Arial"/>
                <w:sz w:val="16"/>
                <w:szCs w:val="16"/>
                <w:color w:val="auto"/>
              </w:rPr>
              <w:t>26,724</w:t>
            </w:r>
          </w:p>
        </w:tc>
        <w:tc>
          <w:tcPr>
            <w:tcW w:w="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19,678</w:t>
            </w:r>
          </w:p>
        </w:tc>
        <w:tc>
          <w:tcPr>
            <w:tcW w:w="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75,271</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ind w:left="320" w:hanging="314"/>
        <w:spacing w:after="0" w:line="264" w:lineRule="auto"/>
        <w:tabs>
          <w:tab w:leader="none" w:pos="314"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Structured securities include residential mortgage-backed securities (“RMBS”), commercial mortgage-backed securities (“CMBS”) and asset-backed securities (“ABS”) (collectively, “Structured Securities”).</w:t>
      </w:r>
    </w:p>
    <w:p>
      <w:pPr>
        <w:spacing w:after="0" w:line="7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Securities by Sector</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jc w:val="right"/>
              <w:ind w:right="309"/>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jc w:val="right"/>
              <w:ind w:right="329"/>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8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1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4"/>
          </w:tcPr>
          <w:p>
            <w:pPr>
              <w:jc w:val="right"/>
              <w:ind w:right="289"/>
              <w:spacing w:after="0"/>
              <w:rPr>
                <w:sz w:val="20"/>
                <w:szCs w:val="20"/>
                <w:color w:val="auto"/>
              </w:rPr>
            </w:pPr>
            <w:r>
              <w:rPr>
                <w:rFonts w:ascii="Arial" w:cs="Arial" w:eastAsia="Arial" w:hAnsi="Arial"/>
                <w:sz w:val="14"/>
                <w:szCs w:val="14"/>
                <w:b w:val="1"/>
                <w:bCs w:val="1"/>
                <w:color w:val="auto"/>
              </w:rPr>
              <w:t>12 Months or Greater</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4"/>
          </w:tcPr>
          <w:p>
            <w:pPr>
              <w:jc w:val="right"/>
              <w:ind w:right="289"/>
              <w:spacing w:after="0"/>
              <w:rPr>
                <w:sz w:val="20"/>
                <w:szCs w:val="20"/>
                <w:color w:val="auto"/>
              </w:rPr>
            </w:pPr>
            <w:r>
              <w:rPr>
                <w:rFonts w:ascii="Arial" w:cs="Arial" w:eastAsia="Arial" w:hAnsi="Arial"/>
                <w:sz w:val="14"/>
                <w:szCs w:val="14"/>
                <w:b w:val="1"/>
                <w:bCs w:val="1"/>
                <w:color w:val="auto"/>
              </w:rPr>
              <w:t>12 Months or Greater</w:t>
            </w:r>
          </w:p>
        </w:tc>
        <w:tc>
          <w:tcPr>
            <w:tcW w:w="0" w:type="dxa"/>
            <w:vAlign w:val="bottom"/>
          </w:tcPr>
          <w:p>
            <w:pPr>
              <w:spacing w:after="0"/>
              <w:rPr>
                <w:sz w:val="1"/>
                <w:szCs w:val="1"/>
                <w:color w:val="auto"/>
              </w:rPr>
            </w:pPr>
          </w:p>
        </w:tc>
      </w:tr>
      <w:tr>
        <w:trPr>
          <w:trHeight w:val="136"/>
        </w:trPr>
        <w:tc>
          <w:tcPr>
            <w:tcW w:w="28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9"/>
              <w:spacing w:after="0" w:line="137" w:lineRule="exact"/>
              <w:rPr>
                <w:sz w:val="20"/>
                <w:szCs w:val="20"/>
                <w:color w:val="auto"/>
              </w:rPr>
            </w:pPr>
            <w:r>
              <w:rPr>
                <w:rFonts w:ascii="Arial" w:cs="Arial" w:eastAsia="Arial" w:hAnsi="Arial"/>
                <w:sz w:val="14"/>
                <w:szCs w:val="14"/>
                <w:b w:val="1"/>
                <w:bCs w:val="1"/>
                <w:color w:val="auto"/>
                <w:w w:val="89"/>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3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9"/>
              <w:spacing w:after="0" w:line="137" w:lineRule="exact"/>
              <w:rPr>
                <w:sz w:val="20"/>
                <w:szCs w:val="20"/>
                <w:color w:val="auto"/>
              </w:rPr>
            </w:pPr>
            <w:r>
              <w:rPr>
                <w:rFonts w:ascii="Arial" w:cs="Arial" w:eastAsia="Arial" w:hAnsi="Arial"/>
                <w:sz w:val="14"/>
                <w:szCs w:val="14"/>
                <w:b w:val="1"/>
                <w:bCs w:val="1"/>
                <w:color w:val="auto"/>
                <w:w w:val="89"/>
              </w:rPr>
              <w:t>Estimated</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3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9"/>
              <w:spacing w:after="0" w:line="137" w:lineRule="exact"/>
              <w:rPr>
                <w:sz w:val="20"/>
                <w:szCs w:val="20"/>
                <w:color w:val="auto"/>
              </w:rPr>
            </w:pPr>
            <w:r>
              <w:rPr>
                <w:rFonts w:ascii="Arial" w:cs="Arial" w:eastAsia="Arial" w:hAnsi="Arial"/>
                <w:sz w:val="14"/>
                <w:szCs w:val="14"/>
                <w:b w:val="1"/>
                <w:bCs w:val="1"/>
                <w:color w:val="auto"/>
                <w:w w:val="92"/>
              </w:rPr>
              <w:t>Estimated</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3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49"/>
              <w:spacing w:after="0" w:line="137" w:lineRule="exact"/>
              <w:rPr>
                <w:sz w:val="20"/>
                <w:szCs w:val="20"/>
                <w:color w:val="auto"/>
              </w:rPr>
            </w:pPr>
            <w:r>
              <w:rPr>
                <w:rFonts w:ascii="Arial" w:cs="Arial" w:eastAsia="Arial" w:hAnsi="Arial"/>
                <w:sz w:val="14"/>
                <w:szCs w:val="14"/>
                <w:b w:val="1"/>
                <w:bCs w:val="1"/>
                <w:color w:val="auto"/>
                <w:w w:val="92"/>
              </w:rPr>
              <w:t>Estimated</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37"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9"/>
              <w:spacing w:after="0" w:line="142"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00" w:type="dxa"/>
            <w:vAlign w:val="bottom"/>
          </w:tcPr>
          <w:p>
            <w:pPr>
              <w:jc w:val="center"/>
              <w:ind w:right="69"/>
              <w:spacing w:after="0" w:line="142"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800" w:type="dxa"/>
            <w:vAlign w:val="bottom"/>
          </w:tcPr>
          <w:p>
            <w:pPr>
              <w:jc w:val="center"/>
              <w:ind w:right="29"/>
              <w:spacing w:after="0" w:line="142"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820" w:type="dxa"/>
            <w:vAlign w:val="bottom"/>
          </w:tcPr>
          <w:p>
            <w:pPr>
              <w:jc w:val="center"/>
              <w:ind w:right="49"/>
              <w:spacing w:after="0" w:line="142"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49"/>
              <w:spacing w:after="0" w:line="142"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1"/>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tcPr>
          <w:p>
            <w:pPr>
              <w:jc w:val="right"/>
              <w:ind w:right="289"/>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8,598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Arial" w:cs="Arial" w:eastAsia="Arial" w:hAnsi="Arial"/>
                <w:sz w:val="14"/>
                <w:szCs w:val="14"/>
                <w:color w:val="auto"/>
              </w:rPr>
              <w:t>RMBS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284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4"/>
        </w:trPr>
        <w:tc>
          <w:tcPr>
            <w:tcW w:w="2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ind w:left="180"/>
              <w:spacing w:after="0" w:line="127" w:lineRule="exact"/>
              <w:rPr>
                <w:sz w:val="20"/>
                <w:szCs w:val="20"/>
                <w:color w:val="auto"/>
              </w:rPr>
            </w:pPr>
            <w:r>
              <w:rPr>
                <w:rFonts w:ascii="Arial" w:cs="Arial" w:eastAsia="Arial" w:hAnsi="Arial"/>
                <w:sz w:val="14"/>
                <w:szCs w:val="14"/>
                <w:color w:val="auto"/>
              </w:rPr>
              <w:t>Total number of securities in an unrealized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8,049</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2,454</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840" w:type="dxa"/>
            <w:vAlign w:val="bottom"/>
          </w:tcPr>
          <w:p>
            <w:pPr>
              <w:ind w:left="340"/>
              <w:spacing w:after="0"/>
              <w:rPr>
                <w:sz w:val="20"/>
                <w:szCs w:val="20"/>
                <w:color w:val="auto"/>
              </w:rPr>
            </w:pPr>
            <w:r>
              <w:rPr>
                <w:rFonts w:ascii="Arial" w:cs="Arial" w:eastAsia="Arial" w:hAnsi="Arial"/>
                <w:sz w:val="14"/>
                <w:szCs w:val="14"/>
                <w:color w:val="auto"/>
              </w:rPr>
              <w:t>loss position</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Fixed Maturity Securities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1" w:lineRule="exact"/>
        <w:rPr>
          <w:sz w:val="20"/>
          <w:szCs w:val="20"/>
          <w:color w:val="auto"/>
        </w:rPr>
      </w:pPr>
    </w:p>
    <w:p>
      <w:pPr>
        <w:jc w:val="both"/>
        <w:ind w:left="320" w:firstLine="318"/>
        <w:spacing w:after="0" w:line="301" w:lineRule="auto"/>
        <w:rPr>
          <w:sz w:val="20"/>
          <w:szCs w:val="20"/>
          <w:color w:val="auto"/>
        </w:rPr>
      </w:pPr>
      <w:r>
        <w:rPr>
          <w:rFonts w:ascii="Arial" w:cs="Arial" w:eastAsia="Arial" w:hAnsi="Arial"/>
          <w:sz w:val="15"/>
          <w:szCs w:val="15"/>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OCI.</w:t>
      </w:r>
    </w:p>
    <w:p>
      <w:pPr>
        <w:spacing w:after="0" w:line="266"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82"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82"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$634 million and $534 million at September 30, 2022 and December 31, 2021, respectively, and is included in accrued investment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jc w:val="both"/>
        <w:ind w:left="320" w:firstLine="318"/>
        <w:spacing w:after="0" w:line="305" w:lineRule="auto"/>
        <w:rPr>
          <w:sz w:val="20"/>
          <w:szCs w:val="20"/>
          <w:color w:val="auto"/>
        </w:rPr>
      </w:pPr>
      <w:r>
        <w:rPr>
          <w:rFonts w:ascii="Arial" w:cs="Arial" w:eastAsia="Arial" w:hAnsi="Arial"/>
          <w:sz w:val="15"/>
          <w:szCs w:val="15"/>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1" w:lineRule="exact"/>
        <w:rPr>
          <w:sz w:val="20"/>
          <w:szCs w:val="20"/>
          <w:color w:val="auto"/>
        </w:rPr>
      </w:pPr>
    </w:p>
    <w:p>
      <w:pPr>
        <w:jc w:val="both"/>
        <w:ind w:left="320" w:firstLine="318"/>
        <w:spacing w:after="0" w:line="306" w:lineRule="auto"/>
        <w:rPr>
          <w:sz w:val="20"/>
          <w:szCs w:val="20"/>
          <w:color w:val="auto"/>
        </w:rPr>
      </w:pPr>
      <w:r>
        <w:rPr>
          <w:rFonts w:ascii="Arial" w:cs="Arial" w:eastAsia="Arial" w:hAnsi="Arial"/>
          <w:sz w:val="15"/>
          <w:szCs w:val="15"/>
          <w:color w:val="auto"/>
        </w:rPr>
        <w:t>Based on the Company’s current evaluation of its fixed maturity securities in an unrealized loss position and the current intent or requirement to sell, the Company recorded an allowance for credit losses of $5 million, relating to thirteen securities at September 30, 2022.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Allowance for Credit Losses for Fixed Maturity Securities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allowance for credit losses for fixed maturity securities was $5 million and $11 million at September 30, 2022 and December 31, 2021, respectively. For both the nine months ended September 30, 2022 and 2021, the change in the allowance for fixed maturity securities by sector was immaterial. The Company recorded total write-offs of $10 million for the nine months ended September 30, 2022. The Company did not record any write-offs for the nine months ended September 30,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Mortgage loans are summarized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4"/>
          </w:tcPr>
          <w:p>
            <w:pPr>
              <w:ind w:left="520"/>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Pr>
          <w:p>
            <w:pPr>
              <w:spacing w:after="0"/>
              <w:rPr>
                <w:sz w:val="15"/>
                <w:szCs w:val="15"/>
                <w:color w:val="auto"/>
              </w:rPr>
            </w:pPr>
          </w:p>
        </w:tc>
        <w:tc>
          <w:tcPr>
            <w:tcW w:w="2420" w:type="dxa"/>
            <w:vAlign w:val="bottom"/>
            <w:gridSpan w:val="3"/>
          </w:tcPr>
          <w:p>
            <w:pPr>
              <w:jc w:val="right"/>
              <w:ind w:right="683"/>
              <w:spacing w:after="0"/>
              <w:rPr>
                <w:sz w:val="20"/>
                <w:szCs w:val="20"/>
                <w:color w:val="auto"/>
              </w:rPr>
            </w:pPr>
            <w:r>
              <w:rPr>
                <w:rFonts w:ascii="Arial" w:cs="Arial" w:eastAsia="Arial" w:hAnsi="Arial"/>
                <w:sz w:val="14"/>
                <w:szCs w:val="14"/>
                <w:b w:val="1"/>
                <w:bCs w:val="1"/>
                <w:color w:val="auto"/>
              </w:rPr>
              <w:t>December 31, 2021</w:t>
            </w:r>
          </w:p>
        </w:tc>
      </w:tr>
      <w:tr>
        <w:trPr>
          <w:trHeight w:val="24"/>
        </w:trPr>
        <w:tc>
          <w:tcPr>
            <w:tcW w:w="5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130"/>
        </w:trPr>
        <w:tc>
          <w:tcPr>
            <w:tcW w:w="58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97"/>
              </w:rPr>
              <w:t>Carrying</w:t>
            </w:r>
          </w:p>
        </w:tc>
        <w:tc>
          <w:tcPr>
            <w:tcW w:w="1260" w:type="dxa"/>
            <w:vAlign w:val="bottom"/>
            <w:tcBorders>
              <w:top w:val="single" w:sz="8" w:color="auto"/>
            </w:tcBorders>
          </w:tcPr>
          <w:p>
            <w:pPr>
              <w:ind w:left="480"/>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97"/>
              </w:rPr>
              <w:t>Carrying</w:t>
            </w:r>
          </w:p>
        </w:tc>
        <w:tc>
          <w:tcPr>
            <w:tcW w:w="1240" w:type="dxa"/>
            <w:vAlign w:val="bottom"/>
            <w:tcBorders>
              <w:top w:val="single" w:sz="8" w:color="auto"/>
            </w:tcBorders>
          </w:tcPr>
          <w:p>
            <w:pPr>
              <w:jc w:val="right"/>
              <w:ind w:right="423"/>
              <w:spacing w:after="0" w:line="130" w:lineRule="exact"/>
              <w:rPr>
                <w:sz w:val="20"/>
                <w:szCs w:val="20"/>
                <w:color w:val="auto"/>
              </w:rPr>
            </w:pPr>
            <w:r>
              <w:rPr>
                <w:rFonts w:ascii="Arial" w:cs="Arial" w:eastAsia="Arial" w:hAnsi="Arial"/>
                <w:sz w:val="14"/>
                <w:szCs w:val="14"/>
                <w:b w:val="1"/>
                <w:bCs w:val="1"/>
                <w:color w:val="auto"/>
              </w:rPr>
              <w:t>% of</w:t>
            </w:r>
          </w:p>
        </w:tc>
      </w:tr>
      <w:tr>
        <w:trPr>
          <w:trHeight w:val="189"/>
        </w:trPr>
        <w:tc>
          <w:tcPr>
            <w:tcW w:w="5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36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Total</w:t>
            </w:r>
          </w:p>
        </w:tc>
      </w:tr>
      <w:tr>
        <w:trPr>
          <w:trHeight w:val="190"/>
        </w:trPr>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5"/>
          </w:tcPr>
          <w:p>
            <w:pPr>
              <w:ind w:left="700"/>
              <w:spacing w:after="0"/>
              <w:rPr>
                <w:sz w:val="20"/>
                <w:szCs w:val="20"/>
                <w:color w:val="auto"/>
              </w:rPr>
            </w:pPr>
            <w:r>
              <w:rPr>
                <w:rFonts w:ascii="Arial" w:cs="Arial" w:eastAsia="Arial" w:hAnsi="Arial"/>
                <w:sz w:val="14"/>
                <w:szCs w:val="14"/>
                <w:b w:val="1"/>
                <w:bCs w:val="1"/>
                <w:color w:val="auto"/>
              </w:rPr>
              <w:t>(Dollars in millions)</w:t>
            </w:r>
          </w:p>
        </w:tc>
        <w:tc>
          <w:tcPr>
            <w:tcW w:w="1240" w:type="dxa"/>
            <w:vAlign w:val="bottom"/>
          </w:tcPr>
          <w:p>
            <w:pPr>
              <w:spacing w:after="0"/>
              <w:rPr>
                <w:sz w:val="16"/>
                <w:szCs w:val="16"/>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12,187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61.4 %</w:t>
            </w: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4,216</w:t>
            </w:r>
          </w:p>
        </w:tc>
        <w:tc>
          <w:tcPr>
            <w:tcW w:w="100" w:type="dxa"/>
            <w:vAlign w:val="bottom"/>
          </w:tcPr>
          <w:p>
            <w:pPr>
              <w:spacing w:after="0"/>
              <w:rPr>
                <w:sz w:val="18"/>
                <w:szCs w:val="18"/>
                <w:color w:val="auto"/>
              </w:rPr>
            </w:pPr>
          </w:p>
        </w:tc>
        <w:tc>
          <w:tcPr>
            <w:tcW w:w="1260" w:type="dxa"/>
            <w:vAlign w:val="bottom"/>
          </w:tcPr>
          <w:p>
            <w:pPr>
              <w:jc w:val="right"/>
              <w:ind w:right="123"/>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18"/>
                <w:szCs w:val="18"/>
                <w:color w:val="auto"/>
              </w:rPr>
            </w:pP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21.0</w:t>
            </w: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4,686</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18.2</w:t>
            </w:r>
          </w:p>
        </w:tc>
      </w:tr>
      <w:tr>
        <w:trPr>
          <w:trHeight w:val="203"/>
        </w:trPr>
        <w:tc>
          <w:tcPr>
            <w:tcW w:w="5800" w:type="dxa"/>
            <w:vAlign w:val="bottom"/>
          </w:tcPr>
          <w:p>
            <w:pPr>
              <w:ind w:left="180"/>
              <w:spacing w:after="0"/>
              <w:rPr>
                <w:sz w:val="20"/>
                <w:szCs w:val="20"/>
                <w:color w:val="auto"/>
              </w:rPr>
            </w:pPr>
            <w:r>
              <w:rPr>
                <w:rFonts w:ascii="Arial" w:cs="Arial" w:eastAsia="Arial" w:hAnsi="Arial"/>
                <w:sz w:val="16"/>
                <w:szCs w:val="16"/>
                <w:color w:val="auto"/>
              </w:rPr>
              <w:t>Total mortgage loans (1)</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22,188</w:t>
            </w:r>
          </w:p>
        </w:tc>
        <w:tc>
          <w:tcPr>
            <w:tcW w:w="100" w:type="dxa"/>
            <w:vAlign w:val="bottom"/>
          </w:tcPr>
          <w:p>
            <w:pPr>
              <w:spacing w:after="0"/>
              <w:rPr>
                <w:sz w:val="17"/>
                <w:szCs w:val="17"/>
                <w:color w:val="auto"/>
              </w:rPr>
            </w:pPr>
          </w:p>
        </w:tc>
        <w:tc>
          <w:tcPr>
            <w:tcW w:w="1260" w:type="dxa"/>
            <w:vAlign w:val="bottom"/>
          </w:tcPr>
          <w:p>
            <w:pPr>
              <w:jc w:val="right"/>
              <w:ind w:right="123"/>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19,973</w:t>
            </w:r>
          </w:p>
        </w:tc>
        <w:tc>
          <w:tcPr>
            <w:tcW w:w="100" w:type="dxa"/>
            <w:vAlign w:val="bottom"/>
          </w:tcPr>
          <w:p>
            <w:pPr>
              <w:spacing w:after="0"/>
              <w:rPr>
                <w:sz w:val="17"/>
                <w:szCs w:val="17"/>
                <w:color w:val="auto"/>
              </w:rPr>
            </w:pP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100.6</w:t>
            </w: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(0.6)</w:t>
            </w: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Total mortgage loans, net</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22,089</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19,850</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of mortgage loans from third parties were $387 million and $1.6 billion for the three months and nine months ended September 30, 2022, respectively, and $698 million and $1.5 billion for the three months and nine months ended September 30, 2021, respectively, and were primarily comprised of residential mortgage loans.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200" w:lineRule="exact"/>
        <w:rPr>
          <w:rFonts w:ascii="Arial" w:cs="Arial" w:eastAsia="Arial" w:hAnsi="Arial"/>
          <w:sz w:val="18"/>
          <w:szCs w:val="18"/>
          <w:b w:val="1"/>
          <w:bCs w:val="1"/>
          <w:color w:val="auto"/>
        </w:rPr>
      </w:pPr>
    </w:p>
    <w:p>
      <w:pPr>
        <w:spacing w:after="0" w:line="367" w:lineRule="exact"/>
        <w:rPr>
          <w:rFonts w:ascii="Arial" w:cs="Arial" w:eastAsia="Arial" w:hAnsi="Arial"/>
          <w:sz w:val="18"/>
          <w:szCs w:val="18"/>
          <w:b w:val="1"/>
          <w:bCs w:val="1"/>
          <w:color w:val="auto"/>
        </w:rPr>
      </w:pPr>
    </w:p>
    <w:p>
      <w:pPr>
        <w:ind w:left="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Allowance for Credit Losses for Mortgage Loans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82"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7"/>
          <w:szCs w:val="17"/>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For mortgage loans that are granted payment deferrals due to the COVID-19 pandemic, interest continues to be accrued during the deferral period if the loan was less than 30 days past due at December 31, 2019 and performing at the onset of the pandemic. Accrued interest on COVID-19 pandemic impacted loans was not significant at both September 30, 2022 and December 31, 2021. The accrued interest receivable on mortgage loans is included in accrued investment income and totaled $103 million and $95 million at September 30, 2022 and December 31, 2021, respectively.</w:t>
      </w:r>
    </w:p>
    <w:p>
      <w:pPr>
        <w:spacing w:after="0" w:line="79"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two-years is used with an input reversion period of one-year.</w:t>
      </w:r>
    </w:p>
    <w:p>
      <w:pPr>
        <w:spacing w:after="0" w:line="85"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expected troubled debt restructurings (“TDR”), foreclosure probable loans, and loans with dissimilar risk characteristics.</w:t>
      </w:r>
    </w:p>
    <w:p>
      <w:pPr>
        <w:spacing w:after="0" w:line="90"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jc w:val="right"/>
        <w:ind w:left="320" w:right="4580"/>
        <w:spacing w:after="0" w:line="513" w:lineRule="auto"/>
        <w:rPr>
          <w:sz w:val="20"/>
          <w:szCs w:val="20"/>
          <w:color w:val="auto"/>
        </w:rPr>
      </w:pPr>
      <w:r>
        <w:rPr>
          <w:rFonts w:ascii="Arial" w:cs="Arial" w:eastAsia="Arial" w:hAnsi="Arial"/>
          <w:sz w:val="15"/>
          <w:szCs w:val="15"/>
          <w:i w:val="1"/>
          <w:iCs w:val="1"/>
          <w:u w:val="single" w:color="auto"/>
          <w:color w:val="auto"/>
        </w:rPr>
        <w:t xml:space="preserve">Rollforward of the Allowance for Credit Losses for Mortgage Loans by Portfolio Segment </w:t>
      </w:r>
      <w:r>
        <w:rPr>
          <w:rFonts w:ascii="Arial" w:cs="Arial" w:eastAsia="Arial" w:hAnsi="Arial"/>
          <w:sz w:val="15"/>
          <w:szCs w:val="15"/>
          <w:color w:val="auto"/>
        </w:rPr>
        <w:t>The changes in the allowance for credit losses by portfolio segment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Agricultural</w:t>
            </w:r>
          </w:p>
        </w:tc>
        <w:tc>
          <w:tcPr>
            <w:tcW w:w="18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Pr>
          <w:p>
            <w:pPr>
              <w:spacing w:after="0"/>
              <w:rPr>
                <w:sz w:val="15"/>
                <w:szCs w:val="15"/>
                <w:color w:val="auto"/>
              </w:rPr>
            </w:pPr>
          </w:p>
        </w:tc>
        <w:tc>
          <w:tcPr>
            <w:tcW w:w="700" w:type="dxa"/>
            <w:vAlign w:val="bottom"/>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4"/>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provision</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Arial" w:cs="Arial" w:eastAsia="Arial" w:hAnsi="Arial"/>
                <w:sz w:val="16"/>
                <w:szCs w:val="16"/>
                <w:color w:val="auto"/>
              </w:rPr>
              <w:t>Charge-offs, net of recoveries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3"/>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Nine Months Ended September 30, 2021</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Arial" w:cs="Arial" w:eastAsia="Arial" w:hAnsi="Arial"/>
                <w:sz w:val="16"/>
                <w:szCs w:val="16"/>
                <w:color w:val="auto"/>
              </w:rPr>
              <w:t>Current period provision</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PCD credit allowance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682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Credit Quality of Mortgage Loans by Portfolio Segment</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amortized cost of mortgage loans by year of origination and credit quality indicator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20" w:type="dxa"/>
            <w:vAlign w:val="bottom"/>
          </w:tcPr>
          <w:p>
            <w:pPr>
              <w:spacing w:after="0"/>
              <w:rPr>
                <w:sz w:val="15"/>
                <w:szCs w:val="15"/>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24"/>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5"/>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Commercial mortgage loans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2,754</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1,474</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946</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3,776</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10,856</w:t>
            </w: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w:t>
            </w: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76% to 80%</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03"/>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commercial mortgage loans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1,927</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3,224</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1,881</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1,435</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4,373</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13,286</w:t>
            </w:r>
          </w:p>
        </w:tc>
      </w:tr>
      <w:tr>
        <w:trPr>
          <w:trHeight w:val="19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Agricultural mortgage loans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w:t>
            </w: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agricultural mortgage loans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4,216</w:t>
            </w:r>
          </w:p>
        </w:tc>
      </w:tr>
      <w:tr>
        <w:trPr>
          <w:trHeight w:val="19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Residential mortgage loans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Performing</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4,627</w:t>
            </w: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Nonperforming</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3"/>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residential mortgage loans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4,686</w:t>
            </w:r>
          </w:p>
        </w:tc>
      </w:tr>
      <w:tr>
        <w:trPr>
          <w:trHeight w:val="233"/>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3,286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22,188</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6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4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w:t>
            </w:r>
          </w:p>
        </w:tc>
      </w:tr>
      <w:tr>
        <w:trPr>
          <w:trHeight w:val="24"/>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5"/>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Commercial mortgage loans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2,771</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1,539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3,303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9,590</w:t>
            </w: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2,123</w:t>
            </w: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76% to 80%</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174</w:t>
            </w: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w:t>
            </w:r>
          </w:p>
        </w:tc>
      </w:tr>
      <w:tr>
        <w:trPr>
          <w:trHeight w:val="203"/>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commercial mortgage loans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3,404</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741</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4,085</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12,187</w:t>
            </w:r>
          </w:p>
        </w:tc>
      </w:tr>
      <w:tr>
        <w:trPr>
          <w:trHeight w:val="19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Agricultural mortgage loans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3,800</w:t>
            </w:r>
          </w:p>
        </w:tc>
      </w:tr>
      <w:tr>
        <w:trPr>
          <w:trHeight w:val="210"/>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363</w:t>
            </w:r>
          </w:p>
        </w:tc>
      </w:tr>
      <w:tr>
        <w:trPr>
          <w:trHeight w:val="208"/>
        </w:trPr>
        <w:tc>
          <w:tcPr>
            <w:tcW w:w="3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agricultural mortgage loans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4,163</w:t>
            </w:r>
          </w:p>
        </w:tc>
      </w:tr>
      <w:tr>
        <w:trPr>
          <w:trHeight w:val="190"/>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Residential mortgage loans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3,564</w:t>
            </w: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Nonperforming</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59</w:t>
            </w:r>
          </w:p>
        </w:tc>
      </w:tr>
      <w:tr>
        <w:trPr>
          <w:trHeight w:val="205"/>
        </w:trPr>
        <w:tc>
          <w:tcPr>
            <w:tcW w:w="3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residential mortgage loans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1,125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133</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3,623</w:t>
            </w:r>
          </w:p>
        </w:tc>
      </w:tr>
      <w:tr>
        <w:trPr>
          <w:trHeight w:val="208"/>
        </w:trPr>
        <w:tc>
          <w:tcPr>
            <w:tcW w:w="364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5,793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19,973</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amortized cost of commercial mortgage loans by debt-service coverage ratio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4"/>
          </w:tcPr>
          <w:p>
            <w:pPr>
              <w:ind w:left="68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5"/>
                <w:szCs w:val="15"/>
                <w:color w:val="auto"/>
              </w:rPr>
            </w:pPr>
          </w:p>
        </w:tc>
        <w:tc>
          <w:tcPr>
            <w:tcW w:w="2640" w:type="dxa"/>
            <w:vAlign w:val="bottom"/>
            <w:gridSpan w:val="3"/>
          </w:tcPr>
          <w:p>
            <w:pPr>
              <w:jc w:val="right"/>
              <w:ind w:right="74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380" w:type="dxa"/>
            <w:vAlign w:val="bottom"/>
            <w:tcBorders>
              <w:top w:val="single" w:sz="8" w:color="auto"/>
            </w:tcBorders>
          </w:tcPr>
          <w:p>
            <w:pPr>
              <w:ind w:left="540"/>
              <w:spacing w:after="0" w:line="126"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380" w:type="dxa"/>
            <w:vAlign w:val="bottom"/>
            <w:tcBorders>
              <w:top w:val="single" w:sz="8" w:color="auto"/>
            </w:tcBorders>
          </w:tcPr>
          <w:p>
            <w:pPr>
              <w:jc w:val="right"/>
              <w:ind w:right="463"/>
              <w:spacing w:after="0" w:line="126"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50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ind w:left="840"/>
              <w:spacing w:after="0"/>
              <w:rPr>
                <w:sz w:val="20"/>
                <w:szCs w:val="20"/>
                <w:color w:val="auto"/>
              </w:rPr>
            </w:pPr>
            <w:r>
              <w:rPr>
                <w:rFonts w:ascii="Arial" w:cs="Arial" w:eastAsia="Arial" w:hAnsi="Arial"/>
                <w:sz w:val="14"/>
                <w:szCs w:val="14"/>
                <w:b w:val="1"/>
                <w:bCs w:val="1"/>
                <w:color w:val="auto"/>
              </w:rPr>
              <w:t>(Dollars in millions)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Debt-service coverage ratios: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20"/>
              <w:spacing w:after="0"/>
              <w:rPr>
                <w:sz w:val="20"/>
                <w:szCs w:val="20"/>
                <w:color w:val="auto"/>
              </w:rPr>
            </w:pPr>
            <w:r>
              <w:rPr>
                <w:rFonts w:ascii="Arial" w:cs="Arial" w:eastAsia="Arial" w:hAnsi="Arial"/>
                <w:sz w:val="16"/>
                <w:szCs w:val="16"/>
                <w:color w:val="auto"/>
              </w:rPr>
              <w:t>Greater than 1.20x</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11,808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88.9 %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10,289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84.4 %</w:t>
            </w:r>
          </w:p>
        </w:tc>
        <w:tc>
          <w:tcPr>
            <w:tcW w:w="0" w:type="dxa"/>
            <w:vAlign w:val="bottom"/>
          </w:tcPr>
          <w:p>
            <w:pPr>
              <w:spacing w:after="0"/>
              <w:rPr>
                <w:sz w:val="1"/>
                <w:szCs w:val="1"/>
                <w:color w:val="auto"/>
              </w:rPr>
            </w:pPr>
          </w:p>
        </w:tc>
      </w:tr>
      <w:tr>
        <w:trPr>
          <w:trHeight w:val="215"/>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1.00x - 1.20x</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than 1.00x</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13,286</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Past Due Mortgage Loans by Portfolio Segment</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The Company has a high-quality, well-performing mortgage loan portfolio, with over 99% of all mortgage loans classified as performing at both September 30, 2022 and December 31, 2021. Delinquency is defined consistent with industry practice, when mortgage loans are past due as follows: commercial and residential mortgage loans — 60 days; and agricultural mortgage loans — 90 days. To the extent a payment deferral is agreed to with a borrower, in response to the COVID-19 pandemic, the past due status of the impacted loans during the forbearance period is locked-in as of March 1, 2020, which reflects the date on which the COVID-19 pandemic began to affect the borrower’s ability to make payments. At September 30, 2022 and December 31, 2021, $23 million and $30 million, respectively, of the COVID-19 pandemic modified loans were classified as delinquent.</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aging of the amortized cost of past due mortgage loans by portfolio segment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5"/>
        </w:trPr>
        <w:tc>
          <w:tcPr>
            <w:tcW w:w="22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Agricultural</w:t>
            </w: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Agricultural</w:t>
            </w: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Total</w:t>
            </w:r>
          </w:p>
        </w:tc>
      </w:tr>
      <w:tr>
        <w:trPr>
          <w:trHeight w:val="191"/>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22,048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19,900</w:t>
            </w:r>
          </w:p>
        </w:tc>
      </w:tr>
      <w:tr>
        <w:trPr>
          <w:trHeight w:val="210"/>
        </w:trPr>
        <w:tc>
          <w:tcPr>
            <w:tcW w:w="2240" w:type="dxa"/>
            <w:vAlign w:val="bottom"/>
          </w:tcPr>
          <w:p>
            <w:pPr>
              <w:ind w:left="20"/>
              <w:spacing w:after="0"/>
              <w:rPr>
                <w:sz w:val="20"/>
                <w:szCs w:val="20"/>
                <w:color w:val="auto"/>
              </w:rPr>
            </w:pPr>
            <w:r>
              <w:rPr>
                <w:rFonts w:ascii="Arial" w:cs="Arial" w:eastAsia="Arial" w:hAnsi="Arial"/>
                <w:sz w:val="16"/>
                <w:szCs w:val="16"/>
                <w:color w:val="auto"/>
              </w:rPr>
              <w:t>30-59 days past due</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4"/>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60-89 days past due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2240" w:type="dxa"/>
            <w:vAlign w:val="bottom"/>
          </w:tcPr>
          <w:p>
            <w:pPr>
              <w:ind w:left="20"/>
              <w:spacing w:after="0"/>
              <w:rPr>
                <w:sz w:val="20"/>
                <w:szCs w:val="20"/>
                <w:color w:val="auto"/>
              </w:rPr>
            </w:pPr>
            <w:r>
              <w:rPr>
                <w:rFonts w:ascii="Arial" w:cs="Arial" w:eastAsia="Arial" w:hAnsi="Arial"/>
                <w:sz w:val="16"/>
                <w:szCs w:val="16"/>
                <w:color w:val="auto"/>
              </w:rPr>
              <w:t>90-179 days past due</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180+ days past due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380"/>
        </w:trPr>
        <w:tc>
          <w:tcPr>
            <w:tcW w:w="224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13,286</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4,216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4,686</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22,188</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12,187</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3,623</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19,973</w:t>
            </w:r>
          </w:p>
        </w:tc>
      </w:tr>
      <w:tr>
        <w:trPr>
          <w:trHeight w:val="20"/>
        </w:trPr>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Loans in Nonaccrual Status by Portfolio Segment</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Mortgage loans are placed in a nonaccrual status if there are concerns regarding collectability of future payments or the loan is past due, unless the past due loan is well collateralized. To the extent a payment deferral is agreed to with a borrower, in response to the COVID-19 pandemic, the impacted loans generally will not be reported as in a nonaccrual status during the period of deferral. A COVID-19 pandemic modified loan is only reported as a nonaccrual asset in the event a borrower declares bankruptcy, the borrower experiences significant credit deterioration such that the Company does not expect to collect all principal and interest due, or the loan was 90 days past due at the onset of the pandemic. At September 30, 2022 and December 31, 2021, $23 million and $30 million, respectively, of the COVID-19 pandemic modified loans were in nonaccrual status.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amortized cost of mortgage loans in a nonaccrual status by portfolio segment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ind w:left="140"/>
              <w:spacing w:after="0"/>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5"/>
                <w:szCs w:val="15"/>
                <w:color w:val="auto"/>
              </w:rPr>
            </w:pPr>
          </w:p>
        </w:tc>
        <w:tc>
          <w:tcPr>
            <w:tcW w:w="1260" w:type="dxa"/>
            <w:vAlign w:val="bottom"/>
          </w:tcPr>
          <w:p>
            <w:pPr>
              <w:jc w:val="right"/>
              <w:ind w:right="305"/>
              <w:spacing w:after="0"/>
              <w:rPr>
                <w:sz w:val="20"/>
                <w:szCs w:val="20"/>
                <w:color w:val="auto"/>
              </w:rPr>
            </w:pPr>
            <w:r>
              <w:rPr>
                <w:rFonts w:ascii="Arial" w:cs="Arial" w:eastAsia="Arial" w:hAnsi="Arial"/>
                <w:sz w:val="14"/>
                <w:szCs w:val="14"/>
                <w:b w:val="1"/>
                <w:bCs w:val="1"/>
                <w:color w:val="auto"/>
              </w:rPr>
              <w:t>Agricultural</w:t>
            </w:r>
          </w:p>
        </w:tc>
        <w:tc>
          <w:tcPr>
            <w:tcW w:w="440" w:type="dxa"/>
            <w:vAlign w:val="bottom"/>
          </w:tcPr>
          <w:p>
            <w:pPr>
              <w:spacing w:after="0"/>
              <w:rPr>
                <w:sz w:val="15"/>
                <w:szCs w:val="15"/>
                <w:color w:val="auto"/>
              </w:rPr>
            </w:pPr>
          </w:p>
        </w:tc>
        <w:tc>
          <w:tcPr>
            <w:tcW w:w="1120" w:type="dxa"/>
            <w:vAlign w:val="bottom"/>
          </w:tcPr>
          <w:p>
            <w:pPr>
              <w:jc w:val="right"/>
              <w:ind w:right="343"/>
              <w:spacing w:after="0"/>
              <w:rPr>
                <w:sz w:val="20"/>
                <w:szCs w:val="20"/>
                <w:color w:val="auto"/>
              </w:rPr>
            </w:pPr>
            <w:r>
              <w:rPr>
                <w:rFonts w:ascii="Arial" w:cs="Arial" w:eastAsia="Arial" w:hAnsi="Arial"/>
                <w:sz w:val="14"/>
                <w:szCs w:val="14"/>
                <w:b w:val="1"/>
                <w:bCs w:val="1"/>
                <w:color w:val="auto"/>
                <w:w w:val="90"/>
              </w:rPr>
              <w:t>Residential</w:t>
            </w:r>
          </w:p>
        </w:tc>
        <w:tc>
          <w:tcPr>
            <w:tcW w:w="420" w:type="dxa"/>
            <w:vAlign w:val="bottom"/>
          </w:tcPr>
          <w:p>
            <w:pPr>
              <w:spacing w:after="0"/>
              <w:rPr>
                <w:sz w:val="15"/>
                <w:szCs w:val="15"/>
                <w:color w:val="auto"/>
              </w:rPr>
            </w:pPr>
          </w:p>
        </w:tc>
        <w:tc>
          <w:tcPr>
            <w:tcW w:w="1120" w:type="dxa"/>
            <w:vAlign w:val="bottom"/>
          </w:tcPr>
          <w:p>
            <w:pPr>
              <w:jc w:val="right"/>
              <w:ind w:right="503"/>
              <w:spacing w:after="0"/>
              <w:rPr>
                <w:sz w:val="20"/>
                <w:szCs w:val="20"/>
                <w:color w:val="auto"/>
              </w:rPr>
            </w:pPr>
            <w:r>
              <w:rPr>
                <w:rFonts w:ascii="Arial" w:cs="Arial" w:eastAsia="Arial" w:hAnsi="Arial"/>
                <w:sz w:val="14"/>
                <w:szCs w:val="14"/>
                <w:b w:val="1"/>
                <w:bCs w:val="1"/>
                <w:color w:val="auto"/>
              </w:rPr>
              <w:t>Total</w:t>
            </w:r>
          </w:p>
        </w:tc>
      </w:tr>
      <w:tr>
        <w:trPr>
          <w:trHeight w:val="24"/>
        </w:trPr>
        <w:tc>
          <w:tcPr>
            <w:tcW w:w="5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2022</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w:t>
            </w:r>
          </w:p>
        </w:tc>
        <w:tc>
          <w:tcPr>
            <w:tcW w:w="4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07"/>
        </w:trPr>
        <w:tc>
          <w:tcPr>
            <w:tcW w:w="5100" w:type="dxa"/>
            <w:vAlign w:val="bottom"/>
          </w:tcPr>
          <w:p>
            <w:pPr>
              <w:ind w:left="20"/>
              <w:spacing w:after="0"/>
              <w:rPr>
                <w:sz w:val="20"/>
                <w:szCs w:val="20"/>
                <w:color w:val="auto"/>
              </w:rPr>
            </w:pPr>
            <w:r>
              <w:rPr>
                <w:rFonts w:ascii="Arial" w:cs="Arial" w:eastAsia="Arial" w:hAnsi="Arial"/>
                <w:sz w:val="16"/>
                <w:szCs w:val="16"/>
                <w:color w:val="auto"/>
              </w:rPr>
              <w:t>December 31, 2021</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59</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w:t>
            </w:r>
          </w:p>
        </w:tc>
      </w:tr>
    </w:tbl>
    <w:p>
      <w:pPr>
        <w:spacing w:after="0" w:line="178"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had $2 million and $0 of loans in nonaccrual status for which there was no related allowance for credit losses at September 30, 2022 and December 31, 2021, respectively. The $2 million of mortgage loans for which there was no related allowance for credit losses pertains to collateral dependent loans where the collateral value exceeds amortized cost.</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Current period investment income on mortgage loans in nonaccrual status was $1 million for both the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Modified Mortgage Loans by Portfolio Segment</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Under certain circumstances, modifications are granted to nonperforming mortgage loans. Each modification is evaluated to determine if a TDR has occurred. A modification is a TDR when the borrower is in financial difficulty and the creditor makes concessions. Generally, the types of concessions may include reducing the amount of debt owed, reducing the contractual interest rate, extending the maturity date at an interest rate lower than current market interest rates and/or reducing accrued interest. The Company did not have a significant amount of mortgage loans modified in a TDR during both the nine months ended September 30, 2022 and 2021.</w:t>
      </w:r>
    </w:p>
    <w:p>
      <w:pPr>
        <w:spacing w:after="0" w:line="88"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Short-term modifications made on a good faith basis to borrowers who were not more than 30 days past due at December 31, 2019 and in response to the COVID-19 pandemic are not considered TDRs.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Over 90% of other invested assets is comprised of freestanding derivatives with positive estimated fair values. See Note 5 for information about freestanding derivatives with positive estimated fair values. Other invested assets also includes Federal Home Loan Bank (“FHLB”) stock, tax credit and renewable energy partnerships and leveraged leases.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Unrealized investment gains (losses) on fixed maturity securities and the effect on DAC, VOBA, deferred sales inducements (“DSI”) and future policy benefits, that would result from the realization of the unrealized gains (losses), are included in net unrealized investment gains (losses) in accumulated other comprehensive income (loss) (“AOCI”).</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unrealized investment gains (losses), included in AOCI,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Arial" w:cs="Arial" w:eastAsia="Arial" w:hAnsi="Arial"/>
                <w:sz w:val="14"/>
                <w:szCs w:val="14"/>
                <w:b w:val="1"/>
                <w:bCs w:val="1"/>
                <w:color w:val="auto"/>
                <w:w w:val="93"/>
              </w:rPr>
              <w:t>December 31, 2021</w:t>
            </w:r>
          </w:p>
        </w:tc>
      </w:tr>
      <w:tr>
        <w:trPr>
          <w:trHeight w:val="24"/>
        </w:trPr>
        <w:tc>
          <w:tcPr>
            <w:tcW w:w="7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r>
      <w:tr>
        <w:trPr>
          <w:trHeight w:val="185"/>
        </w:trPr>
        <w:tc>
          <w:tcPr>
            <w:tcW w:w="7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4"/>
          </w:tcPr>
          <w:p>
            <w:pPr>
              <w:jc w:val="right"/>
              <w:ind w:right="1221"/>
              <w:spacing w:after="0"/>
              <w:rPr>
                <w:sz w:val="20"/>
                <w:szCs w:val="20"/>
                <w:color w:val="auto"/>
              </w:rPr>
            </w:pPr>
            <w:r>
              <w:rPr>
                <w:rFonts w:ascii="Arial" w:cs="Arial" w:eastAsia="Arial" w:hAnsi="Arial"/>
                <w:sz w:val="14"/>
                <w:szCs w:val="14"/>
                <w:b w:val="1"/>
                <w:bCs w:val="1"/>
                <w:color w:val="auto"/>
              </w:rPr>
              <w:t>(In millions)</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8,347</w:t>
            </w: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5"/>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3"/>
        </w:trPr>
        <w:tc>
          <w:tcPr>
            <w:tcW w:w="79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Subtotal</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8,647</w:t>
            </w:r>
          </w:p>
        </w:tc>
      </w:tr>
      <w:tr>
        <w:trPr>
          <w:trHeight w:val="195"/>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allocated from:</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(2,903)</w:t>
            </w:r>
          </w:p>
        </w:tc>
      </w:tr>
      <w:tr>
        <w:trPr>
          <w:trHeight w:val="215"/>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DAC, VOBA and DSI</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03"/>
        </w:trPr>
        <w:tc>
          <w:tcPr>
            <w:tcW w:w="7920" w:type="dxa"/>
            <w:vAlign w:val="bottom"/>
          </w:tcPr>
          <w:p>
            <w:pPr>
              <w:ind w:left="180"/>
              <w:spacing w:after="0"/>
              <w:rPr>
                <w:sz w:val="20"/>
                <w:szCs w:val="20"/>
                <w:color w:val="auto"/>
              </w:rPr>
            </w:pPr>
            <w:r>
              <w:rPr>
                <w:rFonts w:ascii="Arial" w:cs="Arial" w:eastAsia="Arial" w:hAnsi="Arial"/>
                <w:sz w:val="16"/>
                <w:szCs w:val="16"/>
                <w:color w:val="auto"/>
              </w:rPr>
              <w:t>Subtotal</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(3,306)</w:t>
            </w:r>
          </w:p>
        </w:tc>
      </w:tr>
      <w:tr>
        <w:trPr>
          <w:trHeight w:val="212"/>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r>
      <w:tr>
        <w:trPr>
          <w:trHeight w:val="208"/>
        </w:trPr>
        <w:tc>
          <w:tcPr>
            <w:tcW w:w="7920" w:type="dxa"/>
            <w:vAlign w:val="bottom"/>
          </w:tcPr>
          <w:p>
            <w:pPr>
              <w:ind w:left="180"/>
              <w:spacing w:after="0"/>
              <w:rPr>
                <w:sz w:val="20"/>
                <w:szCs w:val="20"/>
                <w:color w:val="auto"/>
              </w:rPr>
            </w:pPr>
            <w:r>
              <w:rPr>
                <w:rFonts w:ascii="Arial" w:cs="Arial" w:eastAsia="Arial" w:hAnsi="Arial"/>
                <w:sz w:val="16"/>
                <w:szCs w:val="16"/>
                <w:color w:val="auto"/>
              </w:rPr>
              <w:t>Net unrealized investment gains (losses)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4,220</w:t>
            </w:r>
          </w:p>
        </w:tc>
      </w:tr>
      <w:tr>
        <w:trPr>
          <w:trHeight w:val="20"/>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net unrealized investment gains (losses)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center"/>
              <w:ind w:right="143"/>
              <w:spacing w:after="0"/>
              <w:rPr>
                <w:sz w:val="20"/>
                <w:szCs w:val="20"/>
                <w:color w:val="auto"/>
              </w:rPr>
            </w:pPr>
            <w:r>
              <w:rPr>
                <w:rFonts w:ascii="Arial" w:cs="Arial" w:eastAsia="Arial" w:hAnsi="Arial"/>
                <w:sz w:val="14"/>
                <w:szCs w:val="14"/>
                <w:b w:val="1"/>
                <w:bCs w:val="1"/>
                <w:color w:val="auto"/>
                <w:w w:val="91"/>
              </w:rPr>
              <w:t>Nine Months Ended</w:t>
            </w:r>
          </w:p>
        </w:tc>
      </w:tr>
      <w:tr>
        <w:trPr>
          <w:trHeight w:val="192"/>
        </w:trPr>
        <w:tc>
          <w:tcPr>
            <w:tcW w:w="9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0"/>
              </w:rPr>
              <w:t>September 30, 2022</w:t>
            </w:r>
          </w:p>
        </w:tc>
      </w:tr>
      <w:tr>
        <w:trPr>
          <w:trHeight w:val="191"/>
        </w:trPr>
        <w:tc>
          <w:tcPr>
            <w:tcW w:w="9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center"/>
              <w:ind w:right="123"/>
              <w:spacing w:after="0"/>
              <w:rPr>
                <w:sz w:val="20"/>
                <w:szCs w:val="20"/>
                <w:color w:val="auto"/>
              </w:rPr>
            </w:pPr>
            <w:r>
              <w:rPr>
                <w:rFonts w:ascii="Arial" w:cs="Arial" w:eastAsia="Arial" w:hAnsi="Arial"/>
                <w:sz w:val="14"/>
                <w:szCs w:val="14"/>
                <w:b w:val="1"/>
                <w:bCs w:val="1"/>
                <w:color w:val="auto"/>
                <w:w w:val="94"/>
              </w:rPr>
              <w:t>(In millions)</w:t>
            </w:r>
          </w:p>
        </w:tc>
      </w:tr>
      <w:tr>
        <w:trPr>
          <w:trHeight w:val="219"/>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4,220</w:t>
            </w:r>
          </w:p>
        </w:tc>
      </w:tr>
      <w:tr>
        <w:trPr>
          <w:trHeight w:val="210"/>
        </w:trPr>
        <w:tc>
          <w:tcPr>
            <w:tcW w:w="9320" w:type="dxa"/>
            <w:vAlign w:val="bottom"/>
          </w:tcPr>
          <w:p>
            <w:pPr>
              <w:ind w:left="20"/>
              <w:spacing w:after="0"/>
              <w:rPr>
                <w:sz w:val="20"/>
                <w:szCs w:val="20"/>
                <w:color w:val="auto"/>
              </w:rPr>
            </w:pPr>
            <w:r>
              <w:rPr>
                <w:rFonts w:ascii="Arial" w:cs="Arial" w:eastAsia="Arial" w:hAnsi="Arial"/>
                <w:sz w:val="16"/>
                <w:szCs w:val="16"/>
                <w:color w:val="auto"/>
              </w:rPr>
              <w:t>Unrealized investment gains (losses) during the period</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(17,755)</w:t>
            </w:r>
          </w:p>
        </w:tc>
      </w:tr>
      <w:tr>
        <w:trPr>
          <w:trHeight w:val="215"/>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investment gains (losses) relating to:</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0"/>
        </w:trPr>
        <w:tc>
          <w:tcPr>
            <w:tcW w:w="932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3,223</w:t>
            </w:r>
          </w:p>
        </w:tc>
      </w:tr>
      <w:tr>
        <w:trPr>
          <w:trHeight w:val="215"/>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DAC, VOBA and DSI</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r>
      <w:tr>
        <w:trPr>
          <w:trHeight w:val="209"/>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 benefit (expense)</w:t>
            </w: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r>
      <w:tr>
        <w:trPr>
          <w:trHeight w:val="233"/>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2022</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(6,545)</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9320" w:type="dxa"/>
            <w:vAlign w:val="bottom"/>
          </w:tcPr>
          <w:p>
            <w:pPr>
              <w:ind w:left="20"/>
              <w:spacing w:after="0"/>
              <w:rPr>
                <w:sz w:val="20"/>
                <w:szCs w:val="20"/>
                <w:color w:val="auto"/>
              </w:rPr>
            </w:pPr>
            <w:r>
              <w:rPr>
                <w:rFonts w:ascii="Arial" w:cs="Arial" w:eastAsia="Arial" w:hAnsi="Arial"/>
                <w:sz w:val="16"/>
                <w:szCs w:val="16"/>
                <w:color w:val="auto"/>
              </w:rPr>
              <w:t>Change in net unrealized investment gains (losses)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(10,765)</w:t>
            </w:r>
          </w:p>
        </w:tc>
      </w:tr>
      <w:tr>
        <w:trPr>
          <w:trHeight w:val="20"/>
        </w:trPr>
        <w:tc>
          <w:tcPr>
            <w:tcW w:w="9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September 30, 2022 and December 31,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ind w:right="323"/>
              <w:spacing w:after="0"/>
              <w:rPr>
                <w:sz w:val="20"/>
                <w:szCs w:val="20"/>
                <w:color w:val="auto"/>
              </w:rPr>
            </w:pPr>
            <w:r>
              <w:rPr>
                <w:rFonts w:ascii="Arial" w:cs="Arial" w:eastAsia="Arial" w:hAnsi="Arial"/>
                <w:sz w:val="14"/>
                <w:szCs w:val="14"/>
                <w:b w:val="1"/>
                <w:bCs w:val="1"/>
                <w:color w:val="auto"/>
                <w:w w:val="99"/>
              </w:rPr>
              <w:t>September 30, 2022</w:t>
            </w:r>
          </w:p>
        </w:tc>
        <w:tc>
          <w:tcPr>
            <w:tcW w:w="440" w:type="dxa"/>
            <w:vAlign w:val="bottom"/>
          </w:tcPr>
          <w:p>
            <w:pPr>
              <w:spacing w:after="0"/>
              <w:rPr>
                <w:sz w:val="15"/>
                <w:szCs w:val="15"/>
                <w:color w:val="auto"/>
              </w:rPr>
            </w:pPr>
          </w:p>
        </w:tc>
        <w:tc>
          <w:tcPr>
            <w:tcW w:w="1560" w:type="dxa"/>
            <w:vAlign w:val="bottom"/>
          </w:tcPr>
          <w:p>
            <w:pPr>
              <w:jc w:val="right"/>
              <w:ind w:right="302"/>
              <w:spacing w:after="0"/>
              <w:rPr>
                <w:sz w:val="20"/>
                <w:szCs w:val="20"/>
                <w:color w:val="auto"/>
              </w:rPr>
            </w:pPr>
            <w:r>
              <w:rPr>
                <w:rFonts w:ascii="Arial" w:cs="Arial" w:eastAsia="Arial" w:hAnsi="Arial"/>
                <w:sz w:val="14"/>
                <w:szCs w:val="14"/>
                <w:b w:val="1"/>
                <w:bCs w:val="1"/>
                <w:color w:val="auto"/>
                <w:w w:val="91"/>
              </w:rPr>
              <w:t>December 31, 2021</w:t>
            </w:r>
          </w:p>
        </w:tc>
      </w:tr>
      <w:tr>
        <w:trPr>
          <w:trHeight w:val="24"/>
        </w:trPr>
        <w:tc>
          <w:tcPr>
            <w:tcW w:w="7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5"/>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6"/>
                <w:szCs w:val="16"/>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on loan: (1)</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0"/>
        </w:trPr>
        <w:tc>
          <w:tcPr>
            <w:tcW w:w="730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23"/>
              <w:spacing w:after="0"/>
              <w:rPr>
                <w:sz w:val="20"/>
                <w:szCs w:val="20"/>
                <w:color w:val="auto"/>
              </w:rPr>
            </w:pPr>
            <w:r>
              <w:rPr>
                <w:rFonts w:ascii="Arial" w:cs="Arial" w:eastAsia="Arial" w:hAnsi="Arial"/>
                <w:sz w:val="16"/>
                <w:szCs w:val="16"/>
                <w:color w:val="auto"/>
              </w:rPr>
              <w:t>5,049</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3,573</w:t>
            </w:r>
          </w:p>
        </w:tc>
      </w:tr>
      <w:tr>
        <w:trPr>
          <w:trHeight w:val="214"/>
        </w:trPr>
        <w:tc>
          <w:tcPr>
            <w:tcW w:w="7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4,719</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w:t>
            </w:r>
          </w:p>
        </w:tc>
      </w:tr>
      <w:tr>
        <w:trPr>
          <w:trHeight w:val="209"/>
        </w:trPr>
        <w:tc>
          <w:tcPr>
            <w:tcW w:w="7300" w:type="dxa"/>
            <w:vAlign w:val="bottom"/>
          </w:tcPr>
          <w:p>
            <w:pPr>
              <w:ind w:left="20"/>
              <w:spacing w:after="0"/>
              <w:rPr>
                <w:sz w:val="20"/>
                <w:szCs w:val="20"/>
                <w:color w:val="auto"/>
              </w:rPr>
            </w:pPr>
            <w:r>
              <w:rPr>
                <w:rFonts w:ascii="Arial" w:cs="Arial" w:eastAsia="Arial" w:hAnsi="Arial"/>
                <w:sz w:val="16"/>
                <w:szCs w:val="16"/>
                <w:color w:val="auto"/>
              </w:rPr>
              <w:t>Cash collateral received from counterparties (2)</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23"/>
              <w:spacing w:after="0"/>
              <w:rPr>
                <w:sz w:val="20"/>
                <w:szCs w:val="20"/>
                <w:color w:val="auto"/>
              </w:rPr>
            </w:pPr>
            <w:r>
              <w:rPr>
                <w:rFonts w:ascii="Arial" w:cs="Arial" w:eastAsia="Arial" w:hAnsi="Arial"/>
                <w:sz w:val="16"/>
                <w:szCs w:val="16"/>
                <w:color w:val="auto"/>
              </w:rPr>
              <w:t>4,844</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4,611</w:t>
            </w:r>
          </w:p>
        </w:tc>
      </w:tr>
      <w:tr>
        <w:trPr>
          <w:trHeight w:val="215"/>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collateral received from counterparties (3)</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7300" w:type="dxa"/>
            <w:vAlign w:val="bottom"/>
          </w:tcPr>
          <w:p>
            <w:pPr>
              <w:ind w:left="20"/>
              <w:spacing w:after="0"/>
              <w:rPr>
                <w:sz w:val="20"/>
                <w:szCs w:val="20"/>
                <w:color w:val="auto"/>
              </w:rPr>
            </w:pPr>
            <w:r>
              <w:rPr>
                <w:rFonts w:ascii="Arial" w:cs="Arial" w:eastAsia="Arial" w:hAnsi="Arial"/>
                <w:sz w:val="16"/>
                <w:szCs w:val="16"/>
                <w:color w:val="auto"/>
              </w:rPr>
              <w:t>Reinvestment portfolio — estimated fair value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23"/>
              <w:spacing w:after="0"/>
              <w:rPr>
                <w:sz w:val="20"/>
                <w:szCs w:val="20"/>
                <w:color w:val="auto"/>
              </w:rPr>
            </w:pPr>
            <w:r>
              <w:rPr>
                <w:rFonts w:ascii="Arial" w:cs="Arial" w:eastAsia="Arial" w:hAnsi="Arial"/>
                <w:sz w:val="16"/>
                <w:szCs w:val="16"/>
                <w:color w:val="auto"/>
              </w:rPr>
              <w:t>4,590</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4,730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within fixed maturity securities.</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within payables for collateral under securities loaned and other transactions.</w:t>
      </w:r>
    </w:p>
    <w:p>
      <w:pPr>
        <w:spacing w:after="0" w:line="111"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collateral received from counterparties may not be sold or re-pledged, unless the counterparty is in default, and is not reported on the interim condensed consolidated financial statements.</w:t>
      </w:r>
    </w:p>
    <w:p>
      <w:pPr>
        <w:spacing w:after="0" w:line="74"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Open (1)</w:t>
            </w:r>
          </w:p>
        </w:tc>
        <w:tc>
          <w:tcPr>
            <w:tcW w:w="1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rPr>
              <w:t>1 Month or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 to 6 Months</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Open (1)</w:t>
            </w:r>
          </w:p>
        </w:tc>
        <w:tc>
          <w:tcPr>
            <w:tcW w:w="1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rPr>
              <w:t>1 Month or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 to 6 Months</w:t>
            </w:r>
          </w:p>
        </w:tc>
        <w:tc>
          <w:tcPr>
            <w:tcW w:w="180" w:type="dxa"/>
            <w:vAlign w:val="bottom"/>
          </w:tcPr>
          <w:p>
            <w:pPr>
              <w:spacing w:after="0"/>
              <w:rPr>
                <w:sz w:val="11"/>
                <w:szCs w:val="11"/>
                <w:color w:val="auto"/>
              </w:rPr>
            </w:pPr>
          </w:p>
        </w:tc>
        <w:tc>
          <w:tcPr>
            <w:tcW w:w="6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Less</w:t>
            </w:r>
          </w:p>
        </w:tc>
        <w:tc>
          <w:tcPr>
            <w:tcW w:w="9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Less</w:t>
            </w:r>
          </w:p>
        </w:tc>
        <w:tc>
          <w:tcPr>
            <w:tcW w:w="98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4,611</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ind w:left="320" w:hanging="314"/>
        <w:spacing w:after="0" w:line="264" w:lineRule="auto"/>
        <w:tabs>
          <w:tab w:leader="none" w:pos="3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September 30, 2022 was $1.3 billion, primarily comprised of U.S. government and agency securities which, if put back to the Company, could be immediately sold to satisfy the cash requirement.</w:t>
      </w:r>
    </w:p>
    <w:p>
      <w:pPr>
        <w:spacing w:after="0" w:line="8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reinvestment portfolio acquired with the cash collateral consisted principally of fixed maturity securities (including U.S. government and agency securities, ABS, agency RMBS, U.S. and foreign corporate securities and CMBS) with 52% invested in U.S. government and agency securities, agency RMBS and cash and cash equivalents at September 30, 2022.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Invested assets on deposit, held in trust and pledged as collateral at estimated fair value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2022</w:t>
            </w:r>
          </w:p>
        </w:tc>
        <w:tc>
          <w:tcPr>
            <w:tcW w:w="360" w:type="dxa"/>
            <w:vAlign w:val="bottom"/>
          </w:tcPr>
          <w:p>
            <w:pPr>
              <w:spacing w:after="0"/>
              <w:rPr>
                <w:sz w:val="15"/>
                <w:szCs w:val="15"/>
                <w:color w:val="auto"/>
              </w:rPr>
            </w:pPr>
          </w:p>
        </w:tc>
        <w:tc>
          <w:tcPr>
            <w:tcW w:w="1560" w:type="dxa"/>
            <w:vAlign w:val="bottom"/>
          </w:tcPr>
          <w:p>
            <w:pPr>
              <w:jc w:val="right"/>
              <w:ind w:right="302"/>
              <w:spacing w:after="0"/>
              <w:rPr>
                <w:sz w:val="20"/>
                <w:szCs w:val="20"/>
                <w:color w:val="auto"/>
              </w:rPr>
            </w:pPr>
            <w:r>
              <w:rPr>
                <w:rFonts w:ascii="Arial" w:cs="Arial" w:eastAsia="Arial" w:hAnsi="Arial"/>
                <w:sz w:val="14"/>
                <w:szCs w:val="14"/>
                <w:b w:val="1"/>
                <w:bCs w:val="1"/>
                <w:color w:val="auto"/>
                <w:w w:val="91"/>
              </w:rPr>
              <w:t>December 31, 2021</w:t>
            </w:r>
          </w:p>
        </w:tc>
      </w:tr>
      <w:tr>
        <w:trPr>
          <w:trHeight w:val="24"/>
        </w:trPr>
        <w:tc>
          <w:tcPr>
            <w:tcW w:w="7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5"/>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6"/>
                <w:szCs w:val="16"/>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Invested assets on deposit (regulatory deposits) (1)</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0"/>
        </w:trPr>
        <w:tc>
          <w:tcPr>
            <w:tcW w:w="7300" w:type="dxa"/>
            <w:vAlign w:val="bottom"/>
          </w:tcPr>
          <w:p>
            <w:pPr>
              <w:ind w:left="20"/>
              <w:spacing w:after="0"/>
              <w:rPr>
                <w:sz w:val="20"/>
                <w:szCs w:val="20"/>
                <w:color w:val="auto"/>
              </w:rPr>
            </w:pPr>
            <w:r>
              <w:rPr>
                <w:rFonts w:ascii="Arial" w:cs="Arial" w:eastAsia="Arial" w:hAnsi="Arial"/>
                <w:sz w:val="16"/>
                <w:szCs w:val="16"/>
                <w:color w:val="auto"/>
              </w:rPr>
              <w:t>Invested assets held in trust (reinsurance agreements) (2)</w:t>
            </w:r>
          </w:p>
        </w:tc>
        <w:tc>
          <w:tcPr>
            <w:tcW w:w="220" w:type="dxa"/>
            <w:vAlign w:val="bottom"/>
          </w:tcPr>
          <w:p>
            <w:pPr>
              <w:spacing w:after="0"/>
              <w:rPr>
                <w:sz w:val="18"/>
                <w:szCs w:val="18"/>
                <w:color w:val="auto"/>
              </w:rPr>
            </w:pPr>
          </w:p>
        </w:tc>
        <w:tc>
          <w:tcPr>
            <w:tcW w:w="1700" w:type="dxa"/>
            <w:vAlign w:val="bottom"/>
          </w:tcPr>
          <w:p>
            <w:pPr>
              <w:jc w:val="right"/>
              <w:ind w:right="3"/>
              <w:spacing w:after="0"/>
              <w:rPr>
                <w:sz w:val="20"/>
                <w:szCs w:val="20"/>
                <w:color w:val="auto"/>
              </w:rPr>
            </w:pPr>
            <w:r>
              <w:rPr>
                <w:rFonts w:ascii="Arial" w:cs="Arial" w:eastAsia="Arial" w:hAnsi="Arial"/>
                <w:sz w:val="16"/>
                <w:szCs w:val="16"/>
                <w:color w:val="auto"/>
              </w:rPr>
              <w:t>5,294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6,029</w:t>
            </w:r>
          </w:p>
        </w:tc>
      </w:tr>
      <w:tr>
        <w:trPr>
          <w:trHeight w:val="212"/>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Invested assets pledged as collateral (3)</w:t>
            </w: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12,173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5,116</w:t>
            </w:r>
          </w:p>
        </w:tc>
      </w:tr>
      <w:tr>
        <w:trPr>
          <w:trHeight w:val="208"/>
        </w:trPr>
        <w:tc>
          <w:tcPr>
            <w:tcW w:w="7300" w:type="dxa"/>
            <w:vAlign w:val="bottom"/>
          </w:tcPr>
          <w:p>
            <w:pPr>
              <w:ind w:left="1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25,257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21,145</w:t>
            </w:r>
          </w:p>
        </w:tc>
      </w:tr>
      <w:tr>
        <w:trPr>
          <w:trHeight w:val="20"/>
        </w:trPr>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assets, primarily fixed maturity securities, on deposit with governmental authorities relating to certain policyholder liabilities, of which $32 million and $25 million of the assets on deposit represents restricted cash and cash equivalents at September 30, 2022 and December 31, 2021, respectively.</w:t>
      </w:r>
    </w:p>
    <w:p>
      <w:pPr>
        <w:spacing w:after="0" w:line="82" w:lineRule="exact"/>
        <w:rPr>
          <w:rFonts w:ascii="Arial" w:cs="Arial" w:eastAsia="Arial" w:hAnsi="Arial"/>
          <w:sz w:val="18"/>
          <w:szCs w:val="18"/>
          <w:color w:val="auto"/>
        </w:rPr>
      </w:pPr>
    </w:p>
    <w:p>
      <w:pPr>
        <w:ind w:left="320" w:right="20" w:hanging="314"/>
        <w:spacing w:after="0" w:line="365" w:lineRule="auto"/>
        <w:tabs>
          <w:tab w:leader="none" w:pos="314"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Company has assets, primarily fixed maturity securities, held in trust relating to certain reinsurance transactions, of which $281 million and $119 million of the assets held in trust balance represents restricted cash and cash equivalents at September 30, 2022 and December 31, 2021, respectively.</w:t>
      </w:r>
    </w:p>
    <w:p>
      <w:pPr>
        <w:spacing w:after="0" w:line="5" w:lineRule="exact"/>
        <w:rPr>
          <w:rFonts w:ascii="Arial" w:cs="Arial" w:eastAsia="Arial" w:hAnsi="Arial"/>
          <w:sz w:val="15"/>
          <w:szCs w:val="15"/>
          <w:color w:val="auto"/>
        </w:rPr>
      </w:pPr>
    </w:p>
    <w:p>
      <w:pPr>
        <w:ind w:left="320" w:hanging="314"/>
        <w:spacing w:after="0" w:line="294" w:lineRule="auto"/>
        <w:tabs>
          <w:tab w:leader="none" w:pos="31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has pledged invested assets in connection with various agreements and transactions, including funding agreements (see Note 3 of the Notes to the Consolidated Financial Statements included in the 2021 Annual Report) and derivative transactions (see Note 5).</w:t>
      </w:r>
    </w:p>
    <w:p>
      <w:pPr>
        <w:spacing w:after="0" w:line="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 Securities Lending” for information regarding securities on loan. In addition, the Company’s investment in FHLB common stock, which is considered restricted until redeemed by the issuer, was $176 million and $70 million at redemption value at September 30, 2022 and December 31, 2021,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spacing w:after="0" w:line="8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were no material VIEs for which the Company has concluded that it is the primary beneficiary at either September 30, 2022 or December 31, 2021.</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carrying amount and maximum exposure to loss related to the VIEs for which the Company has concluded that it holds a variable interest, but is not the primary beneficiary,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620"/>
              <w:spacing w:after="0"/>
              <w:rPr>
                <w:sz w:val="20"/>
                <w:szCs w:val="20"/>
                <w:color w:val="auto"/>
              </w:rPr>
            </w:pPr>
            <w:r>
              <w:rPr>
                <w:rFonts w:ascii="Arial" w:cs="Arial" w:eastAsia="Arial" w:hAnsi="Arial"/>
                <w:sz w:val="14"/>
                <w:szCs w:val="14"/>
                <w:b w:val="1"/>
                <w:bCs w:val="1"/>
                <w:color w:val="auto"/>
              </w:rPr>
              <w:t>September 30, 2022</w:t>
            </w:r>
          </w:p>
        </w:tc>
        <w:tc>
          <w:tcPr>
            <w:tcW w:w="360" w:type="dxa"/>
            <w:vAlign w:val="bottom"/>
          </w:tcPr>
          <w:p>
            <w:pPr>
              <w:spacing w:after="0"/>
              <w:rPr>
                <w:sz w:val="15"/>
                <w:szCs w:val="15"/>
                <w:color w:val="auto"/>
              </w:rPr>
            </w:pPr>
          </w:p>
        </w:tc>
        <w:tc>
          <w:tcPr>
            <w:tcW w:w="2560" w:type="dxa"/>
            <w:vAlign w:val="bottom"/>
            <w:gridSpan w:val="4"/>
          </w:tcPr>
          <w:p>
            <w:pPr>
              <w:jc w:val="right"/>
              <w:ind w:right="825"/>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2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Carrying</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186"/>
              <w:spacing w:after="0" w:line="130" w:lineRule="exact"/>
              <w:rPr>
                <w:sz w:val="20"/>
                <w:szCs w:val="20"/>
                <w:color w:val="auto"/>
              </w:rPr>
            </w:pPr>
            <w:r>
              <w:rPr>
                <w:rFonts w:ascii="Arial" w:cs="Arial" w:eastAsia="Arial" w:hAnsi="Arial"/>
                <w:sz w:val="14"/>
                <w:szCs w:val="14"/>
                <w:b w:val="1"/>
                <w:bCs w:val="1"/>
                <w:color w:val="auto"/>
                <w:w w:val="95"/>
              </w:rPr>
              <w:t>Maximum</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205"/>
              <w:spacing w:after="0" w:line="130" w:lineRule="exact"/>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90"/>
              </w:rPr>
              <w:t>Exposure</w:t>
            </w:r>
          </w:p>
        </w:tc>
        <w:tc>
          <w:tcPr>
            <w:tcW w:w="3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65"/>
              <w:spacing w:after="0" w:line="146"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4"/>
              </w:rPr>
              <w:t>to Loss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190"/>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15,802</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Limited partnerships and LLCs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w:t>
            </w:r>
          </w:p>
        </w:tc>
        <w:tc>
          <w:tcPr>
            <w:tcW w:w="0" w:type="dxa"/>
            <w:vAlign w:val="bottom"/>
          </w:tcPr>
          <w:p>
            <w:pPr>
              <w:spacing w:after="0"/>
              <w:rPr>
                <w:sz w:val="1"/>
                <w:szCs w:val="1"/>
                <w:color w:val="auto"/>
              </w:rPr>
            </w:pPr>
          </w:p>
        </w:tc>
      </w:tr>
      <w:tr>
        <w:trPr>
          <w:trHeight w:val="23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20,917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investments in unconsolidated VIEs are described below.</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w:t>
      </w:r>
    </w:p>
    <w:p>
      <w:pPr>
        <w:spacing w:after="0" w:line="111"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Limited Partnerships and LLCs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1660" w:type="dxa"/>
            <w:vAlign w:val="bottom"/>
            <w:gridSpan w:val="4"/>
          </w:tcPr>
          <w:p>
            <w:pPr>
              <w:jc w:val="right"/>
              <w:ind w:right="241"/>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6"/>
                <w:szCs w:val="16"/>
                <w:color w:val="auto"/>
              </w:rPr>
            </w:pPr>
          </w:p>
        </w:tc>
        <w:tc>
          <w:tcPr>
            <w:tcW w:w="166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September 30,</w:t>
            </w:r>
          </w:p>
        </w:tc>
      </w:tr>
      <w:tr>
        <w:trPr>
          <w:trHeight w:val="191"/>
        </w:trPr>
        <w:tc>
          <w:tcPr>
            <w:tcW w:w="74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2021</w:t>
            </w:r>
          </w:p>
        </w:tc>
      </w:tr>
      <w:tr>
        <w:trPr>
          <w:trHeight w:val="191"/>
        </w:trPr>
        <w:tc>
          <w:tcPr>
            <w:tcW w:w="7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ind w:left="3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2,109</w:t>
            </w: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9"/>
        </w:trPr>
        <w:tc>
          <w:tcPr>
            <w:tcW w:w="7420" w:type="dxa"/>
            <w:vAlign w:val="bottom"/>
          </w:tcPr>
          <w:p>
            <w:pPr>
              <w:ind w:left="20"/>
              <w:spacing w:after="0"/>
              <w:rPr>
                <w:sz w:val="20"/>
                <w:szCs w:val="20"/>
                <w:color w:val="auto"/>
              </w:rPr>
            </w:pPr>
            <w:r>
              <w:rPr>
                <w:rFonts w:ascii="Arial" w:cs="Arial" w:eastAsia="Arial" w:hAnsi="Arial"/>
                <w:sz w:val="16"/>
                <w:szCs w:val="16"/>
                <w:color w:val="auto"/>
              </w:rPr>
              <w:t>Limited partnerships and LLCs (1)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1,090</w:t>
            </w: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short-term investments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08"/>
        </w:trPr>
        <w:tc>
          <w:tcPr>
            <w:tcW w:w="7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investment income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w:t>
            </w:r>
          </w:p>
        </w:tc>
      </w:tr>
      <w:tr>
        <w:trPr>
          <w:trHeight w:val="21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Investment expenses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33"/>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investment income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365" w:lineRule="auto"/>
        <w:tabs>
          <w:tab w:leader="none" w:pos="314"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net investment income pertaining to other limited partnership interests of ($127) million and $178 million for the three months and nine months ended September 30, 2022, respectively, and $378 million and $1.0 billion for the three months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9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14"/>
                <w:szCs w:val="14"/>
                <w:color w:val="auto"/>
              </w:rPr>
            </w:pPr>
          </w:p>
        </w:tc>
        <w:tc>
          <w:tcPr>
            <w:tcW w:w="1480" w:type="dxa"/>
            <w:vAlign w:val="bottom"/>
            <w:gridSpan w:val="4"/>
          </w:tcPr>
          <w:p>
            <w:pPr>
              <w:jc w:val="right"/>
              <w:ind w:right="202"/>
              <w:spacing w:after="0"/>
              <w:rPr>
                <w:sz w:val="20"/>
                <w:szCs w:val="20"/>
                <w:color w:val="auto"/>
              </w:rPr>
            </w:pPr>
            <w:r>
              <w:rPr>
                <w:rFonts w:ascii="Arial" w:cs="Arial" w:eastAsia="Arial" w:hAnsi="Arial"/>
                <w:sz w:val="14"/>
                <w:szCs w:val="14"/>
                <w:b w:val="1"/>
                <w:bCs w:val="1"/>
                <w:color w:val="auto"/>
                <w:w w:val="90"/>
              </w:rPr>
              <w:t>Nine Months Ended</w:t>
            </w:r>
          </w:p>
        </w:tc>
      </w:tr>
      <w:tr>
        <w:trPr>
          <w:trHeight w:val="189"/>
        </w:trPr>
        <w:tc>
          <w:tcPr>
            <w:tcW w:w="7420" w:type="dxa"/>
            <w:vAlign w:val="bottom"/>
          </w:tcPr>
          <w:p>
            <w:pPr>
              <w:spacing w:after="0"/>
              <w:rPr>
                <w:sz w:val="16"/>
                <w:szCs w:val="16"/>
                <w:color w:val="auto"/>
              </w:rPr>
            </w:pPr>
          </w:p>
        </w:tc>
        <w:tc>
          <w:tcPr>
            <w:tcW w:w="19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480" w:type="dxa"/>
            <w:vAlign w:val="bottom"/>
            <w:gridSpan w:val="4"/>
          </w:tcPr>
          <w:p>
            <w:pPr>
              <w:jc w:val="right"/>
              <w:ind w:right="362"/>
              <w:spacing w:after="0"/>
              <w:rPr>
                <w:sz w:val="20"/>
                <w:szCs w:val="20"/>
                <w:color w:val="auto"/>
              </w:rPr>
            </w:pPr>
            <w:r>
              <w:rPr>
                <w:rFonts w:ascii="Arial" w:cs="Arial" w:eastAsia="Arial" w:hAnsi="Arial"/>
                <w:sz w:val="14"/>
                <w:szCs w:val="14"/>
                <w:b w:val="1"/>
                <w:bCs w:val="1"/>
                <w:color w:val="auto"/>
              </w:rPr>
              <w:t>September 30,</w:t>
            </w:r>
          </w:p>
        </w:tc>
      </w:tr>
      <w:tr>
        <w:trPr>
          <w:trHeight w:val="191"/>
        </w:trPr>
        <w:tc>
          <w:tcPr>
            <w:tcW w:w="742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2021</w:t>
            </w:r>
          </w:p>
        </w:tc>
      </w:tr>
      <w:tr>
        <w:trPr>
          <w:trHeight w:val="191"/>
        </w:trPr>
        <w:tc>
          <w:tcPr>
            <w:tcW w:w="7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ind w:left="340"/>
              <w:spacing w:after="0"/>
              <w:rPr>
                <w:sz w:val="20"/>
                <w:szCs w:val="20"/>
                <w:color w:val="auto"/>
              </w:rPr>
            </w:pPr>
            <w:r>
              <w:rPr>
                <w:rFonts w:ascii="Arial" w:cs="Arial" w:eastAsia="Arial" w:hAnsi="Arial"/>
                <w:sz w:val="14"/>
                <w:szCs w:val="14"/>
                <w:b w:val="1"/>
                <w:bCs w:val="1"/>
                <w:color w:val="auto"/>
                <w:w w:val="91"/>
              </w:rPr>
              <w:t>(In millions)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5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Limited partnerships and LLCs</w:t>
            </w:r>
          </w:p>
        </w:tc>
        <w:tc>
          <w:tcPr>
            <w:tcW w:w="5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5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8"/>
        </w:trPr>
        <w:tc>
          <w:tcPr>
            <w:tcW w:w="7420" w:type="dxa"/>
            <w:vAlign w:val="bottom"/>
          </w:tcPr>
          <w:p>
            <w:pPr>
              <w:ind w:left="180"/>
              <w:spacing w:after="0"/>
              <w:rPr>
                <w:sz w:val="20"/>
                <w:szCs w:val="20"/>
                <w:color w:val="auto"/>
              </w:rPr>
            </w:pPr>
            <w:r>
              <w:rPr>
                <w:rFonts w:ascii="Arial" w:cs="Arial" w:eastAsia="Arial" w:hAnsi="Arial"/>
                <w:sz w:val="16"/>
                <w:szCs w:val="16"/>
                <w:color w:val="auto"/>
              </w:rPr>
              <w:t>Total net investment gains (losses)</w:t>
            </w:r>
          </w:p>
        </w:tc>
        <w:tc>
          <w:tcPr>
            <w:tcW w:w="580" w:type="dxa"/>
            <w:vAlign w:val="bottom"/>
            <w:tcBorders>
              <w:bottom w:val="single" w:sz="8" w:color="auto"/>
            </w:tcBorders>
          </w:tcPr>
          <w:p>
            <w:pPr>
              <w:jc w:val="right"/>
              <w:ind w:right="428"/>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(45)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7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60" w:firstLine="318"/>
        <w:spacing w:after="0" w:line="365" w:lineRule="auto"/>
        <w:rPr>
          <w:sz w:val="20"/>
          <w:szCs w:val="20"/>
          <w:color w:val="auto"/>
        </w:rPr>
      </w:pPr>
      <w:r>
        <w:rPr>
          <w:rFonts w:ascii="Arial" w:cs="Arial" w:eastAsia="Arial" w:hAnsi="Arial"/>
          <w:sz w:val="15"/>
          <w:szCs w:val="15"/>
          <w:color w:val="auto"/>
        </w:rPr>
        <w:t>Gains (losses) from foreign currency transactions included within net investment gains (losses) were ($1) million and ($22) million for the three months and nine months ended September 30, 2022, respectively, and $1 million for both the three months and nine months ended September 30, 2021.</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Sales or Disposals of Fixed Maturity Securities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1660" w:type="dxa"/>
            <w:vAlign w:val="bottom"/>
            <w:gridSpan w:val="4"/>
          </w:tcPr>
          <w:p>
            <w:pPr>
              <w:jc w:val="right"/>
              <w:ind w:right="24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6"/>
                <w:szCs w:val="16"/>
                <w:color w:val="auto"/>
              </w:rPr>
            </w:pPr>
          </w:p>
        </w:tc>
        <w:tc>
          <w:tcPr>
            <w:tcW w:w="1660" w:type="dxa"/>
            <w:vAlign w:val="bottom"/>
            <w:gridSpan w:val="4"/>
          </w:tcPr>
          <w:p>
            <w:pPr>
              <w:jc w:val="right"/>
              <w:ind w:right="42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74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1"/>
        </w:trPr>
        <w:tc>
          <w:tcPr>
            <w:tcW w:w="7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ind w:left="3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investment gains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20" w:type="dxa"/>
            <w:vAlign w:val="bottom"/>
            <w:vMerge w:val="continue"/>
          </w:tcPr>
          <w:p>
            <w:pPr>
              <w:spacing w:after="0"/>
              <w:rPr>
                <w:sz w:val="15"/>
                <w:szCs w:val="15"/>
                <w:color w:val="auto"/>
              </w:rPr>
            </w:pPr>
          </w:p>
        </w:tc>
        <w:tc>
          <w:tcPr>
            <w:tcW w:w="200" w:type="dxa"/>
            <w:vAlign w:val="bottom"/>
          </w:tcPr>
          <w:p>
            <w:pPr>
              <w:jc w:val="right"/>
              <w:ind w:right="21"/>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100" w:type="dxa"/>
            <w:vAlign w:val="bottom"/>
          </w:tcPr>
          <w:p>
            <w:pPr>
              <w:spacing w:after="0"/>
              <w:rPr>
                <w:sz w:val="15"/>
                <w:szCs w:val="15"/>
                <w:color w:val="auto"/>
              </w:rPr>
            </w:pPr>
          </w:p>
        </w:tc>
        <w:tc>
          <w:tcPr>
            <w:tcW w:w="200" w:type="dxa"/>
            <w:vAlign w:val="bottom"/>
          </w:tcPr>
          <w:p>
            <w:pPr>
              <w:jc w:val="right"/>
              <w:ind w:right="21"/>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23</w:t>
            </w:r>
          </w:p>
        </w:tc>
        <w:tc>
          <w:tcPr>
            <w:tcW w:w="100" w:type="dxa"/>
            <w:vAlign w:val="bottom"/>
          </w:tcPr>
          <w:p>
            <w:pPr>
              <w:spacing w:after="0"/>
              <w:rPr>
                <w:sz w:val="15"/>
                <w:szCs w:val="15"/>
                <w:color w:val="auto"/>
              </w:rPr>
            </w:pPr>
          </w:p>
        </w:tc>
        <w:tc>
          <w:tcPr>
            <w:tcW w:w="200" w:type="dxa"/>
            <w:vAlign w:val="bottom"/>
          </w:tcPr>
          <w:p>
            <w:pPr>
              <w:jc w:val="right"/>
              <w:ind w:right="21"/>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47</w:t>
            </w:r>
          </w:p>
        </w:tc>
        <w:tc>
          <w:tcPr>
            <w:tcW w:w="100" w:type="dxa"/>
            <w:vAlign w:val="bottom"/>
          </w:tcPr>
          <w:p>
            <w:pPr>
              <w:spacing w:after="0"/>
              <w:rPr>
                <w:sz w:val="15"/>
                <w:szCs w:val="15"/>
                <w:color w:val="auto"/>
              </w:rPr>
            </w:pPr>
          </w:p>
        </w:tc>
        <w:tc>
          <w:tcPr>
            <w:tcW w:w="200" w:type="dxa"/>
            <w:vAlign w:val="bottom"/>
          </w:tcPr>
          <w:p>
            <w:pPr>
              <w:jc w:val="right"/>
              <w:ind w:right="21"/>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investment losses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8"/>
        </w:trPr>
        <w:tc>
          <w:tcPr>
            <w:tcW w:w="7420" w:type="dxa"/>
            <w:vAlign w:val="bottom"/>
          </w:tcPr>
          <w:p>
            <w:pPr>
              <w:ind w:left="180"/>
              <w:spacing w:after="0"/>
              <w:rPr>
                <w:sz w:val="20"/>
                <w:szCs w:val="20"/>
                <w:color w:val="auto"/>
              </w:rPr>
            </w:pPr>
            <w:r>
              <w:rPr>
                <w:rFonts w:ascii="Arial" w:cs="Arial" w:eastAsia="Arial" w:hAnsi="Arial"/>
                <w:sz w:val="16"/>
                <w:szCs w:val="16"/>
                <w:color w:val="auto"/>
              </w:rPr>
              <w:t>Net investment gains (losses)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See Notes 1 and 8 of the Notes to the Consolidated Financial Statements included in the 2021 Annual Report for a description of the Company’s accounting policies for derivatives and the fair value hierarchy for derivatives.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Derivative Instruments and Derivative Strategies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maintains an overall risk management strategy that incorporates the use of derivative instruments to minimize its exposure to various market risks. Commonly used derivative instruments include, but are not necessarily limited to:</w:t>
      </w:r>
    </w:p>
    <w:p>
      <w:pPr>
        <w:spacing w:after="0" w:line="75"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derivatives: swaps, floors, caps, swaptions, futures and forwards;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exchange rate derivatives: forwards and swaps;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market derivatives: options, total return swaps and variance swaps;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Credit derivatives: single and index reference credit default swaps and swaptions.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For detailed information on these contracts and the related strategies, see Note 7 of the Notes to the Consolidated Financial Statements included in the 2021 Annual Report.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primary underlying risk exposure, gross notional amount and estimated fair value of derivatives held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2"/>
                <w:szCs w:val="12"/>
                <w:b w:val="1"/>
                <w:bCs w:val="1"/>
                <w:color w:val="auto"/>
                <w:w w:val="92"/>
              </w:rPr>
              <w:t>September 30, 2022</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2"/>
              </w:rPr>
              <w:t>December 31, 2021</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86"/>
        </w:trPr>
        <w:tc>
          <w:tcPr>
            <w:tcW w:w="28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98"/>
              <w:spacing w:after="0"/>
              <w:rPr>
                <w:sz w:val="20"/>
                <w:szCs w:val="20"/>
                <w:color w:val="auto"/>
              </w:rPr>
            </w:pPr>
            <w:r>
              <w:rPr>
                <w:rFonts w:ascii="Arial" w:cs="Arial" w:eastAsia="Arial" w:hAnsi="Arial"/>
                <w:sz w:val="12"/>
                <w:szCs w:val="12"/>
                <w:b w:val="1"/>
                <w:bCs w:val="1"/>
                <w:color w:val="auto"/>
                <w:w w:val="92"/>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ind w:left="200"/>
              <w:spacing w:after="0"/>
              <w:rPr>
                <w:sz w:val="20"/>
                <w:szCs w:val="20"/>
                <w:color w:val="auto"/>
              </w:rPr>
            </w:pPr>
            <w:r>
              <w:rPr>
                <w:rFonts w:ascii="Arial" w:cs="Arial" w:eastAsia="Arial" w:hAnsi="Arial"/>
                <w:sz w:val="12"/>
                <w:szCs w:val="12"/>
                <w:b w:val="1"/>
                <w:bCs w:val="1"/>
                <w:color w:val="auto"/>
              </w:rPr>
              <w:t>Estimated Fair Value</w:t>
            </w:r>
          </w:p>
        </w:tc>
        <w:tc>
          <w:tcPr>
            <w:tcW w:w="140" w:type="dxa"/>
            <w:vAlign w:val="bottom"/>
          </w:tcPr>
          <w:p>
            <w:pPr>
              <w:spacing w:after="0"/>
              <w:rPr>
                <w:sz w:val="16"/>
                <w:szCs w:val="16"/>
                <w:color w:val="auto"/>
              </w:rPr>
            </w:pPr>
          </w:p>
        </w:tc>
        <w:tc>
          <w:tcPr>
            <w:tcW w:w="740" w:type="dxa"/>
            <w:vAlign w:val="bottom"/>
          </w:tcPr>
          <w:p>
            <w:pPr>
              <w:jc w:val="center"/>
              <w:ind w:right="78"/>
              <w:spacing w:after="0"/>
              <w:rPr>
                <w:sz w:val="20"/>
                <w:szCs w:val="20"/>
                <w:color w:val="auto"/>
              </w:rPr>
            </w:pPr>
            <w:r>
              <w:rPr>
                <w:rFonts w:ascii="Arial" w:cs="Arial" w:eastAsia="Arial" w:hAnsi="Arial"/>
                <w:sz w:val="12"/>
                <w:szCs w:val="12"/>
                <w:b w:val="1"/>
                <w:bCs w:val="1"/>
                <w:color w:val="auto"/>
                <w:w w:val="92"/>
              </w:rPr>
              <w:t>Gross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4"/>
          </w:tcPr>
          <w:p>
            <w:pPr>
              <w:ind w:left="200"/>
              <w:spacing w:after="0"/>
              <w:rPr>
                <w:sz w:val="20"/>
                <w:szCs w:val="20"/>
                <w:color w:val="auto"/>
              </w:rPr>
            </w:pPr>
            <w:r>
              <w:rPr>
                <w:rFonts w:ascii="Arial" w:cs="Arial" w:eastAsia="Arial" w:hAnsi="Arial"/>
                <w:sz w:val="12"/>
                <w:szCs w:val="12"/>
                <w:b w:val="1"/>
                <w:bCs w:val="1"/>
                <w:color w:val="auto"/>
              </w:rPr>
              <w:t>Estimated Fair Value</w:t>
            </w:r>
          </w:p>
        </w:tc>
      </w:tr>
      <w:tr>
        <w:trPr>
          <w:trHeight w:val="68"/>
        </w:trPr>
        <w:tc>
          <w:tcPr>
            <w:tcW w:w="28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jc w:val="center"/>
              <w:ind w:right="98"/>
              <w:spacing w:after="0" w:line="68" w:lineRule="exact"/>
              <w:rPr>
                <w:sz w:val="20"/>
                <w:szCs w:val="20"/>
                <w:color w:val="auto"/>
              </w:rPr>
            </w:pPr>
            <w:r>
              <w:rPr>
                <w:rFonts w:ascii="Arial" w:cs="Arial" w:eastAsia="Arial" w:hAnsi="Arial"/>
                <w:sz w:val="7"/>
                <w:szCs w:val="7"/>
                <w:b w:val="1"/>
                <w:bCs w:val="1"/>
                <w:color w:val="auto"/>
              </w:rPr>
              <w:t>Notional</w:t>
            </w: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jc w:val="center"/>
              <w:ind w:right="78"/>
              <w:spacing w:after="0" w:line="68" w:lineRule="exact"/>
              <w:rPr>
                <w:sz w:val="20"/>
                <w:szCs w:val="20"/>
                <w:color w:val="auto"/>
              </w:rPr>
            </w:pPr>
            <w:r>
              <w:rPr>
                <w:rFonts w:ascii="Arial" w:cs="Arial" w:eastAsia="Arial" w:hAnsi="Arial"/>
                <w:sz w:val="7"/>
                <w:szCs w:val="7"/>
                <w:b w:val="1"/>
                <w:bCs w:val="1"/>
                <w:color w:val="auto"/>
              </w:rPr>
              <w:t>Notional</w:t>
            </w: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170"/>
        </w:trPr>
        <w:tc>
          <w:tcPr>
            <w:tcW w:w="2820" w:type="dxa"/>
            <w:vAlign w:val="bottom"/>
          </w:tcPr>
          <w:p>
            <w:pPr>
              <w:spacing w:after="0"/>
              <w:rPr>
                <w:sz w:val="14"/>
                <w:szCs w:val="14"/>
                <w:color w:val="auto"/>
              </w:rPr>
            </w:pPr>
          </w:p>
        </w:tc>
        <w:tc>
          <w:tcPr>
            <w:tcW w:w="2620" w:type="dxa"/>
            <w:vAlign w:val="bottom"/>
            <w:gridSpan w:val="2"/>
          </w:tcPr>
          <w:p>
            <w:pPr>
              <w:ind w:left="320"/>
              <w:spacing w:after="0"/>
              <w:rPr>
                <w:sz w:val="20"/>
                <w:szCs w:val="20"/>
                <w:color w:val="auto"/>
              </w:rPr>
            </w:pPr>
            <w:r>
              <w:rPr>
                <w:rFonts w:ascii="Arial" w:cs="Arial" w:eastAsia="Arial" w:hAnsi="Arial"/>
                <w:sz w:val="12"/>
                <w:szCs w:val="12"/>
                <w:b w:val="1"/>
                <w:bCs w:val="1"/>
                <w:color w:val="auto"/>
              </w:rPr>
              <w:t>Primary Underlying Risk Exposure</w:t>
            </w:r>
          </w:p>
        </w:tc>
        <w:tc>
          <w:tcPr>
            <w:tcW w:w="160" w:type="dxa"/>
            <w:vAlign w:val="bottom"/>
          </w:tcPr>
          <w:p>
            <w:pPr>
              <w:spacing w:after="0"/>
              <w:rPr>
                <w:sz w:val="14"/>
                <w:szCs w:val="14"/>
                <w:color w:val="auto"/>
              </w:rPr>
            </w:pPr>
          </w:p>
        </w:tc>
        <w:tc>
          <w:tcPr>
            <w:tcW w:w="720" w:type="dxa"/>
            <w:vAlign w:val="bottom"/>
          </w:tcPr>
          <w:p>
            <w:pPr>
              <w:jc w:val="center"/>
              <w:ind w:right="98"/>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420"/>
              <w:spacing w:after="0"/>
              <w:rPr>
                <w:sz w:val="20"/>
                <w:szCs w:val="20"/>
                <w:color w:val="auto"/>
              </w:rPr>
            </w:pPr>
            <w:r>
              <w:rPr>
                <w:rFonts w:ascii="Arial" w:cs="Arial" w:eastAsia="Arial" w:hAnsi="Arial"/>
                <w:sz w:val="12"/>
                <w:szCs w:val="12"/>
                <w:b w:val="1"/>
                <w:bCs w:val="1"/>
                <w:color w:val="auto"/>
                <w:w w:val="81"/>
              </w:rPr>
              <w:t>Assets</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Liabilities</w:t>
            </w:r>
          </w:p>
        </w:tc>
        <w:tc>
          <w:tcPr>
            <w:tcW w:w="140" w:type="dxa"/>
            <w:vAlign w:val="bottom"/>
          </w:tcPr>
          <w:p>
            <w:pPr>
              <w:spacing w:after="0"/>
              <w:rPr>
                <w:sz w:val="14"/>
                <w:szCs w:val="14"/>
                <w:color w:val="auto"/>
              </w:rPr>
            </w:pPr>
          </w:p>
        </w:tc>
        <w:tc>
          <w:tcPr>
            <w:tcW w:w="740" w:type="dxa"/>
            <w:vAlign w:val="bottom"/>
          </w:tcPr>
          <w:p>
            <w:pPr>
              <w:jc w:val="center"/>
              <w:ind w:right="78"/>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1"/>
              </w:rPr>
              <w:t>Assets</w:t>
            </w:r>
          </w:p>
        </w:tc>
        <w:tc>
          <w:tcPr>
            <w:tcW w:w="1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Liabilities</w:t>
            </w:r>
          </w:p>
        </w:tc>
      </w:tr>
      <w:tr>
        <w:trPr>
          <w:trHeight w:val="166"/>
        </w:trPr>
        <w:tc>
          <w:tcPr>
            <w:tcW w:w="2820" w:type="dxa"/>
            <w:vAlign w:val="bottom"/>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4"/>
          </w:tcPr>
          <w:p>
            <w:pPr>
              <w:jc w:val="right"/>
              <w:ind w:right="558"/>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205"/>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forwards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192"/>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swaps</w:t>
            </w:r>
          </w:p>
        </w:tc>
        <w:tc>
          <w:tcPr>
            <w:tcW w:w="26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22</w:t>
            </w:r>
          </w:p>
        </w:tc>
      </w:tr>
      <w:tr>
        <w:trPr>
          <w:trHeight w:val="199"/>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qualifying hedges</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0</wp:posOffset>
            </wp:positionV>
            <wp:extent cx="36849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849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2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rate</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2700" w:type="dxa"/>
            <w:vAlign w:val="bottom"/>
          </w:tcPr>
          <w:p>
            <w:pPr>
              <w:ind w:left="20"/>
              <w:spacing w:after="0"/>
              <w:rPr>
                <w:sz w:val="20"/>
                <w:szCs w:val="20"/>
                <w:color w:val="auto"/>
              </w:rPr>
            </w:pPr>
            <w:r>
              <w:rPr>
                <w:rFonts w:ascii="Arial" w:cs="Arial" w:eastAsia="Arial" w:hAnsi="Arial"/>
                <w:sz w:val="14"/>
                <w:szCs w:val="14"/>
                <w:color w:val="auto"/>
              </w:rPr>
              <w:t>Interest rate floors</w:t>
            </w:r>
          </w:p>
        </w:tc>
        <w:tc>
          <w:tcPr>
            <w:tcW w:w="2740" w:type="dxa"/>
            <w:vAlign w:val="bottom"/>
          </w:tcPr>
          <w:p>
            <w:pPr>
              <w:ind w:left="140"/>
              <w:spacing w:after="0"/>
              <w:rPr>
                <w:sz w:val="20"/>
                <w:szCs w:val="20"/>
                <w:color w:val="auto"/>
              </w:rPr>
            </w:pPr>
            <w:r>
              <w:rPr>
                <w:rFonts w:ascii="Arial" w:cs="Arial" w:eastAsia="Arial" w:hAnsi="Arial"/>
                <w:sz w:val="14"/>
                <w:szCs w:val="14"/>
                <w:color w:val="auto"/>
              </w:rPr>
              <w:t>Interest rate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caps</w:t>
            </w:r>
          </w:p>
        </w:tc>
        <w:tc>
          <w:tcPr>
            <w:tcW w:w="2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rate</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2700" w:type="dxa"/>
            <w:vAlign w:val="bottom"/>
          </w:tcPr>
          <w:p>
            <w:pPr>
              <w:ind w:left="20"/>
              <w:spacing w:after="0"/>
              <w:rPr>
                <w:sz w:val="20"/>
                <w:szCs w:val="20"/>
                <w:color w:val="auto"/>
              </w:rPr>
            </w:pPr>
            <w:r>
              <w:rPr>
                <w:rFonts w:ascii="Arial" w:cs="Arial" w:eastAsia="Arial" w:hAnsi="Arial"/>
                <w:sz w:val="14"/>
                <w:szCs w:val="14"/>
                <w:color w:val="auto"/>
              </w:rPr>
              <w:t>Interest rate options</w:t>
            </w:r>
          </w:p>
        </w:tc>
        <w:tc>
          <w:tcPr>
            <w:tcW w:w="2740" w:type="dxa"/>
            <w:vAlign w:val="bottom"/>
          </w:tcPr>
          <w:p>
            <w:pPr>
              <w:ind w:left="140"/>
              <w:spacing w:after="0"/>
              <w:rPr>
                <w:sz w:val="20"/>
                <w:szCs w:val="20"/>
                <w:color w:val="auto"/>
              </w:rPr>
            </w:pPr>
            <w:r>
              <w:rPr>
                <w:rFonts w:ascii="Arial" w:cs="Arial" w:eastAsia="Arial" w:hAnsi="Arial"/>
                <w:sz w:val="14"/>
                <w:szCs w:val="14"/>
                <w:color w:val="auto"/>
              </w:rPr>
              <w:t>Interest rate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20,438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forwards</w:t>
            </w:r>
          </w:p>
        </w:tc>
        <w:tc>
          <w:tcPr>
            <w:tcW w:w="2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rate</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89"/>
        </w:trPr>
        <w:tc>
          <w:tcPr>
            <w:tcW w:w="2700" w:type="dxa"/>
            <w:vAlign w:val="bottom"/>
          </w:tcPr>
          <w:p>
            <w:pPr>
              <w:ind w:left="20"/>
              <w:spacing w:after="0"/>
              <w:rPr>
                <w:sz w:val="20"/>
                <w:szCs w:val="20"/>
                <w:color w:val="auto"/>
              </w:rPr>
            </w:pPr>
            <w:r>
              <w:rPr>
                <w:rFonts w:ascii="Arial" w:cs="Arial" w:eastAsia="Arial" w:hAnsi="Arial"/>
                <w:sz w:val="14"/>
                <w:szCs w:val="14"/>
                <w:color w:val="auto"/>
              </w:rPr>
              <w:t>Foreign currency swaps</w:t>
            </w:r>
          </w:p>
        </w:tc>
        <w:tc>
          <w:tcPr>
            <w:tcW w:w="2740" w:type="dxa"/>
            <w:vAlign w:val="bottom"/>
          </w:tcPr>
          <w:p>
            <w:pPr>
              <w:ind w:left="140"/>
              <w:spacing w:after="0"/>
              <w:rPr>
                <w:sz w:val="20"/>
                <w:szCs w:val="20"/>
                <w:color w:val="auto"/>
              </w:rPr>
            </w:pPr>
            <w:r>
              <w:rPr>
                <w:rFonts w:ascii="Arial" w:cs="Arial" w:eastAsia="Arial" w:hAnsi="Arial"/>
                <w:sz w:val="14"/>
                <w:szCs w:val="14"/>
                <w:color w:val="auto"/>
              </w:rPr>
              <w:t>Foreign currency exchange rate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8"/>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forwards</w:t>
            </w:r>
          </w:p>
        </w:tc>
        <w:tc>
          <w:tcPr>
            <w:tcW w:w="2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exchange rate</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2700" w:type="dxa"/>
            <w:vAlign w:val="bottom"/>
          </w:tcPr>
          <w:p>
            <w:pPr>
              <w:ind w:left="20"/>
              <w:spacing w:after="0"/>
              <w:rPr>
                <w:sz w:val="20"/>
                <w:szCs w:val="20"/>
                <w:color w:val="auto"/>
              </w:rPr>
            </w:pPr>
            <w:r>
              <w:rPr>
                <w:rFonts w:ascii="Arial" w:cs="Arial" w:eastAsia="Arial" w:hAnsi="Arial"/>
                <w:sz w:val="14"/>
                <w:szCs w:val="14"/>
                <w:color w:val="auto"/>
              </w:rPr>
              <w:t>Credit default swaps — written</w:t>
            </w:r>
          </w:p>
        </w:tc>
        <w:tc>
          <w:tcPr>
            <w:tcW w:w="2740" w:type="dxa"/>
            <w:vAlign w:val="bottom"/>
          </w:tcPr>
          <w:p>
            <w:pPr>
              <w:ind w:left="140"/>
              <w:spacing w:after="0"/>
              <w:rPr>
                <w:sz w:val="20"/>
                <w:szCs w:val="20"/>
                <w:color w:val="auto"/>
              </w:rPr>
            </w:pPr>
            <w:r>
              <w:rPr>
                <w:rFonts w:ascii="Arial" w:cs="Arial" w:eastAsia="Arial" w:hAnsi="Arial"/>
                <w:sz w:val="14"/>
                <w:szCs w:val="14"/>
                <w:color w:val="auto"/>
              </w:rPr>
              <w:t>Credit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1,869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8"/>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default swaptions</w:t>
            </w:r>
          </w:p>
        </w:tc>
        <w:tc>
          <w:tcPr>
            <w:tcW w:w="2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Credit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700" w:type="dxa"/>
            <w:vAlign w:val="bottom"/>
          </w:tcPr>
          <w:p>
            <w:pPr>
              <w:ind w:left="20"/>
              <w:spacing w:after="0"/>
              <w:rPr>
                <w:sz w:val="20"/>
                <w:szCs w:val="20"/>
                <w:color w:val="auto"/>
              </w:rPr>
            </w:pPr>
            <w:r>
              <w:rPr>
                <w:rFonts w:ascii="Arial" w:cs="Arial" w:eastAsia="Arial" w:hAnsi="Arial"/>
                <w:sz w:val="14"/>
                <w:szCs w:val="14"/>
                <w:color w:val="auto"/>
              </w:rPr>
              <w:t>Equity index options</w:t>
            </w:r>
          </w:p>
        </w:tc>
        <w:tc>
          <w:tcPr>
            <w:tcW w:w="2740" w:type="dxa"/>
            <w:vAlign w:val="bottom"/>
          </w:tcPr>
          <w:p>
            <w:pPr>
              <w:ind w:left="140"/>
              <w:spacing w:after="0"/>
              <w:rPr>
                <w:sz w:val="20"/>
                <w:szCs w:val="20"/>
                <w:color w:val="auto"/>
              </w:rPr>
            </w:pPr>
            <w:r>
              <w:rPr>
                <w:rFonts w:ascii="Arial" w:cs="Arial" w:eastAsia="Arial" w:hAnsi="Arial"/>
                <w:sz w:val="14"/>
                <w:szCs w:val="14"/>
                <w:color w:val="auto"/>
              </w:rPr>
              <w:t>Equity market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17,053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24,692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1,155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877</w:t>
            </w:r>
          </w:p>
        </w:tc>
      </w:tr>
      <w:tr>
        <w:trPr>
          <w:trHeight w:val="208"/>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variance swaps</w:t>
            </w:r>
          </w:p>
        </w:tc>
        <w:tc>
          <w:tcPr>
            <w:tcW w:w="2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market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700" w:type="dxa"/>
            <w:vAlign w:val="bottom"/>
          </w:tcPr>
          <w:p>
            <w:pPr>
              <w:ind w:left="20"/>
              <w:spacing w:after="0"/>
              <w:rPr>
                <w:sz w:val="20"/>
                <w:szCs w:val="20"/>
                <w:color w:val="auto"/>
              </w:rPr>
            </w:pPr>
            <w:r>
              <w:rPr>
                <w:rFonts w:ascii="Arial" w:cs="Arial" w:eastAsia="Arial" w:hAnsi="Arial"/>
                <w:sz w:val="14"/>
                <w:szCs w:val="14"/>
                <w:color w:val="auto"/>
              </w:rPr>
              <w:t>Equity total return swaps</w:t>
            </w:r>
          </w:p>
        </w:tc>
        <w:tc>
          <w:tcPr>
            <w:tcW w:w="2740" w:type="dxa"/>
            <w:vAlign w:val="bottom"/>
          </w:tcPr>
          <w:p>
            <w:pPr>
              <w:ind w:left="140"/>
              <w:spacing w:after="0"/>
              <w:rPr>
                <w:sz w:val="20"/>
                <w:szCs w:val="20"/>
                <w:color w:val="auto"/>
              </w:rPr>
            </w:pPr>
            <w:r>
              <w:rPr>
                <w:rFonts w:ascii="Arial" w:cs="Arial" w:eastAsia="Arial" w:hAnsi="Arial"/>
                <w:sz w:val="14"/>
                <w:szCs w:val="14"/>
                <w:color w:val="auto"/>
              </w:rPr>
              <w:t>Equity market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33,069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32,719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588</w:t>
            </w:r>
          </w:p>
        </w:tc>
      </w:tr>
      <w:tr>
        <w:trPr>
          <w:trHeight w:val="208"/>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 options</w:t>
            </w:r>
          </w:p>
        </w:tc>
        <w:tc>
          <w:tcPr>
            <w:tcW w:w="2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market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5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non-designated or non-qualifying derivatives</w:t>
            </w:r>
          </w:p>
        </w:tc>
        <w:tc>
          <w:tcPr>
            <w:tcW w:w="2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101,438</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2,855</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4,687</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87,469</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2,867</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1,622</w:t>
            </w:r>
          </w:p>
        </w:tc>
      </w:tr>
      <w:tr>
        <w:trPr>
          <w:trHeight w:val="185"/>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Embedded derivatives:</w:t>
            </w:r>
          </w:p>
        </w:tc>
        <w:tc>
          <w:tcPr>
            <w:tcW w:w="2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89"/>
        </w:trPr>
        <w:tc>
          <w:tcPr>
            <w:tcW w:w="2700" w:type="dxa"/>
            <w:vAlign w:val="bottom"/>
          </w:tcPr>
          <w:p>
            <w:pPr>
              <w:ind w:left="20"/>
              <w:spacing w:after="0"/>
              <w:rPr>
                <w:sz w:val="20"/>
                <w:szCs w:val="20"/>
                <w:color w:val="auto"/>
              </w:rPr>
            </w:pPr>
            <w:r>
              <w:rPr>
                <w:rFonts w:ascii="Arial" w:cs="Arial" w:eastAsia="Arial" w:hAnsi="Arial"/>
                <w:sz w:val="14"/>
                <w:szCs w:val="14"/>
                <w:color w:val="auto"/>
                <w:w w:val="95"/>
              </w:rPr>
              <w:t>Ceded guaranteed minimum income benefits</w:t>
            </w:r>
          </w:p>
        </w:tc>
        <w:tc>
          <w:tcPr>
            <w:tcW w:w="2740" w:type="dxa"/>
            <w:vAlign w:val="bottom"/>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 index-linked annuities</w:t>
            </w:r>
          </w:p>
        </w:tc>
        <w:tc>
          <w:tcPr>
            <w:tcW w:w="2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6,211</w:t>
            </w:r>
          </w:p>
        </w:tc>
      </w:tr>
      <w:tr>
        <w:trPr>
          <w:trHeight w:val="189"/>
        </w:trPr>
        <w:tc>
          <w:tcPr>
            <w:tcW w:w="2700" w:type="dxa"/>
            <w:vAlign w:val="bottom"/>
          </w:tcPr>
          <w:p>
            <w:pPr>
              <w:ind w:left="20"/>
              <w:spacing w:after="0"/>
              <w:rPr>
                <w:sz w:val="20"/>
                <w:szCs w:val="20"/>
                <w:color w:val="auto"/>
              </w:rPr>
            </w:pPr>
            <w:r>
              <w:rPr>
                <w:rFonts w:ascii="Arial" w:cs="Arial" w:eastAsia="Arial" w:hAnsi="Arial"/>
                <w:sz w:val="14"/>
                <w:szCs w:val="14"/>
                <w:color w:val="auto"/>
              </w:rPr>
              <w:t>Direct guaranteed minimum benefits</w:t>
            </w:r>
          </w:p>
        </w:tc>
        <w:tc>
          <w:tcPr>
            <w:tcW w:w="2740" w:type="dxa"/>
            <w:vAlign w:val="bottom"/>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1,848</w:t>
            </w:r>
          </w:p>
        </w:tc>
      </w:tr>
      <w:tr>
        <w:trPr>
          <w:trHeight w:val="208"/>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Assumed index-linked annuities</w:t>
            </w:r>
          </w:p>
        </w:tc>
        <w:tc>
          <w:tcPr>
            <w:tcW w:w="2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r>
      <w:tr>
        <w:trPr>
          <w:trHeight w:val="185"/>
        </w:trPr>
        <w:tc>
          <w:tcPr>
            <w:tcW w:w="2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embedded derivatives</w:t>
            </w:r>
          </w:p>
        </w:tc>
        <w:tc>
          <w:tcPr>
            <w:tcW w:w="27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4,062</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8,496</w:t>
            </w:r>
          </w:p>
        </w:tc>
      </w:tr>
      <w:tr>
        <w:trPr>
          <w:trHeight w:val="224"/>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105,578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90,931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10,140</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Based on gross notional amounts, a substantial portion of the Company’s derivatives was not designated or did not qualify as part of a hedging relationship at both September 30, 2022 and December 31, 2021. The Company’s use of derivatives includes (i) derivatives that serve as macro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Accounting Standards Codification 815 — Derivatives and Hedging;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6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amount and location of gains (losses), including earned income, recognized for derivatives and gains (losses) pertaining to hedged items presented in net derivative gains (losses)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Net Derivative Gains</w:t>
            </w: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Net Derivative Gains</w:t>
            </w: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Net Investment</w:t>
            </w:r>
          </w:p>
        </w:tc>
        <w:tc>
          <w:tcPr>
            <w:tcW w:w="120" w:type="dxa"/>
            <w:vAlign w:val="bottom"/>
          </w:tcPr>
          <w:p>
            <w:pPr>
              <w:spacing w:after="0"/>
              <w:rPr>
                <w:sz w:val="14"/>
                <w:szCs w:val="14"/>
                <w:color w:val="auto"/>
              </w:rPr>
            </w:pPr>
          </w:p>
        </w:tc>
        <w:tc>
          <w:tcPr>
            <w:tcW w:w="134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Amount of Gains</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6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87"/>
              </w:rPr>
              <w:t>(Losses) Recognized for</w:t>
            </w:r>
          </w:p>
        </w:tc>
        <w:tc>
          <w:tcPr>
            <w:tcW w:w="100" w:type="dxa"/>
            <w:vAlign w:val="bottom"/>
          </w:tcPr>
          <w:p>
            <w:pPr>
              <w:spacing w:after="0"/>
              <w:rPr>
                <w:sz w:val="12"/>
                <w:szCs w:val="12"/>
                <w:color w:val="auto"/>
              </w:rPr>
            </w:pPr>
          </w:p>
        </w:tc>
        <w:tc>
          <w:tcPr>
            <w:tcW w:w="14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(Losses) Recognized</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90"/>
              </w:rPr>
              <w:t>(Losses) Deferred in</w:t>
            </w:r>
          </w:p>
        </w:tc>
        <w:tc>
          <w:tcPr>
            <w:tcW w:w="0" w:type="dxa"/>
            <w:vAlign w:val="bottom"/>
          </w:tcPr>
          <w:p>
            <w:pPr>
              <w:spacing w:after="0"/>
              <w:rPr>
                <w:sz w:val="1"/>
                <w:szCs w:val="1"/>
                <w:color w:val="auto"/>
              </w:rPr>
            </w:pPr>
          </w:p>
        </w:tc>
      </w:tr>
      <w:tr>
        <w:trPr>
          <w:trHeight w:val="193"/>
        </w:trPr>
        <w:tc>
          <w:tcPr>
            <w:tcW w:w="5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for Hedged Items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90"/>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920"/>
              <w:spacing w:after="0"/>
              <w:rPr>
                <w:sz w:val="20"/>
                <w:szCs w:val="20"/>
                <w:color w:val="auto"/>
              </w:rPr>
            </w:pPr>
            <w:r>
              <w:rPr>
                <w:rFonts w:ascii="Arial" w:cs="Arial" w:eastAsia="Arial" w:hAnsi="Arial"/>
                <w:sz w:val="14"/>
                <w:szCs w:val="14"/>
                <w:b w:val="1"/>
                <w:bCs w:val="1"/>
                <w:color w:val="auto"/>
                <w:w w:val="91"/>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2022</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cash flow hedges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19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Not Designated or Not Qualifying as Hedging Instruments:</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market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Three Months Ended September 30, 2021</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3"/>
        </w:trPr>
        <w:tc>
          <w:tcPr>
            <w:tcW w:w="5100" w:type="dxa"/>
            <w:vAlign w:val="bottom"/>
          </w:tcPr>
          <w:p>
            <w:pPr>
              <w:ind w:left="180"/>
              <w:spacing w:after="0"/>
              <w:rPr>
                <w:sz w:val="20"/>
                <w:szCs w:val="20"/>
                <w:color w:val="auto"/>
              </w:rPr>
            </w:pPr>
            <w:r>
              <w:rPr>
                <w:rFonts w:ascii="Arial" w:cs="Arial" w:eastAsia="Arial" w:hAnsi="Arial"/>
                <w:sz w:val="16"/>
                <w:szCs w:val="16"/>
                <w:color w:val="auto"/>
              </w:rPr>
              <w:t>Total cash flow hedges</w:t>
            </w:r>
          </w:p>
        </w:tc>
        <w:tc>
          <w:tcPr>
            <w:tcW w:w="1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95"/>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Not Designated or Not Qualifying as Hedging Instruments:</w:t>
            </w:r>
          </w:p>
        </w:tc>
        <w:tc>
          <w:tcPr>
            <w:tcW w:w="1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market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Net Derivative Gains</w:t>
            </w: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Net Derivative Gains</w:t>
            </w: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Net Investment</w:t>
            </w:r>
          </w:p>
        </w:tc>
        <w:tc>
          <w:tcPr>
            <w:tcW w:w="120" w:type="dxa"/>
            <w:vAlign w:val="bottom"/>
          </w:tcPr>
          <w:p>
            <w:pPr>
              <w:spacing w:after="0"/>
              <w:rPr>
                <w:sz w:val="14"/>
                <w:szCs w:val="14"/>
                <w:color w:val="auto"/>
              </w:rPr>
            </w:pPr>
          </w:p>
        </w:tc>
        <w:tc>
          <w:tcPr>
            <w:tcW w:w="134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Amount of Gains</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6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87"/>
              </w:rPr>
              <w:t>(Losses) Recognized for</w:t>
            </w:r>
          </w:p>
        </w:tc>
        <w:tc>
          <w:tcPr>
            <w:tcW w:w="100" w:type="dxa"/>
            <w:vAlign w:val="bottom"/>
          </w:tcPr>
          <w:p>
            <w:pPr>
              <w:spacing w:after="0"/>
              <w:rPr>
                <w:sz w:val="12"/>
                <w:szCs w:val="12"/>
                <w:color w:val="auto"/>
              </w:rPr>
            </w:pPr>
          </w:p>
        </w:tc>
        <w:tc>
          <w:tcPr>
            <w:tcW w:w="14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(Losses) Recognized</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90"/>
              </w:rPr>
              <w:t>(Losses) Deferred in</w:t>
            </w:r>
          </w:p>
        </w:tc>
        <w:tc>
          <w:tcPr>
            <w:tcW w:w="0" w:type="dxa"/>
            <w:vAlign w:val="bottom"/>
          </w:tcPr>
          <w:p>
            <w:pPr>
              <w:spacing w:after="0"/>
              <w:rPr>
                <w:sz w:val="1"/>
                <w:szCs w:val="1"/>
                <w:color w:val="auto"/>
              </w:rPr>
            </w:pPr>
          </w:p>
        </w:tc>
      </w:tr>
      <w:tr>
        <w:trPr>
          <w:trHeight w:val="193"/>
        </w:trPr>
        <w:tc>
          <w:tcPr>
            <w:tcW w:w="5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for Hedged Items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90"/>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920"/>
              <w:spacing w:after="0"/>
              <w:rPr>
                <w:sz w:val="20"/>
                <w:szCs w:val="20"/>
                <w:color w:val="auto"/>
              </w:rPr>
            </w:pPr>
            <w:r>
              <w:rPr>
                <w:rFonts w:ascii="Arial" w:cs="Arial" w:eastAsia="Arial" w:hAnsi="Arial"/>
                <w:sz w:val="14"/>
                <w:szCs w:val="14"/>
                <w:b w:val="1"/>
                <w:bCs w:val="1"/>
                <w:color w:val="auto"/>
                <w:w w:val="91"/>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2022</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cash flow hedges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19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Not Designated or Not Qualifying as Hedging Instruments:</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market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4,605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1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Nine Months Ended September 30, 2021</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cash flow hedges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40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Not Designated or Not Qualifying as Hedging Instruments: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market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September 30, 2022 and December 31, 2021, the maximum length of time over which the Company was hedging its exposure to variability in future cash flows for forecasted transactions was one year and two years, respectively.</w:t>
      </w:r>
    </w:p>
    <w:p>
      <w:pPr>
        <w:spacing w:after="0" w:line="128" w:lineRule="exact"/>
        <w:rPr>
          <w:sz w:val="20"/>
          <w:szCs w:val="20"/>
          <w:color w:val="auto"/>
        </w:rPr>
      </w:pPr>
    </w:p>
    <w:p>
      <w:pPr>
        <w:ind w:right="120" w:firstLine="318"/>
        <w:spacing w:after="0" w:line="368" w:lineRule="auto"/>
        <w:rPr>
          <w:sz w:val="20"/>
          <w:szCs w:val="20"/>
          <w:color w:val="auto"/>
        </w:rPr>
      </w:pPr>
      <w:r>
        <w:rPr>
          <w:rFonts w:ascii="Arial" w:cs="Arial" w:eastAsia="Arial" w:hAnsi="Arial"/>
          <w:sz w:val="18"/>
          <w:szCs w:val="18"/>
          <w:color w:val="auto"/>
        </w:rPr>
        <w:t xml:space="preserve">At September 30, 2022 and December 31, 2021, the balance in AOCI associated with cash flow hedges was $930 million and $329 million, respectively. </w:t>
      </w:r>
      <w:r>
        <w:rPr>
          <w:rFonts w:ascii="Arial" w:cs="Arial" w:eastAsia="Arial" w:hAnsi="Arial"/>
          <w:sz w:val="18"/>
          <w:szCs w:val="18"/>
          <w:b w:val="1"/>
          <w:bCs w:val="1"/>
          <w:i w:val="1"/>
          <w:iCs w:val="1"/>
          <w:color w:val="auto"/>
        </w:rPr>
        <w:t>Credit Derivatives</w:t>
      </w:r>
    </w:p>
    <w:p>
      <w:pPr>
        <w:spacing w:after="0" w:line="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estimated fair value, maximum amount of future payments and weighted average years to maturity of written credit default swaps were as follows at: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
              <w:spacing w:after="0"/>
              <w:rPr>
                <w:sz w:val="20"/>
                <w:szCs w:val="20"/>
                <w:color w:val="auto"/>
              </w:rPr>
            </w:pPr>
            <w:r>
              <w:rPr>
                <w:rFonts w:ascii="Arial" w:cs="Arial" w:eastAsia="Arial" w:hAnsi="Arial"/>
                <w:sz w:val="14"/>
                <w:szCs w:val="14"/>
                <w:b w:val="1"/>
                <w:bCs w:val="1"/>
                <w:color w:val="auto"/>
                <w:w w:val="93"/>
              </w:rPr>
              <w:t>September 30, 2022</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6"/>
              <w:spacing w:after="0"/>
              <w:rPr>
                <w:sz w:val="20"/>
                <w:szCs w:val="20"/>
                <w:color w:val="auto"/>
              </w:rPr>
            </w:pPr>
            <w:r>
              <w:rPr>
                <w:rFonts w:ascii="Arial" w:cs="Arial" w:eastAsia="Arial" w:hAnsi="Arial"/>
                <w:sz w:val="14"/>
                <w:szCs w:val="14"/>
                <w:b w:val="1"/>
                <w:bCs w:val="1"/>
                <w:color w:val="auto"/>
                <w:w w:val="95"/>
              </w:rPr>
              <w:t>December 31, 2021</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1"/>
                <w:szCs w:val="11"/>
                <w:color w:val="auto"/>
              </w:rPr>
            </w:pPr>
          </w:p>
        </w:tc>
        <w:tc>
          <w:tcPr>
            <w:tcW w:w="1320" w:type="dxa"/>
            <w:vAlign w:val="bottom"/>
          </w:tcPr>
          <w:p>
            <w:pPr>
              <w:jc w:val="center"/>
              <w:ind w:right="66"/>
              <w:spacing w:after="0" w:line="130" w:lineRule="exact"/>
              <w:rPr>
                <w:sz w:val="20"/>
                <w:szCs w:val="20"/>
                <w:color w:val="auto"/>
              </w:rPr>
            </w:pPr>
            <w:r>
              <w:rPr>
                <w:rFonts w:ascii="Arial" w:cs="Arial" w:eastAsia="Arial" w:hAnsi="Arial"/>
                <w:sz w:val="14"/>
                <w:szCs w:val="14"/>
                <w:b w:val="1"/>
                <w:bCs w:val="1"/>
                <w:color w:val="auto"/>
                <w:w w:val="95"/>
              </w:rPr>
              <w:t>Maximum</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1"/>
                <w:szCs w:val="11"/>
                <w:color w:val="auto"/>
              </w:rPr>
            </w:pPr>
          </w:p>
        </w:tc>
        <w:tc>
          <w:tcPr>
            <w:tcW w:w="1300" w:type="dxa"/>
            <w:vAlign w:val="bottom"/>
          </w:tcPr>
          <w:p>
            <w:pPr>
              <w:jc w:val="center"/>
              <w:ind w:right="86"/>
              <w:spacing w:after="0" w:line="130" w:lineRule="exact"/>
              <w:rPr>
                <w:sz w:val="20"/>
                <w:szCs w:val="20"/>
                <w:color w:val="auto"/>
              </w:rPr>
            </w:pPr>
            <w:r>
              <w:rPr>
                <w:rFonts w:ascii="Arial" w:cs="Arial" w:eastAsia="Arial" w:hAnsi="Arial"/>
                <w:sz w:val="14"/>
                <w:szCs w:val="14"/>
                <w:b w:val="1"/>
                <w:bCs w:val="1"/>
                <w:color w:val="auto"/>
                <w:w w:val="95"/>
              </w:rPr>
              <w:t>Maximum</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86"/>
              <w:spacing w:after="0" w:line="142" w:lineRule="exact"/>
              <w:rPr>
                <w:sz w:val="20"/>
                <w:szCs w:val="20"/>
                <w:color w:val="auto"/>
              </w:rPr>
            </w:pPr>
            <w:r>
              <w:rPr>
                <w:rFonts w:ascii="Arial" w:cs="Arial" w:eastAsia="Arial" w:hAnsi="Arial"/>
                <w:sz w:val="14"/>
                <w:szCs w:val="14"/>
                <w:b w:val="1"/>
                <w:bCs w:val="1"/>
                <w:color w:val="auto"/>
                <w:w w:val="91"/>
              </w:rPr>
              <w:t>Amount of</w:t>
            </w: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6"/>
              <w:spacing w:after="0" w:line="142" w:lineRule="exact"/>
              <w:rPr>
                <w:sz w:val="20"/>
                <w:szCs w:val="20"/>
                <w:color w:val="auto"/>
              </w:rPr>
            </w:pPr>
            <w:r>
              <w:rPr>
                <w:rFonts w:ascii="Arial" w:cs="Arial" w:eastAsia="Arial" w:hAnsi="Arial"/>
                <w:sz w:val="14"/>
                <w:szCs w:val="14"/>
                <w:b w:val="1"/>
                <w:bCs w:val="1"/>
                <w:color w:val="auto"/>
                <w:w w:val="94"/>
              </w:rPr>
              <w:t>Amount of</w:t>
            </w:r>
          </w:p>
        </w:tc>
        <w:tc>
          <w:tcPr>
            <w:tcW w:w="1200" w:type="dxa"/>
            <w:vAlign w:val="bottom"/>
            <w:vMerge w:val="restart"/>
          </w:tcPr>
          <w:p>
            <w:pPr>
              <w:jc w:val="center"/>
              <w:ind w:left="44"/>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1320" w:type="dxa"/>
            <w:vAlign w:val="bottom"/>
          </w:tcPr>
          <w:p>
            <w:pPr>
              <w:jc w:val="center"/>
              <w:ind w:right="66"/>
              <w:spacing w:after="0" w:line="146" w:lineRule="exact"/>
              <w:rPr>
                <w:sz w:val="20"/>
                <w:szCs w:val="20"/>
                <w:color w:val="auto"/>
              </w:rPr>
            </w:pPr>
            <w:r>
              <w:rPr>
                <w:rFonts w:ascii="Arial" w:cs="Arial" w:eastAsia="Arial" w:hAnsi="Arial"/>
                <w:sz w:val="14"/>
                <w:szCs w:val="14"/>
                <w:b w:val="1"/>
                <w:bCs w:val="1"/>
                <w:color w:val="auto"/>
                <w:w w:val="96"/>
              </w:rPr>
              <w:t>Future</w:t>
            </w: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2"/>
              </w:rPr>
              <w:t>Fair Value</w:t>
            </w:r>
          </w:p>
        </w:tc>
        <w:tc>
          <w:tcPr>
            <w:tcW w:w="180" w:type="dxa"/>
            <w:vAlign w:val="bottom"/>
          </w:tcPr>
          <w:p>
            <w:pPr>
              <w:spacing w:after="0"/>
              <w:rPr>
                <w:sz w:val="12"/>
                <w:szCs w:val="12"/>
                <w:color w:val="auto"/>
              </w:rPr>
            </w:pPr>
          </w:p>
        </w:tc>
        <w:tc>
          <w:tcPr>
            <w:tcW w:w="1300" w:type="dxa"/>
            <w:vAlign w:val="bottom"/>
          </w:tcPr>
          <w:p>
            <w:pPr>
              <w:jc w:val="center"/>
              <w:ind w:right="86"/>
              <w:spacing w:after="0" w:line="146" w:lineRule="exact"/>
              <w:rPr>
                <w:sz w:val="20"/>
                <w:szCs w:val="20"/>
                <w:color w:val="auto"/>
              </w:rPr>
            </w:pPr>
            <w:r>
              <w:rPr>
                <w:rFonts w:ascii="Arial" w:cs="Arial" w:eastAsia="Arial" w:hAnsi="Arial"/>
                <w:sz w:val="14"/>
                <w:szCs w:val="14"/>
                <w:b w:val="1"/>
                <w:bCs w:val="1"/>
                <w:color w:val="auto"/>
                <w:w w:val="96"/>
              </w:rPr>
              <w:t>Future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Rating Agency Designation of Referenced Credit</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of Credit</w:t>
            </w:r>
          </w:p>
        </w:tc>
        <w:tc>
          <w:tcPr>
            <w:tcW w:w="160" w:type="dxa"/>
            <w:vAlign w:val="bottom"/>
          </w:tcPr>
          <w:p>
            <w:pPr>
              <w:spacing w:after="0"/>
              <w:rPr>
                <w:sz w:val="11"/>
                <w:szCs w:val="11"/>
                <w:color w:val="auto"/>
              </w:rPr>
            </w:pPr>
          </w:p>
        </w:tc>
        <w:tc>
          <w:tcPr>
            <w:tcW w:w="1320" w:type="dxa"/>
            <w:vAlign w:val="bottom"/>
          </w:tcPr>
          <w:p>
            <w:pPr>
              <w:jc w:val="center"/>
              <w:ind w:right="66"/>
              <w:spacing w:after="0" w:line="133" w:lineRule="exact"/>
              <w:rPr>
                <w:sz w:val="20"/>
                <w:szCs w:val="20"/>
                <w:color w:val="auto"/>
              </w:rPr>
            </w:pPr>
            <w:r>
              <w:rPr>
                <w:rFonts w:ascii="Arial" w:cs="Arial" w:eastAsia="Arial" w:hAnsi="Arial"/>
                <w:sz w:val="14"/>
                <w:szCs w:val="14"/>
                <w:b w:val="1"/>
                <w:bCs w:val="1"/>
                <w:color w:val="auto"/>
                <w:w w:val="89"/>
              </w:rPr>
              <w:t>Payments under</w:t>
            </w:r>
          </w:p>
        </w:tc>
        <w:tc>
          <w:tcPr>
            <w:tcW w:w="13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of Credit</w:t>
            </w: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89"/>
              </w:rPr>
              <w:t>Payments under</w:t>
            </w:r>
          </w:p>
        </w:tc>
        <w:tc>
          <w:tcPr>
            <w:tcW w:w="1200" w:type="dxa"/>
            <w:vAlign w:val="bottom"/>
          </w:tcPr>
          <w:p>
            <w:pPr>
              <w:jc w:val="center"/>
              <w:ind w:left="44"/>
              <w:spacing w:after="0" w:line="13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6"/>
        </w:trPr>
        <w:tc>
          <w:tcPr>
            <w:tcW w:w="3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6"/>
              </w:rPr>
              <w:t>Default</w:t>
            </w:r>
          </w:p>
        </w:tc>
        <w:tc>
          <w:tcPr>
            <w:tcW w:w="160" w:type="dxa"/>
            <w:vAlign w:val="bottom"/>
          </w:tcPr>
          <w:p>
            <w:pPr>
              <w:spacing w:after="0"/>
              <w:rPr>
                <w:sz w:val="12"/>
                <w:szCs w:val="12"/>
                <w:color w:val="auto"/>
              </w:rPr>
            </w:pPr>
          </w:p>
        </w:tc>
        <w:tc>
          <w:tcPr>
            <w:tcW w:w="1320" w:type="dxa"/>
            <w:vAlign w:val="bottom"/>
          </w:tcPr>
          <w:p>
            <w:pPr>
              <w:jc w:val="center"/>
              <w:ind w:right="86"/>
              <w:spacing w:after="0" w:line="146" w:lineRule="exact"/>
              <w:rPr>
                <w:sz w:val="20"/>
                <w:szCs w:val="20"/>
                <w:color w:val="auto"/>
              </w:rPr>
            </w:pPr>
            <w:r>
              <w:rPr>
                <w:rFonts w:ascii="Arial" w:cs="Arial" w:eastAsia="Arial" w:hAnsi="Arial"/>
                <w:sz w:val="14"/>
                <w:szCs w:val="14"/>
                <w:b w:val="1"/>
                <w:bCs w:val="1"/>
                <w:color w:val="auto"/>
                <w:w w:val="95"/>
              </w:rPr>
              <w:t>Credit Default</w:t>
            </w:r>
          </w:p>
        </w:tc>
        <w:tc>
          <w:tcPr>
            <w:tcW w:w="130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0"/>
              </w:rPr>
              <w:t>Years to</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12"/>
                <w:szCs w:val="12"/>
                <w:color w:val="auto"/>
              </w:rPr>
            </w:pPr>
          </w:p>
        </w:tc>
        <w:tc>
          <w:tcPr>
            <w:tcW w:w="1300" w:type="dxa"/>
            <w:vAlign w:val="bottom"/>
          </w:tcPr>
          <w:p>
            <w:pPr>
              <w:jc w:val="center"/>
              <w:ind w:right="86"/>
              <w:spacing w:after="0" w:line="146" w:lineRule="exact"/>
              <w:rPr>
                <w:sz w:val="20"/>
                <w:szCs w:val="20"/>
                <w:color w:val="auto"/>
              </w:rPr>
            </w:pPr>
            <w:r>
              <w:rPr>
                <w:rFonts w:ascii="Arial" w:cs="Arial" w:eastAsia="Arial" w:hAnsi="Arial"/>
                <w:sz w:val="14"/>
                <w:szCs w:val="14"/>
                <w:b w:val="1"/>
                <w:bCs w:val="1"/>
                <w:color w:val="auto"/>
                <w:w w:val="93"/>
              </w:rPr>
              <w:t>Credit Default</w:t>
            </w:r>
          </w:p>
        </w:tc>
        <w:tc>
          <w:tcPr>
            <w:tcW w:w="1200" w:type="dxa"/>
            <w:vAlign w:val="bottom"/>
          </w:tcPr>
          <w:p>
            <w:pPr>
              <w:jc w:val="center"/>
              <w:ind w:left="44"/>
              <w:spacing w:after="0" w:line="146" w:lineRule="exact"/>
              <w:rPr>
                <w:sz w:val="20"/>
                <w:szCs w:val="20"/>
                <w:color w:val="auto"/>
              </w:rPr>
            </w:pPr>
            <w:r>
              <w:rPr>
                <w:rFonts w:ascii="Arial" w:cs="Arial" w:eastAsia="Arial" w:hAnsi="Arial"/>
                <w:sz w:val="14"/>
                <w:szCs w:val="14"/>
                <w:b w:val="1"/>
                <w:bCs w:val="1"/>
                <w:color w:val="auto"/>
                <w:w w:val="86"/>
              </w:rPr>
              <w:t>Years to</w:t>
            </w:r>
          </w:p>
        </w:tc>
        <w:tc>
          <w:tcPr>
            <w:tcW w:w="0" w:type="dxa"/>
            <w:vAlign w:val="bottom"/>
          </w:tcPr>
          <w:p>
            <w:pPr>
              <w:spacing w:after="0"/>
              <w:rPr>
                <w:sz w:val="1"/>
                <w:szCs w:val="1"/>
                <w:color w:val="auto"/>
              </w:rPr>
            </w:pPr>
          </w:p>
        </w:tc>
      </w:tr>
      <w:tr>
        <w:trPr>
          <w:trHeight w:val="193"/>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Obligations (1)</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Swaps</w:t>
            </w:r>
          </w:p>
        </w:tc>
        <w:tc>
          <w:tcPr>
            <w:tcW w:w="160" w:type="dxa"/>
            <w:vAlign w:val="bottom"/>
          </w:tcPr>
          <w:p>
            <w:pPr>
              <w:spacing w:after="0"/>
              <w:rPr>
                <w:sz w:val="16"/>
                <w:szCs w:val="16"/>
                <w:color w:val="auto"/>
              </w:rPr>
            </w:pPr>
          </w:p>
        </w:tc>
        <w:tc>
          <w:tcPr>
            <w:tcW w:w="1320" w:type="dxa"/>
            <w:vAlign w:val="bottom"/>
          </w:tcPr>
          <w:p>
            <w:pPr>
              <w:jc w:val="center"/>
              <w:ind w:right="66"/>
              <w:spacing w:after="0"/>
              <w:rPr>
                <w:sz w:val="20"/>
                <w:szCs w:val="20"/>
                <w:color w:val="auto"/>
              </w:rPr>
            </w:pPr>
            <w:r>
              <w:rPr>
                <w:rFonts w:ascii="Arial" w:cs="Arial" w:eastAsia="Arial" w:hAnsi="Arial"/>
                <w:sz w:val="14"/>
                <w:szCs w:val="14"/>
                <w:b w:val="1"/>
                <w:bCs w:val="1"/>
                <w:color w:val="auto"/>
                <w:w w:val="85"/>
              </w:rPr>
              <w:t>Swaps</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Maturity (2)</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Swaps</w:t>
            </w:r>
          </w:p>
        </w:tc>
        <w:tc>
          <w:tcPr>
            <w:tcW w:w="180" w:type="dxa"/>
            <w:vAlign w:val="bottom"/>
          </w:tcPr>
          <w:p>
            <w:pPr>
              <w:spacing w:after="0"/>
              <w:rPr>
                <w:sz w:val="16"/>
                <w:szCs w:val="16"/>
                <w:color w:val="auto"/>
              </w:rPr>
            </w:pPr>
          </w:p>
        </w:tc>
        <w:tc>
          <w:tcPr>
            <w:tcW w:w="1300" w:type="dxa"/>
            <w:vAlign w:val="bottom"/>
          </w:tcPr>
          <w:p>
            <w:pPr>
              <w:jc w:val="center"/>
              <w:ind w:right="86"/>
              <w:spacing w:after="0"/>
              <w:rPr>
                <w:sz w:val="20"/>
                <w:szCs w:val="20"/>
                <w:color w:val="auto"/>
              </w:rPr>
            </w:pPr>
            <w:r>
              <w:rPr>
                <w:rFonts w:ascii="Arial" w:cs="Arial" w:eastAsia="Arial" w:hAnsi="Arial"/>
                <w:sz w:val="14"/>
                <w:szCs w:val="14"/>
                <w:b w:val="1"/>
                <w:bCs w:val="1"/>
                <w:color w:val="auto"/>
                <w:w w:val="85"/>
              </w:rPr>
              <w:t>Swaps</w:t>
            </w:r>
          </w:p>
        </w:tc>
        <w:tc>
          <w:tcPr>
            <w:tcW w:w="1200" w:type="dxa"/>
            <w:vAlign w:val="bottom"/>
          </w:tcPr>
          <w:p>
            <w:pPr>
              <w:jc w:val="center"/>
              <w:ind w:left="44"/>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190"/>
        </w:trPr>
        <w:tc>
          <w:tcPr>
            <w:tcW w:w="3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Aaa/Aa/A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center"/>
              <w:ind w:left="545"/>
              <w:spacing w:after="0"/>
              <w:rPr>
                <w:sz w:val="20"/>
                <w:szCs w:val="20"/>
                <w:color w:val="auto"/>
              </w:rPr>
            </w:pPr>
            <w:r>
              <w:rPr>
                <w:rFonts w:ascii="Arial" w:cs="Arial" w:eastAsia="Arial" w:hAnsi="Arial"/>
                <w:sz w:val="16"/>
                <w:szCs w:val="16"/>
                <w:color w:val="auto"/>
                <w:w w:val="89"/>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Baa</w:t>
            </w:r>
          </w:p>
        </w:tc>
        <w:tc>
          <w:tcPr>
            <w:tcW w:w="120" w:type="dxa"/>
            <w:vAlign w:val="bottom"/>
          </w:tcPr>
          <w:p>
            <w:pPr>
              <w:spacing w:after="0"/>
              <w:rPr>
                <w:sz w:val="18"/>
                <w:szCs w:val="18"/>
                <w:color w:val="auto"/>
              </w:rPr>
            </w:pPr>
          </w:p>
        </w:tc>
        <w:tc>
          <w:tcPr>
            <w:tcW w:w="820" w:type="dxa"/>
            <w:vAlign w:val="bottom"/>
          </w:tcPr>
          <w:p>
            <w:pPr>
              <w:jc w:val="center"/>
              <w:ind w:left="525"/>
              <w:spacing w:after="0"/>
              <w:rPr>
                <w:sz w:val="20"/>
                <w:szCs w:val="20"/>
                <w:color w:val="auto"/>
              </w:rPr>
            </w:pPr>
            <w:r>
              <w:rPr>
                <w:rFonts w:ascii="Arial" w:cs="Arial" w:eastAsia="Arial" w:hAnsi="Arial"/>
                <w:sz w:val="16"/>
                <w:szCs w:val="16"/>
                <w:color w:val="auto"/>
                <w:w w:val="91"/>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1,177</w:t>
            </w: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1,131</w:t>
            </w: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4"/>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545"/>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Caa and Lower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525"/>
              <w:spacing w:after="0"/>
              <w:rPr>
                <w:sz w:val="20"/>
                <w:szCs w:val="20"/>
                <w:color w:val="auto"/>
              </w:rPr>
            </w:pPr>
            <w:r>
              <w:rPr>
                <w:rFonts w:ascii="Arial" w:cs="Arial" w:eastAsia="Arial" w:hAnsi="Arial"/>
                <w:sz w:val="16"/>
                <w:szCs w:val="16"/>
                <w:color w:val="auto"/>
                <w:w w:val="91"/>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center"/>
              <w:ind w:left="525"/>
              <w:spacing w:after="0"/>
              <w:rPr>
                <w:sz w:val="20"/>
                <w:szCs w:val="20"/>
                <w:color w:val="auto"/>
              </w:rPr>
            </w:pPr>
            <w:r>
              <w:rPr>
                <w:rFonts w:ascii="Arial" w:cs="Arial" w:eastAsia="Arial" w:hAnsi="Arial"/>
                <w:sz w:val="16"/>
                <w:szCs w:val="16"/>
                <w:color w:val="auto"/>
                <w:w w:val="91"/>
              </w:rPr>
              <w:t>(4)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written credit protection on both single name and index references. The rating agency designations are based on availability and the midpoint of the applicable ratings among Moody’s, S&amp;P and Fitch. If no rating is available from a rating agency, then an internally developed rating is used.</w:t>
      </w:r>
    </w:p>
    <w:p>
      <w:pPr>
        <w:spacing w:after="0" w:line="82" w:lineRule="exact"/>
        <w:rPr>
          <w:rFonts w:ascii="Arial" w:cs="Arial" w:eastAsia="Arial" w:hAnsi="Arial"/>
          <w:sz w:val="18"/>
          <w:szCs w:val="18"/>
          <w:color w:val="auto"/>
        </w:rPr>
      </w:pPr>
    </w:p>
    <w:p>
      <w:pPr>
        <w:ind w:left="320" w:hanging="314"/>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manages its credit risk by: (i) entering into derivative transactions with creditworthy counterparties governed by master netting agreements;</w:t>
      </w:r>
    </w:p>
    <w:p>
      <w:pPr>
        <w:spacing w:after="0" w:line="51" w:lineRule="exact"/>
        <w:rPr>
          <w:sz w:val="20"/>
          <w:szCs w:val="20"/>
          <w:color w:val="auto"/>
        </w:rPr>
      </w:pPr>
    </w:p>
    <w:p>
      <w:pPr>
        <w:ind w:firstLine="6"/>
        <w:spacing w:after="0" w:line="251"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6 for a description of the impact of credit risk on the valuation of derivatives.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estimated fair values of net derivative assets and net derivative liabilities after the application of master netting agreements and collateral were as follows at:</w:t>
      </w:r>
    </w:p>
    <w:p>
      <w:pPr>
        <w:spacing w:after="0" w:line="210"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Gross Amounts Not Offset on the Consolidated</w:t>
      </w:r>
    </w:p>
    <w:p>
      <w:pPr>
        <w:spacing w:after="0" w:line="1"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right"/>
              <w:ind w:right="303"/>
              <w:spacing w:after="0" w:line="141" w:lineRule="exact"/>
              <w:rPr>
                <w:sz w:val="20"/>
                <w:szCs w:val="20"/>
                <w:color w:val="auto"/>
              </w:rPr>
            </w:pPr>
            <w:r>
              <w:rPr>
                <w:rFonts w:ascii="Arial" w:cs="Arial" w:eastAsia="Arial" w:hAnsi="Arial"/>
                <w:sz w:val="14"/>
                <w:szCs w:val="14"/>
                <w:b w:val="1"/>
                <w:bCs w:val="1"/>
                <w:color w:val="auto"/>
                <w:w w:val="96"/>
              </w:rPr>
              <w:t>Gross Amount</w:t>
            </w:r>
          </w:p>
        </w:tc>
        <w:tc>
          <w:tcPr>
            <w:tcW w:w="1500" w:type="dxa"/>
            <w:vAlign w:val="bottom"/>
            <w:tcBorders>
              <w:top w:val="single" w:sz="8" w:color="auto"/>
            </w:tcBorders>
            <w:gridSpan w:val="2"/>
          </w:tcPr>
          <w:p>
            <w:pPr>
              <w:jc w:val="right"/>
              <w:ind w:right="22"/>
              <w:spacing w:after="0" w:line="141" w:lineRule="exact"/>
              <w:rPr>
                <w:sz w:val="20"/>
                <w:szCs w:val="20"/>
                <w:color w:val="auto"/>
              </w:rPr>
            </w:pPr>
            <w:r>
              <w:rPr>
                <w:rFonts w:ascii="Arial" w:cs="Arial" w:eastAsia="Arial" w:hAnsi="Arial"/>
                <w:sz w:val="14"/>
                <w:szCs w:val="14"/>
                <w:b w:val="1"/>
                <w:bCs w:val="1"/>
                <w:color w:val="auto"/>
                <w:w w:val="95"/>
              </w:rPr>
              <w:t>Financial Instruments</w:t>
            </w:r>
          </w:p>
        </w:tc>
        <w:tc>
          <w:tcPr>
            <w:tcW w:w="3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343"/>
              <w:spacing w:after="0" w:line="141" w:lineRule="exact"/>
              <w:rPr>
                <w:sz w:val="20"/>
                <w:szCs w:val="20"/>
                <w:color w:val="auto"/>
              </w:rPr>
            </w:pPr>
            <w:r>
              <w:rPr>
                <w:rFonts w:ascii="Arial" w:cs="Arial" w:eastAsia="Arial" w:hAnsi="Arial"/>
                <w:sz w:val="14"/>
                <w:szCs w:val="14"/>
                <w:b w:val="1"/>
                <w:bCs w:val="1"/>
                <w:color w:val="auto"/>
              </w:rPr>
              <w:t>Collateral</w:t>
            </w:r>
          </w:p>
        </w:tc>
        <w:tc>
          <w:tcPr>
            <w:tcW w:w="420" w:type="dxa"/>
            <w:vAlign w:val="bottom"/>
          </w:tcPr>
          <w:p>
            <w:pPr>
              <w:spacing w:after="0"/>
              <w:rPr>
                <w:sz w:val="12"/>
                <w:szCs w:val="12"/>
                <w:color w:val="auto"/>
              </w:rPr>
            </w:pPr>
          </w:p>
        </w:tc>
        <w:tc>
          <w:tcPr>
            <w:tcW w:w="114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w w:val="93"/>
              </w:rPr>
              <w:t>Net Amount</w:t>
            </w:r>
          </w:p>
        </w:tc>
        <w:tc>
          <w:tcPr>
            <w:tcW w:w="180" w:type="dxa"/>
            <w:vAlign w:val="bottom"/>
          </w:tcPr>
          <w:p>
            <w:pPr>
              <w:spacing w:after="0"/>
              <w:rPr>
                <w:sz w:val="12"/>
                <w:szCs w:val="12"/>
                <w:color w:val="auto"/>
              </w:rPr>
            </w:pPr>
          </w:p>
        </w:tc>
        <w:tc>
          <w:tcPr>
            <w:tcW w:w="1360" w:type="dxa"/>
            <w:vAlign w:val="bottom"/>
          </w:tcPr>
          <w:p>
            <w:pPr>
              <w:jc w:val="right"/>
              <w:ind w:right="62"/>
              <w:spacing w:after="0" w:line="141" w:lineRule="exact"/>
              <w:rPr>
                <w:sz w:val="20"/>
                <w:szCs w:val="20"/>
                <w:color w:val="auto"/>
              </w:rPr>
            </w:pPr>
            <w:r>
              <w:rPr>
                <w:rFonts w:ascii="Arial" w:cs="Arial" w:eastAsia="Arial" w:hAnsi="Arial"/>
                <w:sz w:val="14"/>
                <w:szCs w:val="14"/>
                <w:b w:val="1"/>
                <w:bCs w:val="1"/>
                <w:color w:val="auto"/>
                <w:w w:val="89"/>
              </w:rPr>
              <w:t>Securities Collateral</w:t>
            </w:r>
          </w:p>
        </w:tc>
        <w:tc>
          <w:tcPr>
            <w:tcW w:w="160" w:type="dxa"/>
            <w:vAlign w:val="bottom"/>
          </w:tcPr>
          <w:p>
            <w:pPr>
              <w:spacing w:after="0"/>
              <w:rPr>
                <w:sz w:val="12"/>
                <w:szCs w:val="12"/>
                <w:color w:val="auto"/>
              </w:rPr>
            </w:pPr>
          </w:p>
        </w:tc>
        <w:tc>
          <w:tcPr>
            <w:tcW w:w="1340" w:type="dxa"/>
            <w:vAlign w:val="bottom"/>
          </w:tcPr>
          <w:p>
            <w:pPr>
              <w:jc w:val="right"/>
              <w:ind w:right="103"/>
              <w:spacing w:after="0" w:line="141" w:lineRule="exact"/>
              <w:rPr>
                <w:sz w:val="20"/>
                <w:szCs w:val="20"/>
                <w:color w:val="auto"/>
              </w:rPr>
            </w:pPr>
            <w:r>
              <w:rPr>
                <w:rFonts w:ascii="Arial" w:cs="Arial" w:eastAsia="Arial" w:hAnsi="Arial"/>
                <w:sz w:val="14"/>
                <w:szCs w:val="14"/>
                <w:b w:val="1"/>
                <w:bCs w:val="1"/>
                <w:color w:val="auto"/>
                <w:w w:val="98"/>
              </w:rPr>
              <w:t>Net Amount After</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Recognized</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(1)</w:t>
            </w:r>
          </w:p>
        </w:tc>
        <w:tc>
          <w:tcPr>
            <w:tcW w:w="14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Received/Pledged (2)</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w w:val="99"/>
              </w:rPr>
              <w:t>Received/Pledged (3)</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90"/>
              </w:rPr>
              <w:t>Securities Collateral</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2022</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120" w:type="dxa"/>
            <w:vAlign w:val="bottom"/>
          </w:tcPr>
          <w:p>
            <w:pPr>
              <w:ind w:left="20"/>
              <w:spacing w:after="0"/>
              <w:rPr>
                <w:sz w:val="20"/>
                <w:szCs w:val="20"/>
                <w:color w:val="auto"/>
              </w:rPr>
            </w:pPr>
            <w:r>
              <w:rPr>
                <w:rFonts w:ascii="Arial" w:cs="Arial" w:eastAsia="Arial" w:hAnsi="Arial"/>
                <w:sz w:val="16"/>
                <w:szCs w:val="16"/>
                <w:color w:val="auto"/>
              </w:rPr>
              <w:t>Derivative assets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3"/>
              <w:spacing w:after="0"/>
              <w:rPr>
                <w:sz w:val="20"/>
                <w:szCs w:val="20"/>
                <w:color w:val="auto"/>
              </w:rPr>
            </w:pPr>
            <w:r>
              <w:rPr>
                <w:rFonts w:ascii="Arial" w:cs="Arial" w:eastAsia="Arial" w:hAnsi="Arial"/>
                <w:sz w:val="16"/>
                <w:szCs w:val="16"/>
                <w:color w:val="auto"/>
              </w:rPr>
              <w:t>3,821</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(2,172)</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(1,535)</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5"/>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4,744</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(2,172)</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2,568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(2,566)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December 31, 2021</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3,128</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(1,155)</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7"/>
        </w:trPr>
        <w:tc>
          <w:tcPr>
            <w:tcW w:w="212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3"/>
              <w:spacing w:after="0"/>
              <w:rPr>
                <w:sz w:val="20"/>
                <w:szCs w:val="20"/>
                <w:color w:val="auto"/>
              </w:rPr>
            </w:pPr>
            <w:r>
              <w:rPr>
                <w:rFonts w:ascii="Arial" w:cs="Arial" w:eastAsia="Arial" w:hAnsi="Arial"/>
                <w:sz w:val="16"/>
                <w:szCs w:val="16"/>
                <w:color w:val="auto"/>
              </w:rPr>
              <w:t>1,632</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(1,155)</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477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(477)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amounts subject to an enforceable master netting agreement or similar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68" w:lineRule="exact"/>
        <w:rPr>
          <w:sz w:val="20"/>
          <w:szCs w:val="20"/>
          <w:color w:val="auto"/>
        </w:rPr>
      </w:pPr>
    </w:p>
    <w:p>
      <w:pPr>
        <w:ind w:left="320" w:hanging="314"/>
        <w:spacing w:after="0"/>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amount of cash collateral offset in the table above is limited to the net estimated fair value of derivatives after application of netting agreement.</w:t>
      </w:r>
    </w:p>
    <w:p>
      <w:pPr>
        <w:spacing w:after="0" w:line="14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Securities collateral received from counterparties is not reported on the consolidated balance sheets and may not be sold or re-pledged unless the counterparty is in default. Amounts do not include excess of collateral pledged or received.</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185"/>
              <w:spacing w:after="0"/>
              <w:rPr>
                <w:sz w:val="20"/>
                <w:szCs w:val="20"/>
                <w:color w:val="auto"/>
              </w:rPr>
            </w:pPr>
            <w:r>
              <w:rPr>
                <w:rFonts w:ascii="Arial" w:cs="Arial" w:eastAsia="Arial" w:hAnsi="Arial"/>
                <w:sz w:val="14"/>
                <w:szCs w:val="14"/>
                <w:b w:val="1"/>
                <w:bCs w:val="1"/>
                <w:color w:val="auto"/>
                <w:w w:val="93"/>
              </w:rPr>
              <w:t>September 30, 2022</w:t>
            </w:r>
          </w:p>
        </w:tc>
        <w:tc>
          <w:tcPr>
            <w:tcW w:w="260" w:type="dxa"/>
            <w:vAlign w:val="bottom"/>
          </w:tcPr>
          <w:p>
            <w:pPr>
              <w:spacing w:after="0"/>
              <w:rPr>
                <w:sz w:val="15"/>
                <w:szCs w:val="15"/>
                <w:color w:val="auto"/>
              </w:rPr>
            </w:pPr>
          </w:p>
        </w:tc>
        <w:tc>
          <w:tcPr>
            <w:tcW w:w="1480" w:type="dxa"/>
            <w:vAlign w:val="bottom"/>
          </w:tcPr>
          <w:p>
            <w:pPr>
              <w:jc w:val="right"/>
              <w:ind w:right="183"/>
              <w:spacing w:after="0"/>
              <w:rPr>
                <w:sz w:val="20"/>
                <w:szCs w:val="20"/>
                <w:color w:val="auto"/>
              </w:rPr>
            </w:pPr>
            <w:r>
              <w:rPr>
                <w:rFonts w:ascii="Arial" w:cs="Arial" w:eastAsia="Arial" w:hAnsi="Arial"/>
                <w:sz w:val="14"/>
                <w:szCs w:val="14"/>
                <w:b w:val="1"/>
                <w:bCs w:val="1"/>
                <w:color w:val="auto"/>
                <w:w w:val="95"/>
              </w:rPr>
              <w:t>December 31, 2021</w:t>
            </w:r>
          </w:p>
        </w:tc>
      </w:tr>
      <w:tr>
        <w:trPr>
          <w:trHeight w:val="24"/>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3"/>
          </w:tcPr>
          <w:p>
            <w:pPr>
              <w:spacing w:after="0"/>
              <w:rPr>
                <w:sz w:val="2"/>
                <w:szCs w:val="2"/>
                <w:color w:val="auto"/>
              </w:rPr>
            </w:pPr>
          </w:p>
        </w:tc>
      </w:tr>
      <w:tr>
        <w:trPr>
          <w:trHeight w:val="185"/>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3"/>
          </w:tcPr>
          <w:p>
            <w:pPr>
              <w:jc w:val="right"/>
              <w:ind w:right="1263"/>
              <w:spacing w:after="0"/>
              <w:rPr>
                <w:sz w:val="20"/>
                <w:szCs w:val="20"/>
                <w:color w:val="auto"/>
              </w:rPr>
            </w:pPr>
            <w:r>
              <w:rPr>
                <w:rFonts w:ascii="Arial" w:cs="Arial" w:eastAsia="Arial" w:hAnsi="Arial"/>
                <w:sz w:val="14"/>
                <w:szCs w:val="14"/>
                <w:b w:val="1"/>
                <w:bCs w:val="1"/>
                <w:color w:val="auto"/>
              </w:rPr>
              <w:t>(In millions)</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2,572</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Estimated Fair Value of Collateral Provided (2):</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4"/>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4,583</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111" w:lineRule="exact"/>
        <w:rPr>
          <w:rFonts w:ascii="Arial" w:cs="Arial" w:eastAsia="Arial" w:hAnsi="Arial"/>
          <w:sz w:val="18"/>
          <w:szCs w:val="18"/>
          <w:color w:val="auto"/>
        </w:rPr>
      </w:pPr>
    </w:p>
    <w:p>
      <w:pPr>
        <w:jc w:val="both"/>
        <w:ind w:left="320" w:hanging="314"/>
        <w:spacing w:after="0" w:line="318" w:lineRule="auto"/>
        <w:tabs>
          <w:tab w:leader="none" w:pos="314" w:val="left"/>
        </w:tabs>
        <w:numPr>
          <w:ilvl w:val="0"/>
          <w:numId w:val="20"/>
        </w:numPr>
        <w:rPr>
          <w:rFonts w:ascii="Arial" w:cs="Arial" w:eastAsia="Arial" w:hAnsi="Arial"/>
          <w:sz w:val="15"/>
          <w:szCs w:val="15"/>
          <w:color w:val="auto"/>
        </w:rPr>
      </w:pPr>
      <w:r>
        <w:rPr>
          <w:rFonts w:ascii="Arial" w:cs="Arial" w:eastAsia="Arial" w:hAnsi="Arial"/>
          <w:sz w:val="15"/>
          <w:szCs w:val="15"/>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over-the-counter (“OTC”) bilateral contracts between two counterparties (“OTC-bilateral”) derivative transactions to third party custodians.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
        </w:trPr>
        <w:tc>
          <w:tcPr>
            <w:tcW w:w="5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5"/>
        </w:trPr>
        <w:tc>
          <w:tcPr>
            <w:tcW w:w="5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Fair Value Hierarchy</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61"/>
              <w:spacing w:after="0"/>
              <w:rPr>
                <w:sz w:val="20"/>
                <w:szCs w:val="20"/>
                <w:color w:val="auto"/>
              </w:rPr>
            </w:pPr>
            <w:r>
              <w:rPr>
                <w:rFonts w:ascii="Arial" w:cs="Arial" w:eastAsia="Arial" w:hAnsi="Arial"/>
                <w:sz w:val="14"/>
                <w:szCs w:val="14"/>
                <w:b w:val="1"/>
                <w:bCs w:val="1"/>
                <w:color w:val="auto"/>
                <w:w w:val="97"/>
              </w:rPr>
              <w:t>Total Estimated</w:t>
            </w:r>
          </w:p>
        </w:tc>
      </w:tr>
      <w:tr>
        <w:trPr>
          <w:trHeight w:val="193"/>
        </w:trPr>
        <w:tc>
          <w:tcPr>
            <w:tcW w:w="55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corporate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32,138</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corporate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9,623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10,140</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3,949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8,402</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RMBS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7,832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7,859</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6,616</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State and political subdivision</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3,831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3,831</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1,082</w:t>
            </w:r>
          </w:p>
        </w:tc>
      </w:tr>
      <w:tr>
        <w:trPr>
          <w:trHeight w:val="208"/>
        </w:trPr>
        <w:tc>
          <w:tcPr>
            <w:tcW w:w="5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3,949</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69,393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75,271</w:t>
            </w: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Derivative assets: (1)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1,094</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2,211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2,220</w:t>
            </w:r>
          </w:p>
        </w:tc>
      </w:tr>
      <w:tr>
        <w:trPr>
          <w:trHeight w:val="20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assets</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3,674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3,740</w:t>
            </w: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color w:val="auto"/>
              </w:rPr>
              <w:t>Embedded derivatives within asset host contracts (2)</w:t>
            </w:r>
          </w:p>
        </w:tc>
        <w:tc>
          <w:tcPr>
            <w:tcW w:w="86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Separate account 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81,797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81,836</w:t>
            </w:r>
          </w:p>
        </w:tc>
      </w:tr>
      <w:tr>
        <w:trPr>
          <w:trHeight w:val="208"/>
        </w:trPr>
        <w:tc>
          <w:tcPr>
            <w:tcW w:w="550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4,697</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155,357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162,206</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8"/>
        </w:trPr>
        <w:tc>
          <w:tcPr>
            <w:tcW w:w="55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w:t>
            </w: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Derivative liabilities: (1)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1,869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w:t>
            </w:r>
          </w:p>
        </w:tc>
      </w:tr>
      <w:tr>
        <w:trPr>
          <w:trHeight w:val="20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liabilities</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4,708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4,712</w:t>
            </w:r>
          </w:p>
        </w:tc>
      </w:tr>
      <w:tr>
        <w:trPr>
          <w:trHeight w:val="20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 derivatives within liability host contracts (2)</w:t>
            </w: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4,062</w:t>
            </w:r>
          </w:p>
        </w:tc>
      </w:tr>
      <w:tr>
        <w:trPr>
          <w:trHeight w:val="22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
        </w:trPr>
        <w:tc>
          <w:tcPr>
            <w:tcW w:w="5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5"/>
        </w:trPr>
        <w:tc>
          <w:tcPr>
            <w:tcW w:w="5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Fair Value Hierarchy</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61"/>
              <w:spacing w:after="0"/>
              <w:rPr>
                <w:sz w:val="20"/>
                <w:szCs w:val="20"/>
                <w:color w:val="auto"/>
              </w:rPr>
            </w:pPr>
            <w:r>
              <w:rPr>
                <w:rFonts w:ascii="Arial" w:cs="Arial" w:eastAsia="Arial" w:hAnsi="Arial"/>
                <w:sz w:val="14"/>
                <w:szCs w:val="14"/>
                <w:b w:val="1"/>
                <w:bCs w:val="1"/>
                <w:color w:val="auto"/>
                <w:w w:val="97"/>
              </w:rPr>
              <w:t>Total Estimated</w:t>
            </w:r>
          </w:p>
        </w:tc>
      </w:tr>
      <w:tr>
        <w:trPr>
          <w:trHeight w:val="193"/>
        </w:trPr>
        <w:tc>
          <w:tcPr>
            <w:tcW w:w="55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corporate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38,176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39,081</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Foreign corporate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11,212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11,706</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3,236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9,307</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RMBS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9,247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9,259</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7,282</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State and political subdivision</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4,835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4,835</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1,832</w:t>
            </w:r>
          </w:p>
        </w:tc>
      </w:tr>
      <w:tr>
        <w:trPr>
          <w:trHeight w:val="208"/>
        </w:trPr>
        <w:tc>
          <w:tcPr>
            <w:tcW w:w="5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3,236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82,701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87,582</w:t>
            </w: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1,503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Derivative assets: (1)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w:t>
            </w:r>
          </w:p>
        </w:tc>
      </w:tr>
      <w:tr>
        <w:trPr>
          <w:trHeight w:val="20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assets</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3,088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3,126</w:t>
            </w: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color w:val="auto"/>
              </w:rPr>
              <w:t>Embedded derivatives within asset host contracts (2)</w:t>
            </w:r>
          </w:p>
        </w:tc>
        <w:tc>
          <w:tcPr>
            <w:tcW w:w="86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Separate account 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114,423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114,464</w:t>
            </w:r>
          </w:p>
        </w:tc>
      </w:tr>
      <w:tr>
        <w:trPr>
          <w:trHeight w:val="208"/>
        </w:trPr>
        <w:tc>
          <w:tcPr>
            <w:tcW w:w="550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4,807</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200,609</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207,300</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8"/>
        </w:trPr>
        <w:tc>
          <w:tcPr>
            <w:tcW w:w="55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w:t>
            </w: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Derivative liabilities: (1)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r>
      <w:tr>
        <w:trPr>
          <w:trHeight w:val="20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liabilities</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1,642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w:t>
            </w:r>
          </w:p>
        </w:tc>
      </w:tr>
      <w:tr>
        <w:trPr>
          <w:trHeight w:val="20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 derivatives within liability host contracts (2)</w:t>
            </w: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8,496</w:t>
            </w:r>
          </w:p>
        </w:tc>
      </w:tr>
      <w:tr>
        <w:trPr>
          <w:trHeight w:val="22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Derivative assets are presented within other invested assets on the consolidated balance sheets and derivative liabilities are presented within other liabilities on the consolidated balance sheets. The amounts are presented gross in the tables above to reflect the presentation on the consolidated balance sheets.</w:t>
      </w:r>
    </w:p>
    <w:p>
      <w:pPr>
        <w:spacing w:after="0" w:line="82" w:lineRule="exact"/>
        <w:rPr>
          <w:rFonts w:ascii="Arial" w:cs="Arial" w:eastAsia="Arial" w:hAnsi="Arial"/>
          <w:sz w:val="18"/>
          <w:szCs w:val="18"/>
          <w:color w:val="auto"/>
        </w:rPr>
      </w:pPr>
    </w:p>
    <w:p>
      <w:pPr>
        <w:ind w:left="320" w:hanging="314"/>
        <w:spacing w:after="0" w:line="365" w:lineRule="auto"/>
        <w:tabs>
          <w:tab w:leader="none" w:pos="314" w:val="left"/>
        </w:tabs>
        <w:numPr>
          <w:ilvl w:val="0"/>
          <w:numId w:val="21"/>
        </w:numPr>
        <w:rPr>
          <w:rFonts w:ascii="Arial" w:cs="Arial" w:eastAsia="Arial" w:hAnsi="Arial"/>
          <w:sz w:val="15"/>
          <w:szCs w:val="15"/>
          <w:color w:val="auto"/>
        </w:rPr>
      </w:pPr>
      <w:r>
        <w:rPr>
          <w:rFonts w:ascii="Arial" w:cs="Arial" w:eastAsia="Arial" w:hAnsi="Arial"/>
          <w:sz w:val="15"/>
          <w:szCs w:val="15"/>
          <w:color w:val="auto"/>
        </w:rPr>
        <w:t>Embedded derivatives within asset host contracts are presented within premiums, reinsurance and other receivables on the consolidated balance sheets. Embedded derivatives within liability host contracts are presented within policyholder account balances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pacing w:after="0" w:line="90"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79"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85"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nine months ended September 30, 2022.</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Determination of Fair Value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Fixed Maturity Securities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35"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4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Equity Securities and Short-term Investments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135"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i w:val="1"/>
          <w:iCs w:val="1"/>
          <w:color w:val="auto"/>
        </w:rPr>
        <w:t xml:space="preserve">Equity securities and short-term investments: </w:t>
      </w:r>
      <w:r>
        <w:rPr>
          <w:rFonts w:ascii="Arial" w:cs="Arial" w:eastAsia="Arial" w:hAnsi="Arial"/>
          <w:sz w:val="18"/>
          <w:szCs w:val="18"/>
          <w:color w:val="auto"/>
        </w:rPr>
        <w:t>Fair value is determined using third-party commercial pricing services, with the primary input being</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Derivatives are financial instruments with values derived from interest rates, foreign currency exchange rates, credit spreads and/or other financial indices. Derivatives may be exchange-traded or contracted in the OTC market. Certain of the Company’s OTC derivatives are cleared and settled through central clearing counterparties (“OTC-cleared”), while others are OTC-bilateral.</w:t>
      </w:r>
    </w:p>
    <w:p>
      <w:pPr>
        <w:spacing w:after="0" w:line="82"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85"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90"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65"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1" w:lineRule="exact"/>
        <w:rPr>
          <w:sz w:val="20"/>
          <w:szCs w:val="20"/>
          <w:color w:val="auto"/>
        </w:rPr>
      </w:pPr>
    </w:p>
    <w:p>
      <w:pPr>
        <w:jc w:val="both"/>
        <w:ind w:left="320" w:firstLine="318"/>
        <w:spacing w:after="0" w:line="294" w:lineRule="auto"/>
        <w:rPr>
          <w:sz w:val="20"/>
          <w:szCs w:val="20"/>
          <w:color w:val="auto"/>
        </w:rPr>
      </w:pPr>
      <w:r>
        <w:rPr>
          <w:rFonts w:ascii="Arial" w:cs="Arial" w:eastAsia="Arial" w:hAnsi="Arial"/>
          <w:sz w:val="17"/>
          <w:szCs w:val="17"/>
          <w:color w:val="auto"/>
        </w:rPr>
        <w:t>Embedded derivatives principally include certain direct and ceded variable annuity guarantees and equity crediting rates within index-linked annuity contracts. Embedded derivatives are recorded at estimated fair value with changes in estimated fair value reported in net income.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The Company issues certain variable annuity products with guaranteed minimum benefits. Guaranteed minimum accumulation benefits (“GMAB”), the non-life contingent portion of GMWBs and certain portions of GMIBs are accounted for as embedded derivatives and measured at estimated fair value separately from the host variable annuity contract. These embedded derivatives are classified within policyholder account balances on the consolidated balance sheets, with changes in estimated fair value reported in net derivative gains (losses).</w:t>
      </w:r>
    </w:p>
    <w:p>
      <w:pPr>
        <w:spacing w:after="0" w:line="7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The Company determines the fair value of these embedded derivatives by estimating the present value of projected future benefits minus the present value of projected future fees using actuarial and capital markets assumptions including expectations of policyholder behavior. The calculation is based on in-force business and is performed using standard actuarial valuation software which projects future cash flows from the embedded derivative over multiple risk neutral stochastic scenarios using observable risk-free rates. The percentage of fees included in the initial fair value measurement is not updated in subsequent periods.</w:t>
      </w:r>
    </w:p>
    <w:p>
      <w:pPr>
        <w:spacing w:after="0" w:line="88"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Capital markets assumptions, such as risk-free rates and implied volatilities, are based on market prices for publicly-traded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valuation of these guarantee liabilities includes nonperformance risk adjustments and adjustments for a risk margin related to non-capital markets inputs. The nonperformance adjustment is determined by taking into consideration publicly available information relating to spreads in the secondary market for BHF’s debt. These observable spreads are then adjusted to reflect the priority of these liabilities and claims-paying ability of the issuing insurance subsidiaries as compared to BHF’s overall financial strength.</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Risk margins are established to capture the non-capital markets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Company issues and assumes through reinsurance index-linked annuities which allow the policyholder to participate in returns from equity indices. The crediting rates associated with these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balance sheets.</w:t>
      </w:r>
    </w:p>
    <w:p>
      <w:pPr>
        <w:spacing w:after="0" w:line="8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September 30, 2022</w:t>
            </w:r>
          </w:p>
        </w:tc>
        <w:tc>
          <w:tcPr>
            <w:tcW w:w="18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Impact of</w:t>
            </w:r>
          </w:p>
        </w:tc>
        <w:tc>
          <w:tcPr>
            <w:tcW w:w="0" w:type="dxa"/>
            <w:vAlign w:val="bottom"/>
          </w:tcPr>
          <w:p>
            <w:pPr>
              <w:spacing w:after="0"/>
              <w:rPr>
                <w:sz w:val="1"/>
                <w:szCs w:val="1"/>
                <w:color w:val="auto"/>
              </w:rPr>
            </w:pPr>
          </w:p>
        </w:tc>
      </w:tr>
      <w:tr>
        <w:trPr>
          <w:trHeight w:val="91"/>
        </w:trPr>
        <w:tc>
          <w:tcPr>
            <w:tcW w:w="25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gridSpan w:val="4"/>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w w:val="93"/>
              </w:rPr>
              <w:t>Increase in Input</w:t>
            </w:r>
          </w:p>
        </w:tc>
        <w:tc>
          <w:tcPr>
            <w:tcW w:w="0" w:type="dxa"/>
            <w:vAlign w:val="bottom"/>
          </w:tcPr>
          <w:p>
            <w:pPr>
              <w:spacing w:after="0"/>
              <w:rPr>
                <w:sz w:val="1"/>
                <w:szCs w:val="1"/>
                <w:color w:val="auto"/>
              </w:rPr>
            </w:pPr>
          </w:p>
        </w:tc>
      </w:tr>
      <w:tr>
        <w:trPr>
          <w:trHeight w:val="31"/>
        </w:trPr>
        <w:tc>
          <w:tcPr>
            <w:tcW w:w="2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Significant</w:t>
            </w: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Valuation Techniques</w:t>
            </w: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0"/>
              </w:rPr>
              <w:t>on Estimated</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Unobservable Inputs</w:t>
            </w:r>
          </w:p>
        </w:tc>
        <w:tc>
          <w:tcPr>
            <w:tcW w:w="6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4"/>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Embedded derivatives</w:t>
            </w:r>
          </w:p>
        </w:tc>
        <w:tc>
          <w:tcPr>
            <w:tcW w:w="1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540" w:type="dxa"/>
            <w:vAlign w:val="bottom"/>
          </w:tcPr>
          <w:p>
            <w:pPr>
              <w:ind w:left="20"/>
              <w:spacing w:after="0" w:line="141" w:lineRule="exact"/>
              <w:rPr>
                <w:sz w:val="20"/>
                <w:szCs w:val="20"/>
                <w:color w:val="auto"/>
              </w:rPr>
            </w:pPr>
            <w:r>
              <w:rPr>
                <w:rFonts w:ascii="Arial" w:cs="Arial" w:eastAsia="Arial" w:hAnsi="Arial"/>
                <w:sz w:val="14"/>
                <w:szCs w:val="14"/>
                <w:color w:val="auto"/>
              </w:rPr>
              <w:t>Direct, assumed and ceded guaranteed</w:t>
            </w:r>
          </w:p>
        </w:tc>
        <w:tc>
          <w:tcPr>
            <w:tcW w:w="1580" w:type="dxa"/>
            <w:vAlign w:val="bottom"/>
            <w:gridSpan w:val="2"/>
          </w:tcPr>
          <w:p>
            <w:pPr>
              <w:ind w:left="20"/>
              <w:spacing w:after="0" w:line="141" w:lineRule="exact"/>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Option pricing</w:t>
            </w:r>
          </w:p>
        </w:tc>
        <w:tc>
          <w:tcPr>
            <w:tcW w:w="120" w:type="dxa"/>
            <w:vAlign w:val="bottom"/>
          </w:tcPr>
          <w:p>
            <w:pPr>
              <w:spacing w:after="0"/>
              <w:rPr>
                <w:sz w:val="12"/>
                <w:szCs w:val="12"/>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4"/>
                <w:szCs w:val="14"/>
                <w:color w:val="auto"/>
              </w:rPr>
              <w:t>Mortality rates</w:t>
            </w:r>
          </w:p>
        </w:tc>
        <w:tc>
          <w:tcPr>
            <w:tcW w:w="660" w:type="dxa"/>
            <w:vAlign w:val="bottom"/>
            <w:vMerge w:val="restart"/>
          </w:tcPr>
          <w:p>
            <w:pPr>
              <w:jc w:val="center"/>
              <w:ind w:left="69"/>
              <w:spacing w:after="0"/>
              <w:rPr>
                <w:sz w:val="20"/>
                <w:szCs w:val="20"/>
                <w:color w:val="auto"/>
              </w:rPr>
            </w:pPr>
            <w:r>
              <w:rPr>
                <w:rFonts w:ascii="Arial" w:cs="Arial" w:eastAsia="Arial" w:hAnsi="Arial"/>
                <w:sz w:val="14"/>
                <w:szCs w:val="14"/>
                <w:color w:val="auto"/>
                <w:w w:val="90"/>
              </w:rPr>
              <w:t>0.03%</w:t>
            </w:r>
          </w:p>
        </w:tc>
        <w:tc>
          <w:tcPr>
            <w:tcW w:w="460" w:type="dxa"/>
            <w:vAlign w:val="bottom"/>
          </w:tcPr>
          <w:p>
            <w:pPr>
              <w:spacing w:after="0"/>
              <w:rPr>
                <w:sz w:val="12"/>
                <w:szCs w:val="12"/>
                <w:color w:val="auto"/>
              </w:rPr>
            </w:pPr>
          </w:p>
        </w:tc>
        <w:tc>
          <w:tcPr>
            <w:tcW w:w="680" w:type="dxa"/>
            <w:vAlign w:val="bottom"/>
            <w:vMerge w:val="restart"/>
          </w:tcPr>
          <w:p>
            <w:pPr>
              <w:jc w:val="center"/>
              <w:ind w:right="89"/>
              <w:spacing w:after="0"/>
              <w:rPr>
                <w:sz w:val="20"/>
                <w:szCs w:val="20"/>
                <w:color w:val="auto"/>
              </w:rPr>
            </w:pPr>
            <w:r>
              <w:rPr>
                <w:rFonts w:ascii="Arial" w:cs="Arial" w:eastAsia="Arial" w:hAnsi="Arial"/>
                <w:sz w:val="14"/>
                <w:szCs w:val="14"/>
                <w:color w:val="auto"/>
                <w:w w:val="92"/>
              </w:rPr>
              <w:t>12.62%</w:t>
            </w:r>
          </w:p>
        </w:tc>
        <w:tc>
          <w:tcPr>
            <w:tcW w:w="100" w:type="dxa"/>
            <w:vAlign w:val="bottom"/>
          </w:tcPr>
          <w:p>
            <w:pPr>
              <w:spacing w:after="0"/>
              <w:rPr>
                <w:sz w:val="12"/>
                <w:szCs w:val="12"/>
                <w:color w:val="auto"/>
              </w:rPr>
            </w:pPr>
          </w:p>
        </w:tc>
        <w:tc>
          <w:tcPr>
            <w:tcW w:w="680" w:type="dxa"/>
            <w:vAlign w:val="bottom"/>
            <w:vMerge w:val="restart"/>
          </w:tcPr>
          <w:p>
            <w:pPr>
              <w:jc w:val="center"/>
              <w:ind w:left="49"/>
              <w:spacing w:after="0"/>
              <w:rPr>
                <w:sz w:val="20"/>
                <w:szCs w:val="20"/>
                <w:color w:val="auto"/>
              </w:rPr>
            </w:pPr>
            <w:r>
              <w:rPr>
                <w:rFonts w:ascii="Arial" w:cs="Arial" w:eastAsia="Arial" w:hAnsi="Arial"/>
                <w:sz w:val="14"/>
                <w:szCs w:val="14"/>
                <w:color w:val="auto"/>
                <w:w w:val="90"/>
              </w:rPr>
              <w:t>0.03%</w:t>
            </w:r>
          </w:p>
        </w:tc>
        <w:tc>
          <w:tcPr>
            <w:tcW w:w="460" w:type="dxa"/>
            <w:vAlign w:val="bottom"/>
          </w:tcPr>
          <w:p>
            <w:pPr>
              <w:spacing w:after="0"/>
              <w:rPr>
                <w:sz w:val="12"/>
                <w:szCs w:val="12"/>
                <w:color w:val="auto"/>
              </w:rPr>
            </w:pPr>
          </w:p>
        </w:tc>
        <w:tc>
          <w:tcPr>
            <w:tcW w:w="680" w:type="dxa"/>
            <w:vAlign w:val="bottom"/>
            <w:vMerge w:val="restart"/>
          </w:tcPr>
          <w:p>
            <w:pPr>
              <w:jc w:val="center"/>
              <w:ind w:right="89"/>
              <w:spacing w:after="0"/>
              <w:rPr>
                <w:sz w:val="20"/>
                <w:szCs w:val="20"/>
                <w:color w:val="auto"/>
              </w:rPr>
            </w:pPr>
            <w:r>
              <w:rPr>
                <w:rFonts w:ascii="Arial" w:cs="Arial" w:eastAsia="Arial" w:hAnsi="Arial"/>
                <w:sz w:val="14"/>
                <w:szCs w:val="14"/>
                <w:color w:val="auto"/>
                <w:w w:val="92"/>
              </w:rPr>
              <w:t>12.62%</w:t>
            </w:r>
          </w:p>
        </w:tc>
        <w:tc>
          <w:tcPr>
            <w:tcW w:w="1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88"/>
              </w:rPr>
              <w:t>Decrease (1)</w:t>
            </w:r>
          </w:p>
        </w:tc>
        <w:tc>
          <w:tcPr>
            <w:tcW w:w="0" w:type="dxa"/>
            <w:vAlign w:val="bottom"/>
          </w:tcPr>
          <w:p>
            <w:pPr>
              <w:spacing w:after="0"/>
              <w:rPr>
                <w:sz w:val="1"/>
                <w:szCs w:val="1"/>
                <w:color w:val="auto"/>
              </w:rPr>
            </w:pPr>
          </w:p>
        </w:tc>
      </w:tr>
      <w:tr>
        <w:trPr>
          <w:trHeight w:val="185"/>
        </w:trPr>
        <w:tc>
          <w:tcPr>
            <w:tcW w:w="2540" w:type="dxa"/>
            <w:vAlign w:val="bottom"/>
          </w:tcPr>
          <w:p>
            <w:pPr>
              <w:ind w:left="180"/>
              <w:spacing w:after="0"/>
              <w:rPr>
                <w:sz w:val="20"/>
                <w:szCs w:val="20"/>
                <w:color w:val="auto"/>
              </w:rPr>
            </w:pPr>
            <w:r>
              <w:rPr>
                <w:rFonts w:ascii="Arial" w:cs="Arial" w:eastAsia="Arial" w:hAnsi="Arial"/>
                <w:sz w:val="14"/>
                <w:szCs w:val="14"/>
                <w:color w:val="auto"/>
              </w:rPr>
              <w:t>minimum benefits</w:t>
            </w:r>
          </w:p>
        </w:tc>
        <w:tc>
          <w:tcPr>
            <w:tcW w:w="1580" w:type="dxa"/>
            <w:vAlign w:val="bottom"/>
            <w:gridSpan w:val="2"/>
          </w:tcPr>
          <w:p>
            <w:pPr>
              <w:ind w:left="340"/>
              <w:spacing w:after="0"/>
              <w:rPr>
                <w:sz w:val="20"/>
                <w:szCs w:val="20"/>
                <w:color w:val="auto"/>
              </w:rPr>
            </w:pPr>
            <w:r>
              <w:rPr>
                <w:rFonts w:ascii="Arial" w:cs="Arial" w:eastAsia="Arial" w:hAnsi="Arial"/>
                <w:sz w:val="14"/>
                <w:szCs w:val="14"/>
                <w:color w:val="auto"/>
              </w:rPr>
              <w:t>techniques</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Lapse rates</w:t>
            </w:r>
          </w:p>
        </w:tc>
        <w:tc>
          <w:tcPr>
            <w:tcW w:w="66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0"/>
              </w:rPr>
              <w:t>0.30%</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2"/>
              </w:rPr>
              <w:t>14.50%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0"/>
              </w:rPr>
              <w:t>0.30%</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2"/>
              </w:rPr>
              <w:t>14.50%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Decrease (2)</w:t>
            </w: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60"/>
              <w:spacing w:after="0"/>
              <w:rPr>
                <w:sz w:val="20"/>
                <w:szCs w:val="20"/>
                <w:color w:val="auto"/>
              </w:rPr>
            </w:pPr>
            <w:r>
              <w:rPr>
                <w:rFonts w:ascii="Arial" w:cs="Arial" w:eastAsia="Arial" w:hAnsi="Arial"/>
                <w:sz w:val="14"/>
                <w:szCs w:val="14"/>
                <w:color w:val="auto"/>
              </w:rPr>
              <w:t>Utilization rates</w:t>
            </w:r>
          </w:p>
        </w:tc>
        <w:tc>
          <w:tcPr>
            <w:tcW w:w="660" w:type="dxa"/>
            <w:vAlign w:val="bottom"/>
          </w:tcPr>
          <w:p>
            <w:pPr>
              <w:jc w:val="center"/>
              <w:ind w:left="69"/>
              <w:spacing w:after="0"/>
              <w:rPr>
                <w:sz w:val="20"/>
                <w:szCs w:val="20"/>
                <w:color w:val="auto"/>
              </w:rPr>
            </w:pPr>
            <w:r>
              <w:rPr>
                <w:rFonts w:ascii="Arial" w:cs="Arial" w:eastAsia="Arial" w:hAnsi="Arial"/>
                <w:sz w:val="14"/>
                <w:szCs w:val="14"/>
                <w:color w:val="auto"/>
                <w:w w:val="90"/>
              </w:rPr>
              <w:t>0.00%</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tcPr>
          <w:p>
            <w:pPr>
              <w:jc w:val="center"/>
              <w:ind w:right="89"/>
              <w:spacing w:after="0"/>
              <w:rPr>
                <w:sz w:val="20"/>
                <w:szCs w:val="20"/>
                <w:color w:val="auto"/>
              </w:rPr>
            </w:pPr>
            <w:r>
              <w:rPr>
                <w:rFonts w:ascii="Arial" w:cs="Arial" w:eastAsia="Arial" w:hAnsi="Arial"/>
                <w:sz w:val="14"/>
                <w:szCs w:val="14"/>
                <w:color w:val="auto"/>
                <w:w w:val="92"/>
              </w:rPr>
              <w:t>25.00%</w:t>
            </w:r>
          </w:p>
        </w:tc>
        <w:tc>
          <w:tcPr>
            <w:tcW w:w="100" w:type="dxa"/>
            <w:vAlign w:val="bottom"/>
          </w:tcPr>
          <w:p>
            <w:pPr>
              <w:spacing w:after="0"/>
              <w:rPr>
                <w:sz w:val="16"/>
                <w:szCs w:val="16"/>
                <w:color w:val="auto"/>
              </w:rPr>
            </w:pPr>
          </w:p>
        </w:tc>
        <w:tc>
          <w:tcPr>
            <w:tcW w:w="680" w:type="dxa"/>
            <w:vAlign w:val="bottom"/>
          </w:tcPr>
          <w:p>
            <w:pPr>
              <w:jc w:val="center"/>
              <w:ind w:left="49"/>
              <w:spacing w:after="0"/>
              <w:rPr>
                <w:sz w:val="20"/>
                <w:szCs w:val="20"/>
                <w:color w:val="auto"/>
              </w:rPr>
            </w:pPr>
            <w:r>
              <w:rPr>
                <w:rFonts w:ascii="Arial" w:cs="Arial" w:eastAsia="Arial" w:hAnsi="Arial"/>
                <w:sz w:val="14"/>
                <w:szCs w:val="14"/>
                <w:color w:val="auto"/>
                <w:w w:val="90"/>
              </w:rPr>
              <w:t>0.00%</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tcPr>
          <w:p>
            <w:pPr>
              <w:jc w:val="center"/>
              <w:ind w:right="89"/>
              <w:spacing w:after="0"/>
              <w:rPr>
                <w:sz w:val="20"/>
                <w:szCs w:val="20"/>
                <w:color w:val="auto"/>
              </w:rPr>
            </w:pPr>
            <w:r>
              <w:rPr>
                <w:rFonts w:ascii="Arial" w:cs="Arial" w:eastAsia="Arial" w:hAnsi="Arial"/>
                <w:sz w:val="14"/>
                <w:szCs w:val="14"/>
                <w:color w:val="auto"/>
                <w:w w:val="92"/>
              </w:rPr>
              <w:t>25.00%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Increase (3)</w:t>
            </w:r>
          </w:p>
        </w:tc>
        <w:tc>
          <w:tcPr>
            <w:tcW w:w="0" w:type="dxa"/>
            <w:vAlign w:val="bottom"/>
          </w:tcPr>
          <w:p>
            <w:pPr>
              <w:spacing w:after="0"/>
              <w:rPr>
                <w:sz w:val="1"/>
                <w:szCs w:val="1"/>
                <w:color w:val="auto"/>
              </w:rPr>
            </w:pPr>
          </w:p>
        </w:tc>
      </w:tr>
      <w:tr>
        <w:trPr>
          <w:trHeight w:val="208"/>
        </w:trPr>
        <w:tc>
          <w:tcPr>
            <w:tcW w:w="2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Withdrawal rates</w:t>
            </w:r>
          </w:p>
        </w:tc>
        <w:tc>
          <w:tcPr>
            <w:tcW w:w="66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0"/>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2"/>
              </w:rPr>
              <w:t>10.00%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0"/>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2"/>
              </w:rPr>
              <w:t>10.00%</w:t>
            </w:r>
          </w:p>
        </w:tc>
        <w:tc>
          <w:tcPr>
            <w:tcW w:w="15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3"/>
              </w:rPr>
              <w:t>(4)</w:t>
            </w:r>
          </w:p>
        </w:tc>
        <w:tc>
          <w:tcPr>
            <w:tcW w:w="0" w:type="dxa"/>
            <w:vAlign w:val="bottom"/>
          </w:tcPr>
          <w:p>
            <w:pPr>
              <w:spacing w:after="0"/>
              <w:rPr>
                <w:sz w:val="1"/>
                <w:szCs w:val="1"/>
                <w:color w:val="auto"/>
              </w:rPr>
            </w:pPr>
          </w:p>
        </w:tc>
      </w:tr>
      <w:tr>
        <w:trPr>
          <w:trHeight w:val="140"/>
        </w:trPr>
        <w:tc>
          <w:tcPr>
            <w:tcW w:w="2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3"/>
          </w:tcPr>
          <w:p>
            <w:pPr>
              <w:ind w:left="20"/>
              <w:spacing w:after="0" w:line="141" w:lineRule="exact"/>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Long-term equity</w:t>
            </w:r>
          </w:p>
        </w:tc>
        <w:tc>
          <w:tcPr>
            <w:tcW w:w="660" w:type="dxa"/>
            <w:vAlign w:val="bottom"/>
            <w:vMerge w:val="restart"/>
          </w:tcPr>
          <w:p>
            <w:pPr>
              <w:jc w:val="center"/>
              <w:ind w:left="69"/>
              <w:spacing w:after="0"/>
              <w:rPr>
                <w:sz w:val="20"/>
                <w:szCs w:val="20"/>
                <w:color w:val="auto"/>
              </w:rPr>
            </w:pPr>
            <w:r>
              <w:rPr>
                <w:rFonts w:ascii="Arial" w:cs="Arial" w:eastAsia="Arial" w:hAnsi="Arial"/>
                <w:sz w:val="14"/>
                <w:szCs w:val="14"/>
                <w:color w:val="auto"/>
                <w:w w:val="92"/>
              </w:rPr>
              <w:t>16.46%</w:t>
            </w:r>
          </w:p>
        </w:tc>
        <w:tc>
          <w:tcPr>
            <w:tcW w:w="460" w:type="dxa"/>
            <w:vAlign w:val="bottom"/>
          </w:tcPr>
          <w:p>
            <w:pPr>
              <w:spacing w:after="0"/>
              <w:rPr>
                <w:sz w:val="12"/>
                <w:szCs w:val="12"/>
                <w:color w:val="auto"/>
              </w:rPr>
            </w:pPr>
          </w:p>
        </w:tc>
        <w:tc>
          <w:tcPr>
            <w:tcW w:w="680" w:type="dxa"/>
            <w:vAlign w:val="bottom"/>
            <w:vMerge w:val="restart"/>
          </w:tcPr>
          <w:p>
            <w:pPr>
              <w:jc w:val="center"/>
              <w:ind w:right="89"/>
              <w:spacing w:after="0"/>
              <w:rPr>
                <w:sz w:val="20"/>
                <w:szCs w:val="20"/>
                <w:color w:val="auto"/>
              </w:rPr>
            </w:pPr>
            <w:r>
              <w:rPr>
                <w:rFonts w:ascii="Arial" w:cs="Arial" w:eastAsia="Arial" w:hAnsi="Arial"/>
                <w:sz w:val="14"/>
                <w:szCs w:val="14"/>
                <w:color w:val="auto"/>
                <w:w w:val="92"/>
              </w:rPr>
              <w:t>22.01%</w:t>
            </w:r>
          </w:p>
        </w:tc>
        <w:tc>
          <w:tcPr>
            <w:tcW w:w="100" w:type="dxa"/>
            <w:vAlign w:val="bottom"/>
          </w:tcPr>
          <w:p>
            <w:pPr>
              <w:spacing w:after="0"/>
              <w:rPr>
                <w:sz w:val="12"/>
                <w:szCs w:val="12"/>
                <w:color w:val="auto"/>
              </w:rPr>
            </w:pPr>
          </w:p>
        </w:tc>
        <w:tc>
          <w:tcPr>
            <w:tcW w:w="680" w:type="dxa"/>
            <w:vAlign w:val="bottom"/>
            <w:vMerge w:val="restart"/>
          </w:tcPr>
          <w:p>
            <w:pPr>
              <w:jc w:val="center"/>
              <w:ind w:left="49"/>
              <w:spacing w:after="0"/>
              <w:rPr>
                <w:sz w:val="20"/>
                <w:szCs w:val="20"/>
                <w:color w:val="auto"/>
              </w:rPr>
            </w:pPr>
            <w:r>
              <w:rPr>
                <w:rFonts w:ascii="Arial" w:cs="Arial" w:eastAsia="Arial" w:hAnsi="Arial"/>
                <w:sz w:val="14"/>
                <w:szCs w:val="14"/>
                <w:color w:val="auto"/>
                <w:w w:val="92"/>
              </w:rPr>
              <w:t>16.44%</w:t>
            </w:r>
          </w:p>
        </w:tc>
        <w:tc>
          <w:tcPr>
            <w:tcW w:w="460" w:type="dxa"/>
            <w:vAlign w:val="bottom"/>
          </w:tcPr>
          <w:p>
            <w:pPr>
              <w:spacing w:after="0"/>
              <w:rPr>
                <w:sz w:val="12"/>
                <w:szCs w:val="12"/>
                <w:color w:val="auto"/>
              </w:rPr>
            </w:pPr>
          </w:p>
        </w:tc>
        <w:tc>
          <w:tcPr>
            <w:tcW w:w="680" w:type="dxa"/>
            <w:vAlign w:val="bottom"/>
            <w:vMerge w:val="restart"/>
          </w:tcPr>
          <w:p>
            <w:pPr>
              <w:jc w:val="center"/>
              <w:ind w:right="89"/>
              <w:spacing w:after="0"/>
              <w:rPr>
                <w:sz w:val="20"/>
                <w:szCs w:val="20"/>
                <w:color w:val="auto"/>
              </w:rPr>
            </w:pPr>
            <w:r>
              <w:rPr>
                <w:rFonts w:ascii="Arial" w:cs="Arial" w:eastAsia="Arial" w:hAnsi="Arial"/>
                <w:sz w:val="14"/>
                <w:szCs w:val="14"/>
                <w:color w:val="auto"/>
                <w:w w:val="92"/>
              </w:rPr>
              <w:t>22.16%</w:t>
            </w:r>
          </w:p>
        </w:tc>
        <w:tc>
          <w:tcPr>
            <w:tcW w:w="1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90"/>
              </w:rPr>
              <w:t>Increase (5)</w:t>
            </w: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ind w:left="220"/>
              <w:spacing w:after="0"/>
              <w:rPr>
                <w:sz w:val="20"/>
                <w:szCs w:val="20"/>
                <w:color w:val="auto"/>
              </w:rPr>
            </w:pPr>
            <w:r>
              <w:rPr>
                <w:rFonts w:ascii="Arial" w:cs="Arial" w:eastAsia="Arial" w:hAnsi="Arial"/>
                <w:sz w:val="14"/>
                <w:szCs w:val="14"/>
                <w:color w:val="auto"/>
              </w:rPr>
              <w:t>volatilities</w:t>
            </w:r>
          </w:p>
        </w:tc>
        <w:tc>
          <w:tcPr>
            <w:tcW w:w="660" w:type="dxa"/>
            <w:vAlign w:val="bottom"/>
            <w:vMerge w:val="continue"/>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5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shd w:val="clear" w:color="auto" w:fill="CCEEFF"/>
          </w:tcPr>
          <w:p>
            <w:pPr>
              <w:ind w:left="60"/>
              <w:spacing w:after="0" w:line="146" w:lineRule="exact"/>
              <w:rPr>
                <w:sz w:val="20"/>
                <w:szCs w:val="20"/>
                <w:color w:val="auto"/>
              </w:rPr>
            </w:pPr>
            <w:r>
              <w:rPr>
                <w:rFonts w:ascii="Arial" w:cs="Arial" w:eastAsia="Arial" w:hAnsi="Arial"/>
                <w:sz w:val="14"/>
                <w:szCs w:val="14"/>
                <w:color w:val="auto"/>
              </w:rPr>
              <w:t>Nonperformance risk</w:t>
            </w:r>
          </w:p>
        </w:tc>
        <w:tc>
          <w:tcPr>
            <w:tcW w:w="660" w:type="dxa"/>
            <w:vAlign w:val="bottom"/>
            <w:vMerge w:val="restart"/>
            <w:shd w:val="clear" w:color="auto" w:fill="CCEEFF"/>
          </w:tcPr>
          <w:p>
            <w:pPr>
              <w:jc w:val="center"/>
              <w:ind w:left="69"/>
              <w:spacing w:after="0"/>
              <w:rPr>
                <w:sz w:val="20"/>
                <w:szCs w:val="20"/>
                <w:color w:val="auto"/>
              </w:rPr>
            </w:pPr>
            <w:r>
              <w:rPr>
                <w:rFonts w:ascii="Arial" w:cs="Arial" w:eastAsia="Arial" w:hAnsi="Arial"/>
                <w:sz w:val="14"/>
                <w:szCs w:val="14"/>
                <w:color w:val="auto"/>
                <w:w w:val="90"/>
              </w:rPr>
              <w:t>0.00%</w:t>
            </w:r>
          </w:p>
        </w:tc>
        <w:tc>
          <w:tcPr>
            <w:tcW w:w="4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center"/>
              <w:ind w:right="89"/>
              <w:spacing w:after="0"/>
              <w:rPr>
                <w:sz w:val="20"/>
                <w:szCs w:val="20"/>
                <w:color w:val="auto"/>
              </w:rPr>
            </w:pPr>
            <w:r>
              <w:rPr>
                <w:rFonts w:ascii="Arial" w:cs="Arial" w:eastAsia="Arial" w:hAnsi="Arial"/>
                <w:sz w:val="14"/>
                <w:szCs w:val="14"/>
                <w:color w:val="auto"/>
                <w:w w:val="90"/>
              </w:rPr>
              <w:t>2.23%</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center"/>
              <w:ind w:left="69"/>
              <w:spacing w:after="0"/>
              <w:rPr>
                <w:sz w:val="20"/>
                <w:szCs w:val="20"/>
                <w:color w:val="auto"/>
              </w:rPr>
            </w:pPr>
            <w:r>
              <w:rPr>
                <w:rFonts w:ascii="Arial" w:cs="Arial" w:eastAsia="Arial" w:hAnsi="Arial"/>
                <w:sz w:val="14"/>
                <w:szCs w:val="14"/>
                <w:color w:val="auto"/>
                <w:w w:val="93"/>
              </w:rPr>
              <w:t>(0.38)%</w:t>
            </w:r>
          </w:p>
        </w:tc>
        <w:tc>
          <w:tcPr>
            <w:tcW w:w="4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center"/>
              <w:ind w:right="89"/>
              <w:spacing w:after="0"/>
              <w:rPr>
                <w:sz w:val="20"/>
                <w:szCs w:val="20"/>
                <w:color w:val="auto"/>
              </w:rPr>
            </w:pPr>
            <w:r>
              <w:rPr>
                <w:rFonts w:ascii="Arial" w:cs="Arial" w:eastAsia="Arial" w:hAnsi="Arial"/>
                <w:sz w:val="14"/>
                <w:szCs w:val="14"/>
                <w:color w:val="auto"/>
                <w:w w:val="90"/>
              </w:rPr>
              <w:t>1.49%</w:t>
            </w:r>
          </w:p>
        </w:tc>
        <w:tc>
          <w:tcPr>
            <w:tcW w:w="1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Decrease (6)</w:t>
            </w:r>
          </w:p>
        </w:tc>
        <w:tc>
          <w:tcPr>
            <w:tcW w:w="0" w:type="dxa"/>
            <w:vAlign w:val="bottom"/>
          </w:tcPr>
          <w:p>
            <w:pPr>
              <w:spacing w:after="0"/>
              <w:rPr>
                <w:sz w:val="1"/>
                <w:szCs w:val="1"/>
                <w:color w:val="auto"/>
              </w:rPr>
            </w:pPr>
          </w:p>
        </w:tc>
      </w:tr>
      <w:tr>
        <w:trPr>
          <w:trHeight w:val="191"/>
        </w:trPr>
        <w:tc>
          <w:tcPr>
            <w:tcW w:w="2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spread</w:t>
            </w:r>
          </w:p>
        </w:tc>
        <w:tc>
          <w:tcPr>
            <w:tcW w:w="660" w:type="dxa"/>
            <w:vAlign w:val="bottom"/>
            <w:vMerge w:val="continue"/>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The range shown reflects the mortality rate for policyholders between 35 and 90 years old, which represents the majority of the business with living benefits. Mortality rate assumptions are set based on company experience and include an assumption for mortality improvement.</w:t>
      </w:r>
    </w:p>
    <w:p>
      <w:pPr>
        <w:spacing w:after="0" w:line="82" w:lineRule="exact"/>
        <w:rPr>
          <w:rFonts w:ascii="Arial" w:cs="Arial" w:eastAsia="Arial" w:hAnsi="Arial"/>
          <w:sz w:val="18"/>
          <w:szCs w:val="18"/>
          <w:color w:val="auto"/>
        </w:rPr>
      </w:pPr>
    </w:p>
    <w:p>
      <w:pPr>
        <w:jc w:val="both"/>
        <w:ind w:left="320" w:hanging="314"/>
        <w:spacing w:after="0" w:line="250" w:lineRule="auto"/>
        <w:tabs>
          <w:tab w:leader="none" w:pos="3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range shown reflects base lapse rates for major product categories for duration 1-20, which represents majority of business with living benefit riders. 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87" w:lineRule="exact"/>
        <w:rPr>
          <w:rFonts w:ascii="Arial" w:cs="Arial" w:eastAsia="Arial" w:hAnsi="Arial"/>
          <w:sz w:val="18"/>
          <w:szCs w:val="18"/>
          <w:color w:val="auto"/>
        </w:rPr>
      </w:pPr>
    </w:p>
    <w:p>
      <w:pPr>
        <w:jc w:val="both"/>
        <w:ind w:left="320" w:hanging="314"/>
        <w:spacing w:after="0" w:line="268" w:lineRule="auto"/>
        <w:tabs>
          <w:tab w:leader="none" w:pos="31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utilization rate assumption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74" w:lineRule="exact"/>
        <w:rPr>
          <w:rFonts w:ascii="Arial" w:cs="Arial" w:eastAsia="Arial" w:hAnsi="Arial"/>
          <w:sz w:val="17"/>
          <w:szCs w:val="17"/>
          <w:color w:val="auto"/>
        </w:rPr>
      </w:pPr>
    </w:p>
    <w:p>
      <w:pPr>
        <w:jc w:val="both"/>
        <w:ind w:left="320" w:hanging="314"/>
        <w:spacing w:after="0" w:line="298" w:lineRule="auto"/>
        <w:tabs>
          <w:tab w:leader="none" w:pos="314"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w:t>
      </w:r>
    </w:p>
    <w:p>
      <w:pPr>
        <w:spacing w:after="0" w:line="2"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8"/>
          <w:szCs w:val="18"/>
          <w:color w:val="auto"/>
        </w:rPr>
        <w:t>(decrease) in withdrawal rates results in a decrease (increase) in the estimated fair value.</w:t>
      </w:r>
    </w:p>
    <w:p>
      <w:pPr>
        <w:spacing w:after="0" w:line="99" w:lineRule="exact"/>
        <w:rPr>
          <w:rFonts w:ascii="Arial" w:cs="Arial" w:eastAsia="Arial" w:hAnsi="Arial"/>
          <w:sz w:val="15"/>
          <w:szCs w:val="15"/>
          <w:color w:val="auto"/>
        </w:rPr>
      </w:pPr>
    </w:p>
    <w:p>
      <w:pPr>
        <w:ind w:left="320" w:hanging="314"/>
        <w:spacing w:after="0" w:line="365" w:lineRule="auto"/>
        <w:tabs>
          <w:tab w:leader="none" w:pos="314" w:val="left"/>
        </w:tabs>
        <w:numPr>
          <w:ilvl w:val="0"/>
          <w:numId w:val="22"/>
        </w:numPr>
        <w:rPr>
          <w:rFonts w:ascii="Arial" w:cs="Arial" w:eastAsia="Arial" w:hAnsi="Arial"/>
          <w:sz w:val="15"/>
          <w:szCs w:val="15"/>
          <w:color w:val="auto"/>
        </w:rPr>
      </w:pPr>
      <w:r>
        <w:rPr>
          <w:rFonts w:ascii="Arial" w:cs="Arial" w:eastAsia="Arial" w:hAnsi="Arial"/>
          <w:sz w:val="15"/>
          <w:szCs w:val="15"/>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Nonperformance risk spread varies by duration. For any given contract, multiple nonperformance risk spreads will apply, depending on the duration of the cash flow being discounted for purposes of valuing the embedded derivative.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spacing w:after="0" w:line="40"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changes in assets and (liabilities) measured at estimated fair value on a recurring basis using significant unobservable inputs (Level 3) were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11"/>
          </w:tcPr>
          <w:p>
            <w:pPr>
              <w:jc w:val="center"/>
              <w:spacing w:after="0"/>
              <w:rPr>
                <w:sz w:val="20"/>
                <w:szCs w:val="20"/>
                <w:color w:val="auto"/>
              </w:rPr>
            </w:pPr>
            <w:r>
              <w:rPr>
                <w:rFonts w:ascii="Arial" w:cs="Arial" w:eastAsia="Arial" w:hAnsi="Arial"/>
                <w:sz w:val="12"/>
                <w:szCs w:val="12"/>
                <w:b w:val="1"/>
                <w:bCs w:val="1"/>
                <w:color w:val="auto"/>
                <w:w w:val="93"/>
              </w:rPr>
              <w:t>Fair Value Measurements Using Significant Unobservable Inputs (Level 3)</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ind w:left="758"/>
              <w:spacing w:after="0"/>
              <w:rPr>
                <w:sz w:val="20"/>
                <w:szCs w:val="20"/>
                <w:color w:val="auto"/>
              </w:rPr>
            </w:pPr>
            <w:r>
              <w:rPr>
                <w:rFonts w:ascii="Arial" w:cs="Arial" w:eastAsia="Arial" w:hAnsi="Arial"/>
                <w:sz w:val="12"/>
                <w:szCs w:val="12"/>
                <w:b w:val="1"/>
                <w:bCs w:val="1"/>
                <w:color w:val="auto"/>
                <w:w w:val="95"/>
              </w:rPr>
              <w:t>Fixed Maturity Securities</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5"/>
              </w:rPr>
              <w:t>Structured</w:t>
            </w:r>
          </w:p>
        </w:tc>
        <w:tc>
          <w:tcPr>
            <w:tcW w:w="140" w:type="dxa"/>
            <w:vAlign w:val="bottom"/>
          </w:tcPr>
          <w:p>
            <w:pPr>
              <w:spacing w:after="0"/>
              <w:rPr>
                <w:sz w:val="10"/>
                <w:szCs w:val="10"/>
                <w:color w:val="auto"/>
              </w:rPr>
            </w:pPr>
          </w:p>
        </w:tc>
        <w:tc>
          <w:tcPr>
            <w:tcW w:w="920" w:type="dxa"/>
            <w:vAlign w:val="bottom"/>
          </w:tcPr>
          <w:p>
            <w:pPr>
              <w:jc w:val="center"/>
              <w:ind w:right="58"/>
              <w:spacing w:after="0" w:line="120" w:lineRule="exact"/>
              <w:rPr>
                <w:sz w:val="20"/>
                <w:szCs w:val="20"/>
                <w:color w:val="auto"/>
              </w:rPr>
            </w:pPr>
            <w:r>
              <w:rPr>
                <w:rFonts w:ascii="Arial" w:cs="Arial" w:eastAsia="Arial" w:hAnsi="Arial"/>
                <w:sz w:val="12"/>
                <w:szCs w:val="12"/>
                <w:b w:val="1"/>
                <w:bCs w:val="1"/>
                <w:color w:val="auto"/>
                <w:w w:val="90"/>
              </w:rPr>
              <w:t>Foreign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8"/>
              </w:rPr>
              <w:t>Equity</w:t>
            </w:r>
          </w:p>
        </w:tc>
        <w:tc>
          <w:tcPr>
            <w:tcW w:w="120" w:type="dxa"/>
            <w:vAlign w:val="bottom"/>
          </w:tcPr>
          <w:p>
            <w:pPr>
              <w:spacing w:after="0"/>
              <w:rPr>
                <w:sz w:val="10"/>
                <w:szCs w:val="10"/>
                <w:color w:val="auto"/>
              </w:rPr>
            </w:pPr>
          </w:p>
        </w:tc>
        <w:tc>
          <w:tcPr>
            <w:tcW w:w="92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Short-term</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2"/>
              </w:rPr>
              <w:t>Net</w:t>
            </w:r>
          </w:p>
        </w:tc>
        <w:tc>
          <w:tcPr>
            <w:tcW w:w="120" w:type="dxa"/>
            <w:vAlign w:val="bottom"/>
          </w:tcPr>
          <w:p>
            <w:pPr>
              <w:spacing w:after="0"/>
              <w:rPr>
                <w:sz w:val="10"/>
                <w:szCs w:val="10"/>
                <w:color w:val="auto"/>
              </w:rPr>
            </w:pPr>
          </w:p>
        </w:tc>
        <w:tc>
          <w:tcPr>
            <w:tcW w:w="1100" w:type="dxa"/>
            <w:vAlign w:val="bottom"/>
            <w:gridSpan w:val="2"/>
          </w:tcPr>
          <w:p>
            <w:pPr>
              <w:ind w:left="40"/>
              <w:spacing w:after="0" w:line="120" w:lineRule="exact"/>
              <w:rPr>
                <w:sz w:val="20"/>
                <w:szCs w:val="20"/>
                <w:color w:val="auto"/>
              </w:rPr>
            </w:pPr>
            <w:r>
              <w:rPr>
                <w:rFonts w:ascii="Arial" w:cs="Arial" w:eastAsia="Arial" w:hAnsi="Arial"/>
                <w:sz w:val="12"/>
                <w:szCs w:val="12"/>
                <w:b w:val="1"/>
                <w:bCs w:val="1"/>
                <w:color w:val="auto"/>
              </w:rPr>
              <w:t>Net Embedded</w:t>
            </w:r>
          </w:p>
        </w:tc>
        <w:tc>
          <w:tcPr>
            <w:tcW w:w="80" w:type="dxa"/>
            <w:vAlign w:val="bottom"/>
          </w:tcPr>
          <w:p>
            <w:pPr>
              <w:spacing w:after="0"/>
              <w:rPr>
                <w:sz w:val="10"/>
                <w:szCs w:val="10"/>
                <w:color w:val="auto"/>
              </w:rPr>
            </w:pPr>
          </w:p>
        </w:tc>
        <w:tc>
          <w:tcPr>
            <w:tcW w:w="1080" w:type="dxa"/>
            <w:vAlign w:val="bottom"/>
          </w:tcPr>
          <w:p>
            <w:pPr>
              <w:ind w:left="260"/>
              <w:spacing w:after="0" w:line="120" w:lineRule="exact"/>
              <w:rPr>
                <w:sz w:val="20"/>
                <w:szCs w:val="20"/>
                <w:color w:val="auto"/>
              </w:rPr>
            </w:pPr>
            <w:r>
              <w:rPr>
                <w:rFonts w:ascii="Arial" w:cs="Arial" w:eastAsia="Arial" w:hAnsi="Arial"/>
                <w:sz w:val="12"/>
                <w:szCs w:val="12"/>
                <w:b w:val="1"/>
                <w:bCs w:val="1"/>
                <w:color w:val="auto"/>
              </w:rPr>
              <w:t>Separate</w:t>
            </w:r>
          </w:p>
        </w:tc>
        <w:tc>
          <w:tcPr>
            <w:tcW w:w="0" w:type="dxa"/>
            <w:vAlign w:val="bottom"/>
          </w:tcPr>
          <w:p>
            <w:pPr>
              <w:spacing w:after="0"/>
              <w:rPr>
                <w:sz w:val="1"/>
                <w:szCs w:val="1"/>
                <w:color w:val="auto"/>
              </w:rPr>
            </w:pPr>
          </w:p>
        </w:tc>
      </w:tr>
      <w:tr>
        <w:trPr>
          <w:trHeight w:val="179"/>
        </w:trPr>
        <w:tc>
          <w:tcPr>
            <w:tcW w:w="2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Corporate (1)</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0"/>
              </w:rPr>
              <w:t>Securities</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3"/>
              </w:rPr>
              <w:t>Government</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0"/>
              </w:rPr>
              <w:t>Securities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Investments</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5"/>
              </w:rPr>
              <w:t>Derivatives (2)</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Derivatives (3)</w:t>
            </w: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5"/>
              </w:rPr>
              <w:t>Account Assets (4)</w:t>
            </w: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94"/>
              </w:rPr>
              <w:t>(In millions)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6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b w:val="1"/>
                <w:bCs w:val="1"/>
                <w:color w:val="auto"/>
              </w:rPr>
              <w:t>Three Months Ended September 30,</w:t>
            </w: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160" w:type="dxa"/>
            <w:vAlign w:val="bottom"/>
          </w:tcPr>
          <w:p>
            <w:pPr>
              <w:ind w:left="20"/>
              <w:spacing w:after="0"/>
              <w:rPr>
                <w:sz w:val="20"/>
                <w:szCs w:val="20"/>
                <w:color w:val="auto"/>
              </w:rPr>
            </w:pPr>
            <w:r>
              <w:rPr>
                <w:rFonts w:ascii="Arial" w:cs="Arial" w:eastAsia="Arial" w:hAnsi="Arial"/>
                <w:sz w:val="12"/>
                <w:szCs w:val="12"/>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1,710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345</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4"/>
                <w:szCs w:val="14"/>
                <w:color w:val="auto"/>
              </w:rPr>
            </w:pPr>
          </w:p>
        </w:tc>
        <w:tc>
          <w:tcPr>
            <w:tcW w:w="12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(4,445)</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16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Total realized/unrealized gains (losses)</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included in net income (loss) (5) (6)</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216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 (losses)</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160" w:type="dxa"/>
            <w:vAlign w:val="bottom"/>
          </w:tcPr>
          <w:p>
            <w:pPr>
              <w:ind w:left="180"/>
              <w:spacing w:after="0"/>
              <w:rPr>
                <w:sz w:val="20"/>
                <w:szCs w:val="20"/>
                <w:color w:val="auto"/>
              </w:rPr>
            </w:pPr>
            <w:r>
              <w:rPr>
                <w:rFonts w:ascii="Arial" w:cs="Arial" w:eastAsia="Arial" w:hAnsi="Arial"/>
                <w:sz w:val="12"/>
                <w:szCs w:val="12"/>
                <w:color w:val="auto"/>
              </w:rPr>
              <w:t>included in AOCI</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80" w:type="dxa"/>
            <w:vAlign w:val="bottom"/>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(7)</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60" w:type="dxa"/>
            <w:vAlign w:val="bottom"/>
          </w:tcPr>
          <w:p>
            <w:pPr>
              <w:ind w:left="20"/>
              <w:spacing w:after="0"/>
              <w:rPr>
                <w:sz w:val="20"/>
                <w:szCs w:val="20"/>
                <w:color w:val="auto"/>
              </w:rPr>
            </w:pPr>
            <w:r>
              <w:rPr>
                <w:rFonts w:ascii="Arial" w:cs="Arial" w:eastAsia="Arial" w:hAnsi="Arial"/>
                <w:sz w:val="12"/>
                <w:szCs w:val="12"/>
                <w:color w:val="auto"/>
              </w:rPr>
              <w:t>Sales (7)</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Issuances (7)</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60" w:type="dxa"/>
            <w:vAlign w:val="bottom"/>
          </w:tcPr>
          <w:p>
            <w:pPr>
              <w:ind w:left="20"/>
              <w:spacing w:after="0"/>
              <w:rPr>
                <w:sz w:val="20"/>
                <w:szCs w:val="20"/>
                <w:color w:val="auto"/>
              </w:rPr>
            </w:pPr>
            <w:r>
              <w:rPr>
                <w:rFonts w:ascii="Arial" w:cs="Arial" w:eastAsia="Arial" w:hAnsi="Arial"/>
                <w:sz w:val="12"/>
                <w:szCs w:val="12"/>
                <w:color w:val="auto"/>
              </w:rPr>
              <w:t>Settlements (7)</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into Level 3 (8)</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160" w:type="dxa"/>
            <w:vAlign w:val="bottom"/>
          </w:tcPr>
          <w:p>
            <w:pPr>
              <w:ind w:left="20"/>
              <w:spacing w:after="0"/>
              <w:rPr>
                <w:sz w:val="20"/>
                <w:szCs w:val="20"/>
                <w:color w:val="auto"/>
              </w:rPr>
            </w:pPr>
            <w:r>
              <w:rPr>
                <w:rFonts w:ascii="Arial" w:cs="Arial" w:eastAsia="Arial" w:hAnsi="Arial"/>
                <w:sz w:val="12"/>
                <w:szCs w:val="12"/>
                <w:color w:val="auto"/>
              </w:rPr>
              <w:t>Transfers out of Level 3 (8)</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7"/>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(3,933)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b w:val="1"/>
                <w:bCs w:val="1"/>
                <w:color w:val="auto"/>
              </w:rPr>
              <w:t>Three Months Ended September 30,</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160" w:type="dxa"/>
            <w:vAlign w:val="bottom"/>
          </w:tcPr>
          <w:p>
            <w:pPr>
              <w:ind w:left="180"/>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(7,715)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216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 (losses)</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160" w:type="dxa"/>
            <w:vAlign w:val="bottom"/>
          </w:tcPr>
          <w:p>
            <w:pPr>
              <w:ind w:left="180"/>
              <w:spacing w:after="0"/>
              <w:rPr>
                <w:sz w:val="20"/>
                <w:szCs w:val="20"/>
                <w:color w:val="auto"/>
              </w:rPr>
            </w:pPr>
            <w:r>
              <w:rPr>
                <w:rFonts w:ascii="Arial" w:cs="Arial" w:eastAsia="Arial" w:hAnsi="Arial"/>
                <w:sz w:val="12"/>
                <w:szCs w:val="12"/>
                <w:color w:val="auto"/>
              </w:rPr>
              <w:t>included in net income (loss) (5) (6)</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16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Total realized/unrealized gains (losses)</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included in AOCI</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60" w:type="dxa"/>
            <w:vAlign w:val="bottom"/>
          </w:tcPr>
          <w:p>
            <w:pPr>
              <w:ind w:left="20"/>
              <w:spacing w:after="0"/>
              <w:rPr>
                <w:sz w:val="20"/>
                <w:szCs w:val="20"/>
                <w:color w:val="auto"/>
              </w:rPr>
            </w:pPr>
            <w:r>
              <w:rPr>
                <w:rFonts w:ascii="Arial" w:cs="Arial" w:eastAsia="Arial" w:hAnsi="Arial"/>
                <w:sz w:val="12"/>
                <w:szCs w:val="12"/>
                <w:color w:val="auto"/>
              </w:rPr>
              <w:t>Purchases (7)</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(7)</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60" w:type="dxa"/>
            <w:vAlign w:val="bottom"/>
          </w:tcPr>
          <w:p>
            <w:pPr>
              <w:ind w:left="20"/>
              <w:spacing w:after="0"/>
              <w:rPr>
                <w:sz w:val="20"/>
                <w:szCs w:val="20"/>
                <w:color w:val="auto"/>
              </w:rPr>
            </w:pPr>
            <w:r>
              <w:rPr>
                <w:rFonts w:ascii="Arial" w:cs="Arial" w:eastAsia="Arial" w:hAnsi="Arial"/>
                <w:sz w:val="12"/>
                <w:szCs w:val="12"/>
                <w:color w:val="auto"/>
              </w:rPr>
              <w:t>Issuances (7)</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Settlements (7)</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60" w:type="dxa"/>
            <w:vAlign w:val="bottom"/>
          </w:tcPr>
          <w:p>
            <w:pPr>
              <w:ind w:left="20"/>
              <w:spacing w:after="0"/>
              <w:rPr>
                <w:sz w:val="20"/>
                <w:szCs w:val="20"/>
                <w:color w:val="auto"/>
              </w:rPr>
            </w:pPr>
            <w:r>
              <w:rPr>
                <w:rFonts w:ascii="Arial" w:cs="Arial" w:eastAsia="Arial" w:hAnsi="Arial"/>
                <w:sz w:val="12"/>
                <w:szCs w:val="12"/>
                <w:color w:val="auto"/>
              </w:rPr>
              <w:t>Transfers into Level 3 (8)</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out of Level 3 (8)</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160" w:type="dxa"/>
            <w:vAlign w:val="bottom"/>
          </w:tcPr>
          <w:p>
            <w:pPr>
              <w:ind w:left="20"/>
              <w:spacing w:after="0"/>
              <w:rPr>
                <w:sz w:val="20"/>
                <w:szCs w:val="20"/>
                <w:color w:val="auto"/>
              </w:rPr>
            </w:pPr>
            <w:r>
              <w:rPr>
                <w:rFonts w:ascii="Arial" w:cs="Arial" w:eastAsia="Arial" w:hAnsi="Arial"/>
                <w:sz w:val="12"/>
                <w:szCs w:val="12"/>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1,293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266</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(7,596)</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6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w:t>
            </w: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160" w:type="dxa"/>
            <w:vAlign w:val="bottom"/>
            <w:shd w:val="clear" w:color="auto" w:fill="CCEEFF"/>
          </w:tcPr>
          <w:p>
            <w:pPr>
              <w:ind w:left="180"/>
              <w:spacing w:after="0" w:line="132" w:lineRule="exact"/>
              <w:rPr>
                <w:sz w:val="20"/>
                <w:szCs w:val="20"/>
                <w:color w:val="auto"/>
              </w:rPr>
            </w:pPr>
            <w:r>
              <w:rPr>
                <w:rFonts w:ascii="Arial" w:cs="Arial" w:eastAsia="Arial" w:hAnsi="Arial"/>
                <w:sz w:val="12"/>
                <w:szCs w:val="12"/>
                <w:color w:val="auto"/>
              </w:rPr>
              <w:t>included in net income (loss) for the</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16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instruments still held at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589</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vMerge w:val="restart"/>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September 30, 2022 (9)</w:t>
            </w:r>
          </w:p>
        </w:tc>
        <w:tc>
          <w:tcPr>
            <w:tcW w:w="12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Changes in unrealized gains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160" w:type="dxa"/>
            <w:vAlign w:val="bottom"/>
          </w:tcPr>
          <w:p>
            <w:pPr>
              <w:ind w:left="180"/>
              <w:spacing w:after="0" w:line="132" w:lineRule="exact"/>
              <w:rPr>
                <w:sz w:val="20"/>
                <w:szCs w:val="20"/>
                <w:color w:val="auto"/>
              </w:rPr>
            </w:pPr>
            <w:r>
              <w:rPr>
                <w:rFonts w:ascii="Arial" w:cs="Arial" w:eastAsia="Arial" w:hAnsi="Arial"/>
                <w:sz w:val="12"/>
                <w:szCs w:val="12"/>
                <w:color w:val="auto"/>
              </w:rPr>
              <w:t>included in OCI for the instruments</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center"/>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tcPr>
          <w:p>
            <w:pPr>
              <w:ind w:left="64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vMerge w:val="restart"/>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160" w:type="dxa"/>
            <w:vAlign w:val="bottom"/>
          </w:tcPr>
          <w:p>
            <w:pPr>
              <w:ind w:left="180"/>
              <w:spacing w:after="0"/>
              <w:rPr>
                <w:sz w:val="20"/>
                <w:szCs w:val="20"/>
                <w:color w:val="auto"/>
              </w:rPr>
            </w:pPr>
            <w:r>
              <w:rPr>
                <w:rFonts w:ascii="Arial" w:cs="Arial" w:eastAsia="Arial" w:hAnsi="Arial"/>
                <w:sz w:val="12"/>
                <w:szCs w:val="12"/>
                <w:color w:val="auto"/>
              </w:rPr>
              <w:t>still held at September 30, 2022 (9)</w:t>
            </w:r>
          </w:p>
        </w:tc>
        <w:tc>
          <w:tcPr>
            <w:tcW w:w="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6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w:t>
            </w: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160" w:type="dxa"/>
            <w:vAlign w:val="bottom"/>
            <w:shd w:val="clear" w:color="auto" w:fill="CCEEFF"/>
          </w:tcPr>
          <w:p>
            <w:pPr>
              <w:ind w:left="180"/>
              <w:spacing w:after="0" w:line="132" w:lineRule="exact"/>
              <w:rPr>
                <w:sz w:val="20"/>
                <w:szCs w:val="20"/>
                <w:color w:val="auto"/>
              </w:rPr>
            </w:pPr>
            <w:r>
              <w:rPr>
                <w:rFonts w:ascii="Arial" w:cs="Arial" w:eastAsia="Arial" w:hAnsi="Arial"/>
                <w:sz w:val="12"/>
                <w:szCs w:val="12"/>
                <w:color w:val="auto"/>
              </w:rPr>
              <w:t>included in net income (loss) for the</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16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instruments still held at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258</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vMerge w:val="restart"/>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September 30, 2021 (9)</w:t>
            </w:r>
          </w:p>
        </w:tc>
        <w:tc>
          <w:tcPr>
            <w:tcW w:w="12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Changes in unrealized gains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160" w:type="dxa"/>
            <w:vAlign w:val="bottom"/>
          </w:tcPr>
          <w:p>
            <w:pPr>
              <w:ind w:left="180"/>
              <w:spacing w:after="0" w:line="132" w:lineRule="exact"/>
              <w:rPr>
                <w:sz w:val="20"/>
                <w:szCs w:val="20"/>
                <w:color w:val="auto"/>
              </w:rPr>
            </w:pPr>
            <w:r>
              <w:rPr>
                <w:rFonts w:ascii="Arial" w:cs="Arial" w:eastAsia="Arial" w:hAnsi="Arial"/>
                <w:sz w:val="12"/>
                <w:szCs w:val="12"/>
                <w:color w:val="auto"/>
              </w:rPr>
              <w:t>included in OCI for the instruments</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center"/>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tcPr>
          <w:p>
            <w:pPr>
              <w:ind w:left="64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vMerge w:val="restart"/>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160" w:type="dxa"/>
            <w:vAlign w:val="bottom"/>
          </w:tcPr>
          <w:p>
            <w:pPr>
              <w:ind w:left="180"/>
              <w:spacing w:after="0"/>
              <w:rPr>
                <w:sz w:val="20"/>
                <w:szCs w:val="20"/>
                <w:color w:val="auto"/>
              </w:rPr>
            </w:pPr>
            <w:r>
              <w:rPr>
                <w:rFonts w:ascii="Arial" w:cs="Arial" w:eastAsia="Arial" w:hAnsi="Arial"/>
                <w:sz w:val="12"/>
                <w:szCs w:val="12"/>
                <w:color w:val="auto"/>
              </w:rPr>
              <w:t>still held at September 30, 2021 (9)</w:t>
            </w:r>
          </w:p>
        </w:tc>
        <w:tc>
          <w:tcPr>
            <w:tcW w:w="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gridSpan w:val="11"/>
          </w:tcPr>
          <w:p>
            <w:pPr>
              <w:ind w:left="180"/>
              <w:spacing w:after="0"/>
              <w:rPr>
                <w:sz w:val="20"/>
                <w:szCs w:val="20"/>
                <w:color w:val="auto"/>
              </w:rPr>
            </w:pPr>
            <w:r>
              <w:rPr>
                <w:rFonts w:ascii="Arial" w:cs="Arial" w:eastAsia="Arial" w:hAnsi="Arial"/>
                <w:sz w:val="12"/>
                <w:szCs w:val="12"/>
                <w:b w:val="1"/>
                <w:bCs w:val="1"/>
                <w:color w:val="auto"/>
                <w:w w:val="97"/>
              </w:rPr>
              <w:t>Fair Value Measurements Using Significant Unobservable Inputs (Level 3)</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Fixed Maturity Securities</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5"/>
              </w:rPr>
              <w:t>Structured</w:t>
            </w:r>
          </w:p>
        </w:tc>
        <w:tc>
          <w:tcPr>
            <w:tcW w:w="140" w:type="dxa"/>
            <w:vAlign w:val="bottom"/>
          </w:tcPr>
          <w:p>
            <w:pPr>
              <w:spacing w:after="0"/>
              <w:rPr>
                <w:sz w:val="10"/>
                <w:szCs w:val="10"/>
                <w:color w:val="auto"/>
              </w:rPr>
            </w:pPr>
          </w:p>
        </w:tc>
        <w:tc>
          <w:tcPr>
            <w:tcW w:w="920" w:type="dxa"/>
            <w:vAlign w:val="bottom"/>
          </w:tcPr>
          <w:p>
            <w:pPr>
              <w:ind w:left="180"/>
              <w:spacing w:after="0" w:line="120" w:lineRule="exact"/>
              <w:rPr>
                <w:sz w:val="20"/>
                <w:szCs w:val="20"/>
                <w:color w:val="auto"/>
              </w:rPr>
            </w:pPr>
            <w:r>
              <w:rPr>
                <w:rFonts w:ascii="Arial" w:cs="Arial" w:eastAsia="Arial" w:hAnsi="Arial"/>
                <w:sz w:val="12"/>
                <w:szCs w:val="12"/>
                <w:b w:val="1"/>
                <w:bCs w:val="1"/>
                <w:color w:val="auto"/>
              </w:rPr>
              <w:t>Foreign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8"/>
              </w:rPr>
              <w:t>Equity</w:t>
            </w: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4"/>
              </w:rPr>
              <w:t>Short-term</w:t>
            </w: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2"/>
              </w:rPr>
              <w:t>Net</w:t>
            </w:r>
          </w:p>
        </w:tc>
        <w:tc>
          <w:tcPr>
            <w:tcW w:w="120" w:type="dxa"/>
            <w:vAlign w:val="bottom"/>
          </w:tcPr>
          <w:p>
            <w:pPr>
              <w:spacing w:after="0"/>
              <w:rPr>
                <w:sz w:val="10"/>
                <w:szCs w:val="10"/>
                <w:color w:val="auto"/>
              </w:rPr>
            </w:pPr>
          </w:p>
        </w:tc>
        <w:tc>
          <w:tcPr>
            <w:tcW w:w="1080" w:type="dxa"/>
            <w:vAlign w:val="bottom"/>
            <w:gridSpan w:val="2"/>
          </w:tcPr>
          <w:p>
            <w:pPr>
              <w:ind w:left="40"/>
              <w:spacing w:after="0" w:line="120" w:lineRule="exact"/>
              <w:rPr>
                <w:sz w:val="20"/>
                <w:szCs w:val="20"/>
                <w:color w:val="auto"/>
              </w:rPr>
            </w:pPr>
            <w:r>
              <w:rPr>
                <w:rFonts w:ascii="Arial" w:cs="Arial" w:eastAsia="Arial" w:hAnsi="Arial"/>
                <w:sz w:val="12"/>
                <w:szCs w:val="12"/>
                <w:b w:val="1"/>
                <w:bCs w:val="1"/>
                <w:color w:val="auto"/>
              </w:rPr>
              <w:t>Net Embedded</w:t>
            </w:r>
          </w:p>
        </w:tc>
        <w:tc>
          <w:tcPr>
            <w:tcW w:w="80" w:type="dxa"/>
            <w:vAlign w:val="bottom"/>
          </w:tcPr>
          <w:p>
            <w:pPr>
              <w:spacing w:after="0"/>
              <w:rPr>
                <w:sz w:val="10"/>
                <w:szCs w:val="10"/>
                <w:color w:val="auto"/>
              </w:rPr>
            </w:pPr>
          </w:p>
        </w:tc>
        <w:tc>
          <w:tcPr>
            <w:tcW w:w="1080" w:type="dxa"/>
            <w:vAlign w:val="bottom"/>
          </w:tcPr>
          <w:p>
            <w:pPr>
              <w:jc w:val="right"/>
              <w:ind w:right="278"/>
              <w:spacing w:after="0" w:line="120" w:lineRule="exact"/>
              <w:rPr>
                <w:sz w:val="20"/>
                <w:szCs w:val="20"/>
                <w:color w:val="auto"/>
              </w:rPr>
            </w:pPr>
            <w:r>
              <w:rPr>
                <w:rFonts w:ascii="Arial" w:cs="Arial" w:eastAsia="Arial" w:hAnsi="Arial"/>
                <w:sz w:val="12"/>
                <w:szCs w:val="12"/>
                <w:b w:val="1"/>
                <w:bCs w:val="1"/>
                <w:color w:val="auto"/>
              </w:rPr>
              <w:t>Separate</w:t>
            </w:r>
          </w:p>
        </w:tc>
        <w:tc>
          <w:tcPr>
            <w:tcW w:w="0" w:type="dxa"/>
            <w:vAlign w:val="bottom"/>
          </w:tcPr>
          <w:p>
            <w:pPr>
              <w:spacing w:after="0"/>
              <w:rPr>
                <w:sz w:val="1"/>
                <w:szCs w:val="1"/>
                <w:color w:val="auto"/>
              </w:rPr>
            </w:pPr>
          </w:p>
        </w:tc>
      </w:tr>
      <w:tr>
        <w:trPr>
          <w:trHeight w:val="179"/>
        </w:trPr>
        <w:tc>
          <w:tcPr>
            <w:tcW w:w="2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Corporate (1)</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7"/>
              </w:rPr>
              <w:t>Securities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Government</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7"/>
              </w:rPr>
              <w:t>Securities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1"/>
              </w:rPr>
              <w:t>Investments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5"/>
              </w:rPr>
              <w:t>Derivatives (2)</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Derivatives (3)</w:t>
            </w: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w w:val="88"/>
              </w:rPr>
              <w:t>Account Assets (4)</w:t>
            </w:r>
          </w:p>
        </w:tc>
        <w:tc>
          <w:tcPr>
            <w:tcW w:w="0" w:type="dxa"/>
            <w:vAlign w:val="bottom"/>
          </w:tcPr>
          <w:p>
            <w:pPr>
              <w:spacing w:after="0"/>
              <w:rPr>
                <w:sz w:val="1"/>
                <w:szCs w:val="1"/>
                <w:color w:val="auto"/>
              </w:rPr>
            </w:pPr>
          </w:p>
        </w:tc>
      </w:tr>
      <w:tr>
        <w:trPr>
          <w:trHeight w:val="166"/>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ind w:left="62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8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b w:val="1"/>
                <w:bCs w:val="1"/>
                <w:color w:val="auto"/>
              </w:rPr>
              <w:t>Nine Months Ended September 30,</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180" w:type="dxa"/>
            <w:vAlign w:val="bottom"/>
          </w:tcPr>
          <w:p>
            <w:pPr>
              <w:ind w:left="20"/>
              <w:spacing w:after="0"/>
              <w:rPr>
                <w:sz w:val="20"/>
                <w:szCs w:val="20"/>
                <w:color w:val="auto"/>
              </w:rPr>
            </w:pPr>
            <w:r>
              <w:rPr>
                <w:rFonts w:ascii="Arial" w:cs="Arial" w:eastAsia="Arial" w:hAnsi="Arial"/>
                <w:sz w:val="12"/>
                <w:szCs w:val="12"/>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1,399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220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(8,310)</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1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Total realized/unrealized gains (losses)</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included in net income (loss) (5) (6)</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218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 (losses)</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180" w:type="dxa"/>
            <w:vAlign w:val="bottom"/>
          </w:tcPr>
          <w:p>
            <w:pPr>
              <w:ind w:left="180"/>
              <w:spacing w:after="0"/>
              <w:rPr>
                <w:sz w:val="20"/>
                <w:szCs w:val="20"/>
                <w:color w:val="auto"/>
              </w:rPr>
            </w:pPr>
            <w:r>
              <w:rPr>
                <w:rFonts w:ascii="Arial" w:cs="Arial" w:eastAsia="Arial" w:hAnsi="Arial"/>
                <w:sz w:val="12"/>
                <w:szCs w:val="12"/>
                <w:color w:val="auto"/>
              </w:rPr>
              <w:t>included in AOCI</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(286)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80" w:type="dxa"/>
            <w:vAlign w:val="bottom"/>
          </w:tcPr>
          <w:p>
            <w:pPr>
              <w:ind w:left="20"/>
              <w:spacing w:after="0"/>
              <w:rPr>
                <w:sz w:val="20"/>
                <w:szCs w:val="20"/>
                <w:color w:val="auto"/>
              </w:rPr>
            </w:pPr>
            <w:r>
              <w:rPr>
                <w:rFonts w:ascii="Arial" w:cs="Arial" w:eastAsia="Arial" w:hAnsi="Arial"/>
                <w:sz w:val="12"/>
                <w:szCs w:val="12"/>
                <w:color w:val="auto"/>
              </w:rPr>
              <w:t>Sales (7)</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Issuances (7)</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80" w:type="dxa"/>
            <w:vAlign w:val="bottom"/>
          </w:tcPr>
          <w:p>
            <w:pPr>
              <w:ind w:left="20"/>
              <w:spacing w:after="0"/>
              <w:rPr>
                <w:sz w:val="20"/>
                <w:szCs w:val="20"/>
                <w:color w:val="auto"/>
              </w:rPr>
            </w:pPr>
            <w:r>
              <w:rPr>
                <w:rFonts w:ascii="Arial" w:cs="Arial" w:eastAsia="Arial" w:hAnsi="Arial"/>
                <w:sz w:val="12"/>
                <w:szCs w:val="12"/>
                <w:color w:val="auto"/>
              </w:rPr>
              <w:t>Settlements (7)</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into Level 3 (8)</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180" w:type="dxa"/>
            <w:vAlign w:val="bottom"/>
          </w:tcPr>
          <w:p>
            <w:pPr>
              <w:ind w:left="20"/>
              <w:spacing w:after="0"/>
              <w:rPr>
                <w:sz w:val="20"/>
                <w:szCs w:val="20"/>
                <w:color w:val="auto"/>
              </w:rPr>
            </w:pPr>
            <w:r>
              <w:rPr>
                <w:rFonts w:ascii="Arial" w:cs="Arial" w:eastAsia="Arial" w:hAnsi="Arial"/>
                <w:sz w:val="12"/>
                <w:szCs w:val="12"/>
                <w:color w:val="auto"/>
              </w:rPr>
              <w:t>Transfers out of Level 3 (8)</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7"/>
        </w:trPr>
        <w:tc>
          <w:tcPr>
            <w:tcW w:w="2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(3,933)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b w:val="1"/>
                <w:bCs w:val="1"/>
                <w:color w:val="auto"/>
              </w:rPr>
              <w:t>Nine Months Ended September 30,</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180" w:type="dxa"/>
            <w:vAlign w:val="bottom"/>
          </w:tcPr>
          <w:p>
            <w:pPr>
              <w:ind w:left="180"/>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19"/>
        </w:trPr>
        <w:tc>
          <w:tcPr>
            <w:tcW w:w="218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 (losses)</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180" w:type="dxa"/>
            <w:vAlign w:val="bottom"/>
          </w:tcPr>
          <w:p>
            <w:pPr>
              <w:ind w:left="180"/>
              <w:spacing w:after="0"/>
              <w:rPr>
                <w:sz w:val="20"/>
                <w:szCs w:val="20"/>
                <w:color w:val="auto"/>
              </w:rPr>
            </w:pPr>
            <w:r>
              <w:rPr>
                <w:rFonts w:ascii="Arial" w:cs="Arial" w:eastAsia="Arial" w:hAnsi="Arial"/>
                <w:sz w:val="12"/>
                <w:szCs w:val="12"/>
                <w:color w:val="auto"/>
              </w:rPr>
              <w:t>included in net income (loss) (5) (6)</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1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Total realized/unrealized gains (losses)</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included in AOCI</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80" w:type="dxa"/>
            <w:vAlign w:val="bottom"/>
          </w:tcPr>
          <w:p>
            <w:pPr>
              <w:ind w:left="20"/>
              <w:spacing w:after="0"/>
              <w:rPr>
                <w:sz w:val="20"/>
                <w:szCs w:val="20"/>
                <w:color w:val="auto"/>
              </w:rPr>
            </w:pPr>
            <w:r>
              <w:rPr>
                <w:rFonts w:ascii="Arial" w:cs="Arial" w:eastAsia="Arial" w:hAnsi="Arial"/>
                <w:sz w:val="12"/>
                <w:szCs w:val="12"/>
                <w:color w:val="auto"/>
              </w:rPr>
              <w:t>Purchases (7)</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695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80" w:type="dxa"/>
            <w:vAlign w:val="bottom"/>
          </w:tcPr>
          <w:p>
            <w:pPr>
              <w:ind w:left="20"/>
              <w:spacing w:after="0"/>
              <w:rPr>
                <w:sz w:val="20"/>
                <w:szCs w:val="20"/>
                <w:color w:val="auto"/>
              </w:rPr>
            </w:pPr>
            <w:r>
              <w:rPr>
                <w:rFonts w:ascii="Arial" w:cs="Arial" w:eastAsia="Arial" w:hAnsi="Arial"/>
                <w:sz w:val="12"/>
                <w:szCs w:val="12"/>
                <w:color w:val="auto"/>
              </w:rPr>
              <w:t>Issuances (7)</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Settlements (7)</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80" w:type="dxa"/>
            <w:vAlign w:val="bottom"/>
          </w:tcPr>
          <w:p>
            <w:pPr>
              <w:ind w:left="20"/>
              <w:spacing w:after="0"/>
              <w:rPr>
                <w:sz w:val="20"/>
                <w:szCs w:val="20"/>
                <w:color w:val="auto"/>
              </w:rPr>
            </w:pPr>
            <w:r>
              <w:rPr>
                <w:rFonts w:ascii="Arial" w:cs="Arial" w:eastAsia="Arial" w:hAnsi="Arial"/>
                <w:sz w:val="12"/>
                <w:szCs w:val="12"/>
                <w:color w:val="auto"/>
              </w:rPr>
              <w:t>Transfers into Level 3 (8)</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174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out of Level 3 (8)</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65"/>
        </w:trPr>
        <w:tc>
          <w:tcPr>
            <w:tcW w:w="2180" w:type="dxa"/>
            <w:vAlign w:val="bottom"/>
          </w:tcPr>
          <w:p>
            <w:pPr>
              <w:ind w:left="20"/>
              <w:spacing w:after="0"/>
              <w:rPr>
                <w:sz w:val="20"/>
                <w:szCs w:val="20"/>
                <w:color w:val="auto"/>
              </w:rPr>
            </w:pPr>
            <w:r>
              <w:rPr>
                <w:rFonts w:ascii="Arial" w:cs="Arial" w:eastAsia="Arial" w:hAnsi="Arial"/>
                <w:sz w:val="12"/>
                <w:szCs w:val="12"/>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1,293</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266</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(7,596)</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8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w:t>
            </w: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180" w:type="dxa"/>
            <w:vAlign w:val="bottom"/>
            <w:shd w:val="clear" w:color="auto" w:fill="CCEEFF"/>
          </w:tcPr>
          <w:p>
            <w:pPr>
              <w:ind w:left="180"/>
              <w:spacing w:after="0" w:line="132" w:lineRule="exact"/>
              <w:rPr>
                <w:sz w:val="20"/>
                <w:szCs w:val="20"/>
                <w:color w:val="auto"/>
              </w:rPr>
            </w:pPr>
            <w:r>
              <w:rPr>
                <w:rFonts w:ascii="Arial" w:cs="Arial" w:eastAsia="Arial" w:hAnsi="Arial"/>
                <w:sz w:val="12"/>
                <w:szCs w:val="12"/>
                <w:color w:val="auto"/>
              </w:rPr>
              <w:t>included in net income (loss) for the</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18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instruments still held at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4,590</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September 30, 2022 (9)</w:t>
            </w:r>
          </w:p>
        </w:tc>
        <w:tc>
          <w:tcPr>
            <w:tcW w:w="12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Changes in unrealized gains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180" w:type="dxa"/>
            <w:vAlign w:val="bottom"/>
          </w:tcPr>
          <w:p>
            <w:pPr>
              <w:ind w:left="180"/>
              <w:spacing w:after="0" w:line="132" w:lineRule="exact"/>
              <w:rPr>
                <w:sz w:val="20"/>
                <w:szCs w:val="20"/>
                <w:color w:val="auto"/>
              </w:rPr>
            </w:pPr>
            <w:r>
              <w:rPr>
                <w:rFonts w:ascii="Arial" w:cs="Arial" w:eastAsia="Arial" w:hAnsi="Arial"/>
                <w:sz w:val="12"/>
                <w:szCs w:val="12"/>
                <w:color w:val="auto"/>
              </w:rPr>
              <w:t>included in OCI for the instruments</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(288)</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1"/>
                <w:szCs w:val="11"/>
                <w:color w:val="auto"/>
              </w:rPr>
            </w:pPr>
          </w:p>
        </w:tc>
        <w:tc>
          <w:tcPr>
            <w:tcW w:w="160" w:type="dxa"/>
            <w:vAlign w:val="bottom"/>
            <w:vMerge w:val="restart"/>
          </w:tcPr>
          <w:p>
            <w:pPr>
              <w:jc w:val="right"/>
              <w:ind w:right="18"/>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180" w:type="dxa"/>
            <w:vAlign w:val="bottom"/>
          </w:tcPr>
          <w:p>
            <w:pPr>
              <w:ind w:left="180"/>
              <w:spacing w:after="0"/>
              <w:rPr>
                <w:sz w:val="20"/>
                <w:szCs w:val="20"/>
                <w:color w:val="auto"/>
              </w:rPr>
            </w:pPr>
            <w:r>
              <w:rPr>
                <w:rFonts w:ascii="Arial" w:cs="Arial" w:eastAsia="Arial" w:hAnsi="Arial"/>
                <w:sz w:val="12"/>
                <w:szCs w:val="12"/>
                <w:color w:val="auto"/>
              </w:rPr>
              <w:t>still held at September 30, 2022 (9)</w:t>
            </w:r>
          </w:p>
        </w:tc>
        <w:tc>
          <w:tcPr>
            <w:tcW w:w="1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8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w:t>
            </w: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180" w:type="dxa"/>
            <w:vAlign w:val="bottom"/>
            <w:shd w:val="clear" w:color="auto" w:fill="CCEEFF"/>
          </w:tcPr>
          <w:p>
            <w:pPr>
              <w:ind w:left="180"/>
              <w:spacing w:after="0" w:line="132" w:lineRule="exact"/>
              <w:rPr>
                <w:sz w:val="20"/>
                <w:szCs w:val="20"/>
                <w:color w:val="auto"/>
              </w:rPr>
            </w:pPr>
            <w:r>
              <w:rPr>
                <w:rFonts w:ascii="Arial" w:cs="Arial" w:eastAsia="Arial" w:hAnsi="Arial"/>
                <w:sz w:val="12"/>
                <w:szCs w:val="12"/>
                <w:color w:val="auto"/>
              </w:rPr>
              <w:t>included in net income (loss) for the</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18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instruments still held at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(302)</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September 30, 2021 (9)</w:t>
            </w:r>
          </w:p>
        </w:tc>
        <w:tc>
          <w:tcPr>
            <w:tcW w:w="12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Changes in unrealized gains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180" w:type="dxa"/>
            <w:vAlign w:val="bottom"/>
          </w:tcPr>
          <w:p>
            <w:pPr>
              <w:ind w:left="180"/>
              <w:spacing w:after="0" w:line="132" w:lineRule="exact"/>
              <w:rPr>
                <w:sz w:val="20"/>
                <w:szCs w:val="20"/>
                <w:color w:val="auto"/>
              </w:rPr>
            </w:pPr>
            <w:r>
              <w:rPr>
                <w:rFonts w:ascii="Arial" w:cs="Arial" w:eastAsia="Arial" w:hAnsi="Arial"/>
                <w:sz w:val="12"/>
                <w:szCs w:val="12"/>
                <w:color w:val="auto"/>
              </w:rPr>
              <w:t>included in OCI for the instruments</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vMerge w:val="restart"/>
          </w:tcPr>
          <w:p>
            <w:pPr>
              <w:jc w:val="right"/>
              <w:ind w:right="18"/>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180" w:type="dxa"/>
            <w:vAlign w:val="bottom"/>
          </w:tcPr>
          <w:p>
            <w:pPr>
              <w:ind w:left="180"/>
              <w:spacing w:after="0"/>
              <w:rPr>
                <w:sz w:val="20"/>
                <w:szCs w:val="20"/>
                <w:color w:val="auto"/>
              </w:rPr>
            </w:pPr>
            <w:r>
              <w:rPr>
                <w:rFonts w:ascii="Arial" w:cs="Arial" w:eastAsia="Arial" w:hAnsi="Arial"/>
                <w:sz w:val="12"/>
                <w:szCs w:val="12"/>
                <w:color w:val="auto"/>
              </w:rPr>
              <w:t>still held at September 30, 2021 (9)</w:t>
            </w:r>
          </w:p>
        </w:tc>
        <w:tc>
          <w:tcPr>
            <w:tcW w:w="1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presented net for purposes of the rollforward.</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Embedded derivative assets and liabilities are presented net for purposes of the rollforward.</w:t>
      </w:r>
    </w:p>
    <w:p>
      <w:pPr>
        <w:spacing w:after="0" w:line="111"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presented within net investment gains (losses).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jc w:val="both"/>
        <w:ind w:left="320" w:hanging="314"/>
        <w:spacing w:after="0" w:line="252" w:lineRule="auto"/>
        <w:tabs>
          <w:tab w:leader="none" w:pos="3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84" w:lineRule="exact"/>
        <w:rPr>
          <w:rFonts w:ascii="Arial" w:cs="Arial" w:eastAsia="Arial" w:hAnsi="Arial"/>
          <w:sz w:val="18"/>
          <w:szCs w:val="18"/>
          <w:color w:val="auto"/>
        </w:rPr>
      </w:pPr>
    </w:p>
    <w:p>
      <w:pPr>
        <w:ind w:left="320" w:hanging="314"/>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pacing w:after="0" w:line="111"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74"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w w:val="96"/>
              </w:rPr>
              <w:t>September 30, 2022</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center"/>
              <w:ind w:right="123"/>
              <w:spacing w:after="0" w:line="137"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114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2"/>
                <w:szCs w:val="12"/>
                <w:color w:val="auto"/>
              </w:rPr>
            </w:pPr>
          </w:p>
        </w:tc>
        <w:tc>
          <w:tcPr>
            <w:tcW w:w="9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2"/>
                <w:szCs w:val="12"/>
                <w:color w:val="auto"/>
              </w:rPr>
            </w:pPr>
          </w:p>
        </w:tc>
        <w:tc>
          <w:tcPr>
            <w:tcW w:w="1020" w:type="dxa"/>
            <w:vAlign w:val="bottom"/>
          </w:tcPr>
          <w:p>
            <w:pPr>
              <w:jc w:val="center"/>
              <w:ind w:right="123"/>
              <w:spacing w:after="0" w:line="142"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22,089</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19,956</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19,956</w:t>
            </w:r>
          </w:p>
        </w:tc>
        <w:tc>
          <w:tcPr>
            <w:tcW w:w="0" w:type="dxa"/>
            <w:vAlign w:val="bottom"/>
          </w:tcPr>
          <w:p>
            <w:pPr>
              <w:spacing w:after="0"/>
              <w:rPr>
                <w:sz w:val="1"/>
                <w:szCs w:val="1"/>
                <w:color w:val="auto"/>
              </w:rPr>
            </w:pPr>
          </w:p>
        </w:tc>
      </w:tr>
      <w:tr>
        <w:trPr>
          <w:trHeight w:val="228"/>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1,274</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509</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Other invested assets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188</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176</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4,957</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115</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5,053</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5,168</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29,522</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28,653</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28,653</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3,156</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2,595</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2,595</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1,106</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401</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207"/>
        </w:trPr>
        <w:tc>
          <w:tcPr>
            <w:tcW w:w="472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991</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991</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center"/>
              <w:ind w:right="123"/>
              <w:spacing w:after="0" w:line="137"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114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2"/>
                <w:szCs w:val="12"/>
                <w:color w:val="auto"/>
              </w:rPr>
            </w:pPr>
          </w:p>
        </w:tc>
        <w:tc>
          <w:tcPr>
            <w:tcW w:w="9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2"/>
                <w:szCs w:val="12"/>
                <w:color w:val="auto"/>
              </w:rPr>
            </w:pPr>
          </w:p>
        </w:tc>
        <w:tc>
          <w:tcPr>
            <w:tcW w:w="1020" w:type="dxa"/>
            <w:vAlign w:val="bottom"/>
          </w:tcPr>
          <w:p>
            <w:pPr>
              <w:jc w:val="center"/>
              <w:ind w:right="123"/>
              <w:spacing w:after="0" w:line="142"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19,850</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20,656</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20,656</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1,264</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508</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Other invested assets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82</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70</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3,242</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20</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23,637</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23,614</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23,614</w:t>
            </w: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3,157</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3,504</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3,504</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854</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138</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07"/>
        </w:trPr>
        <w:tc>
          <w:tcPr>
            <w:tcW w:w="472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1,440</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1,440</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April 15, 2022, BHF entered into a new revolving credit agreement with respect to a new $1.0 billion senior unsecured revolving credit facility maturing April 15, 2027 (the “2022 Revolving Credit Facility”), all of which may be used for revolving loans or letters of credit. The 2022 Revolving Credit Facility refinanced and replaced BHF’s former $1.0 billion senior unsecured revolving credit facility that was scheduled to mature May 7, 2024. At September 30, 2022, there were no borrowings or letters of credit outstanding under the 2022 Revolving Credit Facility.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Preferred stock shares authorized, issued and outstanding were as follows at both September 30, 2022 and December 31,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5"/>
                <w:szCs w:val="15"/>
                <w:color w:val="auto"/>
              </w:rPr>
            </w:pPr>
          </w:p>
        </w:tc>
        <w:tc>
          <w:tcPr>
            <w:tcW w:w="18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 Authorized</w:t>
            </w: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 Issued</w:t>
            </w:r>
          </w:p>
        </w:tc>
        <w:tc>
          <w:tcPr>
            <w:tcW w:w="1740" w:type="dxa"/>
            <w:vAlign w:val="bottom"/>
          </w:tcPr>
          <w:p>
            <w:pPr>
              <w:jc w:val="right"/>
              <w:ind w:right="182"/>
              <w:spacing w:after="0"/>
              <w:rPr>
                <w:sz w:val="20"/>
                <w:szCs w:val="20"/>
                <w:color w:val="auto"/>
              </w:rPr>
            </w:pPr>
            <w:r>
              <w:rPr>
                <w:rFonts w:ascii="Arial" w:cs="Arial" w:eastAsia="Arial" w:hAnsi="Arial"/>
                <w:sz w:val="14"/>
                <w:szCs w:val="14"/>
                <w:b w:val="1"/>
                <w:bCs w:val="1"/>
                <w:color w:val="auto"/>
              </w:rPr>
              <w:t>Shares Outstanding</w:t>
            </w:r>
          </w:p>
        </w:tc>
      </w:tr>
      <w:tr>
        <w:trPr>
          <w:trHeight w:val="24"/>
        </w:trPr>
        <w:tc>
          <w:tcPr>
            <w:tcW w:w="58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6.600% Non-Cumulative Preferred Stock, Series A</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17,000</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color w:val="auto"/>
              </w:rPr>
              <w:t>6.750% Non-Cumulative Preferred Stock, Series B</w:t>
            </w:r>
          </w:p>
        </w:tc>
        <w:tc>
          <w:tcPr>
            <w:tcW w:w="1740" w:type="dxa"/>
            <w:vAlign w:val="bottom"/>
          </w:tcPr>
          <w:p>
            <w:pPr>
              <w:jc w:val="right"/>
              <w:spacing w:after="0"/>
              <w:rPr>
                <w:sz w:val="20"/>
                <w:szCs w:val="20"/>
                <w:color w:val="auto"/>
              </w:rPr>
            </w:pPr>
            <w:r>
              <w:rPr>
                <w:rFonts w:ascii="Arial" w:cs="Arial" w:eastAsia="Arial" w:hAnsi="Arial"/>
                <w:sz w:val="16"/>
                <w:szCs w:val="16"/>
                <w:color w:val="auto"/>
              </w:rPr>
              <w:t>16,100</w:t>
            </w:r>
          </w:p>
        </w:tc>
        <w:tc>
          <w:tcPr>
            <w:tcW w:w="1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16,100</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16,100</w:t>
            </w:r>
          </w:p>
        </w:tc>
      </w:tr>
      <w:tr>
        <w:trPr>
          <w:trHeight w:val="214"/>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5.375% Non-Cumulative Preferred Stock, Series C</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23,000</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r>
      <w:tr>
        <w:trPr>
          <w:trHeight w:val="422"/>
        </w:trPr>
        <w:tc>
          <w:tcPr>
            <w:tcW w:w="5840" w:type="dxa"/>
            <w:vAlign w:val="bottom"/>
          </w:tcPr>
          <w:p>
            <w:pPr>
              <w:ind w:left="20"/>
              <w:spacing w:after="0"/>
              <w:rPr>
                <w:sz w:val="20"/>
                <w:szCs w:val="20"/>
                <w:color w:val="auto"/>
              </w:rPr>
            </w:pPr>
            <w:r>
              <w:rPr>
                <w:rFonts w:ascii="Arial" w:cs="Arial" w:eastAsia="Arial" w:hAnsi="Arial"/>
                <w:sz w:val="16"/>
                <w:szCs w:val="16"/>
                <w:color w:val="auto"/>
              </w:rPr>
              <w:t>4.625% Non-Cumulative Preferred Stock, Series D</w:t>
            </w:r>
          </w:p>
        </w:tc>
        <w:tc>
          <w:tcPr>
            <w:tcW w:w="1740" w:type="dxa"/>
            <w:vAlign w:val="bottom"/>
          </w:tcPr>
          <w:p>
            <w:pPr>
              <w:jc w:val="right"/>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24"/>
                <w:szCs w:val="24"/>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14,000</w:t>
            </w:r>
          </w:p>
        </w:tc>
        <w:tc>
          <w:tcPr>
            <w:tcW w:w="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14,000</w:t>
            </w: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 designated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99,929,900</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840" w:type="dxa"/>
            <w:vAlign w:val="bottom"/>
          </w:tcPr>
          <w:p>
            <w:pPr>
              <w:ind w:left="18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100,000,000</w:t>
            </w:r>
          </w:p>
        </w:tc>
        <w:tc>
          <w:tcPr>
            <w:tcW w:w="10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70,100</w:t>
            </w:r>
          </w:p>
        </w:tc>
        <w:tc>
          <w:tcPr>
            <w:tcW w:w="8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70,100</w:t>
            </w:r>
          </w:p>
        </w:tc>
      </w:tr>
      <w:tr>
        <w:trPr>
          <w:trHeight w:val="20"/>
        </w:trPr>
        <w:tc>
          <w:tcPr>
            <w:tcW w:w="58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per share and aggregate dividend declared for BHF’s preferred stock by series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7"/>
          </w:tcPr>
          <w:p>
            <w:pPr>
              <w:spacing w:after="0"/>
              <w:rPr>
                <w:sz w:val="20"/>
                <w:szCs w:val="20"/>
                <w:color w:val="auto"/>
              </w:rPr>
            </w:pPr>
            <w:r>
              <w:rPr>
                <w:rFonts w:ascii="Arial" w:cs="Arial" w:eastAsia="Arial" w:hAnsi="Arial"/>
                <w:sz w:val="14"/>
                <w:szCs w:val="14"/>
                <w:b w:val="1"/>
                <w:bCs w:val="1"/>
                <w:color w:val="auto"/>
                <w:w w:val="96"/>
              </w:rPr>
              <w:t>Three Months Ended September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0"/>
              </w:rPr>
              <w:t>Nine Months Ended September 30,</w:t>
            </w:r>
          </w:p>
        </w:tc>
        <w:tc>
          <w:tcPr>
            <w:tcW w:w="920" w:type="dxa"/>
            <w:vAlign w:val="bottom"/>
          </w:tcPr>
          <w:p>
            <w:pPr>
              <w:spacing w:after="0"/>
              <w:rPr>
                <w:sz w:val="15"/>
                <w:szCs w:val="15"/>
                <w:color w:val="auto"/>
              </w:rPr>
            </w:pPr>
          </w:p>
        </w:tc>
      </w:tr>
      <w:tr>
        <w:trPr>
          <w:trHeight w:val="24"/>
        </w:trPr>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2022</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78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883"/>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9"/>
              </w:rPr>
              <w:t>2021</w:t>
            </w:r>
          </w:p>
        </w:tc>
        <w:tc>
          <w:tcPr>
            <w:tcW w:w="920" w:type="dxa"/>
            <w:vAlign w:val="bottom"/>
            <w:tcBorders>
              <w:bottom w:val="single" w:sz="8" w:color="auto"/>
            </w:tcBorders>
          </w:tcPr>
          <w:p>
            <w:pPr>
              <w:spacing w:after="0"/>
              <w:rPr>
                <w:sz w:val="16"/>
                <w:szCs w:val="16"/>
                <w:color w:val="auto"/>
              </w:rPr>
            </w:pPr>
          </w:p>
        </w:tc>
      </w:tr>
      <w:tr>
        <w:trPr>
          <w:trHeight w:val="192"/>
        </w:trPr>
        <w:tc>
          <w:tcPr>
            <w:tcW w:w="24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Series</w:t>
            </w:r>
          </w:p>
        </w:tc>
        <w:tc>
          <w:tcPr>
            <w:tcW w:w="140" w:type="dxa"/>
            <w:vAlign w:val="bottom"/>
          </w:tcPr>
          <w:p>
            <w:pPr>
              <w:spacing w:after="0"/>
              <w:rPr>
                <w:sz w:val="16"/>
                <w:szCs w:val="16"/>
                <w:color w:val="auto"/>
              </w:rPr>
            </w:pPr>
          </w:p>
        </w:tc>
        <w:tc>
          <w:tcPr>
            <w:tcW w:w="760" w:type="dxa"/>
            <w:vAlign w:val="bottom"/>
          </w:tcPr>
          <w:p>
            <w:pPr>
              <w:jc w:val="right"/>
              <w:ind w:right="42"/>
              <w:spacing w:after="0"/>
              <w:rPr>
                <w:sz w:val="20"/>
                <w:szCs w:val="20"/>
                <w:color w:val="auto"/>
              </w:rPr>
            </w:pPr>
            <w:r>
              <w:rPr>
                <w:rFonts w:ascii="Arial" w:cs="Arial" w:eastAsia="Arial" w:hAnsi="Arial"/>
                <w:sz w:val="14"/>
                <w:szCs w:val="14"/>
                <w:b w:val="1"/>
                <w:bCs w:val="1"/>
                <w:color w:val="auto"/>
                <w:w w:val="94"/>
              </w:rPr>
              <w:t>Per Share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82"/>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2"/>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23"/>
              <w:spacing w:after="0"/>
              <w:rPr>
                <w:sz w:val="20"/>
                <w:szCs w:val="20"/>
                <w:color w:val="auto"/>
              </w:rPr>
            </w:pPr>
            <w:r>
              <w:rPr>
                <w:rFonts w:ascii="Arial" w:cs="Arial" w:eastAsia="Arial" w:hAnsi="Arial"/>
                <w:sz w:val="14"/>
                <w:szCs w:val="14"/>
                <w:b w:val="1"/>
                <w:bCs w:val="1"/>
                <w:color w:val="auto"/>
                <w:w w:val="98"/>
              </w:rPr>
              <w:t>Aggregate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Arial" w:cs="Arial" w:eastAsia="Arial" w:hAnsi="Arial"/>
                <w:sz w:val="14"/>
                <w:szCs w:val="14"/>
                <w:b w:val="1"/>
                <w:bCs w:val="1"/>
                <w:color w:val="auto"/>
                <w:w w:val="94"/>
              </w:rPr>
              <w:t>Per Share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83"/>
              <w:spacing w:after="0"/>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62"/>
              <w:spacing w:after="0"/>
              <w:rPr>
                <w:sz w:val="20"/>
                <w:szCs w:val="20"/>
                <w:color w:val="auto"/>
              </w:rPr>
            </w:pPr>
            <w:r>
              <w:rPr>
                <w:rFonts w:ascii="Arial" w:cs="Arial" w:eastAsia="Arial" w:hAnsi="Arial"/>
                <w:sz w:val="14"/>
                <w:szCs w:val="14"/>
                <w:b w:val="1"/>
                <w:bCs w:val="1"/>
                <w:color w:val="auto"/>
                <w:w w:val="97"/>
              </w:rPr>
              <w:t>Per Share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62"/>
              <w:spacing w:after="0"/>
              <w:rPr>
                <w:sz w:val="20"/>
                <w:szCs w:val="20"/>
                <w:color w:val="auto"/>
              </w:rPr>
            </w:pPr>
            <w:r>
              <w:rPr>
                <w:rFonts w:ascii="Arial" w:cs="Arial" w:eastAsia="Arial" w:hAnsi="Arial"/>
                <w:sz w:val="14"/>
                <w:szCs w:val="14"/>
                <w:b w:val="1"/>
                <w:bCs w:val="1"/>
                <w:color w:val="auto"/>
                <w:w w:val="95"/>
              </w:rPr>
              <w:t>Aggregate</w:t>
            </w:r>
          </w:p>
        </w:tc>
      </w:tr>
      <w:tr>
        <w:trPr>
          <w:trHeight w:val="191"/>
        </w:trPr>
        <w:tc>
          <w:tcPr>
            <w:tcW w:w="2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1"/>
              </w:rPr>
              <w:t>(In millions, except per share data)</w:t>
            </w: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19"/>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412.50</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1,237.50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B</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421.88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421.88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1,265.64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1,265.64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4"/>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1,138.46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2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289.06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973.17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nine months ended September 30, 2022 and 2021, BHF repurchased 8,194,191 and 7,603,089 shares, respectively, of its common stock through open market purchases pursuant to 10b5-1 plans for $395 million and $341 million, respectively. At September 30, 2022, BHF had $386 million remaining under its common stock repurchase program.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Three Months Ended September 30, 2022</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5"/>
              </w:rPr>
              <w:t>Unrealized</w:t>
            </w:r>
          </w:p>
        </w:tc>
        <w:tc>
          <w:tcPr>
            <w:tcW w:w="18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5"/>
              </w:rPr>
              <w:t>Unrealized</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Foreign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3"/>
              </w:rPr>
              <w:t>Investment Gains</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4"/>
              </w:rPr>
              <w:t>Currency</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88"/>
              </w:rPr>
              <w:t>(Losses), Net of</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0"/>
              </w:rPr>
              <w:t>Gains (Losses)</w:t>
            </w:r>
          </w:p>
        </w:tc>
        <w:tc>
          <w:tcPr>
            <w:tcW w:w="160" w:type="dxa"/>
            <w:vAlign w:val="bottom"/>
          </w:tcPr>
          <w:p>
            <w:pPr>
              <w:spacing w:after="0"/>
              <w:rPr>
                <w:sz w:val="11"/>
                <w:szCs w:val="11"/>
                <w:color w:val="auto"/>
              </w:rPr>
            </w:pPr>
          </w:p>
        </w:tc>
        <w:tc>
          <w:tcPr>
            <w:tcW w:w="140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2"/>
              </w:rPr>
              <w:t>Translation</w:t>
            </w:r>
          </w:p>
        </w:tc>
        <w:tc>
          <w:tcPr>
            <w:tcW w:w="80" w:type="dxa"/>
            <w:vAlign w:val="bottom"/>
          </w:tcPr>
          <w:p>
            <w:pPr>
              <w:spacing w:after="0"/>
              <w:rPr>
                <w:sz w:val="11"/>
                <w:szCs w:val="11"/>
                <w:color w:val="auto"/>
              </w:rPr>
            </w:pPr>
          </w:p>
        </w:tc>
        <w:tc>
          <w:tcPr>
            <w:tcW w:w="114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w w:val="93"/>
              </w:rPr>
              <w:t>Defined Benefit</w:t>
            </w:r>
          </w:p>
        </w:tc>
        <w:tc>
          <w:tcPr>
            <w:tcW w:w="300" w:type="dxa"/>
            <w:vAlign w:val="bottom"/>
          </w:tcPr>
          <w:p>
            <w:pPr>
              <w:spacing w:after="0"/>
              <w:rPr>
                <w:sz w:val="11"/>
                <w:szCs w:val="11"/>
                <w:color w:val="auto"/>
              </w:rPr>
            </w:pPr>
          </w:p>
        </w:tc>
        <w:tc>
          <w:tcPr>
            <w:tcW w:w="960" w:type="dxa"/>
            <w:vAlign w:val="bottom"/>
            <w:vMerge w:val="restart"/>
          </w:tcPr>
          <w:p>
            <w:pPr>
              <w:jc w:val="right"/>
              <w:ind w:right="42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Related Offsets (1)</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on Derivatives</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Adjustments</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Plans Adjustment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(In millions)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w:t>
            </w: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(4,540)</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183"/>
        </w:trPr>
        <w:tc>
          <w:tcPr>
            <w:tcW w:w="42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(7,250)</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(6,677)</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9"/>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4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Three Months Ended September 30, 2021</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5"/>
              </w:rPr>
              <w:t>Unrealized</w:t>
            </w:r>
          </w:p>
        </w:tc>
        <w:tc>
          <w:tcPr>
            <w:tcW w:w="18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5"/>
              </w:rPr>
              <w:t>Unrealized</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Foreign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3"/>
              </w:rPr>
              <w:t>Investment Gains</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4"/>
              </w:rPr>
              <w:t>Currency</w:t>
            </w:r>
          </w:p>
        </w:tc>
        <w:tc>
          <w:tcPr>
            <w:tcW w:w="8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Defined Benefit</w:t>
            </w: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88"/>
              </w:rPr>
              <w:t>(Losses), Net of</w:t>
            </w:r>
          </w:p>
        </w:tc>
        <w:tc>
          <w:tcPr>
            <w:tcW w:w="180" w:type="dxa"/>
            <w:vAlign w:val="bottom"/>
          </w:tcPr>
          <w:p>
            <w:pPr>
              <w:spacing w:after="0"/>
              <w:rPr>
                <w:sz w:val="10"/>
                <w:szCs w:val="10"/>
                <w:color w:val="auto"/>
              </w:rPr>
            </w:pPr>
          </w:p>
        </w:tc>
        <w:tc>
          <w:tcPr>
            <w:tcW w:w="122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Gains (Losses)</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2"/>
              </w:rPr>
              <w:t>Translation</w:t>
            </w: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Related Offsets (1)</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on Derivatives</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Adjustments</w:t>
            </w: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Plans Adjustment</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(In millions)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5"/>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4,292</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4240" w:type="dxa"/>
            <w:vAlign w:val="bottom"/>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71"/>
        </w:trPr>
        <w:tc>
          <w:tcPr>
            <w:tcW w:w="4240" w:type="dxa"/>
            <w:vAlign w:val="bottom"/>
          </w:tcPr>
          <w:p>
            <w:pPr>
              <w:ind w:left="20"/>
              <w:spacing w:after="0"/>
              <w:rPr>
                <w:sz w:val="20"/>
                <w:szCs w:val="20"/>
                <w:color w:val="auto"/>
              </w:rPr>
            </w:pPr>
            <w:r>
              <w:rPr>
                <w:rFonts w:ascii="Arial" w:cs="Arial" w:eastAsia="Arial" w:hAnsi="Arial"/>
                <w:sz w:val="14"/>
                <w:szCs w:val="14"/>
                <w:color w:val="auto"/>
              </w:rPr>
              <w:t>Balance at September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center"/>
              <w:ind w:left="592"/>
              <w:spacing w:after="0"/>
              <w:rPr>
                <w:sz w:val="20"/>
                <w:szCs w:val="20"/>
                <w:color w:val="auto"/>
              </w:rPr>
            </w:pPr>
            <w:r>
              <w:rPr>
                <w:rFonts w:ascii="Arial" w:cs="Arial" w:eastAsia="Arial" w:hAnsi="Arial"/>
                <w:sz w:val="12"/>
                <w:szCs w:val="12"/>
                <w:b w:val="1"/>
                <w:bCs w:val="1"/>
                <w:color w:val="auto"/>
                <w:w w:val="93"/>
              </w:rPr>
              <w:t>Nine Months Ended September 30, 2022</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5"/>
              </w:rPr>
              <w:t>Unrealized</w:t>
            </w:r>
          </w:p>
        </w:tc>
        <w:tc>
          <w:tcPr>
            <w:tcW w:w="18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5"/>
              </w:rPr>
              <w:t>Unrealized</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Foreign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3"/>
              </w:rPr>
              <w:t>Investment Gains</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4"/>
              </w:rPr>
              <w:t>Currency</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88"/>
              </w:rPr>
              <w:t>(Losses), Net of</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0"/>
              </w:rPr>
              <w:t>Gains (Losses)</w:t>
            </w:r>
          </w:p>
        </w:tc>
        <w:tc>
          <w:tcPr>
            <w:tcW w:w="160" w:type="dxa"/>
            <w:vAlign w:val="bottom"/>
          </w:tcPr>
          <w:p>
            <w:pPr>
              <w:spacing w:after="0"/>
              <w:rPr>
                <w:sz w:val="11"/>
                <w:szCs w:val="11"/>
                <w:color w:val="auto"/>
              </w:rPr>
            </w:pPr>
          </w:p>
        </w:tc>
        <w:tc>
          <w:tcPr>
            <w:tcW w:w="140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2"/>
              </w:rPr>
              <w:t>Translation</w:t>
            </w:r>
          </w:p>
        </w:tc>
        <w:tc>
          <w:tcPr>
            <w:tcW w:w="80" w:type="dxa"/>
            <w:vAlign w:val="bottom"/>
          </w:tcPr>
          <w:p>
            <w:pPr>
              <w:spacing w:after="0"/>
              <w:rPr>
                <w:sz w:val="11"/>
                <w:szCs w:val="11"/>
                <w:color w:val="auto"/>
              </w:rPr>
            </w:pPr>
          </w:p>
        </w:tc>
        <w:tc>
          <w:tcPr>
            <w:tcW w:w="114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w w:val="93"/>
              </w:rPr>
              <w:t>Defined Benefit</w:t>
            </w:r>
          </w:p>
        </w:tc>
        <w:tc>
          <w:tcPr>
            <w:tcW w:w="300" w:type="dxa"/>
            <w:vAlign w:val="bottom"/>
          </w:tcPr>
          <w:p>
            <w:pPr>
              <w:spacing w:after="0"/>
              <w:rPr>
                <w:sz w:val="11"/>
                <w:szCs w:val="11"/>
                <w:color w:val="auto"/>
              </w:rPr>
            </w:pPr>
          </w:p>
        </w:tc>
        <w:tc>
          <w:tcPr>
            <w:tcW w:w="960" w:type="dxa"/>
            <w:vAlign w:val="bottom"/>
            <w:vMerge w:val="restart"/>
          </w:tcPr>
          <w:p>
            <w:pPr>
              <w:jc w:val="right"/>
              <w:ind w:right="4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Related Offsets (1)</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on Derivatives</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Adjustments</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Plans Adjustment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4"/>
              </w:rPr>
              <w:t>(In millions)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238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4,172</w:t>
            </w: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(14,411)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840"/>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(13,853)</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w w:val="97"/>
              </w:rPr>
              <w:t>(184)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2,910</w:t>
            </w:r>
          </w:p>
        </w:tc>
        <w:tc>
          <w:tcPr>
            <w:tcW w:w="0" w:type="dxa"/>
            <w:vAlign w:val="bottom"/>
          </w:tcPr>
          <w:p>
            <w:pPr>
              <w:spacing w:after="0"/>
              <w:rPr>
                <w:sz w:val="1"/>
                <w:szCs w:val="1"/>
                <w:color w:val="auto"/>
              </w:rPr>
            </w:pPr>
          </w:p>
        </w:tc>
      </w:tr>
      <w:tr>
        <w:trPr>
          <w:trHeight w:val="183"/>
        </w:trPr>
        <w:tc>
          <w:tcPr>
            <w:tcW w:w="42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(7,348)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ind w:left="840"/>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(6,771)</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4"/>
                <w:szCs w:val="14"/>
                <w:color w:val="auto"/>
                <w:w w:val="96"/>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98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2"/>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w w:val="96"/>
              </w:rPr>
              <w:t>(13)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371"/>
        </w:trPr>
        <w:tc>
          <w:tcPr>
            <w:tcW w:w="424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(7,203)</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left="592"/>
              <w:spacing w:after="0"/>
              <w:rPr>
                <w:sz w:val="20"/>
                <w:szCs w:val="20"/>
                <w:color w:val="auto"/>
              </w:rPr>
            </w:pPr>
            <w:r>
              <w:rPr>
                <w:rFonts w:ascii="Arial" w:cs="Arial" w:eastAsia="Arial" w:hAnsi="Arial"/>
                <w:sz w:val="12"/>
                <w:szCs w:val="12"/>
                <w:b w:val="1"/>
                <w:bCs w:val="1"/>
                <w:color w:val="auto"/>
                <w:w w:val="93"/>
              </w:rPr>
              <w:t>Nine Months Ended September 30, 2021</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5"/>
              </w:rPr>
              <w:t>Unrealized</w:t>
            </w:r>
          </w:p>
        </w:tc>
        <w:tc>
          <w:tcPr>
            <w:tcW w:w="18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5"/>
              </w:rPr>
              <w:t>Unrealized</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Foreign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3"/>
              </w:rPr>
              <w:t>Investment Gains</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4"/>
              </w:rPr>
              <w:t>Currency</w:t>
            </w:r>
          </w:p>
        </w:tc>
        <w:tc>
          <w:tcPr>
            <w:tcW w:w="8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Defined Benefit</w:t>
            </w: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88"/>
              </w:rPr>
              <w:t>(Losses), Net of</w:t>
            </w:r>
          </w:p>
        </w:tc>
        <w:tc>
          <w:tcPr>
            <w:tcW w:w="180" w:type="dxa"/>
            <w:vAlign w:val="bottom"/>
          </w:tcPr>
          <w:p>
            <w:pPr>
              <w:spacing w:after="0"/>
              <w:rPr>
                <w:sz w:val="10"/>
                <w:szCs w:val="10"/>
                <w:color w:val="auto"/>
              </w:rPr>
            </w:pPr>
          </w:p>
        </w:tc>
        <w:tc>
          <w:tcPr>
            <w:tcW w:w="122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Gains (Losses)</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2"/>
              </w:rPr>
              <w:t>Translation</w:t>
            </w: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Related Offsets (1)</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on Derivatives</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Adjustments</w:t>
            </w: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Plans Adjustment</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4"/>
              </w:rPr>
              <w:t>(In millions)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5,716</w:t>
            </w: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840"/>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w w:val="96"/>
              </w:rPr>
              <w:t>(32)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83"/>
        </w:trPr>
        <w:tc>
          <w:tcPr>
            <w:tcW w:w="42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ind w:left="840"/>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4,287</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4"/>
                <w:szCs w:val="14"/>
                <w:color w:val="auto"/>
                <w:w w:val="96"/>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98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w w:val="96"/>
              </w:rPr>
              <w:t>(10)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371"/>
        </w:trPr>
        <w:tc>
          <w:tcPr>
            <w:tcW w:w="4240" w:type="dxa"/>
            <w:vAlign w:val="bottom"/>
          </w:tcPr>
          <w:p>
            <w:pPr>
              <w:ind w:left="20"/>
              <w:spacing w:after="0"/>
              <w:rPr>
                <w:sz w:val="20"/>
                <w:szCs w:val="20"/>
                <w:color w:val="auto"/>
              </w:rPr>
            </w:pPr>
            <w:r>
              <w:rPr>
                <w:rFonts w:ascii="Arial" w:cs="Arial" w:eastAsia="Arial" w:hAnsi="Arial"/>
                <w:sz w:val="14"/>
                <w:szCs w:val="14"/>
                <w:color w:val="auto"/>
              </w:rPr>
              <w:t>Balance at September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4,290</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2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Note 4 for information on offsets to investments related to future policy benefits, DAC, VOBA and DSI.</w:t>
      </w:r>
    </w:p>
    <w:p>
      <w:pPr>
        <w:spacing w:after="0" w:line="111"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income taxes on amounts recorded to AOCI are also recognized in AOCI. These income tax effects are released from AOCI when the related activity is reclassified into results from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amounts reclassified out of each component of AOCI was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Arial" w:cs="Arial" w:eastAsia="Arial" w:hAnsi="Arial"/>
                <w:sz w:val="12"/>
                <w:szCs w:val="12"/>
                <w:b w:val="1"/>
                <w:bCs w:val="1"/>
                <w:color w:val="auto"/>
                <w:w w:val="91"/>
              </w:rPr>
              <w:t>Consolidated Statements of</w:t>
            </w:r>
          </w:p>
        </w:tc>
      </w:tr>
      <w:tr>
        <w:trPr>
          <w:trHeight w:val="128"/>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Operations and Comprehensive Income</w:t>
            </w:r>
          </w:p>
        </w:tc>
      </w:tr>
      <w:tr>
        <w:trPr>
          <w:trHeight w:val="170"/>
        </w:trPr>
        <w:tc>
          <w:tcPr>
            <w:tcW w:w="4660" w:type="dxa"/>
            <w:vAlign w:val="bottom"/>
            <w:gridSpan w:val="2"/>
          </w:tcPr>
          <w:p>
            <w:pPr>
              <w:ind w:left="1780"/>
              <w:spacing w:after="0"/>
              <w:rPr>
                <w:sz w:val="20"/>
                <w:szCs w:val="20"/>
                <w:color w:val="auto"/>
              </w:rPr>
            </w:pPr>
            <w:r>
              <w:rPr>
                <w:rFonts w:ascii="Arial" w:cs="Arial" w:eastAsia="Arial" w:hAnsi="Arial"/>
                <w:sz w:val="12"/>
                <w:szCs w:val="12"/>
                <w:b w:val="1"/>
                <w:bCs w:val="1"/>
                <w:color w:val="auto"/>
              </w:rPr>
              <w:t>AOCI Components</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ind w:left="140"/>
              <w:spacing w:after="0"/>
              <w:rPr>
                <w:sz w:val="20"/>
                <w:szCs w:val="20"/>
                <w:color w:val="auto"/>
              </w:rPr>
            </w:pPr>
            <w:r>
              <w:rPr>
                <w:rFonts w:ascii="Arial" w:cs="Arial" w:eastAsia="Arial" w:hAnsi="Arial"/>
                <w:sz w:val="12"/>
                <w:szCs w:val="12"/>
                <w:b w:val="1"/>
                <w:bCs w:val="1"/>
                <w:color w:val="auto"/>
              </w:rPr>
              <w:t>Amounts Reclassified from AOCI</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2"/>
                <w:szCs w:val="12"/>
                <w:b w:val="1"/>
                <w:bCs w:val="1"/>
                <w:color w:val="auto"/>
                <w:w w:val="89"/>
              </w:rPr>
              <w:t>(Loss) Locations</w:t>
            </w:r>
          </w:p>
        </w:tc>
      </w:tr>
      <w:tr>
        <w:trPr>
          <w:trHeight w:val="119"/>
        </w:trPr>
        <w:tc>
          <w:tcPr>
            <w:tcW w:w="4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Borders>
              <w:top w:val="single" w:sz="8" w:color="auto"/>
            </w:tcBorders>
            <w:gridSpan w:val="4"/>
          </w:tcPr>
          <w:p>
            <w:pPr>
              <w:jc w:val="right"/>
              <w:ind w:right="94"/>
              <w:spacing w:after="0" w:line="120" w:lineRule="exact"/>
              <w:rPr>
                <w:sz w:val="20"/>
                <w:szCs w:val="20"/>
                <w:color w:val="auto"/>
              </w:rPr>
            </w:pPr>
            <w:r>
              <w:rPr>
                <w:rFonts w:ascii="Arial" w:cs="Arial" w:eastAsia="Arial" w:hAnsi="Arial"/>
                <w:sz w:val="12"/>
                <w:szCs w:val="12"/>
                <w:b w:val="1"/>
                <w:bCs w:val="1"/>
                <w:color w:val="auto"/>
              </w:rPr>
              <w:t>Three Months Ended</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4"/>
          </w:tcPr>
          <w:p>
            <w:pPr>
              <w:jc w:val="right"/>
              <w:ind w:right="430"/>
              <w:spacing w:after="0" w:line="120" w:lineRule="exact"/>
              <w:rPr>
                <w:sz w:val="20"/>
                <w:szCs w:val="20"/>
                <w:color w:val="auto"/>
              </w:rPr>
            </w:pPr>
            <w:r>
              <w:rPr>
                <w:rFonts w:ascii="Arial" w:cs="Arial" w:eastAsia="Arial" w:hAnsi="Arial"/>
                <w:sz w:val="12"/>
                <w:szCs w:val="12"/>
                <w:b w:val="1"/>
                <w:bCs w:val="1"/>
                <w:color w:val="auto"/>
              </w:rPr>
              <w:t>Nine Months Ended</w:t>
            </w:r>
          </w:p>
        </w:tc>
        <w:tc>
          <w:tcPr>
            <w:tcW w:w="120" w:type="dxa"/>
            <w:vAlign w:val="bottom"/>
          </w:tcPr>
          <w:p>
            <w:pPr>
              <w:spacing w:after="0"/>
              <w:rPr>
                <w:sz w:val="10"/>
                <w:szCs w:val="10"/>
                <w:color w:val="auto"/>
              </w:rPr>
            </w:pPr>
          </w:p>
        </w:tc>
        <w:tc>
          <w:tcPr>
            <w:tcW w:w="2220" w:type="dxa"/>
            <w:vAlign w:val="bottom"/>
            <w:tcBorders>
              <w:top w:val="single" w:sz="8" w:color="auto"/>
            </w:tcBorders>
          </w:tcPr>
          <w:p>
            <w:pPr>
              <w:spacing w:after="0"/>
              <w:rPr>
                <w:sz w:val="10"/>
                <w:szCs w:val="10"/>
                <w:color w:val="auto"/>
              </w:rPr>
            </w:pPr>
          </w:p>
        </w:tc>
      </w:tr>
      <w:tr>
        <w:trPr>
          <w:trHeight w:val="160"/>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gridSpan w:val="3"/>
          </w:tcPr>
          <w:p>
            <w:pPr>
              <w:jc w:val="right"/>
              <w:ind w:right="274"/>
              <w:spacing w:after="0"/>
              <w:rPr>
                <w:sz w:val="20"/>
                <w:szCs w:val="20"/>
                <w:color w:val="auto"/>
              </w:rPr>
            </w:pPr>
            <w:r>
              <w:rPr>
                <w:rFonts w:ascii="Arial" w:cs="Arial" w:eastAsia="Arial" w:hAnsi="Arial"/>
                <w:sz w:val="12"/>
                <w:szCs w:val="12"/>
                <w:b w:val="1"/>
                <w:bCs w:val="1"/>
                <w:color w:val="auto"/>
                <w:w w:val="92"/>
              </w:rPr>
              <w:t>September 30,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5"/>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159"/>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w w:val="89"/>
              </w:rPr>
              <w:t>2021</w:t>
            </w:r>
          </w:p>
        </w:tc>
        <w:tc>
          <w:tcPr>
            <w:tcW w:w="1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66"/>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05"/>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unrealized investment gains (losses):</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Net unrealized investment gains (losses)</w:t>
            </w:r>
          </w:p>
        </w:tc>
        <w:tc>
          <w:tcPr>
            <w:tcW w:w="640" w:type="dxa"/>
            <w:vAlign w:val="bottom"/>
          </w:tcPr>
          <w:p>
            <w:pPr>
              <w:jc w:val="right"/>
              <w:ind w:right="474"/>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660" w:type="dxa"/>
            <w:vAlign w:val="bottom"/>
          </w:tcPr>
          <w:p>
            <w:pPr>
              <w:jc w:val="right"/>
              <w:ind w:right="514"/>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2960" w:type="dxa"/>
            <w:vAlign w:val="bottom"/>
            <w:gridSpan w:val="3"/>
          </w:tcPr>
          <w:p>
            <w:pPr>
              <w:jc w:val="right"/>
              <w:ind w:right="474"/>
              <w:spacing w:after="0"/>
              <w:rPr>
                <w:sz w:val="20"/>
                <w:szCs w:val="20"/>
                <w:color w:val="auto"/>
              </w:rPr>
            </w:pPr>
            <w:r>
              <w:rPr>
                <w:rFonts w:ascii="Arial" w:cs="Arial" w:eastAsia="Arial" w:hAnsi="Arial"/>
                <w:sz w:val="14"/>
                <w:szCs w:val="14"/>
                <w:color w:val="auto"/>
              </w:rPr>
              <w:t>(14)  Net investment gains (losses)</w:t>
            </w:r>
          </w:p>
        </w:tc>
      </w:tr>
      <w:tr>
        <w:trPr>
          <w:trHeight w:val="20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unrealized investment gains (losses)</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jc w:val="right"/>
              <w:ind w:right="534"/>
              <w:spacing w:after="0"/>
              <w:rPr>
                <w:sz w:val="20"/>
                <w:szCs w:val="20"/>
                <w:color w:val="auto"/>
              </w:rPr>
            </w:pPr>
            <w:r>
              <w:rPr>
                <w:rFonts w:ascii="Arial" w:cs="Arial" w:eastAsia="Arial" w:hAnsi="Arial"/>
                <w:sz w:val="14"/>
                <w:szCs w:val="14"/>
                <w:color w:val="auto"/>
              </w:rPr>
              <w:t>(3)  Net derivative gains (losses)</w:t>
            </w:r>
          </w:p>
        </w:tc>
      </w:tr>
      <w:tr>
        <w:trPr>
          <w:trHeight w:val="183"/>
        </w:trPr>
        <w:tc>
          <w:tcPr>
            <w:tcW w:w="4660" w:type="dxa"/>
            <w:vAlign w:val="bottom"/>
            <w:gridSpan w:val="2"/>
          </w:tcPr>
          <w:p>
            <w:pPr>
              <w:ind w:left="180"/>
              <w:spacing w:after="0"/>
              <w:rPr>
                <w:sz w:val="20"/>
                <w:szCs w:val="20"/>
                <w:color w:val="auto"/>
              </w:rPr>
            </w:pPr>
            <w:r>
              <w:rPr>
                <w:rFonts w:ascii="Arial" w:cs="Arial" w:eastAsia="Arial" w:hAnsi="Arial"/>
                <w:sz w:val="14"/>
                <w:szCs w:val="14"/>
                <w:color w:val="auto"/>
              </w:rPr>
              <w:t>Net unrealized investment gains (losses), before income tax</w:t>
            </w:r>
          </w:p>
        </w:tc>
        <w:tc>
          <w:tcPr>
            <w:tcW w:w="6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20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6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185"/>
        </w:trPr>
        <w:tc>
          <w:tcPr>
            <w:tcW w:w="4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unrealized investment gains (losses), net of income tax</w:t>
            </w: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r>
      <w:tr>
        <w:trPr>
          <w:trHeight w:val="186"/>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gains (losses) on derivatives - cash flow hedges:</w:t>
            </w: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6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20" w:type="dxa"/>
            <w:vAlign w:val="bottom"/>
          </w:tcPr>
          <w:p>
            <w:pPr>
              <w:jc w:val="right"/>
              <w:ind w:right="534"/>
              <w:spacing w:after="0"/>
              <w:rPr>
                <w:sz w:val="20"/>
                <w:szCs w:val="20"/>
                <w:color w:val="auto"/>
              </w:rPr>
            </w:pPr>
            <w:r>
              <w:rPr>
                <w:rFonts w:ascii="Arial" w:cs="Arial" w:eastAsia="Arial" w:hAnsi="Arial"/>
                <w:sz w:val="14"/>
                <w:szCs w:val="14"/>
                <w:color w:val="auto"/>
                <w:w w:val="90"/>
              </w:rPr>
              <w:t>Net derivative gains (losses)</w:t>
            </w:r>
          </w:p>
        </w:tc>
      </w:tr>
      <w:tr>
        <w:trPr>
          <w:trHeight w:val="20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91"/>
              </w:rPr>
              <w:t>Net investment income</w:t>
            </w:r>
          </w:p>
        </w:tc>
      </w:tr>
      <w:tr>
        <w:trPr>
          <w:trHeight w:val="192"/>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Foreign currency swaps</w:t>
            </w:r>
          </w:p>
        </w:tc>
        <w:tc>
          <w:tcPr>
            <w:tcW w:w="640" w:type="dxa"/>
            <w:vAlign w:val="bottom"/>
          </w:tcPr>
          <w:p>
            <w:pPr>
              <w:spacing w:after="0"/>
              <w:rPr>
                <w:sz w:val="16"/>
                <w:szCs w:val="16"/>
                <w:color w:val="auto"/>
              </w:rPr>
            </w:pPr>
          </w:p>
        </w:tc>
        <w:tc>
          <w:tcPr>
            <w:tcW w:w="360" w:type="dxa"/>
            <w:vAlign w:val="bottom"/>
          </w:tcPr>
          <w:p>
            <w:pPr>
              <w:jc w:val="right"/>
              <w:ind w:right="1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220" w:type="dxa"/>
            <w:vAlign w:val="bottom"/>
          </w:tcPr>
          <w:p>
            <w:pPr>
              <w:jc w:val="right"/>
              <w:ind w:right="534"/>
              <w:spacing w:after="0"/>
              <w:rPr>
                <w:sz w:val="20"/>
                <w:szCs w:val="20"/>
                <w:color w:val="auto"/>
              </w:rPr>
            </w:pPr>
            <w:r>
              <w:rPr>
                <w:rFonts w:ascii="Arial" w:cs="Arial" w:eastAsia="Arial" w:hAnsi="Arial"/>
                <w:sz w:val="14"/>
                <w:szCs w:val="14"/>
                <w:color w:val="auto"/>
                <w:w w:val="90"/>
              </w:rPr>
              <w:t>Net derivative gains (losses)</w:t>
            </w:r>
          </w:p>
        </w:tc>
      </w:tr>
      <w:tr>
        <w:trPr>
          <w:trHeight w:val="199"/>
        </w:trPr>
        <w:tc>
          <w:tcPr>
            <w:tcW w:w="46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Gains (losses) on cash flow hedges, before income tax</w:t>
            </w: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r>
      <w:tr>
        <w:trPr>
          <w:trHeight w:val="192"/>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Income tax (expense) benefit</w:t>
            </w:r>
          </w:p>
        </w:tc>
        <w:tc>
          <w:tcPr>
            <w:tcW w:w="6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99"/>
        </w:trPr>
        <w:tc>
          <w:tcPr>
            <w:tcW w:w="46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Gains (losses) on cash flow hedges, net of income tax</w:t>
            </w:r>
          </w:p>
        </w:tc>
        <w:tc>
          <w:tcPr>
            <w:tcW w:w="64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r>
      <w:tr>
        <w:trPr>
          <w:trHeight w:val="169"/>
        </w:trPr>
        <w:tc>
          <w:tcPr>
            <w:tcW w:w="4660" w:type="dxa"/>
            <w:vAlign w:val="bottom"/>
            <w:gridSpan w:val="2"/>
          </w:tcPr>
          <w:p>
            <w:pPr>
              <w:ind w:left="20"/>
              <w:spacing w:after="0" w:line="160" w:lineRule="exact"/>
              <w:rPr>
                <w:sz w:val="20"/>
                <w:szCs w:val="20"/>
                <w:color w:val="auto"/>
              </w:rPr>
            </w:pPr>
            <w:r>
              <w:rPr>
                <w:rFonts w:ascii="Arial" w:cs="Arial" w:eastAsia="Arial" w:hAnsi="Arial"/>
                <w:sz w:val="14"/>
                <w:szCs w:val="14"/>
                <w:color w:val="auto"/>
              </w:rPr>
              <w:t>Defined benefit plans adjustment:</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0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net actuarial gains (losses)</w:t>
            </w:r>
          </w:p>
        </w:tc>
        <w:tc>
          <w:tcPr>
            <w:tcW w:w="6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183"/>
        </w:trPr>
        <w:tc>
          <w:tcPr>
            <w:tcW w:w="4660" w:type="dxa"/>
            <w:vAlign w:val="bottom"/>
            <w:gridSpan w:val="2"/>
          </w:tcPr>
          <w:p>
            <w:pPr>
              <w:ind w:left="180"/>
              <w:spacing w:after="0"/>
              <w:rPr>
                <w:sz w:val="20"/>
                <w:szCs w:val="20"/>
                <w:color w:val="auto"/>
              </w:rPr>
            </w:pPr>
            <w:r>
              <w:rPr>
                <w:rFonts w:ascii="Arial" w:cs="Arial" w:eastAsia="Arial" w:hAnsi="Arial"/>
                <w:sz w:val="14"/>
                <w:szCs w:val="14"/>
                <w:color w:val="auto"/>
              </w:rPr>
              <w:t>Amortization of defined benefit plans, before income tax</w:t>
            </w:r>
          </w:p>
        </w:tc>
        <w:tc>
          <w:tcPr>
            <w:tcW w:w="6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20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6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185"/>
        </w:trPr>
        <w:tc>
          <w:tcPr>
            <w:tcW w:w="4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Amortization of defined benefit plans, net of income tax</w:t>
            </w:r>
          </w:p>
        </w:tc>
        <w:tc>
          <w:tcPr>
            <w:tcW w:w="64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r>
      <w:tr>
        <w:trPr>
          <w:trHeight w:val="224"/>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reclassifications, net of income tax</w:t>
            </w:r>
          </w:p>
        </w:tc>
        <w:tc>
          <w:tcPr>
            <w:tcW w:w="64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Revenues and Other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revenues consisted primarily of 12b-1 fees of $70 million and $226 million for the three months and nine months ended September 30, 2022, respectively, and $91 million and $270 million for the three months and nine months ended September 30, 2021, respectively, of which substantially all were reported in the Annuities segment.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Revenues and Other Expenses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on other expenses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160" w:type="dxa"/>
            <w:vAlign w:val="bottom"/>
            <w:gridSpan w:val="4"/>
          </w:tcPr>
          <w:p>
            <w:pPr>
              <w:jc w:val="right"/>
              <w:ind w:right="16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4"/>
          </w:tcPr>
          <w:p>
            <w:pPr>
              <w:jc w:val="right"/>
              <w:ind w:right="581"/>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0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1"/>
        </w:trPr>
        <w:tc>
          <w:tcPr>
            <w:tcW w:w="60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r>
      <w:tr>
        <w:trPr>
          <w:trHeight w:val="191"/>
        </w:trPr>
        <w:tc>
          <w:tcPr>
            <w:tcW w:w="6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00" w:type="dxa"/>
            <w:vAlign w:val="bottom"/>
            <w:shd w:val="clear" w:color="auto" w:fill="CCEEFF"/>
          </w:tcPr>
          <w:p>
            <w:pPr>
              <w:jc w:val="right"/>
              <w:ind w:right="625"/>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color w:val="auto"/>
              </w:rPr>
              <w:t>Contracted services and other labor costs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4"/>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Transition services agreements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9"/>
        </w:trPr>
        <w:tc>
          <w:tcPr>
            <w:tcW w:w="6040" w:type="dxa"/>
            <w:vAlign w:val="bottom"/>
          </w:tcPr>
          <w:p>
            <w:pPr>
              <w:ind w:left="20"/>
              <w:spacing w:after="0"/>
              <w:rPr>
                <w:sz w:val="20"/>
                <w:szCs w:val="20"/>
                <w:color w:val="auto"/>
              </w:rPr>
            </w:pPr>
            <w:r>
              <w:rPr>
                <w:rFonts w:ascii="Arial" w:cs="Arial" w:eastAsia="Arial" w:hAnsi="Arial"/>
                <w:sz w:val="16"/>
                <w:szCs w:val="16"/>
                <w:color w:val="auto"/>
              </w:rPr>
              <w:t>Establishment costs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4"/>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and other taxes, licenses and fees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color w:val="auto"/>
              </w:rPr>
              <w:t>Separate account fees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14"/>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Volume related costs, excluding compensation, net of DAC capitalization</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color w:val="auto"/>
              </w:rPr>
              <w:t>Interest expense on debt</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8"/>
        </w:trPr>
        <w:tc>
          <w:tcPr>
            <w:tcW w:w="6040" w:type="dxa"/>
            <w:vAlign w:val="bottom"/>
          </w:tcPr>
          <w:p>
            <w:pPr>
              <w:ind w:left="180"/>
              <w:spacing w:after="0"/>
              <w:rPr>
                <w:sz w:val="20"/>
                <w:szCs w:val="20"/>
                <w:color w:val="auto"/>
              </w:rPr>
            </w:pPr>
            <w:r>
              <w:rPr>
                <w:rFonts w:ascii="Arial" w:cs="Arial" w:eastAsia="Arial" w:hAnsi="Arial"/>
                <w:sz w:val="16"/>
                <w:szCs w:val="16"/>
                <w:color w:val="auto"/>
              </w:rPr>
              <w:t>Total other expenses</w:t>
            </w:r>
          </w:p>
        </w:tc>
        <w:tc>
          <w:tcPr>
            <w:tcW w:w="800" w:type="dxa"/>
            <w:vAlign w:val="bottom"/>
            <w:tcBorders>
              <w:bottom w:val="single" w:sz="8" w:color="auto"/>
            </w:tcBorders>
          </w:tcPr>
          <w:p>
            <w:pPr>
              <w:jc w:val="right"/>
              <w:ind w:right="62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w:t>
            </w:r>
          </w:p>
        </w:tc>
      </w:tr>
      <w:tr>
        <w:trPr>
          <w:trHeight w:val="20"/>
        </w:trPr>
        <w:tc>
          <w:tcPr>
            <w:tcW w:w="6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calculation of earnings per common share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80" w:type="dxa"/>
            <w:vAlign w:val="bottom"/>
            <w:gridSpan w:val="4"/>
          </w:tcPr>
          <w:p>
            <w:pPr>
              <w:jc w:val="right"/>
              <w:ind w:right="58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2"/>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r>
      <w:tr>
        <w:trPr>
          <w:trHeight w:val="191"/>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60" w:type="dxa"/>
            <w:vAlign w:val="bottom"/>
            <w:gridSpan w:val="7"/>
          </w:tcPr>
          <w:p>
            <w:pPr>
              <w:ind w:left="20"/>
              <w:spacing w:after="0"/>
              <w:rPr>
                <w:sz w:val="20"/>
                <w:szCs w:val="20"/>
                <w:color w:val="auto"/>
              </w:rPr>
            </w:pPr>
            <w:r>
              <w:rPr>
                <w:rFonts w:ascii="Arial" w:cs="Arial" w:eastAsia="Arial" w:hAnsi="Arial"/>
                <w:sz w:val="14"/>
                <w:szCs w:val="14"/>
                <w:b w:val="1"/>
                <w:bCs w:val="1"/>
                <w:color w:val="auto"/>
                <w:w w:val="90"/>
              </w:rPr>
              <w:t>(In millions, except share and per share data)</w:t>
            </w: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9"/>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71,517,500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82,701,032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74,294,329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85,256,761</w:t>
            </w:r>
          </w:p>
        </w:tc>
      </w:tr>
      <w:tr>
        <w:trPr>
          <w:trHeight w:val="20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Dilutive effect of share-based awards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543,955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482,846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71,517,500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83,244,987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74,777,175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85,256,761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2"/>
        </w:trPr>
        <w:tc>
          <w:tcPr>
            <w:tcW w:w="6040" w:type="dxa"/>
            <w:vAlign w:val="bottom"/>
          </w:tcPr>
          <w:p>
            <w:pPr>
              <w:ind w:left="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(9.82)</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For the nine months ended September 30, 2022 and the three months ended September 30, 2021, weighted average shares used for calculating diluted earnings per common share excludes 187,371 of out-of-the-money stock options, as the inclusion of such shares would be antidilutive to the earnings per common share calculation due to the average share price for the nine months ended September 30, 2022 and the three months ended September 30, 2021.</w:t>
      </w:r>
    </w:p>
    <w:p>
      <w:pPr>
        <w:spacing w:after="0" w:line="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three months ended September 30, 2022 and the nine months ended September 30, 2021, basic loss per common share equaled diluted loss per common share. The diluted shares were not utilized in the per share calculation for these periods as the inclusion of such shares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79"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The Company also receives and responds to subpoenas or other inquiries seeking a broad range of information from various state and federal regulators, agencies and officials. The issues involved in information requests and regulatory matters vary widely, but can include inquiries or investigations concerning the Company’s compliance with applicable insurance and other laws and regulations. The Company cooperates in these inquiries.</w:t>
      </w:r>
    </w:p>
    <w:p>
      <w:pPr>
        <w:spacing w:after="0" w:line="3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8"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September 30, 2022.</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1" w:lineRule="exact"/>
        <w:rPr>
          <w:sz w:val="20"/>
          <w:szCs w:val="20"/>
          <w:color w:val="auto"/>
        </w:rPr>
      </w:pPr>
    </w:p>
    <w:p>
      <w:pPr>
        <w:jc w:val="both"/>
        <w:ind w:left="320" w:firstLine="318"/>
        <w:spacing w:after="0" w:line="330" w:lineRule="auto"/>
        <w:rPr>
          <w:sz w:val="20"/>
          <w:szCs w:val="20"/>
          <w:color w:val="auto"/>
        </w:rPr>
      </w:pPr>
      <w:r>
        <w:rPr>
          <w:rFonts w:ascii="Arial" w:cs="Arial" w:eastAsia="Arial" w:hAnsi="Arial"/>
          <w:sz w:val="15"/>
          <w:szCs w:val="15"/>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September 30, 2022, the Company estimates the aggregate range of reasonably possible losses to be up to approximately $10 million.</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Cost of Insurance Class Actions</w:t>
      </w:r>
    </w:p>
    <w:p>
      <w:pPr>
        <w:spacing w:after="0" w:line="111" w:lineRule="exact"/>
        <w:rPr>
          <w:sz w:val="20"/>
          <w:szCs w:val="20"/>
          <w:color w:val="auto"/>
        </w:rPr>
      </w:pPr>
    </w:p>
    <w:p>
      <w:pPr>
        <w:jc w:val="both"/>
        <w:ind w:left="320" w:firstLine="318"/>
        <w:spacing w:after="0" w:line="303" w:lineRule="auto"/>
        <w:rPr>
          <w:sz w:val="20"/>
          <w:szCs w:val="20"/>
          <w:color w:val="auto"/>
        </w:rPr>
      </w:pPr>
      <w:r>
        <w:rPr>
          <w:rFonts w:ascii="Arial" w:cs="Arial" w:eastAsia="Arial" w:hAnsi="Arial"/>
          <w:sz w:val="15"/>
          <w:szCs w:val="15"/>
          <w:i w:val="1"/>
          <w:iCs w:val="1"/>
          <w:color w:val="auto"/>
        </w:rPr>
        <w:t xml:space="preserve">Richard A. Newton v. Brighthouse Life Insurance Company </w:t>
      </w:r>
      <w:r>
        <w:rPr>
          <w:rFonts w:ascii="Arial" w:cs="Arial" w:eastAsia="Arial" w:hAnsi="Arial"/>
          <w:sz w:val="15"/>
          <w:szCs w:val="15"/>
          <w:color w:val="auto"/>
        </w:rPr>
        <w:t>(U.S. District Court, Northern District of Georgia, Atlanta Division, filed May 8, 2020).</w:t>
      </w:r>
      <w:r>
        <w:rPr>
          <w:rFonts w:ascii="Arial" w:cs="Arial" w:eastAsia="Arial" w:hAnsi="Arial"/>
          <w:sz w:val="15"/>
          <w:szCs w:val="15"/>
          <w:i w:val="1"/>
          <w:iCs w:val="1"/>
          <w:color w:val="auto"/>
        </w:rPr>
        <w:t xml:space="preserve"> </w:t>
      </w:r>
      <w:r>
        <w:rPr>
          <w:rFonts w:ascii="Arial" w:cs="Arial" w:eastAsia="Arial" w:hAnsi="Arial"/>
          <w:sz w:val="15"/>
          <w:szCs w:val="15"/>
          <w:color w:val="auto"/>
        </w:rPr>
        <w:t>Plaintiff has filed a purported class action lawsuit against Brighthouse Life Insurance Company. Plaintiff was the owner of a universal life insurance policy issued by Travelers Insurance Company, a predecessor to Brighthouse Life Insurance Company. Plaintiff seeks to certify a class of all persons who own or owned life insurance policies issued where the terms of the life insurance policy provide or provided, among other things, a guarantee that the cost of insurance rates would not be increased by more than a specified percentage in any contract year. Plaintiff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The Company intends to vigorously defend this matter.</w:t>
      </w:r>
    </w:p>
    <w:p>
      <w:pPr>
        <w:spacing w:after="0" w:line="54"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i w:val="1"/>
          <w:iCs w:val="1"/>
          <w:color w:val="auto"/>
        </w:rPr>
        <w:t xml:space="preserve">Lawrence Martin v. Brighthouse Life Insurance Company </w:t>
      </w:r>
      <w:r>
        <w:rPr>
          <w:rFonts w:ascii="Arial" w:cs="Arial" w:eastAsia="Arial" w:hAnsi="Arial"/>
          <w:sz w:val="17"/>
          <w:szCs w:val="17"/>
          <w:color w:val="auto"/>
        </w:rPr>
        <w:t>(U.S. District Court, Southern District of New York, filed April 6, 2021). Plaintiff has filed</w:t>
      </w:r>
      <w:r>
        <w:rPr>
          <w:rFonts w:ascii="Arial" w:cs="Arial" w:eastAsia="Arial" w:hAnsi="Arial"/>
          <w:sz w:val="17"/>
          <w:szCs w:val="17"/>
          <w:i w:val="1"/>
          <w:iCs w:val="1"/>
          <w:color w:val="auto"/>
        </w:rPr>
        <w:t xml:space="preserve"> </w:t>
      </w:r>
      <w:r>
        <w:rPr>
          <w:rFonts w:ascii="Arial" w:cs="Arial" w:eastAsia="Arial" w:hAnsi="Arial"/>
          <w:sz w:val="17"/>
          <w:szCs w:val="17"/>
          <w:color w:val="auto"/>
        </w:rPr>
        <w:t>a purported class action lawsuit against Brighthouse Life Insurance Company. Plaintiff is the owner of a universal life insurance policy issued by Travelers Insurance Company, a predecessor to Brighthouse Life Insurance Company. Plaintiff seeks to certify a class of similarly situated owners of universal life insurance policies issued or administered by defendants and alleges that cost of insurance charges should have decreased over time due to improving mortality but did not. Plaintiff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Brighthouse Life Insurance Company of NY was initially named as a defendant when the lawsuit was filed, but was dismissed as a defendant, without prejudice, in April 2022. The Company intends to vigorously defend this matter.</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Summary</w:t>
      </w:r>
    </w:p>
    <w:p>
      <w:pPr>
        <w:spacing w:after="0" w:line="111"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40" w:lineRule="exact"/>
        <w:rPr>
          <w:sz w:val="20"/>
          <w:szCs w:val="20"/>
          <w:color w:val="auto"/>
        </w:rPr>
      </w:pPr>
    </w:p>
    <w:p>
      <w:pPr>
        <w:jc w:val="both"/>
        <w:ind w:left="320" w:firstLine="318"/>
        <w:spacing w:after="0" w:line="248"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Other Loss Contingencies</w:t>
      </w:r>
    </w:p>
    <w:p>
      <w:pPr>
        <w:spacing w:after="0" w:line="111"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w:t>
      </w:r>
    </w:p>
    <w:p>
      <w:pPr>
        <w:spacing w:after="0" w:line="93"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In the matters where the Company’s subsidiaries are acting as the reinsured or the reinsurer, such matters involve assertions by third parties primarily related to rates, fees or reinsured benefit calculations, and in certain of such matters, the counterparty has made a request to arbitrate.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 (continued)</w:t>
      </w:r>
    </w:p>
    <w:p>
      <w:pPr>
        <w:spacing w:after="0" w:line="200" w:lineRule="exact"/>
        <w:rPr>
          <w:sz w:val="20"/>
          <w:szCs w:val="20"/>
          <w:color w:val="auto"/>
        </w:rPr>
      </w:pPr>
    </w:p>
    <w:p>
      <w:pPr>
        <w:spacing w:after="0" w:line="368"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On a quarterly basis, the Company reviews relevant information with respect to other loss contingencies and, when applicable, updates its accruals, disclosures and estimates of reasonably possible losses or ranges of loss based on such reviews.</w:t>
      </w:r>
    </w:p>
    <w:p>
      <w:pPr>
        <w:spacing w:after="0" w:line="75"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As of September 30, 2022, the Company estimates the range of reasonably possible losses in excess of the amounts accrued for certain other loss contingencies to be from zero up to approximately $125 million, which are primarily associated with the reinsurance-related matters described above. For certain other matters, the Company may not currently be able to estimate the reasonably possible loss or range of loss until developments in such matters have provided sufficient information to support an assessment of such loss. During the second quarter of 2022, the Company settled a reinsurance-related matter with a third party for $140 million, which is reported in other expenses.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1"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$439 million and $719 million at September 30, 2022 and December 31, 2021,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Bank Credit Facilities and Private Corporate Bond Investments</w:t>
      </w:r>
    </w:p>
    <w:p>
      <w:pPr>
        <w:spacing w:after="0" w:line="111"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The Company commits to fund partnership investments and to lend funds under bank credit facilities and private corporate bond investments. The amounts of these unfunded commitments were $2.2 billion and $2.3 billion at September 30, 2022 and December 31, 2021,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$112 million, with a cumulative maximum of $118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26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Company’s recorded liabilities were $1 million at both September 30, 2022 and December 31, 2021 for indemnities, guarantees and commitments.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80" w:type="dxa"/>
            <w:vAlign w:val="bottom"/>
            <w:gridSpan w:val="6"/>
          </w:tcPr>
          <w:p>
            <w:pPr>
              <w:ind w:left="260"/>
              <w:spacing w:after="0"/>
              <w:rPr>
                <w:sz w:val="20"/>
                <w:szCs w:val="20"/>
                <w:color w:val="auto"/>
              </w:rPr>
            </w:pPr>
            <w:r>
              <w:rPr>
                <w:rFonts w:ascii="Arial" w:cs="Arial" w:eastAsia="Arial" w:hAnsi="Arial"/>
                <w:sz w:val="18"/>
                <w:szCs w:val="18"/>
                <w:b w:val="1"/>
                <w:bCs w:val="1"/>
                <w:color w:val="auto"/>
                <w:w w:val="95"/>
              </w:rPr>
              <w:t>Index to Management’s Discussion and Analysis of Financial Condition and Results of Operations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91"/>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000" w:type="dxa"/>
            <w:vAlign w:val="bottom"/>
            <w:gridSpan w:val="4"/>
          </w:tcPr>
          <w:p>
            <w:pPr>
              <w:jc w:val="center"/>
              <w:ind w:left="552"/>
              <w:spacing w:after="0"/>
              <w:rPr>
                <w:sz w:val="20"/>
                <w:szCs w:val="20"/>
                <w:color w:val="auto"/>
              </w:rPr>
            </w:pPr>
            <w:r>
              <w:rPr>
                <w:rFonts w:ascii="Arial" w:cs="Arial" w:eastAsia="Arial" w:hAnsi="Arial"/>
                <w:sz w:val="18"/>
                <w:szCs w:val="18"/>
                <w:b w:val="1"/>
                <w:bCs w:val="1"/>
                <w:color w:val="auto"/>
                <w:w w:val="83"/>
              </w:rPr>
              <w:t>Page</w:t>
            </w:r>
          </w:p>
        </w:tc>
      </w:tr>
      <w:tr>
        <w:trPr>
          <w:trHeight w:val="205"/>
        </w:trPr>
        <w:tc>
          <w:tcPr>
            <w:tcW w:w="880" w:type="dxa"/>
            <w:vAlign w:val="bottom"/>
            <w:tcBorders>
              <w:bottom w:val="single" w:sz="8" w:color="0000FF"/>
            </w:tcBorders>
            <w:gridSpan w:val="3"/>
          </w:tcPr>
          <w:p>
            <w:pPr>
              <w:spacing w:after="0" w:line="205" w:lineRule="exact"/>
              <w:rPr>
                <w:sz w:val="20"/>
                <w:szCs w:val="20"/>
                <w:color w:val="auto"/>
              </w:rPr>
            </w:pPr>
            <w:r>
              <w:rPr>
                <w:rFonts w:ascii="Arial" w:cs="Arial" w:eastAsia="Arial" w:hAnsi="Arial"/>
                <w:sz w:val="18"/>
                <w:szCs w:val="18"/>
                <w:color w:val="0000FF"/>
                <w:w w:val="91"/>
              </w:rPr>
              <w:t>Introduction</w:t>
            </w:r>
          </w:p>
        </w:tc>
        <w:tc>
          <w:tcPr>
            <w:tcW w:w="906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48</w:t>
            </w:r>
          </w:p>
        </w:tc>
        <w:tc>
          <w:tcPr>
            <w:tcW w:w="100" w:type="dxa"/>
            <w:vAlign w:val="bottom"/>
            <w:tcBorders>
              <w:top w:val="single" w:sz="8" w:color="auto"/>
            </w:tcBorders>
          </w:tcPr>
          <w:p>
            <w:pPr>
              <w:spacing w:after="0"/>
              <w:rPr>
                <w:sz w:val="17"/>
                <w:szCs w:val="17"/>
                <w:color w:val="auto"/>
              </w:rPr>
            </w:pPr>
          </w:p>
        </w:tc>
      </w:tr>
      <w:tr>
        <w:trPr>
          <w:trHeight w:val="205"/>
        </w:trPr>
        <w:tc>
          <w:tcPr>
            <w:tcW w:w="9940" w:type="dxa"/>
            <w:vAlign w:val="bottom"/>
            <w:gridSpan w:val="12"/>
          </w:tcPr>
          <w:p>
            <w:pPr>
              <w:spacing w:after="0" w:line="205" w:lineRule="exact"/>
              <w:rPr>
                <w:sz w:val="20"/>
                <w:szCs w:val="20"/>
                <w:color w:val="auto"/>
              </w:rPr>
            </w:pPr>
            <w:r>
              <w:rPr>
                <w:rFonts w:ascii="Arial" w:cs="Arial" w:eastAsia="Arial" w:hAnsi="Arial"/>
                <w:sz w:val="18"/>
                <w:szCs w:val="18"/>
                <w:color w:val="0000FF"/>
              </w:rPr>
              <w:t>Executive Summary</w:t>
            </w:r>
          </w:p>
        </w:tc>
        <w:tc>
          <w:tcPr>
            <w:tcW w:w="900" w:type="dxa"/>
            <w:vAlign w:val="bottom"/>
            <w:gridSpan w:val="3"/>
          </w:tcPr>
          <w:p>
            <w:pPr>
              <w:jc w:val="center"/>
              <w:ind w:left="632"/>
              <w:spacing w:after="0" w:line="205" w:lineRule="exact"/>
              <w:rPr>
                <w:sz w:val="20"/>
                <w:szCs w:val="20"/>
                <w:color w:val="auto"/>
              </w:rPr>
            </w:pPr>
            <w:r>
              <w:rPr>
                <w:rFonts w:ascii="Arial" w:cs="Arial" w:eastAsia="Arial" w:hAnsi="Arial"/>
                <w:sz w:val="18"/>
                <w:szCs w:val="18"/>
                <w:color w:val="0000FF"/>
                <w:w w:val="89"/>
              </w:rPr>
              <w:t>48</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sz w:val="20"/>
                <w:szCs w:val="20"/>
                <w:color w:val="auto"/>
              </w:rPr>
            </w:pPr>
            <w:r>
              <w:rPr>
                <w:rFonts w:ascii="Arial" w:cs="Arial" w:eastAsia="Arial" w:hAnsi="Arial"/>
                <w:sz w:val="18"/>
                <w:szCs w:val="18"/>
                <w:color w:val="0000FF"/>
              </w:rPr>
              <w:t>Industry Trends and Uncertainties</w:t>
            </w:r>
          </w:p>
        </w:tc>
        <w:tc>
          <w:tcPr>
            <w:tcW w:w="900" w:type="dxa"/>
            <w:vAlign w:val="bottom"/>
            <w:gridSpan w:val="3"/>
          </w:tcPr>
          <w:p>
            <w:pPr>
              <w:jc w:val="center"/>
              <w:ind w:left="632"/>
              <w:spacing w:after="0" w:line="205" w:lineRule="exact"/>
              <w:rPr>
                <w:sz w:val="20"/>
                <w:szCs w:val="20"/>
                <w:color w:val="auto"/>
              </w:rPr>
            </w:pPr>
            <w:r>
              <w:rPr>
                <w:rFonts w:ascii="Arial" w:cs="Arial" w:eastAsia="Arial" w:hAnsi="Arial"/>
                <w:sz w:val="18"/>
                <w:szCs w:val="18"/>
                <w:color w:val="0000FF"/>
                <w:w w:val="89"/>
              </w:rPr>
              <w:t>49</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3060" w:type="dxa"/>
            <w:vAlign w:val="bottom"/>
            <w:tcBorders>
              <w:bottom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90"/>
              </w:rPr>
              <w:t>Summary of Critical Accounting Estimates</w:t>
            </w:r>
          </w:p>
        </w:tc>
        <w:tc>
          <w:tcPr>
            <w:tcW w:w="6880" w:type="dxa"/>
            <w:vAlign w:val="bottom"/>
            <w:gridSpan w:val="3"/>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51</w:t>
            </w:r>
          </w:p>
        </w:tc>
        <w:tc>
          <w:tcPr>
            <w:tcW w:w="100" w:type="dxa"/>
            <w:vAlign w:val="bottom"/>
          </w:tcPr>
          <w:p>
            <w:pPr>
              <w:spacing w:after="0"/>
              <w:rPr>
                <w:sz w:val="17"/>
                <w:szCs w:val="17"/>
                <w:color w:val="auto"/>
              </w:rPr>
            </w:pPr>
          </w:p>
        </w:tc>
      </w:tr>
      <w:tr>
        <w:trPr>
          <w:trHeight w:val="205"/>
        </w:trPr>
        <w:tc>
          <w:tcPr>
            <w:tcW w:w="9940" w:type="dxa"/>
            <w:vAlign w:val="bottom"/>
            <w:gridSpan w:val="12"/>
          </w:tcPr>
          <w:p>
            <w:pPr>
              <w:spacing w:after="0" w:line="205" w:lineRule="exact"/>
              <w:rPr>
                <w:sz w:val="20"/>
                <w:szCs w:val="20"/>
                <w:color w:val="auto"/>
              </w:rPr>
            </w:pPr>
            <w:r>
              <w:rPr>
                <w:rFonts w:ascii="Arial" w:cs="Arial" w:eastAsia="Arial" w:hAnsi="Arial"/>
                <w:sz w:val="18"/>
                <w:szCs w:val="18"/>
                <w:color w:val="0000FF"/>
              </w:rPr>
              <w:t>Non-GAAP and Other Financial Disclosures</w:t>
            </w:r>
          </w:p>
        </w:tc>
        <w:tc>
          <w:tcPr>
            <w:tcW w:w="900" w:type="dxa"/>
            <w:vAlign w:val="bottom"/>
            <w:gridSpan w:val="3"/>
          </w:tcPr>
          <w:p>
            <w:pPr>
              <w:jc w:val="center"/>
              <w:ind w:left="632"/>
              <w:spacing w:after="0" w:line="205" w:lineRule="exact"/>
              <w:rPr>
                <w:sz w:val="20"/>
                <w:szCs w:val="20"/>
                <w:color w:val="auto"/>
              </w:rPr>
            </w:pPr>
            <w:r>
              <w:rPr>
                <w:rFonts w:ascii="Arial" w:cs="Arial" w:eastAsia="Arial" w:hAnsi="Arial"/>
                <w:sz w:val="18"/>
                <w:szCs w:val="18"/>
                <w:color w:val="0000FF"/>
                <w:w w:val="89"/>
              </w:rPr>
              <w:t>52</w:t>
            </w:r>
          </w:p>
        </w:tc>
        <w:tc>
          <w:tcPr>
            <w:tcW w:w="100" w:type="dxa"/>
            <w:vAlign w:val="bottom"/>
          </w:tcPr>
          <w:p>
            <w:pPr>
              <w:spacing w:after="0"/>
              <w:rPr>
                <w:sz w:val="17"/>
                <w:szCs w:val="17"/>
                <w:color w:val="auto"/>
              </w:rPr>
            </w:pPr>
          </w:p>
        </w:tc>
      </w:tr>
      <w:tr>
        <w:trPr>
          <w:trHeight w:val="205"/>
        </w:trPr>
        <w:tc>
          <w:tcPr>
            <w:tcW w:w="1540" w:type="dxa"/>
            <w:vAlign w:val="bottom"/>
            <w:tcBorders>
              <w:top w:val="single" w:sz="8" w:color="0000FF"/>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87"/>
              </w:rPr>
              <w:t>Results of Operations</w:t>
            </w:r>
          </w:p>
        </w:tc>
        <w:tc>
          <w:tcPr>
            <w:tcW w:w="1620" w:type="dxa"/>
            <w:vAlign w:val="bottom"/>
            <w:tcBorders>
              <w:top w:val="single" w:sz="8" w:color="0000FF"/>
            </w:tcBorders>
            <w:gridSpan w:val="5"/>
          </w:tcPr>
          <w:p>
            <w:pPr>
              <w:spacing w:after="0"/>
              <w:rPr>
                <w:sz w:val="17"/>
                <w:szCs w:val="17"/>
                <w:color w:val="auto"/>
              </w:rPr>
            </w:pPr>
          </w:p>
        </w:tc>
        <w:tc>
          <w:tcPr>
            <w:tcW w:w="6780" w:type="dxa"/>
            <w:vAlign w:val="bottom"/>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54</w:t>
            </w:r>
          </w:p>
        </w:tc>
        <w:tc>
          <w:tcPr>
            <w:tcW w:w="100" w:type="dxa"/>
            <w:vAlign w:val="bottom"/>
          </w:tcPr>
          <w:p>
            <w:pPr>
              <w:spacing w:after="0"/>
              <w:rPr>
                <w:sz w:val="17"/>
                <w:szCs w:val="17"/>
                <w:color w:val="auto"/>
              </w:rPr>
            </w:pPr>
          </w:p>
        </w:tc>
      </w:tr>
      <w:tr>
        <w:trPr>
          <w:trHeight w:val="205"/>
        </w:trPr>
        <w:tc>
          <w:tcPr>
            <w:tcW w:w="860" w:type="dxa"/>
            <w:vAlign w:val="bottom"/>
            <w:tcBorders>
              <w:bottom w:val="single" w:sz="8" w:color="0000FF"/>
            </w:tcBorders>
            <w:gridSpan w:val="2"/>
          </w:tcPr>
          <w:p>
            <w:pPr>
              <w:spacing w:after="0" w:line="205" w:lineRule="exact"/>
              <w:rPr>
                <w:sz w:val="20"/>
                <w:szCs w:val="20"/>
                <w:color w:val="auto"/>
              </w:rPr>
            </w:pPr>
            <w:r>
              <w:rPr>
                <w:rFonts w:ascii="Arial" w:cs="Arial" w:eastAsia="Arial" w:hAnsi="Arial"/>
                <w:sz w:val="18"/>
                <w:szCs w:val="18"/>
                <w:color w:val="0000FF"/>
                <w:w w:val="86"/>
              </w:rPr>
              <w:t>Investments</w:t>
            </w:r>
          </w:p>
        </w:tc>
        <w:tc>
          <w:tcPr>
            <w:tcW w:w="9080" w:type="dxa"/>
            <w:vAlign w:val="bottom"/>
            <w:gridSpan w:val="10"/>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69</w:t>
            </w:r>
          </w:p>
        </w:tc>
        <w:tc>
          <w:tcPr>
            <w:tcW w:w="100" w:type="dxa"/>
            <w:vAlign w:val="bottom"/>
          </w:tcPr>
          <w:p>
            <w:pPr>
              <w:spacing w:after="0"/>
              <w:rPr>
                <w:sz w:val="17"/>
                <w:szCs w:val="17"/>
                <w:color w:val="auto"/>
              </w:rPr>
            </w:pPr>
          </w:p>
        </w:tc>
      </w:tr>
      <w:tr>
        <w:trPr>
          <w:trHeight w:val="205"/>
        </w:trPr>
        <w:tc>
          <w:tcPr>
            <w:tcW w:w="82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Derivatives</w:t>
            </w:r>
          </w:p>
        </w:tc>
        <w:tc>
          <w:tcPr>
            <w:tcW w:w="9120" w:type="dxa"/>
            <w:vAlign w:val="bottom"/>
            <w:gridSpan w:val="11"/>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78</w:t>
            </w:r>
          </w:p>
        </w:tc>
        <w:tc>
          <w:tcPr>
            <w:tcW w:w="100" w:type="dxa"/>
            <w:vAlign w:val="bottom"/>
          </w:tcPr>
          <w:p>
            <w:pPr>
              <w:spacing w:after="0"/>
              <w:rPr>
                <w:sz w:val="17"/>
                <w:szCs w:val="17"/>
                <w:color w:val="auto"/>
              </w:rPr>
            </w:pPr>
          </w:p>
        </w:tc>
      </w:tr>
      <w:tr>
        <w:trPr>
          <w:trHeight w:val="205"/>
        </w:trPr>
        <w:tc>
          <w:tcPr>
            <w:tcW w:w="9940" w:type="dxa"/>
            <w:vAlign w:val="bottom"/>
            <w:gridSpan w:val="12"/>
          </w:tcPr>
          <w:p>
            <w:pPr>
              <w:spacing w:after="0" w:line="205" w:lineRule="exact"/>
              <w:rPr>
                <w:sz w:val="20"/>
                <w:szCs w:val="20"/>
                <w:color w:val="auto"/>
              </w:rPr>
            </w:pPr>
            <w:r>
              <w:rPr>
                <w:rFonts w:ascii="Arial" w:cs="Arial" w:eastAsia="Arial" w:hAnsi="Arial"/>
                <w:sz w:val="18"/>
                <w:szCs w:val="18"/>
                <w:color w:val="0000FF"/>
              </w:rPr>
              <w:t>Policyholder Liabilities</w:t>
            </w:r>
          </w:p>
        </w:tc>
        <w:tc>
          <w:tcPr>
            <w:tcW w:w="900" w:type="dxa"/>
            <w:vAlign w:val="bottom"/>
            <w:gridSpan w:val="3"/>
          </w:tcPr>
          <w:p>
            <w:pPr>
              <w:jc w:val="center"/>
              <w:ind w:left="632"/>
              <w:spacing w:after="0" w:line="205" w:lineRule="exact"/>
              <w:rPr>
                <w:sz w:val="20"/>
                <w:szCs w:val="20"/>
                <w:color w:val="auto"/>
              </w:rPr>
            </w:pPr>
            <w:r>
              <w:rPr>
                <w:rFonts w:ascii="Arial" w:cs="Arial" w:eastAsia="Arial" w:hAnsi="Arial"/>
                <w:sz w:val="18"/>
                <w:szCs w:val="18"/>
                <w:color w:val="0000FF"/>
                <w:w w:val="89"/>
              </w:rPr>
              <w:t>79</w:t>
            </w:r>
          </w:p>
        </w:tc>
        <w:tc>
          <w:tcPr>
            <w:tcW w:w="100" w:type="dxa"/>
            <w:vAlign w:val="bottom"/>
          </w:tcPr>
          <w:p>
            <w:pPr>
              <w:spacing w:after="0"/>
              <w:rPr>
                <w:sz w:val="17"/>
                <w:szCs w:val="17"/>
                <w:color w:val="auto"/>
              </w:rPr>
            </w:pPr>
          </w:p>
        </w:tc>
      </w:tr>
      <w:tr>
        <w:trPr>
          <w:trHeight w:val="20"/>
        </w:trPr>
        <w:tc>
          <w:tcPr>
            <w:tcW w:w="1660" w:type="dxa"/>
            <w:vAlign w:val="bottom"/>
            <w:gridSpan w:val="6"/>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sz w:val="20"/>
                <w:szCs w:val="20"/>
                <w:color w:val="auto"/>
              </w:rPr>
            </w:pPr>
            <w:r>
              <w:rPr>
                <w:rFonts w:ascii="Arial" w:cs="Arial" w:eastAsia="Arial" w:hAnsi="Arial"/>
                <w:sz w:val="18"/>
                <w:szCs w:val="18"/>
                <w:color w:val="0000FF"/>
              </w:rPr>
              <w:t>Liquidity and Capital Resources</w:t>
            </w:r>
          </w:p>
        </w:tc>
        <w:tc>
          <w:tcPr>
            <w:tcW w:w="900" w:type="dxa"/>
            <w:vAlign w:val="bottom"/>
            <w:gridSpan w:val="3"/>
          </w:tcPr>
          <w:p>
            <w:pPr>
              <w:jc w:val="center"/>
              <w:ind w:left="632"/>
              <w:spacing w:after="0" w:line="205" w:lineRule="exact"/>
              <w:rPr>
                <w:sz w:val="20"/>
                <w:szCs w:val="20"/>
                <w:color w:val="auto"/>
              </w:rPr>
            </w:pPr>
            <w:r>
              <w:rPr>
                <w:rFonts w:ascii="Arial" w:cs="Arial" w:eastAsia="Arial" w:hAnsi="Arial"/>
                <w:sz w:val="18"/>
                <w:szCs w:val="18"/>
                <w:color w:val="0000FF"/>
                <w:w w:val="89"/>
              </w:rPr>
              <w:t>83</w:t>
            </w:r>
          </w:p>
        </w:tc>
        <w:tc>
          <w:tcPr>
            <w:tcW w:w="100" w:type="dxa"/>
            <w:vAlign w:val="bottom"/>
          </w:tcPr>
          <w:p>
            <w:pPr>
              <w:spacing w:after="0"/>
              <w:rPr>
                <w:sz w:val="17"/>
                <w:szCs w:val="17"/>
                <w:color w:val="auto"/>
              </w:rPr>
            </w:pPr>
          </w:p>
        </w:tc>
      </w:tr>
      <w:tr>
        <w:trPr>
          <w:trHeight w:val="20"/>
        </w:trPr>
        <w:tc>
          <w:tcPr>
            <w:tcW w:w="2280" w:type="dxa"/>
            <w:vAlign w:val="bottom"/>
            <w:gridSpan w:val="7"/>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sz w:val="20"/>
                <w:szCs w:val="20"/>
                <w:color w:val="auto"/>
              </w:rPr>
            </w:pPr>
            <w:r>
              <w:rPr>
                <w:rFonts w:ascii="Arial" w:cs="Arial" w:eastAsia="Arial" w:hAnsi="Arial"/>
                <w:sz w:val="18"/>
                <w:szCs w:val="18"/>
                <w:color w:val="0000FF"/>
              </w:rPr>
              <w:t>Note Regarding Forward-Looking Statements</w:t>
            </w:r>
          </w:p>
        </w:tc>
        <w:tc>
          <w:tcPr>
            <w:tcW w:w="900" w:type="dxa"/>
            <w:vAlign w:val="bottom"/>
            <w:gridSpan w:val="3"/>
          </w:tcPr>
          <w:p>
            <w:pPr>
              <w:jc w:val="center"/>
              <w:ind w:left="632"/>
              <w:spacing w:after="0" w:line="205" w:lineRule="exact"/>
              <w:rPr>
                <w:sz w:val="20"/>
                <w:szCs w:val="20"/>
                <w:color w:val="auto"/>
              </w:rPr>
            </w:pPr>
            <w:r>
              <w:rPr>
                <w:rFonts w:ascii="Arial" w:cs="Arial" w:eastAsia="Arial" w:hAnsi="Arial"/>
                <w:sz w:val="18"/>
                <w:szCs w:val="18"/>
                <w:color w:val="0000FF"/>
                <w:w w:val="89"/>
              </w:rPr>
              <w:t>90</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60"/>
          </w:cols>
          <w:pgMar w:left="320" w:top="227" w:right="61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color w:val="auto"/>
        </w:rPr>
        <w:t>For purposes of this discussion, “Brighthouse Financial,” the “Company,” “we,” “our” and “us” refer to Brighthouse Financial, Inc. and its subsidiaries, and “BHF” refers solely to Brighthouse Financial, Inc., the ultimate holding company for all of our subsidiaries, and not to any of its subsidiaries.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2021, filed with the U.S. Securities and Exchange Commission (“SEC”) on February 24, 2022 (the “2021 Annual Report”); (iii) our Quarterly Report on Form 10-Q for the quarter ended March 31, 2022 (the “First Quarter Form 10-Q”) filed with the SEC on May 10, 2022; (iv) our Quarterly Report on Form 10-Q for the quarter ended June 30, 2022 (the “Second Quarter Form 10-Q” and, together with the First Quarter Form 10-Q, the “Quarterly Reports”) filed with the SEC on August 5, 2022; and (v) our current reports on Form 8-K filed in 2022.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This Management’s Discussion and Analysis of Financial Condition and Results of Operations is intended to help the reader understand the results of operations, financial condition and cash flows of Brighthouse Financial for the periods indicated. 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spacing w:after="0" w:line="71"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Summary” provides summarized information regarding our business, segments and financial results.</w:t>
      </w:r>
    </w:p>
    <w:p>
      <w:pPr>
        <w:spacing w:after="0" w:line="111"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“Industry Trends and Uncertainties” discusses updates and changes to a number of trends and uncertainties included in our 2021 Annual Report that we believe may materially affect our future financial condition, results of operations or cash flows, including from the COVID-19 pandemic.</w:t>
      </w:r>
    </w:p>
    <w:p>
      <w:pPr>
        <w:spacing w:after="0" w:line="5"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“Summary of Critical Accounting Estimates” explains the most critical estimates and judgments applied in determining our results in accordance with accounting principles generally accepted in the United States of America (“GAAP”).</w:t>
      </w:r>
    </w:p>
    <w:p>
      <w:pPr>
        <w:spacing w:after="0" w:line="74"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“Non-GAAP and Other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from, but different than, the line items presented in the GAAP statement of operations. This section also refers to certain other terms used to describe our insurance business and financial and operating metrics but is not intended to be exhaustive.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one of the largest providers of annuity and life insurance products in the U.S. through multiple independent distribution channels and marketing arrangements with a diverse network of distribution partners. We are organized into three segments: (i) Annuities, (ii) Life and (iii) Run-off, which consists of products that are no longer actively sold and are separately managed. In addition, we report certain of our results of operations in Corporate &amp; Other.</w:t>
      </w:r>
    </w:p>
    <w:p>
      <w:pPr>
        <w:spacing w:after="0" w:line="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This Management’s Discussion and Analysis of Financial Condition and Results of Operations is intended to help the reader understand the results of operations, financial condition and cash flows of Brighthouse Financial for the periods indicated. See “Business — Segments and Corporate &amp; Other” and “Management’s Discussion and Analysis of Financial Condition and Results of Operations — Executive Summary” included in our 2021 Annual Report, as well as Note 2 of the Notes to the Interim Condensed Consolidated Financial Statements for further information regarding our segments and Corporate &amp; Other.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income (loss) available to shareholders and adjusted earnings, a non-GAAP financial measure,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360" w:type="dxa"/>
            <w:vAlign w:val="bottom"/>
            <w:gridSpan w:val="4"/>
          </w:tcPr>
          <w:p>
            <w:pPr>
              <w:jc w:val="right"/>
              <w:ind w:right="24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60" w:type="dxa"/>
            <w:vAlign w:val="bottom"/>
            <w:gridSpan w:val="4"/>
          </w:tcPr>
          <w:p>
            <w:pPr>
              <w:jc w:val="right"/>
              <w:ind w:right="70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w w:val="96"/>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 (1)</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Pre-tax adjusted earnings, less net income (loss) attributable to noncontrolling</w:t>
            </w:r>
          </w:p>
        </w:tc>
        <w:tc>
          <w:tcPr>
            <w:tcW w:w="880" w:type="dxa"/>
            <w:vAlign w:val="bottom"/>
            <w:vMerge w:val="restart"/>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88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3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earnings</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use the term “net income (loss) available to shareholders” to refer to “net income (loss) available to Brighthouse Financial, Inc.’s common shareholders” throughout the results of operations discussions.</w:t>
      </w:r>
    </w:p>
    <w:p>
      <w:pPr>
        <w:spacing w:after="0" w:line="12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For the three months ended September 30, 2022, we had a net loss available to shareholders of $702 million and adjusted earnings of $97 million compared to net income available to shareholders of $361 million and adjusted earnings of $450 million for the three months ended September 30, 2021. Net loss available to shareholders for the three months ended September 30, 2022 primarily reflects net unfavorable changes in the estimated fair value of our guaranteed minimum living benefits (“GMLB”) riders (“GMLB Riders”) due to increasing long-term interest rates resulting in an unfavorable change in the estimated fair value of freestanding interest rate derivatives we use to hedge our variable annuity and universal life with secondary guarantees (“ULSG”) business. These unfavorable impacts were partially offset by favorable changes to the estimated fair value of embedded derivative liabilities associated with Shield Level Annuities (“Shield liabilities”), which was driven by lower equity markets and favorable pre-tax adjusted earnings.</w:t>
      </w:r>
    </w:p>
    <w:p>
      <w:pPr>
        <w:spacing w:after="0" w:line="10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the nine months ended September 30, 2022, we had net income available to shareholders of $868 million and adjusted earnings of $415 million compared to a net loss available to shareholders of $239 million and adjusted earnings of $1.3 billion for the nine months ended September 30, 2021. Net income available to shareholders for the nine months ended September 30, 2022 primarily reflects net favorable changes in the estimated fair value of our GMLB Riders due to market factors and favorable pre-tax adjusted earnings. These favorable impacts were partially offset by increasing long-term interest rates resulting in an unfavorable change in the estimated fair value of freestanding interest rate derivatives we use to hedge our ULSG business.</w:t>
      </w:r>
    </w:p>
    <w:p>
      <w:pPr>
        <w:spacing w:after="0" w:line="98" w:lineRule="exact"/>
        <w:rPr>
          <w:sz w:val="20"/>
          <w:szCs w:val="20"/>
          <w:color w:val="auto"/>
        </w:rPr>
      </w:pPr>
    </w:p>
    <w:p>
      <w:pPr>
        <w:ind w:right="2000" w:firstLine="318"/>
        <w:spacing w:after="0" w:line="387" w:lineRule="auto"/>
        <w:rPr>
          <w:sz w:val="20"/>
          <w:szCs w:val="20"/>
          <w:color w:val="auto"/>
        </w:rPr>
      </w:pPr>
      <w:r>
        <w:rPr>
          <w:rFonts w:ascii="Arial" w:cs="Arial" w:eastAsia="Arial" w:hAnsi="Arial"/>
          <w:sz w:val="18"/>
          <w:szCs w:val="18"/>
          <w:color w:val="auto"/>
        </w:rPr>
        <w:t xml:space="preserve">See “— Non-GAAP and Other Financial Disclosures.” See “— Results of Operations” for a detailed discussion of our results. </w:t>
      </w:r>
      <w:r>
        <w:rPr>
          <w:rFonts w:ascii="Arial" w:cs="Arial" w:eastAsia="Arial" w:hAnsi="Arial"/>
          <w:sz w:val="18"/>
          <w:szCs w:val="18"/>
          <w:b w:val="1"/>
          <w:bCs w:val="1"/>
          <w:color w:val="auto"/>
        </w:rPr>
        <w:t>Industry Trends and Uncertainties</w:t>
      </w:r>
    </w:p>
    <w:p>
      <w:pPr>
        <w:spacing w:after="0" w:line="2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our 2021 Annual Report for a comprehensive discussion of some of the key general trends and uncertainties that have influenced the development of our business and our historical financial performance and that we believe will continue to influence our business and results of operations in the future. In addition, significant changes or updates in certain of these trends and uncertainties are discussed below.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Economic Environment</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and other separate account products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as a result of the effects it has on product demand, revenues, expenses, reserves and our risk management effectiveness. The level of long-term interest rates and the shape of the yield curve can have a negative effect on the profitability for variable annuities and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Interest rates have increased and may continue to increase due to central bank policy responses to combat inflation, which may positively impact our business in certain respects, but could also increase the risk of a recession or an equity market downturn and could negatively impact various portions of our business, including our investment portfolio.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a restrictive fiscal and monetary policy, which could constrain overall economic activity and inhibit revenue growth.</w:t>
      </w:r>
    </w:p>
    <w:p>
      <w:pPr>
        <w:spacing w:after="0" w:line="5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continue to closely monitor political and economic conditions that might contribute to market volatility and its impact on our business operations, investment portfolio and derivatives, such as global inflation, supply chain disruptions, the Russia-Ukraine conflict and the COVID-19 pandemic. See “— Investments — Current Environment” herein, as well as “Risk Factors — Economic Environment and Capital Markets-Related Risks,” “Risk Factors — Investments-Related Risks,” “Management’s Discussion and Analysis of Financial Condition and Results of Operations — Risk Management Strategies,” “Management’s Discussion and Analysis of Financial Condition and Results of Operations — Industry Trends and Uncertainties” and “Management’s Discussion and Analysis of Financial Condition and Results of Operations — Investments” included in our 2021 Annual Report for a detailed discussion of financial and economic impacts on our business, including the potential impacts of interest rate risk and inflation risk on our investments and overall business.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continue to closely monitor developments related to the COVID-19 pandemic, which has negatively impacted us in certain respects. At this time, it continues to not be possible to estimate (i) the severity or duration of the pandemic, including the severity, duration and frequency of any additional “waves” or emerging variants of COVID-19 or (ii) the efficacy or utilization of any therapeutic treatments and vaccines for COVID-19 or variants thereof. It likewise remains not possible to predict or estimate the longer-term effects of the pandemic, or any actions taken to contain or address the pandemic, on the economy at large and on our business, financial condition, results of operations and prospects, including the impact on our investment portfolio and our ratings, or the need for us in the future to revisit or revise any targets we may provide to the markets or any aspects of our business model. See “Business — Regulation,” “Risk Factors — Risks Related to Our Business — The ongoing COVID-19 pandemic could materially adversely affect our business, financial condition and results of operations, including our capitalization and liquidity” and “Management’s Discussion and Analysis of Financial Condition and Results of Operations — Industry Trends and Uncertainties — COVID-19 Pandemic” included in our 2021 Annual Report, as well as “— Investments — Current Environment — Selected Sector Investments,” “— Investments — Mortgage Loans — Loan Modifications Related to the COVID-19 Pandemic” and Note 4 of the Notes to the Interim Condensed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insurance subsidiaries and Brighthouse Reinsurance Company of Delaware (“BRCD”) are regulated primarily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2021 Annual Report, as amended or supplemented by our subsequent Quarterly Reports under the heading “Management’s Discussion and Analysis of Financial Condition and Results of Operations — Industry Trends and Uncertainties — Regulatory Developments.”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Federal Tax Reform</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On August 16, 2022, the Inflation Reduction Act was signed into law by President Biden. The Inflation Reduction Act establishes a 15% corporate alternative minimum tax (“CAMT”) for corporations whose average annual adjusted financial statement income for any consecutive three–tax year period ending after December 31, 2021 and preceding the tax year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exceeds $1 billion. The Inflation Reduction Act also establishes a one percent excise tax on stock repurchases made by publicly traded U.S. corporations.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Both provisions are effective for tax years beginning after December 31, 2022.</w:t>
      </w:r>
    </w:p>
    <w:p>
      <w:pPr>
        <w:spacing w:after="0" w:line="100"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The U.S. Department of Treasury is expected to issue further guidance regarding the CAMT. Accordingly, the Company is currently unable to assess the applicability of the CAMT or the potential impact the CAMT may have on the Company’s financial statements. The excise tax for stock repurchases will be applicable to any net repurchases of the Company’s common or preferred stock made after December 31, 2022. It is possible that the CAMT could result in an additional tax liability over the regular federal corporate tax liability in a given year based on differences between book and taxable income (including as a result of temporary differences). The CAMT could result in our incurring materially higher federal income taxes.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New York Regulation 47</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In August 2022, the New York Department of Financial Services (“NYDFS”) amended Insurance Regulation 47 (as amended, “Regulation 47”), which implemented new requirements for certain annuity products. Certain sections of Regulation 47 will be effective as of January 1, 2023, with the remainder effective January 1, 2024. The regulation is likely to open the New York market to new competitors and will impact some components of our current product designs. We continue to assess the impact of these new factors on our sales in New York. See “Risk Factors — Risks Related to our Business — Factors affecting our competitiveness may adversely affect our market share or profitability” and “Risk Factors — Risks Related to our Business — We may experience difficulty in marketing and distributing products through our distribution channels” in our 2021 Annual Report.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New York Regulation 187</w:t>
      </w:r>
    </w:p>
    <w:p>
      <w:pPr>
        <w:spacing w:after="0" w:line="111" w:lineRule="exact"/>
        <w:rPr>
          <w:sz w:val="20"/>
          <w:szCs w:val="20"/>
          <w:color w:val="auto"/>
        </w:rPr>
      </w:pPr>
    </w:p>
    <w:p>
      <w:pPr>
        <w:jc w:val="both"/>
        <w:ind w:left="160" w:firstLine="318"/>
        <w:spacing w:after="0" w:line="305" w:lineRule="auto"/>
        <w:rPr>
          <w:sz w:val="20"/>
          <w:szCs w:val="20"/>
          <w:color w:val="auto"/>
        </w:rPr>
      </w:pPr>
      <w:r>
        <w:rPr>
          <w:rFonts w:ascii="Arial" w:cs="Arial" w:eastAsia="Arial" w:hAnsi="Arial"/>
          <w:sz w:val="15"/>
          <w:szCs w:val="15"/>
          <w:color w:val="auto"/>
        </w:rPr>
        <w:t>In July 2018, the NYDFS amended Insurance Regulation 187 (as amended, “Regulation 187”), adopting a “best interest” standard for the sale of annuities and life insurance products in New York. Regulation 187 generally requires that an insurance producer or insurer consider only a consumer’s best interest, and not the financial interests of the producer or insurer, in making a recommendation as to which life insurance or annuity product a consumer should purchase. In addition, Regulation 187 imposes a best interest standard on consumer in-force transactions. We have assessed the impact to our annuity and life insurance businesses and have adopted certain changes to promote compliance with the provisions by their respective effective dates. On April 29, 2021, the Appellate Division of the New York State Supreme Court overturned the amendment to Regulation 187 for being unconstitutionally vague, and the NYDFS filed an appeal to the New York Court of Appeals on May 27, 2021. On October 20, 2022, the New York Court of Appeals held that the amendment to Regulation 187 is constitutional, which leaves Regulation 187 in effect.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Interim Condensed Consolidated Financial Statements.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11"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amortization of deferred policy acquisition costs (“DAC”);</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estimated fair values of freestanding derivatives and the recognition and estimated fair value of embedded derivatives requiring bifurcation; and</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3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above critical accounting estimates are described in “Management’s Discussion and Analysis of Financial Condition and Results of Operations — Summary of Critical Accounting Estimates” and Note 1 of the Notes to the Consolidated Financial Statements included in our 2021 Annual Report.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definitions of non-GAAP and other financial measures may differ from those used by other companies.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In this report, we present adjusted earnings as a measure of our performance that is not calculated in accordance with GAAP. Adjusted earnings is used 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46"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Adjusted earnings, which may be positive or negative, focuses on our primary businesses by excluding the impact of market volatility, which could distort trends.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are significant items excluded from total revenues in calculating adjusted earnings:</w:t>
      </w:r>
    </w:p>
    <w:p>
      <w:pPr>
        <w:spacing w:after="0" w:line="111" w:lineRule="exact"/>
        <w:rPr>
          <w:sz w:val="20"/>
          <w:szCs w:val="20"/>
          <w:color w:val="auto"/>
        </w:rPr>
      </w:pPr>
    </w:p>
    <w:p>
      <w:pPr>
        <w:ind w:left="800" w:hanging="317"/>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1" w:lineRule="exact"/>
        <w:rPr>
          <w:rFonts w:ascii="Arial" w:cs="Arial" w:eastAsia="Arial" w:hAnsi="Arial"/>
          <w:sz w:val="18"/>
          <w:szCs w:val="18"/>
          <w:color w:val="auto"/>
        </w:rPr>
      </w:pPr>
    </w:p>
    <w:p>
      <w:pPr>
        <w:ind w:left="800" w:hanging="317"/>
        <w:spacing w:after="0" w:line="294" w:lineRule="auto"/>
        <w:tabs>
          <w:tab w:leader="none" w:pos="7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Net derivative gains (losses) except earned income and amortization of premium on derivatives that are hedges of investments or that are used to replicate certain investments, but do not qualify for hedge accounting treatment (“Investment Hedge Adjustments”); and</w:t>
      </w:r>
    </w:p>
    <w:p>
      <w:pPr>
        <w:spacing w:after="0" w:line="51" w:lineRule="exact"/>
        <w:rPr>
          <w:rFonts w:ascii="Arial" w:cs="Arial" w:eastAsia="Arial" w:hAnsi="Arial"/>
          <w:sz w:val="17"/>
          <w:szCs w:val="17"/>
          <w:color w:val="auto"/>
        </w:rPr>
      </w:pPr>
    </w:p>
    <w:p>
      <w:pPr>
        <w:ind w:left="800" w:hanging="317"/>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variable annuity guaranteed minimum income benefits (“GMIB”) fees (“GMIB Fees”).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are significant items excluded from total expenses in calculating adjusted earnings:</w:t>
      </w:r>
    </w:p>
    <w:p>
      <w:pPr>
        <w:spacing w:after="0" w:line="111" w:lineRule="exact"/>
        <w:rPr>
          <w:sz w:val="20"/>
          <w:szCs w:val="20"/>
          <w:color w:val="auto"/>
        </w:rPr>
      </w:pPr>
    </w:p>
    <w:p>
      <w:pPr>
        <w:ind w:left="800" w:hanging="317"/>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1"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(“Market Value Adjustments”); and</w:t>
      </w:r>
    </w:p>
    <w:p>
      <w:pPr>
        <w:spacing w:after="0" w:line="74"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Amortization of DAC and value of business acquired (“VOBA”) related to (i) net investment gains (losses), (ii) net derivative gains (losses) and (iii) GMIB Fees and GMIB Costs.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tax impact of the adjustments discussed above is calculated net of the statutory tax rate, which could differ from our effective tax rate.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Component of Adjusted Earnings</w:t>
            </w:r>
          </w:p>
        </w:tc>
        <w:tc>
          <w:tcPr>
            <w:tcW w:w="71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How Derived from GAAP (1)</w:t>
            </w:r>
          </w:p>
        </w:tc>
      </w:tr>
      <w:tr>
        <w:trPr>
          <w:trHeight w:val="213"/>
        </w:trPr>
        <w:tc>
          <w:tcPr>
            <w:tcW w:w="380" w:type="dxa"/>
            <w:vAlign w:val="bottom"/>
          </w:tcPr>
          <w:p>
            <w:pPr>
              <w:ind w:left="20"/>
              <w:spacing w:after="0"/>
              <w:rPr>
                <w:sz w:val="20"/>
                <w:szCs w:val="20"/>
                <w:color w:val="auto"/>
              </w:rPr>
            </w:pPr>
            <w:r>
              <w:rPr>
                <w:rFonts w:ascii="Arial" w:cs="Arial" w:eastAsia="Arial" w:hAnsi="Arial"/>
                <w:sz w:val="18"/>
                <w:szCs w:val="18"/>
                <w:color w:val="auto"/>
              </w:rPr>
              <w:t>(i)</w:t>
            </w:r>
          </w:p>
        </w:tc>
        <w:tc>
          <w:tcPr>
            <w:tcW w:w="3680" w:type="dxa"/>
            <w:vAlign w:val="bottom"/>
          </w:tcPr>
          <w:p>
            <w:pPr>
              <w:ind w:left="100"/>
              <w:spacing w:after="0"/>
              <w:rPr>
                <w:sz w:val="20"/>
                <w:szCs w:val="20"/>
                <w:color w:val="auto"/>
              </w:rPr>
            </w:pPr>
            <w:r>
              <w:rPr>
                <w:rFonts w:ascii="Arial" w:cs="Arial" w:eastAsia="Arial" w:hAnsi="Arial"/>
                <w:sz w:val="18"/>
                <w:szCs w:val="18"/>
                <w:color w:val="auto"/>
              </w:rPr>
              <w:t>Fee income</w:t>
            </w:r>
          </w:p>
        </w:tc>
        <w:tc>
          <w:tcPr>
            <w:tcW w:w="7180" w:type="dxa"/>
            <w:vAlign w:val="bottom"/>
          </w:tcPr>
          <w:p>
            <w:pPr>
              <w:ind w:left="560"/>
              <w:spacing w:after="0"/>
              <w:rPr>
                <w:sz w:val="20"/>
                <w:szCs w:val="20"/>
                <w:color w:val="auto"/>
              </w:rPr>
            </w:pPr>
            <w:r>
              <w:rPr>
                <w:rFonts w:ascii="Arial" w:cs="Arial" w:eastAsia="Arial" w:hAnsi="Arial"/>
                <w:sz w:val="18"/>
                <w:szCs w:val="18"/>
                <w:color w:val="auto"/>
              </w:rPr>
              <w:t>(i)</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i w:val="1"/>
                <w:iCs w:val="1"/>
                <w:color w:val="auto"/>
                <w:w w:val="98"/>
              </w:rPr>
              <w:t xml:space="preserve">Universal life and investment-type product policy fees </w:t>
            </w:r>
            <w:r>
              <w:rPr>
                <w:rFonts w:ascii="Arial" w:cs="Arial" w:eastAsia="Arial" w:hAnsi="Arial"/>
                <w:sz w:val="18"/>
                <w:szCs w:val="18"/>
                <w:color w:val="auto"/>
                <w:w w:val="98"/>
              </w:rPr>
              <w:t>(excluding (a) unearned</w:t>
            </w:r>
          </w:p>
        </w:tc>
      </w:tr>
      <w:tr>
        <w:trPr>
          <w:trHeight w:val="186"/>
        </w:trPr>
        <w:tc>
          <w:tcPr>
            <w:tcW w:w="3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7180" w:type="dxa"/>
            <w:vAlign w:val="bottom"/>
          </w:tcPr>
          <w:p>
            <w:pPr>
              <w:ind w:left="1020"/>
              <w:spacing w:after="0" w:line="186" w:lineRule="exact"/>
              <w:rPr>
                <w:sz w:val="20"/>
                <w:szCs w:val="20"/>
                <w:color w:val="auto"/>
              </w:rPr>
            </w:pPr>
            <w:r>
              <w:rPr>
                <w:rFonts w:ascii="Arial" w:cs="Arial" w:eastAsia="Arial" w:hAnsi="Arial"/>
                <w:sz w:val="18"/>
                <w:szCs w:val="18"/>
                <w:color w:val="auto"/>
                <w:w w:val="90"/>
              </w:rPr>
              <w:t>revenue adjustments related to net investment gains (losses) and net derivative gains</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color w:val="auto"/>
                <w:w w:val="89"/>
              </w:rPr>
              <w:t xml:space="preserve">(losses) and (b) GMIB Fees) plus </w:t>
            </w:r>
            <w:r>
              <w:rPr>
                <w:rFonts w:ascii="Arial" w:cs="Arial" w:eastAsia="Arial" w:hAnsi="Arial"/>
                <w:sz w:val="18"/>
                <w:szCs w:val="18"/>
                <w:i w:val="1"/>
                <w:iCs w:val="1"/>
                <w:color w:val="auto"/>
                <w:w w:val="89"/>
              </w:rPr>
              <w:t>Other revenues</w:t>
            </w:r>
            <w:r>
              <w:rPr>
                <w:rFonts w:ascii="Arial" w:cs="Arial" w:eastAsia="Arial" w:hAnsi="Arial"/>
                <w:sz w:val="18"/>
                <w:szCs w:val="18"/>
                <w:color w:val="auto"/>
                <w:w w:val="89"/>
              </w:rPr>
              <w:t xml:space="preserve"> and amortization of deferred gain on</w:t>
            </w:r>
          </w:p>
        </w:tc>
      </w:tr>
      <w:tr>
        <w:trPr>
          <w:trHeight w:val="224"/>
        </w:trPr>
        <w:tc>
          <w:tcPr>
            <w:tcW w:w="3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180" w:type="dxa"/>
            <w:vAlign w:val="bottom"/>
          </w:tcPr>
          <w:p>
            <w:pPr>
              <w:ind w:left="1020"/>
              <w:spacing w:after="0"/>
              <w:rPr>
                <w:sz w:val="20"/>
                <w:szCs w:val="20"/>
                <w:color w:val="auto"/>
              </w:rPr>
            </w:pPr>
            <w:r>
              <w:rPr>
                <w:rFonts w:ascii="Arial" w:cs="Arial" w:eastAsia="Arial" w:hAnsi="Arial"/>
                <w:sz w:val="18"/>
                <w:szCs w:val="18"/>
                <w:color w:val="auto"/>
              </w:rPr>
              <w:t>reinsurance.</w:t>
            </w:r>
          </w:p>
        </w:tc>
      </w:tr>
      <w:tr>
        <w:trPr>
          <w:trHeight w:val="213"/>
        </w:trPr>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(ii)</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investment spread</w:t>
            </w:r>
          </w:p>
        </w:tc>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(ii)</w:t>
            </w:r>
          </w:p>
        </w:tc>
      </w:tr>
      <w:tr>
        <w:trPr>
          <w:trHeight w:val="172"/>
        </w:trPr>
        <w:tc>
          <w:tcPr>
            <w:tcW w:w="3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7180" w:type="dxa"/>
            <w:vAlign w:val="bottom"/>
            <w:shd w:val="clear" w:color="auto" w:fill="CCEEFF"/>
          </w:tcPr>
          <w:p>
            <w:pPr>
              <w:ind w:left="1020"/>
              <w:spacing w:after="0" w:line="172" w:lineRule="exact"/>
              <w:rPr>
                <w:sz w:val="20"/>
                <w:szCs w:val="20"/>
                <w:color w:val="auto"/>
              </w:rPr>
            </w:pPr>
            <w:r>
              <w:rPr>
                <w:rFonts w:ascii="Arial" w:cs="Arial" w:eastAsia="Arial" w:hAnsi="Arial"/>
                <w:sz w:val="18"/>
                <w:szCs w:val="18"/>
                <w:i w:val="1"/>
                <w:iCs w:val="1"/>
                <w:color w:val="auto"/>
                <w:w w:val="91"/>
              </w:rPr>
              <w:t xml:space="preserve">Net investment income </w:t>
            </w:r>
            <w:r>
              <w:rPr>
                <w:rFonts w:ascii="Arial" w:cs="Arial" w:eastAsia="Arial" w:hAnsi="Arial"/>
                <w:sz w:val="18"/>
                <w:szCs w:val="18"/>
                <w:color w:val="auto"/>
                <w:w w:val="91"/>
              </w:rPr>
              <w:t>plus Investment Hedge Adjustments and interest received on</w:t>
            </w:r>
          </w:p>
        </w:tc>
      </w:tr>
      <w:tr>
        <w:trPr>
          <w:trHeight w:val="186"/>
        </w:trPr>
        <w:tc>
          <w:tcPr>
            <w:tcW w:w="38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7180" w:type="dxa"/>
            <w:vAlign w:val="bottom"/>
            <w:shd w:val="clear" w:color="auto" w:fill="CCEEFF"/>
          </w:tcPr>
          <w:p>
            <w:pPr>
              <w:ind w:left="1020"/>
              <w:spacing w:after="0" w:line="186" w:lineRule="exact"/>
              <w:rPr>
                <w:sz w:val="20"/>
                <w:szCs w:val="20"/>
                <w:color w:val="auto"/>
              </w:rPr>
            </w:pPr>
            <w:r>
              <w:rPr>
                <w:rFonts w:ascii="Arial" w:cs="Arial" w:eastAsia="Arial" w:hAnsi="Arial"/>
                <w:sz w:val="18"/>
                <w:szCs w:val="18"/>
                <w:color w:val="auto"/>
                <w:w w:val="99"/>
              </w:rPr>
              <w:t xml:space="preserve">ceded fixed annuity reinsurance deposit funds reduced by </w:t>
            </w:r>
            <w:r>
              <w:rPr>
                <w:rFonts w:ascii="Arial" w:cs="Arial" w:eastAsia="Arial" w:hAnsi="Arial"/>
                <w:sz w:val="18"/>
                <w:szCs w:val="18"/>
                <w:i w:val="1"/>
                <w:iCs w:val="1"/>
                <w:color w:val="auto"/>
                <w:w w:val="99"/>
              </w:rPr>
              <w:t>Interest credited to</w:t>
            </w:r>
          </w:p>
        </w:tc>
      </w:tr>
      <w:tr>
        <w:trPr>
          <w:trHeight w:val="224"/>
        </w:trPr>
        <w:tc>
          <w:tcPr>
            <w:tcW w:w="38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7180" w:type="dxa"/>
            <w:vAlign w:val="bottom"/>
            <w:shd w:val="clear" w:color="auto" w:fill="CCEEFF"/>
          </w:tcPr>
          <w:p>
            <w:pPr>
              <w:ind w:left="1020"/>
              <w:spacing w:after="0"/>
              <w:rPr>
                <w:sz w:val="20"/>
                <w:szCs w:val="20"/>
                <w:color w:val="auto"/>
              </w:rPr>
            </w:pPr>
            <w:r>
              <w:rPr>
                <w:rFonts w:ascii="Arial" w:cs="Arial" w:eastAsia="Arial" w:hAnsi="Arial"/>
                <w:sz w:val="18"/>
                <w:szCs w:val="18"/>
                <w:i w:val="1"/>
                <w:iCs w:val="1"/>
                <w:color w:val="auto"/>
              </w:rPr>
              <w:t xml:space="preserve">policyholder account balances </w:t>
            </w:r>
            <w:r>
              <w:rPr>
                <w:rFonts w:ascii="Arial" w:cs="Arial" w:eastAsia="Arial" w:hAnsi="Arial"/>
                <w:sz w:val="18"/>
                <w:szCs w:val="18"/>
                <w:color w:val="auto"/>
              </w:rPr>
              <w:t>and interest on future policy benefits.</w:t>
            </w:r>
          </w:p>
        </w:tc>
      </w:tr>
      <w:tr>
        <w:trPr>
          <w:trHeight w:val="213"/>
        </w:trPr>
        <w:tc>
          <w:tcPr>
            <w:tcW w:w="380" w:type="dxa"/>
            <w:vAlign w:val="bottom"/>
          </w:tcPr>
          <w:p>
            <w:pPr>
              <w:ind w:left="20"/>
              <w:spacing w:after="0"/>
              <w:rPr>
                <w:sz w:val="20"/>
                <w:szCs w:val="20"/>
                <w:color w:val="auto"/>
              </w:rPr>
            </w:pPr>
            <w:r>
              <w:rPr>
                <w:rFonts w:ascii="Arial" w:cs="Arial" w:eastAsia="Arial" w:hAnsi="Arial"/>
                <w:sz w:val="18"/>
                <w:szCs w:val="18"/>
                <w:color w:val="auto"/>
              </w:rPr>
              <w:t>(iii)</w:t>
            </w:r>
          </w:p>
        </w:tc>
        <w:tc>
          <w:tcPr>
            <w:tcW w:w="3680" w:type="dxa"/>
            <w:vAlign w:val="bottom"/>
          </w:tcPr>
          <w:p>
            <w:pPr>
              <w:ind w:left="100"/>
              <w:spacing w:after="0"/>
              <w:rPr>
                <w:sz w:val="20"/>
                <w:szCs w:val="20"/>
                <w:color w:val="auto"/>
              </w:rPr>
            </w:pPr>
            <w:r>
              <w:rPr>
                <w:rFonts w:ascii="Arial" w:cs="Arial" w:eastAsia="Arial" w:hAnsi="Arial"/>
                <w:sz w:val="18"/>
                <w:szCs w:val="18"/>
                <w:color w:val="auto"/>
              </w:rPr>
              <w:t>Insurance-related activities</w:t>
            </w:r>
          </w:p>
        </w:tc>
        <w:tc>
          <w:tcPr>
            <w:tcW w:w="7180" w:type="dxa"/>
            <w:vAlign w:val="bottom"/>
          </w:tcPr>
          <w:p>
            <w:pPr>
              <w:ind w:left="560"/>
              <w:spacing w:after="0"/>
              <w:rPr>
                <w:sz w:val="20"/>
                <w:szCs w:val="20"/>
                <w:color w:val="auto"/>
              </w:rPr>
            </w:pPr>
            <w:r>
              <w:rPr>
                <w:rFonts w:ascii="Arial" w:cs="Arial" w:eastAsia="Arial" w:hAnsi="Arial"/>
                <w:sz w:val="18"/>
                <w:szCs w:val="18"/>
                <w:color w:val="auto"/>
              </w:rPr>
              <w:t>(iii)</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i w:val="1"/>
                <w:iCs w:val="1"/>
                <w:color w:val="auto"/>
                <w:w w:val="97"/>
              </w:rPr>
              <w:t xml:space="preserve">Premiums </w:t>
            </w:r>
            <w:r>
              <w:rPr>
                <w:rFonts w:ascii="Arial" w:cs="Arial" w:eastAsia="Arial" w:hAnsi="Arial"/>
                <w:sz w:val="18"/>
                <w:szCs w:val="18"/>
                <w:color w:val="auto"/>
                <w:w w:val="97"/>
              </w:rPr>
              <w:t>less</w:t>
            </w:r>
            <w:r>
              <w:rPr>
                <w:rFonts w:ascii="Arial" w:cs="Arial" w:eastAsia="Arial" w:hAnsi="Arial"/>
                <w:sz w:val="18"/>
                <w:szCs w:val="18"/>
                <w:i w:val="1"/>
                <w:iCs w:val="1"/>
                <w:color w:val="auto"/>
                <w:w w:val="97"/>
              </w:rPr>
              <w:t xml:space="preserve"> Policyholder benefits and claims </w:t>
            </w:r>
            <w:r>
              <w:rPr>
                <w:rFonts w:ascii="Arial" w:cs="Arial" w:eastAsia="Arial" w:hAnsi="Arial"/>
                <w:sz w:val="18"/>
                <w:szCs w:val="18"/>
                <w:color w:val="auto"/>
                <w:w w:val="97"/>
              </w:rPr>
              <w:t>(excluding (a) GMIB Costs, (b)</w:t>
            </w:r>
          </w:p>
        </w:tc>
      </w:tr>
      <w:tr>
        <w:trPr>
          <w:trHeight w:val="186"/>
        </w:trPr>
        <w:tc>
          <w:tcPr>
            <w:tcW w:w="3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7180" w:type="dxa"/>
            <w:vAlign w:val="bottom"/>
          </w:tcPr>
          <w:p>
            <w:pPr>
              <w:ind w:left="1020"/>
              <w:spacing w:after="0" w:line="186" w:lineRule="exact"/>
              <w:rPr>
                <w:sz w:val="20"/>
                <w:szCs w:val="20"/>
                <w:color w:val="auto"/>
              </w:rPr>
            </w:pPr>
            <w:r>
              <w:rPr>
                <w:rFonts w:ascii="Arial" w:cs="Arial" w:eastAsia="Arial" w:hAnsi="Arial"/>
                <w:sz w:val="18"/>
                <w:szCs w:val="18"/>
                <w:color w:val="auto"/>
                <w:w w:val="92"/>
              </w:rPr>
              <w:t>Market Value Adjustments, (c) interest on future policy benefits and (d) amortization</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color w:val="auto"/>
                <w:w w:val="96"/>
              </w:rPr>
              <w:t>of deferred gain on reinsurance) plus the pass through of performance of ceded</w:t>
            </w:r>
          </w:p>
        </w:tc>
      </w:tr>
      <w:tr>
        <w:trPr>
          <w:trHeight w:val="224"/>
        </w:trPr>
        <w:tc>
          <w:tcPr>
            <w:tcW w:w="3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180" w:type="dxa"/>
            <w:vAlign w:val="bottom"/>
          </w:tcPr>
          <w:p>
            <w:pPr>
              <w:ind w:left="1020"/>
              <w:spacing w:after="0"/>
              <w:rPr>
                <w:sz w:val="20"/>
                <w:szCs w:val="20"/>
                <w:color w:val="auto"/>
              </w:rPr>
            </w:pPr>
            <w:r>
              <w:rPr>
                <w:rFonts w:ascii="Arial" w:cs="Arial" w:eastAsia="Arial" w:hAnsi="Arial"/>
                <w:sz w:val="18"/>
                <w:szCs w:val="18"/>
                <w:color w:val="auto"/>
              </w:rPr>
              <w:t>separate account assets.</w:t>
            </w:r>
          </w:p>
        </w:tc>
      </w:tr>
      <w:tr>
        <w:trPr>
          <w:trHeight w:val="213"/>
        </w:trPr>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(iv)</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DAC and VOBA</w:t>
            </w:r>
          </w:p>
        </w:tc>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(iv)</w:t>
            </w:r>
          </w:p>
        </w:tc>
      </w:tr>
      <w:tr>
        <w:trPr>
          <w:trHeight w:val="172"/>
        </w:trPr>
        <w:tc>
          <w:tcPr>
            <w:tcW w:w="3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7180" w:type="dxa"/>
            <w:vAlign w:val="bottom"/>
            <w:shd w:val="clear" w:color="auto" w:fill="CCEEFF"/>
          </w:tcPr>
          <w:p>
            <w:pPr>
              <w:ind w:left="1020"/>
              <w:spacing w:after="0" w:line="172" w:lineRule="exact"/>
              <w:rPr>
                <w:sz w:val="20"/>
                <w:szCs w:val="20"/>
                <w:color w:val="auto"/>
              </w:rPr>
            </w:pPr>
            <w:r>
              <w:rPr>
                <w:rFonts w:ascii="Arial" w:cs="Arial" w:eastAsia="Arial" w:hAnsi="Arial"/>
                <w:sz w:val="18"/>
                <w:szCs w:val="18"/>
                <w:i w:val="1"/>
                <w:iCs w:val="1"/>
                <w:color w:val="auto"/>
                <w:w w:val="95"/>
              </w:rPr>
              <w:t xml:space="preserve">Amortization of DAC and VOBA </w:t>
            </w:r>
            <w:r>
              <w:rPr>
                <w:rFonts w:ascii="Arial" w:cs="Arial" w:eastAsia="Arial" w:hAnsi="Arial"/>
                <w:sz w:val="18"/>
                <w:szCs w:val="18"/>
                <w:color w:val="auto"/>
                <w:w w:val="95"/>
              </w:rPr>
              <w:t>(excluding amounts related to (a) net investment</w:t>
            </w:r>
          </w:p>
        </w:tc>
      </w:tr>
      <w:tr>
        <w:trPr>
          <w:trHeight w:val="238"/>
        </w:trPr>
        <w:tc>
          <w:tcPr>
            <w:tcW w:w="3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718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0"/>
              </w:rPr>
              <w:t>gains (losses), (b) net derivative gains (losses) and (c) GMIB Fees and GMIB Costs).</w:t>
            </w:r>
          </w:p>
        </w:tc>
      </w:tr>
      <w:tr>
        <w:trPr>
          <w:trHeight w:val="213"/>
        </w:trPr>
        <w:tc>
          <w:tcPr>
            <w:tcW w:w="380" w:type="dxa"/>
            <w:vAlign w:val="bottom"/>
          </w:tcPr>
          <w:p>
            <w:pPr>
              <w:ind w:left="20"/>
              <w:spacing w:after="0"/>
              <w:rPr>
                <w:sz w:val="20"/>
                <w:szCs w:val="20"/>
                <w:color w:val="auto"/>
              </w:rPr>
            </w:pPr>
            <w:r>
              <w:rPr>
                <w:rFonts w:ascii="Arial" w:cs="Arial" w:eastAsia="Arial" w:hAnsi="Arial"/>
                <w:sz w:val="18"/>
                <w:szCs w:val="18"/>
                <w:color w:val="auto"/>
              </w:rPr>
              <w:t>(v)</w:t>
            </w:r>
          </w:p>
        </w:tc>
        <w:tc>
          <w:tcPr>
            <w:tcW w:w="3680" w:type="dxa"/>
            <w:vAlign w:val="bottom"/>
          </w:tcPr>
          <w:p>
            <w:pPr>
              <w:ind w:left="100"/>
              <w:spacing w:after="0"/>
              <w:rPr>
                <w:sz w:val="20"/>
                <w:szCs w:val="20"/>
                <w:color w:val="auto"/>
              </w:rPr>
            </w:pPr>
            <w:r>
              <w:rPr>
                <w:rFonts w:ascii="Arial" w:cs="Arial" w:eastAsia="Arial" w:hAnsi="Arial"/>
                <w:sz w:val="18"/>
                <w:szCs w:val="18"/>
                <w:color w:val="auto"/>
              </w:rPr>
              <w:t>Other expenses, net of DAC capitalization</w:t>
            </w:r>
          </w:p>
        </w:tc>
        <w:tc>
          <w:tcPr>
            <w:tcW w:w="7180" w:type="dxa"/>
            <w:vAlign w:val="bottom"/>
          </w:tcPr>
          <w:p>
            <w:pPr>
              <w:ind w:left="560"/>
              <w:spacing w:after="0"/>
              <w:rPr>
                <w:sz w:val="20"/>
                <w:szCs w:val="20"/>
                <w:color w:val="auto"/>
              </w:rPr>
            </w:pPr>
            <w:r>
              <w:rPr>
                <w:rFonts w:ascii="Arial" w:cs="Arial" w:eastAsia="Arial" w:hAnsi="Arial"/>
                <w:sz w:val="18"/>
                <w:szCs w:val="18"/>
                <w:color w:val="auto"/>
              </w:rPr>
              <w:t>(v)</w:t>
            </w:r>
          </w:p>
        </w:tc>
      </w:tr>
      <w:tr>
        <w:trPr>
          <w:trHeight w:val="224"/>
        </w:trPr>
        <w:tc>
          <w:tcPr>
            <w:tcW w:w="3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180" w:type="dxa"/>
            <w:vAlign w:val="bottom"/>
          </w:tcPr>
          <w:p>
            <w:pPr>
              <w:ind w:left="1020"/>
              <w:spacing w:after="0"/>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reduced by capitalization of DAC.</w:t>
            </w:r>
          </w:p>
        </w:tc>
      </w:tr>
      <w:tr>
        <w:trPr>
          <w:trHeight w:val="226"/>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   Provision for income tax expense (benefit)</w:t>
            </w:r>
          </w:p>
        </w:tc>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   Tax impact of the above items.</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Italicized items indicate GAAP statement of operations line items.</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Adjusted Net Investment Income</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We present adjusted net investment income, which is not calculated in accordance with GAAP. We present adjusted net investment income to measure our performance for management purposes, and we believe it enhances the understanding of our investment portfolio results. Adjusted net investment income represents net investment income, including Investment Hedge Adjustments. For a reconciliation of adjusted net investment income to net investment income, the most directly comparable GAAP measure, see footnote 3 to the summary yield table located in “— Investments — Current Environment — Investment Portfolio Results.”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Disclosures</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investment fees and expenses as a percentage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Actuarial Review</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typically conduct our annual actuarial review (“AAR”) in the third quarter of each year. As a result of the 2022 AAR, we increased the long-term general account earned rate, driven by an increase in our mean reversion rate from 3.00% to 3.50%, which had the largest impact on our ULSG business. For our variable annuity business, in addition to the update in the long-term general account earned rate, we updated fund allocations, market volatility and maintenance expenses, as well as assumptions regarding policyholder behavior, including mortality, lapses and withdrawals. For our life business, in addition to the update in the long-term general account earned rate, we updated assumptions regarding policyholder behavior, including mortality, premium persistency, lapses, withdrawals, as well as maintenance expenses.</w:t>
      </w:r>
    </w:p>
    <w:p>
      <w:pPr>
        <w:spacing w:after="0" w:line="7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2021, the most significant impact from our AAR was updating assumptions regarding policyholder behavior, including mortality, premium persistency, lapses, withdrawals and maintenance expenses. This update had the largest impact on our ULSG business. We also increased our long-term general account earned rate, while maintaining our mean reversion rate at 3.00%. For our variable annuity business, we updated our annuitization and separate account assumptions, including fund fees, allocations and volatility, in addition to the policyholder behavior assumptions noted above.</w:t>
      </w:r>
    </w:p>
    <w:p>
      <w:pPr>
        <w:spacing w:after="0" w:line="4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 presents the impact of the AAR on income (loss) available to shareholders before provision for income tax for the nine months ended September 30, 2022 and 2021. The impact related to GMLBs is included in income (loss) available to shareholders before provision for income tax, but is not included in pre-tax adjusted earnings. See “— Non-GAAP and Other Financial Disclosures.”</w:t>
      </w:r>
    </w:p>
    <w:p>
      <w:pPr>
        <w:spacing w:after="0" w:line="218"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2021</w:t>
            </w:r>
          </w:p>
        </w:tc>
      </w:tr>
      <w:tr>
        <w:trPr>
          <w:trHeight w:val="191"/>
        </w:trPr>
        <w:tc>
          <w:tcPr>
            <w:tcW w:w="7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6"/>
                <w:szCs w:val="16"/>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GMLBs</w:t>
            </w:r>
          </w:p>
        </w:tc>
        <w:tc>
          <w:tcPr>
            <w:tcW w:w="1260" w:type="dxa"/>
            <w:vAlign w:val="bottom"/>
            <w:shd w:val="clear" w:color="auto" w:fill="CCEEFF"/>
          </w:tcPr>
          <w:p>
            <w:pPr>
              <w:jc w:val="right"/>
              <w:ind w:right="108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9"/>
        </w:trPr>
        <w:tc>
          <w:tcPr>
            <w:tcW w:w="7560" w:type="dxa"/>
            <w:vAlign w:val="bottom"/>
          </w:tcPr>
          <w:p>
            <w:pPr>
              <w:ind w:left="20"/>
              <w:spacing w:after="0"/>
              <w:rPr>
                <w:sz w:val="20"/>
                <w:szCs w:val="20"/>
                <w:color w:val="auto"/>
              </w:rPr>
            </w:pPr>
            <w:r>
              <w:rPr>
                <w:rFonts w:ascii="Arial" w:cs="Arial" w:eastAsia="Arial" w:hAnsi="Arial"/>
                <w:sz w:val="16"/>
                <w:szCs w:val="16"/>
                <w:color w:val="auto"/>
              </w:rPr>
              <w:t>Included in pre-tax adjusted earnings:</w:t>
            </w: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7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annuity business</w:t>
            </w: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7560" w:type="dxa"/>
            <w:vAlign w:val="bottom"/>
          </w:tcPr>
          <w:p>
            <w:pPr>
              <w:ind w:left="220"/>
              <w:spacing w:after="0"/>
              <w:rPr>
                <w:sz w:val="20"/>
                <w:szCs w:val="20"/>
                <w:color w:val="auto"/>
              </w:rPr>
            </w:pPr>
            <w:r>
              <w:rPr>
                <w:rFonts w:ascii="Arial" w:cs="Arial" w:eastAsia="Arial" w:hAnsi="Arial"/>
                <w:sz w:val="16"/>
                <w:szCs w:val="16"/>
                <w:color w:val="auto"/>
              </w:rPr>
              <w:t>Life business</w:t>
            </w: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Run-off</w:t>
            </w:r>
          </w:p>
        </w:tc>
        <w:tc>
          <w:tcPr>
            <w:tcW w:w="1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0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included in pre-tax adjusted earnings</w:t>
            </w:r>
          </w:p>
        </w:tc>
        <w:tc>
          <w:tcPr>
            <w:tcW w:w="1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3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impact on income (loss) available to shareholders before provision for income tax</w:t>
            </w:r>
          </w:p>
        </w:tc>
        <w:tc>
          <w:tcPr>
            <w:tcW w:w="1260" w:type="dxa"/>
            <w:vAlign w:val="bottom"/>
            <w:tcBorders>
              <w:bottom w:val="single" w:sz="8" w:color="auto"/>
            </w:tcBorders>
            <w:shd w:val="clear" w:color="auto" w:fill="CCEEFF"/>
          </w:tcPr>
          <w:p>
            <w:pPr>
              <w:jc w:val="right"/>
              <w:ind w:right="10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and Nine Months Ended September 30, 2022 and 2021</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which are presented net of income tax.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980" w:type="dxa"/>
            <w:vAlign w:val="bottom"/>
            <w:gridSpan w:val="4"/>
          </w:tcPr>
          <w:p>
            <w:pPr>
              <w:jc w:val="right"/>
              <w:ind w:right="6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9"/>
              </w:rPr>
              <w:t>2021</w:t>
            </w:r>
          </w:p>
        </w:tc>
      </w:tr>
      <w:tr>
        <w:trPr>
          <w:trHeight w:val="191"/>
        </w:trPr>
        <w:tc>
          <w:tcPr>
            <w:tcW w:w="6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Premiums</w:t>
            </w:r>
          </w:p>
        </w:tc>
        <w:tc>
          <w:tcPr>
            <w:tcW w:w="720" w:type="dxa"/>
            <w:vAlign w:val="bottom"/>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 life and investment-type product policy fees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1,281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3,680</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w:t>
            </w:r>
          </w:p>
        </w:tc>
      </w:tr>
      <w:tr>
        <w:trPr>
          <w:trHeight w:val="203"/>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1,482</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2,512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5,126</w:t>
            </w:r>
          </w:p>
        </w:tc>
      </w:tr>
      <w:tr>
        <w:trPr>
          <w:trHeight w:val="19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Policyholder benefits and claims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1,246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1,112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2,620</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credited to policyholder account balances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Capitalization of DAC</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DAC and VOBA</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Interest expense on debt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w:t>
            </w:r>
          </w:p>
        </w:tc>
      </w:tr>
      <w:tr>
        <w:trPr>
          <w:trHeight w:val="203"/>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expenses</w:t>
            </w: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2,350</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5,383</w:t>
            </w:r>
          </w:p>
        </w:tc>
      </w:tr>
      <w:tr>
        <w:trPr>
          <w:trHeight w:val="208"/>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08"/>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8"/>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Brighthouse Financial, Inc.</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Preferred stock dividends</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33"/>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720" w:type="dxa"/>
            <w:vAlign w:val="bottom"/>
            <w:tcBorders>
              <w:bottom w:val="single" w:sz="8" w:color="auto"/>
            </w:tcBorders>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income (loss) available to shareholders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 Riders</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(590)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Other derivative instruments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(400)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gains (losses)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Other adjustments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65"/>
        </w:trPr>
        <w:tc>
          <w:tcPr>
            <w:tcW w:w="63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6"/>
              </w:rPr>
              <w:t>Pre-tax adjusted earnings, less net income (loss) attributable to noncontrolling interests and</w:t>
            </w:r>
          </w:p>
        </w:tc>
        <w:tc>
          <w:tcPr>
            <w:tcW w:w="74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dividends</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(895)</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(193)</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80"/>
        </w:trPr>
        <w:tc>
          <w:tcPr>
            <w:tcW w:w="632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w:t>
            </w:r>
          </w:p>
        </w:tc>
        <w:tc>
          <w:tcPr>
            <w:tcW w:w="74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(702)</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2022 Compared with the Three Months Ended September 30, 2021</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Loss available to shareholders before provision for income tax was $895 million ($702 million, net of income tax), a decrease of $1.4 billion ($1.1 billion, net of income tax) from income available to shareholders before provision for income tax of $466 million ($361 million, net of income tax) in the prior period.</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decrease in income before provision for income tax was driven by the following unfavorable items:</w:t>
      </w:r>
    </w:p>
    <w:p>
      <w:pPr>
        <w:spacing w:after="0" w:line="111" w:lineRule="exact"/>
        <w:rPr>
          <w:sz w:val="20"/>
          <w:szCs w:val="20"/>
          <w:color w:val="auto"/>
        </w:rPr>
      </w:pPr>
    </w:p>
    <w:p>
      <w:pPr>
        <w:ind w:left="800" w:hanging="317"/>
        <w:spacing w:after="0" w:line="264" w:lineRule="auto"/>
        <w:tabs>
          <w:tab w:leader="none" w:pos="7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unfavorable impact of long-term benchmark interest rates on interest rate derivatives used to manage interest rate exposure in our ULSG business, as the long-term benchmark interest rate increased in the current period and decreased in the prior period;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pre-tax adjusted earnings, as discussed in greater detail below;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losses from GMLB Riders, see “— GMLB Riders for the Three Months and Nine Months Ended September 30, 2022 and 2021.”</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provision for income tax, expressed as a percentage of income (loss) before provision for income tax, resulted in an effective tax rate of 22% in the current period compared to 21% in the prior period. The increase in the effective tax rate was driven by lower pre-tax adjusted earnings, as discussed in greater detail below. Our effective tax rate differs from the statutory tax rate primarily due to the impacts of the dividends received deduction and tax credits.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2022 Compared with the Nine Months Ended September 30, 2021</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Income available to shareholders before provision for income tax was $1.1 billion ($868 million, net of income tax), an increase of $1.4 billion ($1.1 billion, net of income tax) from a loss available to shareholders before provision for income tax of $329 million ($239 million, net of income tax) in the prior period.</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increase in income before provision for income tax was driven by the following favorable item:</w:t>
      </w:r>
    </w:p>
    <w:p>
      <w:pPr>
        <w:spacing w:after="0" w:line="111" w:lineRule="exact"/>
        <w:rPr>
          <w:sz w:val="20"/>
          <w:szCs w:val="20"/>
          <w:color w:val="auto"/>
        </w:rPr>
      </w:pPr>
    </w:p>
    <w:p>
      <w:pPr>
        <w:ind w:left="480" w:right="1360" w:firstLine="3"/>
        <w:spacing w:after="0" w:line="390" w:lineRule="auto"/>
        <w:tabs>
          <w:tab w:leader="none" w:pos="793" w:val="left"/>
        </w:tabs>
        <w:numPr>
          <w:ilvl w:val="0"/>
          <w:numId w:val="32"/>
        </w:numPr>
        <w:rPr>
          <w:rFonts w:ascii="Arial" w:cs="Arial" w:eastAsia="Arial" w:hAnsi="Arial"/>
          <w:sz w:val="17"/>
          <w:szCs w:val="17"/>
          <w:color w:val="auto"/>
        </w:rPr>
      </w:pPr>
      <w:r>
        <w:rPr>
          <w:rFonts w:ascii="Arial" w:cs="Arial" w:eastAsia="Arial" w:hAnsi="Arial"/>
          <w:sz w:val="17"/>
          <w:szCs w:val="17"/>
          <w:color w:val="auto"/>
        </w:rPr>
        <w:t>gains from GMLB Riders, see “— GMLB Riders for the Three Months and Nine Months Ended September 30, 2022 and 2021.” The increase in income before provision for income tax was partially offset by the following unfavorable items:</w:t>
      </w:r>
    </w:p>
    <w:p>
      <w:pPr>
        <w:ind w:left="800" w:hanging="317"/>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pre-tax adjusted earnings, as discussed in greater detail below;</w:t>
      </w:r>
    </w:p>
    <w:p>
      <w:pPr>
        <w:spacing w:after="0" w:line="111"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unfavorable impact of long-term benchmark interest rates on interest rate derivatives used to manage interest rate exposure in our ULSG business, as the long-term benchmark interest rate increased more in the current period than in the prior period; and</w:t>
      </w:r>
    </w:p>
    <w:p>
      <w:pPr>
        <w:spacing w:after="0" w:line="74" w:lineRule="exact"/>
        <w:rPr>
          <w:rFonts w:ascii="Arial" w:cs="Arial" w:eastAsia="Arial" w:hAnsi="Arial"/>
          <w:sz w:val="18"/>
          <w:szCs w:val="18"/>
          <w:color w:val="auto"/>
        </w:rPr>
      </w:pPr>
    </w:p>
    <w:p>
      <w:pPr>
        <w:ind w:left="800" w:hanging="317"/>
        <w:spacing w:after="0" w:line="294" w:lineRule="auto"/>
        <w:tabs>
          <w:tab w:leader="none" w:pos="7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net investment losses reflecting higher current period net losses on sales of fixed maturity securities, as well as net losses on limited partnerships and limited liability companies (“LLC”) and net mark-to-market losses on equity securities compared to prior period net gains.</w:t>
      </w:r>
    </w:p>
    <w:p>
      <w:pPr>
        <w:spacing w:after="0" w:line="5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provision for income tax, expressed as a percentage of income (loss) before provision for income tax, resulted in an effective tax rate of 18% in the current period compared to 35% in the prior period. The decrease in the effective tax rate was driven by lower pre-tax adjusted earnings, as discussed in greater detail below. Our effective tax rate differs from the statutory tax rate primarily due to the impacts of the dividends received deduction, tax credits and current period non-recurring items.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Shareholders to Adjusted Earnings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net income (loss) available to shareholders to adjusted earnings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2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1"/>
              </w:rPr>
              <w:t>Three Months Ended September 30, 2022</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6"/>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8"/>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10"/>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Less: GMLB Riders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14"/>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0"/>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Less: Net investment gains (losses)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4"/>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42"/>
        </w:trPr>
        <w:tc>
          <w:tcPr>
            <w:tcW w:w="556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Pre-tax adjusted earnings, less net income (loss) attributable to noncontrolling</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6"/>
        </w:trPr>
        <w:tc>
          <w:tcPr>
            <w:tcW w:w="5560" w:type="dxa"/>
            <w:vAlign w:val="bottom"/>
            <w:gridSpan w:val="2"/>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8"/>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Adjusted 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0"/>
                <w:szCs w:val="10"/>
                <w:color w:val="auto"/>
              </w:rPr>
            </w:pPr>
          </w:p>
        </w:tc>
        <w:tc>
          <w:tcPr>
            <w:tcW w:w="9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0"/>
                <w:szCs w:val="10"/>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6"/>
              </w:rPr>
              <w:t>Corporate &amp;</w:t>
            </w:r>
          </w:p>
        </w:tc>
        <w:tc>
          <w:tcPr>
            <w:tcW w:w="240" w:type="dxa"/>
            <w:vAlign w:val="bottom"/>
          </w:tcPr>
          <w:p>
            <w:pPr>
              <w:spacing w:after="0"/>
              <w:rPr>
                <w:sz w:val="10"/>
                <w:szCs w:val="10"/>
                <w:color w:val="auto"/>
              </w:rPr>
            </w:pPr>
          </w:p>
        </w:tc>
        <w:tc>
          <w:tcPr>
            <w:tcW w:w="8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8"/>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0"/>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Less: GMLB Riders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5"/>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9"/>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Less: Net investment gains (losses)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42"/>
        </w:trPr>
        <w:tc>
          <w:tcPr>
            <w:tcW w:w="556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Pre-tax adjusted earnings, less net income (loss) attributable to noncontrolling</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141</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6"/>
        </w:trPr>
        <w:tc>
          <w:tcPr>
            <w:tcW w:w="5560" w:type="dxa"/>
            <w:vAlign w:val="bottom"/>
            <w:gridSpan w:val="2"/>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8"/>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Adjusted 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1"/>
              </w:rPr>
              <w:t>Nine Months Ended September 30, 2022</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6"/>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4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8"/>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09"/>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Less: GMLB Riders</w:t>
            </w:r>
          </w:p>
        </w:tc>
        <w:tc>
          <w:tcPr>
            <w:tcW w:w="1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2,132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15"/>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10"/>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Less: Net investment gains (losses)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5"/>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42"/>
        </w:trPr>
        <w:tc>
          <w:tcPr>
            <w:tcW w:w="5540" w:type="dxa"/>
            <w:vAlign w:val="bottom"/>
          </w:tcPr>
          <w:p>
            <w:pPr>
              <w:ind w:left="20"/>
              <w:spacing w:after="0" w:line="142" w:lineRule="exact"/>
              <w:rPr>
                <w:sz w:val="20"/>
                <w:szCs w:val="20"/>
                <w:color w:val="auto"/>
              </w:rPr>
            </w:pPr>
            <w:r>
              <w:rPr>
                <w:rFonts w:ascii="Arial" w:cs="Arial" w:eastAsia="Arial" w:hAnsi="Arial"/>
                <w:sz w:val="16"/>
                <w:szCs w:val="16"/>
                <w:color w:val="auto"/>
                <w:w w:val="99"/>
              </w:rPr>
              <w:t>Pre-tax adjusted earnings, less net income (loss) attributable to noncontrolling</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6"/>
        </w:trPr>
        <w:tc>
          <w:tcPr>
            <w:tcW w:w="5560" w:type="dxa"/>
            <w:vAlign w:val="bottom"/>
            <w:gridSpan w:val="2"/>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8"/>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Adjusted earnings</w:t>
            </w:r>
          </w:p>
        </w:tc>
        <w:tc>
          <w:tcPr>
            <w:tcW w:w="140" w:type="dxa"/>
            <w:vAlign w:val="bottom"/>
          </w:tcPr>
          <w:p>
            <w:pPr>
              <w:jc w:val="right"/>
              <w:ind w:right="14"/>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2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1"/>
              </w:rPr>
              <w:t>Nine Months Ended September 30, 2021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6"/>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8"/>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Less: GMLB Riders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6"/>
                <w:szCs w:val="16"/>
                <w:color w:val="auto"/>
              </w:rPr>
              <w:t>Less: Net investment gains (losses)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5"/>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42"/>
        </w:trPr>
        <w:tc>
          <w:tcPr>
            <w:tcW w:w="5540" w:type="dxa"/>
            <w:vAlign w:val="bottom"/>
          </w:tcPr>
          <w:p>
            <w:pPr>
              <w:ind w:left="20"/>
              <w:spacing w:after="0" w:line="142" w:lineRule="exact"/>
              <w:rPr>
                <w:sz w:val="20"/>
                <w:szCs w:val="20"/>
                <w:color w:val="auto"/>
              </w:rPr>
            </w:pPr>
            <w:r>
              <w:rPr>
                <w:rFonts w:ascii="Arial" w:cs="Arial" w:eastAsia="Arial" w:hAnsi="Arial"/>
                <w:sz w:val="16"/>
                <w:szCs w:val="16"/>
                <w:color w:val="auto"/>
                <w:w w:val="99"/>
              </w:rPr>
              <w:t>Pre-tax adjusted earnings, less net income (loss) attributable to noncontrolling</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1,312</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06"/>
        </w:trPr>
        <w:tc>
          <w:tcPr>
            <w:tcW w:w="5540" w:type="dxa"/>
            <w:vAlign w:val="bottom"/>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8"/>
        </w:trPr>
        <w:tc>
          <w:tcPr>
            <w:tcW w:w="5540" w:type="dxa"/>
            <w:vAlign w:val="bottom"/>
          </w:tcPr>
          <w:p>
            <w:pPr>
              <w:ind w:left="20"/>
              <w:spacing w:after="0"/>
              <w:rPr>
                <w:sz w:val="20"/>
                <w:szCs w:val="20"/>
                <w:color w:val="auto"/>
              </w:rPr>
            </w:pPr>
            <w:r>
              <w:rPr>
                <w:rFonts w:ascii="Arial" w:cs="Arial" w:eastAsia="Arial" w:hAnsi="Arial"/>
                <w:sz w:val="16"/>
                <w:szCs w:val="16"/>
                <w:color w:val="auto"/>
              </w:rPr>
              <w:t>Adjusted earnings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and Nine Months Ended September 30, 2022 and 2021 — Adjusted Earnings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2,150</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(529)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(593)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(495)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(579)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6"/>
              </w:rPr>
              <w:t>Less: Net income (loss) attributable to noncontrolling interests and preferred stock dividends</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45"/>
        </w:trPr>
        <w:tc>
          <w:tcPr>
            <w:tcW w:w="6320" w:type="dxa"/>
            <w:vAlign w:val="bottom"/>
            <w:shd w:val="clear" w:color="auto" w:fill="CCEEFF"/>
          </w:tcPr>
          <w:p>
            <w:pPr>
              <w:ind w:left="180"/>
              <w:spacing w:after="0" w:line="145" w:lineRule="exact"/>
              <w:rPr>
                <w:sz w:val="20"/>
                <w:szCs w:val="20"/>
                <w:color w:val="auto"/>
              </w:rPr>
            </w:pPr>
            <w:r>
              <w:rPr>
                <w:rFonts w:ascii="Arial" w:cs="Arial" w:eastAsia="Arial" w:hAnsi="Arial"/>
                <w:sz w:val="16"/>
                <w:szCs w:val="16"/>
                <w:color w:val="auto"/>
                <w:w w:val="94"/>
              </w:rPr>
              <w:t>Pre-tax adjusted earnings, less net income (loss) attributable to noncontrolling interests and</w:t>
            </w:r>
          </w:p>
        </w:tc>
        <w:tc>
          <w:tcPr>
            <w:tcW w:w="7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stock dividends</w:t>
            </w:r>
          </w:p>
        </w:tc>
        <w:tc>
          <w:tcPr>
            <w:tcW w:w="74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33"/>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2022 Compared with the Three Months Ended September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$97 million in the current period, a decrease of $353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net investment spread due to:</w:t>
      </w:r>
    </w:p>
    <w:p>
      <w:pPr>
        <w:spacing w:after="0" w:line="111" w:lineRule="exact"/>
        <w:rPr>
          <w:rFonts w:ascii="Arial" w:cs="Arial" w:eastAsia="Arial" w:hAnsi="Arial"/>
          <w:sz w:val="18"/>
          <w:szCs w:val="18"/>
          <w:color w:val="auto"/>
        </w:rPr>
      </w:pPr>
    </w:p>
    <w:p>
      <w:pPr>
        <w:ind w:left="800" w:right="4160" w:firstLine="1"/>
        <w:spacing w:after="0" w:line="368" w:lineRule="auto"/>
        <w:tabs>
          <w:tab w:leader="none" w:pos="1114" w:val="left"/>
        </w:tabs>
        <w:numPr>
          <w:ilvl w:val="1"/>
          <w:numId w:val="33"/>
        </w:numPr>
        <w:rPr>
          <w:rFonts w:ascii="Arial" w:cs="Arial" w:eastAsia="Arial" w:hAnsi="Arial"/>
          <w:sz w:val="18"/>
          <w:szCs w:val="18"/>
          <w:color w:val="auto"/>
        </w:rPr>
      </w:pPr>
      <w:r>
        <w:rPr>
          <w:rFonts w:ascii="Arial" w:cs="Arial" w:eastAsia="Arial" w:hAnsi="Arial"/>
          <w:sz w:val="18"/>
          <w:szCs w:val="18"/>
          <w:color w:val="auto"/>
        </w:rPr>
        <w:t>lower returns on other limited partnerships for the comparative measurement period;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higher average invested long-term assets from funding agreements issued in connection with our institutional spread margin business;</w:t>
      </w:r>
    </w:p>
    <w:p>
      <w:pPr>
        <w:spacing w:after="0" w:line="122" w:lineRule="exact"/>
        <w:rPr>
          <w:rFonts w:ascii="Arial" w:cs="Arial" w:eastAsia="Arial" w:hAnsi="Arial"/>
          <w:sz w:val="17"/>
          <w:szCs w:val="17"/>
          <w:color w:val="auto"/>
        </w:rPr>
      </w:pPr>
    </w:p>
    <w:p>
      <w:pPr>
        <w:ind w:left="800" w:hanging="317"/>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net amortization of DAC and VOBA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 unfavorable impact resulting from changes in assumptions made in connection with the AAR in our Life and Annuities segments;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20" w:hanging="319"/>
        <w:spacing w:after="0" w:line="264" w:lineRule="auto"/>
        <w:tabs>
          <w:tab w:leader="none" w:pos="111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 in our Annuities segment; and</w:t>
      </w:r>
    </w:p>
    <w:p>
      <w:pPr>
        <w:spacing w:after="0" w:line="74" w:lineRule="exact"/>
        <w:rPr>
          <w:rFonts w:ascii="Arial" w:cs="Arial" w:eastAsia="Arial" w:hAnsi="Arial"/>
          <w:sz w:val="18"/>
          <w:szCs w:val="18"/>
          <w:color w:val="auto"/>
        </w:rPr>
      </w:pPr>
    </w:p>
    <w:p>
      <w:pPr>
        <w:ind w:left="800" w:right="180" w:firstLine="1"/>
        <w:spacing w:after="0" w:line="368" w:lineRule="auto"/>
        <w:tabs>
          <w:tab w:leader="none" w:pos="1114"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impact on future gross profits from lower separate account returns and unfavorable equity market performance in our Annuities segment;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 adjustment in the current period related to actuarial model refinements in Corporate &amp; Other;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net fee income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lower asset-based fees resulting from lower average separate account balances, a portion of which is offset in other expenses;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480" w:right="1840" w:firstLine="321"/>
        <w:spacing w:after="0" w:line="368" w:lineRule="auto"/>
        <w:tabs>
          <w:tab w:leader="none" w:pos="1112" w:val="left"/>
        </w:tabs>
        <w:numPr>
          <w:ilvl w:val="1"/>
          <w:numId w:val="35"/>
        </w:numPr>
        <w:rPr>
          <w:rFonts w:ascii="Arial" w:cs="Arial" w:eastAsia="Arial" w:hAnsi="Arial"/>
          <w:sz w:val="18"/>
          <w:szCs w:val="18"/>
          <w:color w:val="auto"/>
        </w:rPr>
      </w:pPr>
      <w:r>
        <w:rPr>
          <w:rFonts w:ascii="Arial" w:cs="Arial" w:eastAsia="Arial" w:hAnsi="Arial"/>
          <w:sz w:val="18"/>
          <w:szCs w:val="18"/>
          <w:color w:val="auto"/>
        </w:rPr>
        <w:t>higher unearned revenue amortization resulting from changes made in connection with the AAR in our Life segment. Key net favorable impacts were:</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35"/>
        </w:numPr>
        <w:rPr>
          <w:rFonts w:ascii="Arial" w:cs="Arial" w:eastAsia="Arial" w:hAnsi="Arial"/>
          <w:sz w:val="18"/>
          <w:szCs w:val="18"/>
          <w:color w:val="auto"/>
        </w:rPr>
      </w:pPr>
      <w:r>
        <w:rPr>
          <w:rFonts w:ascii="Arial" w:cs="Arial" w:eastAsia="Arial" w:hAnsi="Arial"/>
          <w:sz w:val="18"/>
          <w:szCs w:val="18"/>
          <w:color w:val="auto"/>
        </w:rPr>
        <w:t>lower asset-based variable annuity expenses resulting from lower average separate account balances, a portion of which is offset in fee income; and</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lower transition services agreement expenses;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net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5"/>
        </w:numPr>
        <w:rPr>
          <w:rFonts w:ascii="Arial" w:cs="Arial" w:eastAsia="Arial" w:hAnsi="Arial"/>
          <w:sz w:val="15"/>
          <w:szCs w:val="15"/>
          <w:color w:val="auto"/>
        </w:rPr>
      </w:pPr>
      <w:r>
        <w:rPr>
          <w:rFonts w:ascii="Arial" w:cs="Arial" w:eastAsia="Arial" w:hAnsi="Arial"/>
          <w:sz w:val="15"/>
          <w:szCs w:val="15"/>
          <w:color w:val="auto"/>
        </w:rPr>
        <w:t>a net decrease in liability balances resulting from changes made in connection with the AAR in our Run-off and Annuities segments; and</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 adjustment in the current period related to actuarial model refinements in Corporate &amp; Other;</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increase in guaranteed minimum death benefit (“GMDB”) liabilities resulting from unfavorable equity market performance; and</w:t>
      </w:r>
    </w:p>
    <w:p>
      <w:pPr>
        <w:spacing w:after="0" w:line="122" w:lineRule="exact"/>
        <w:rPr>
          <w:rFonts w:ascii="Arial" w:cs="Arial" w:eastAsia="Arial" w:hAnsi="Arial"/>
          <w:sz w:val="17"/>
          <w:szCs w:val="17"/>
          <w:color w:val="auto"/>
        </w:rPr>
      </w:pPr>
    </w:p>
    <w:p>
      <w:pPr>
        <w:ind w:left="1120" w:hanging="319"/>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paid claims, net of reinsurance, in our Annuities, Run-off and Life segments.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13% in the current period compared to 21% in the prior period. Our effective tax rate differs from the statutory tax rate primarily due to the impacts of the dividends received deduction, tax credits and current period non-recurring items.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2022 Compared with the Nine Months Ended September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$415 million in the current period, a decrease of $855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net investment spread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lower returns on other limited partnerships for the comparative measurement period; and</w:t>
      </w:r>
    </w:p>
    <w:p>
      <w:pPr>
        <w:spacing w:after="0" w:line="11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37"/>
        </w:numPr>
        <w:rPr>
          <w:rFonts w:ascii="Arial" w:cs="Arial" w:eastAsia="Arial" w:hAnsi="Arial"/>
          <w:sz w:val="18"/>
          <w:szCs w:val="18"/>
          <w:color w:val="auto"/>
        </w:rPr>
      </w:pPr>
      <w:r>
        <w:rPr>
          <w:rFonts w:ascii="Arial" w:cs="Arial" w:eastAsia="Arial" w:hAnsi="Arial"/>
          <w:sz w:val="18"/>
          <w:szCs w:val="18"/>
          <w:color w:val="auto"/>
        </w:rPr>
        <w:t>lower investment yields on our fixed income portfolio, as proceeds from maturing investments and the growth in the investment portfolio were invested at lower yields than the portfolio average;</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higher average invested long-term assets from funding agreements issued in connection with our institutional spread margin business; and</w:t>
      </w:r>
    </w:p>
    <w:p>
      <w:pPr>
        <w:spacing w:after="0" w:line="149" w:lineRule="exact"/>
        <w:rPr>
          <w:rFonts w:ascii="Arial" w:cs="Arial" w:eastAsia="Arial" w:hAnsi="Arial"/>
          <w:sz w:val="15"/>
          <w:szCs w:val="15"/>
          <w:color w:val="auto"/>
        </w:rPr>
      </w:pPr>
    </w:p>
    <w:p>
      <w:pPr>
        <w:ind w:left="1120" w:hanging="319"/>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returns on real estate limited partnerships and LLC</w:t>
      </w:r>
      <w:r>
        <w:rPr>
          <w:rFonts w:ascii="Arial" w:cs="Arial" w:eastAsia="Arial" w:hAnsi="Arial"/>
          <w:sz w:val="21"/>
          <w:szCs w:val="21"/>
          <w:color w:val="auto"/>
        </w:rPr>
        <w: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hanging="317"/>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net fee income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lower asset-based fees resulting from lower average separate account balances, a portion of which is offset in other expenses;</w:t>
      </w:r>
    </w:p>
    <w:p>
      <w:pPr>
        <w:spacing w:after="0" w:line="111"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higher ceded cost of insurance fees consistent with unfavorable equity market returns in our Life segment, which is mostly offset in other expenses; and</w:t>
      </w:r>
    </w:p>
    <w:p>
      <w:pPr>
        <w:spacing w:after="0" w:line="74" w:lineRule="exact"/>
        <w:rPr>
          <w:rFonts w:ascii="Arial" w:cs="Arial" w:eastAsia="Arial" w:hAnsi="Arial"/>
          <w:sz w:val="18"/>
          <w:szCs w:val="18"/>
          <w:color w:val="auto"/>
        </w:rPr>
      </w:pPr>
    </w:p>
    <w:p>
      <w:pPr>
        <w:ind w:left="800" w:right="600" w:firstLine="1"/>
        <w:spacing w:after="0" w:line="368" w:lineRule="auto"/>
        <w:tabs>
          <w:tab w:leader="none" w:pos="111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 in our Life segment;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higher unearned revenue amortization resulting from changes made in connection with the AAR in our Life segment;</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net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net increase in GMDB liabilities resulting from unfavorable equity market performance;</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higher paid claims, net of reinsurance, in our Annuities, Run-off and Life segments;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higher liabilities in our ULSG business from the impact of new reinsurance agreements entered into in the current period;</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 net decrease in liability balances resulting from changes made in connection with the AAR in our Run-off and Annuities segments;</w:t>
      </w:r>
    </w:p>
    <w:p>
      <w:pPr>
        <w:spacing w:after="0" w:line="122" w:lineRule="exact"/>
        <w:rPr>
          <w:rFonts w:ascii="Arial" w:cs="Arial" w:eastAsia="Arial" w:hAnsi="Arial"/>
          <w:sz w:val="17"/>
          <w:szCs w:val="17"/>
          <w:color w:val="auto"/>
        </w:rPr>
      </w:pPr>
    </w:p>
    <w:p>
      <w:pPr>
        <w:ind w:left="1120" w:hanging="319"/>
        <w:spacing w:after="0"/>
        <w:tabs>
          <w:tab w:leader="none" w:pos="1120" w:val="left"/>
        </w:tabs>
        <w:numPr>
          <w:ilvl w:val="1"/>
          <w:numId w:val="40"/>
        </w:numPr>
        <w:rPr>
          <w:rFonts w:ascii="Arial" w:cs="Arial" w:eastAsia="Arial" w:hAnsi="Arial"/>
          <w:sz w:val="15"/>
          <w:szCs w:val="15"/>
          <w:color w:val="auto"/>
        </w:rPr>
      </w:pPr>
      <w:r>
        <w:rPr>
          <w:rFonts w:ascii="Arial" w:cs="Arial" w:eastAsia="Arial" w:hAnsi="Arial"/>
          <w:sz w:val="15"/>
          <w:szCs w:val="15"/>
          <w:color w:val="auto"/>
        </w:rPr>
        <w:t>an adjustment in the prior period related to modeling improvements resulting from an actuarial system conversion in our Run-off segment; and</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 adjustment in the current period related to actuarial model refinements in Corporate &amp; Other;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net amortization of DAC and VOBA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impact on future gross profits from lower separate account returns and unfavorable equity market performance;</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0"/>
        </w:numPr>
        <w:rPr>
          <w:rFonts w:ascii="Arial" w:cs="Arial" w:eastAsia="Arial" w:hAnsi="Arial"/>
          <w:sz w:val="15"/>
          <w:szCs w:val="15"/>
          <w:color w:val="auto"/>
        </w:rPr>
      </w:pPr>
      <w:r>
        <w:rPr>
          <w:rFonts w:ascii="Arial" w:cs="Arial" w:eastAsia="Arial" w:hAnsi="Arial"/>
          <w:sz w:val="15"/>
          <w:szCs w:val="15"/>
          <w:color w:val="auto"/>
        </w:rPr>
        <w:t>an unfavorable impact resulting from changes in assumptions made in connection with the AAR in our Life and Annuities segments; and</w:t>
      </w:r>
    </w:p>
    <w:p>
      <w:pPr>
        <w:spacing w:after="0" w:line="145" w:lineRule="exact"/>
        <w:rPr>
          <w:rFonts w:ascii="Arial" w:cs="Arial" w:eastAsia="Arial" w:hAnsi="Arial"/>
          <w:sz w:val="15"/>
          <w:szCs w:val="15"/>
          <w:color w:val="auto"/>
        </w:rPr>
      </w:pPr>
    </w:p>
    <w:p>
      <w:pPr>
        <w:ind w:left="800" w:right="200" w:firstLine="1"/>
        <w:spacing w:after="0" w:line="368" w:lineRule="auto"/>
        <w:tabs>
          <w:tab w:leader="none" w:pos="111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 in our Annuities segment;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 adjustment in the current period related to actuarial model refinements in Corporate &amp; Other.</w:t>
      </w:r>
    </w:p>
    <w:p>
      <w:pPr>
        <w:spacing w:after="0" w:line="200" w:lineRule="exact"/>
        <w:rPr>
          <w:sz w:val="20"/>
          <w:szCs w:val="20"/>
          <w:color w:val="auto"/>
        </w:rPr>
      </w:pPr>
    </w:p>
    <w:p>
      <w:pPr>
        <w:spacing w:after="0" w:line="229" w:lineRule="exact"/>
        <w:rPr>
          <w:sz w:val="20"/>
          <w:szCs w:val="20"/>
          <w:color w:val="auto"/>
        </w:rPr>
      </w:pPr>
    </w:p>
    <w:p>
      <w:pPr>
        <w:ind w:left="800" w:hanging="317"/>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right="20" w:hanging="319"/>
        <w:spacing w:after="0" w:line="264" w:lineRule="auto"/>
        <w:tabs>
          <w:tab w:leader="none" w:pos="1116" w:val="left"/>
        </w:tabs>
        <w:numPr>
          <w:ilvl w:val="1"/>
          <w:numId w:val="41"/>
        </w:numPr>
        <w:rPr>
          <w:rFonts w:ascii="Arial" w:cs="Arial" w:eastAsia="Arial" w:hAnsi="Arial"/>
          <w:sz w:val="18"/>
          <w:szCs w:val="18"/>
          <w:color w:val="auto"/>
        </w:rPr>
      </w:pPr>
      <w:r>
        <w:rPr>
          <w:rFonts w:ascii="Arial" w:cs="Arial" w:eastAsia="Arial" w:hAnsi="Arial"/>
          <w:sz w:val="18"/>
          <w:szCs w:val="18"/>
          <w:color w:val="auto"/>
        </w:rPr>
        <w:t>lower asset-based variable annuity expenses resulting from lower average separate account balances, a portion of which is mostly offset in fee income;</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41"/>
        </w:numPr>
        <w:rPr>
          <w:rFonts w:ascii="Arial" w:cs="Arial" w:eastAsia="Arial" w:hAnsi="Arial"/>
          <w:sz w:val="15"/>
          <w:szCs w:val="15"/>
          <w:color w:val="auto"/>
        </w:rPr>
      </w:pPr>
      <w:r>
        <w:rPr>
          <w:rFonts w:ascii="Arial" w:cs="Arial" w:eastAsia="Arial" w:hAnsi="Arial"/>
          <w:sz w:val="15"/>
          <w:szCs w:val="15"/>
          <w:color w:val="auto"/>
        </w:rPr>
        <w:t>higher ceded cost of insurance expenses consistent with unfavorable equity market returns in our Life segment, which is offset in fee income;</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lower transition services agreement expenses;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lower deferred compensation and operational expenses;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settlement of a reinsurance-related matter in the current period.</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14% in the current period compared to 19% in the prior period. Our effective tax rate differs from the statutory tax rate primarily due to the impacts of the dividends received deduction, tax credits and current period non-recurring items.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Segments and Corporate &amp; Other Results for the Three Months and Nine Months Ended September 30, 2022 and 2021 — Adjusted Earnings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Annuities segment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9"/>
              </w:rPr>
              <w:t>2021</w:t>
            </w:r>
          </w:p>
        </w:tc>
      </w:tr>
      <w:tr>
        <w:trPr>
          <w:trHeight w:val="191"/>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857</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(370)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(177)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(345)</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(415)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r>
      <w:tr>
        <w:trPr>
          <w:trHeight w:val="203"/>
        </w:trPr>
        <w:tc>
          <w:tcPr>
            <w:tcW w:w="63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1,312</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w:t>
            </w: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 significant portion of our adjusted earnings is driven by separate account balances related to our variable annuity business. Most directly, these balances determine asset-based fee income, but they also impact DAC amortization and asset-based commissions. The changes in our variable annuities separate account balances are presented in the table below. Variable annuities separate account balances decreased for the three months and the nine months ended September 30, 2022, driven by unfavorable investment performance, negative net flows and policy charges.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3"/>
                <w:szCs w:val="13"/>
                <w:color w:val="auto"/>
              </w:rPr>
            </w:pPr>
          </w:p>
        </w:tc>
        <w:tc>
          <w:tcPr>
            <w:tcW w:w="1700" w:type="dxa"/>
            <w:vAlign w:val="bottom"/>
          </w:tcPr>
          <w:p>
            <w:pPr>
              <w:jc w:val="right"/>
              <w:ind w:right="26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September 30, 2022 (1)</w:t>
            </w: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4"/>
              </w:rPr>
              <w:t>September 30, 2022 (1)</w:t>
            </w:r>
          </w:p>
        </w:tc>
        <w:tc>
          <w:tcPr>
            <w:tcW w:w="0" w:type="dxa"/>
            <w:vAlign w:val="bottom"/>
          </w:tcPr>
          <w:p>
            <w:pPr>
              <w:spacing w:after="0"/>
              <w:rPr>
                <w:sz w:val="1"/>
                <w:szCs w:val="1"/>
                <w:color w:val="auto"/>
              </w:rPr>
            </w:pPr>
          </w:p>
        </w:tc>
      </w:tr>
      <w:tr>
        <w:trPr>
          <w:trHeight w:val="191"/>
        </w:trPr>
        <w:tc>
          <w:tcPr>
            <w:tcW w:w="7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gridSpan w:val="4"/>
          </w:tcPr>
          <w:p>
            <w:pPr>
              <w:jc w:val="right"/>
              <w:ind w:right="148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105,197</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color w:val="auto"/>
              </w:rPr>
              <w:t>Premiums and deposits</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Withdrawals, surrenders and contract benefits</w:t>
            </w: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(5,746)</w:t>
            </w:r>
          </w:p>
        </w:tc>
        <w:tc>
          <w:tcPr>
            <w:tcW w:w="0" w:type="dxa"/>
            <w:vAlign w:val="bottom"/>
          </w:tcPr>
          <w:p>
            <w:pPr>
              <w:spacing w:after="0"/>
              <w:rPr>
                <w:sz w:val="1"/>
                <w:szCs w:val="1"/>
                <w:color w:val="auto"/>
              </w:rPr>
            </w:pPr>
          </w:p>
        </w:tc>
      </w:tr>
      <w:tr>
        <w:trPr>
          <w:trHeight w:val="203"/>
        </w:trPr>
        <w:tc>
          <w:tcPr>
            <w:tcW w:w="7380" w:type="dxa"/>
            <w:vAlign w:val="bottom"/>
          </w:tcPr>
          <w:p>
            <w:pPr>
              <w:ind w:left="180"/>
              <w:spacing w:after="0"/>
              <w:rPr>
                <w:sz w:val="20"/>
                <w:szCs w:val="20"/>
                <w:color w:val="auto"/>
              </w:rPr>
            </w:pPr>
            <w:r>
              <w:rPr>
                <w:rFonts w:ascii="Arial" w:cs="Arial" w:eastAsia="Arial" w:hAnsi="Arial"/>
                <w:sz w:val="16"/>
                <w:szCs w:val="16"/>
                <w:color w:val="auto"/>
              </w:rPr>
              <w:t>Net flows</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(4,700)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performance</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(23,515)</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color w:val="auto"/>
              </w:rPr>
              <w:t>Policy charges</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(1,753)</w:t>
            </w:r>
          </w:p>
        </w:tc>
        <w:tc>
          <w:tcPr>
            <w:tcW w:w="0" w:type="dxa"/>
            <w:vAlign w:val="bottom"/>
          </w:tcPr>
          <w:p>
            <w:pPr>
              <w:spacing w:after="0"/>
              <w:rPr>
                <w:sz w:val="1"/>
                <w:szCs w:val="1"/>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transfers from (to) general account</w:t>
            </w: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75,055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75,055</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Arial" w:cs="Arial" w:eastAsia="Arial" w:hAnsi="Arial"/>
                <w:sz w:val="16"/>
                <w:szCs w:val="16"/>
                <w:color w:val="auto"/>
              </w:rPr>
              <w:t>Average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82,597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89,272</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3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(1) Includes income annuities for which separate account balances at September 30, 2022 were $137 million.</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2022 Compared with the Three Months Ended September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$125 million in the current period, a decrease of $260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line="365" w:lineRule="auto"/>
        <w:tabs>
          <w:tab w:leader="none" w:pos="1130" w:val="left"/>
        </w:tabs>
        <w:numPr>
          <w:ilvl w:val="1"/>
          <w:numId w:val="43"/>
        </w:numPr>
        <w:rPr>
          <w:rFonts w:ascii="Arial" w:cs="Arial" w:eastAsia="Arial" w:hAnsi="Arial"/>
          <w:sz w:val="15"/>
          <w:szCs w:val="15"/>
          <w:color w:val="auto"/>
        </w:rPr>
      </w:pPr>
      <w:r>
        <w:rPr>
          <w:rFonts w:ascii="Arial" w:cs="Arial" w:eastAsia="Arial" w:hAnsi="Arial"/>
          <w:sz w:val="15"/>
          <w:szCs w:val="15"/>
          <w:color w:val="auto"/>
        </w:rPr>
        <w:t>an increase in GMDB liabilities, partially offset by a favorable adjustment to deferred sales inducements (“DSI”), resulting primarily from changes in policyholder behavior and capital markets assumptions, as well as model refinements made in connection with the AAR;</w:t>
      </w:r>
    </w:p>
    <w:p>
      <w:pPr>
        <w:spacing w:after="0" w:line="5" w:lineRule="exact"/>
        <w:rPr>
          <w:rFonts w:ascii="Arial" w:cs="Arial" w:eastAsia="Arial" w:hAnsi="Arial"/>
          <w:sz w:val="15"/>
          <w:szCs w:val="15"/>
          <w:color w:val="auto"/>
        </w:rPr>
      </w:pPr>
    </w:p>
    <w:p>
      <w:pPr>
        <w:ind w:left="1120" w:hanging="319"/>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increase in GMDB liabilities resulting from unfavorable equity market performance;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higher severity of GMDB claims;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hanging="317"/>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lower asset-based fees resulting from lower average separate account balances, a portion of which is offset in other expenses;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amortization of DAC and VOBA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impact on future gross profits from lower separate account returns and unfavorable equity market performance; and</w:t>
      </w:r>
    </w:p>
    <w:p>
      <w:pPr>
        <w:spacing w:after="0" w:line="111" w:lineRule="exact"/>
        <w:rPr>
          <w:rFonts w:ascii="Arial" w:cs="Arial" w:eastAsia="Arial" w:hAnsi="Arial"/>
          <w:sz w:val="18"/>
          <w:szCs w:val="18"/>
          <w:color w:val="auto"/>
        </w:rPr>
      </w:pPr>
    </w:p>
    <w:p>
      <w:pPr>
        <w:ind w:left="1120" w:hanging="319"/>
        <w:spacing w:after="0" w:line="264" w:lineRule="auto"/>
        <w:tabs>
          <w:tab w:leader="none" w:pos="115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 unfavorable impact resulting primarily from changes in policyholder behavior and capital markets assumptions, as well as model refinements made in connection with the AAR.</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hanging="31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5"/>
        </w:numPr>
        <w:rPr>
          <w:rFonts w:ascii="Arial" w:cs="Arial" w:eastAsia="Arial" w:hAnsi="Arial"/>
          <w:sz w:val="15"/>
          <w:szCs w:val="15"/>
          <w:color w:val="auto"/>
        </w:rPr>
      </w:pPr>
      <w:r>
        <w:rPr>
          <w:rFonts w:ascii="Arial" w:cs="Arial" w:eastAsia="Arial" w:hAnsi="Arial"/>
          <w:sz w:val="15"/>
          <w:szCs w:val="15"/>
          <w:color w:val="auto"/>
        </w:rPr>
        <w:t>lower asset-based variable annuity expenses resulting from lower average separate account balances, a portion of which is offset in fee income;</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lower transition services agreement expenses;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lower deferred compensation expenses.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16% in the current period compared to 20% in the prior period. Our effective tax rate differs from the statutory tax rate primarily due to the impacts of the dividends received deduction.</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2022 Compared with the Nine Months Ended September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$640 million in the current period, a decrease of $419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net increase in GMDB liabilities resulting from unfavorable equity market performance;</w:t>
      </w:r>
    </w:p>
    <w:p>
      <w:pPr>
        <w:spacing w:after="0" w:line="11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 increase in GMDB liabilities, partially offset by a favorable adjustment to DSI, resulting primarily from changes in policyholder behavior and capital markets assumptions, as well as model refinements made in connection with the AAR; and</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higher volume and severity of GMDB claims;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lower asset-based fees resulting from lower average separate account balances, a portion of which is offset in other expenses;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amortization of DAC and VOBA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impact on future gross profits from lower separate account returns and unfavorable equity market performance;</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 and</w:t>
      </w:r>
    </w:p>
    <w:p>
      <w:pPr>
        <w:spacing w:after="0" w:line="111" w:lineRule="exact"/>
        <w:rPr>
          <w:rFonts w:ascii="Arial" w:cs="Arial" w:eastAsia="Arial" w:hAnsi="Arial"/>
          <w:sz w:val="18"/>
          <w:szCs w:val="18"/>
          <w:color w:val="auto"/>
        </w:rPr>
      </w:pPr>
    </w:p>
    <w:p>
      <w:pPr>
        <w:ind w:left="1120" w:hanging="319"/>
        <w:spacing w:after="0" w:line="264" w:lineRule="auto"/>
        <w:tabs>
          <w:tab w:leader="none" w:pos="115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 unfavorable impact resulting primarily from changes in policyholder behavior and capital markets assumptions, as well as model refinements made in connection with the AAR.</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hanging="317"/>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lower asset-based variable annuity expenses resulting from lower average separate account balances, a portion of which is offset in fee income;</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lower transition services agreement expenses;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lower deferred compensation expenses.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18% in the current period compared to 19% in the prior period. Our effective tax rate differs from the statutory tax rate primarily due to the impact of the dividends received deduction.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Life segment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20" w:type="dxa"/>
            <w:vAlign w:val="bottom"/>
            <w:gridSpan w:val="4"/>
          </w:tcPr>
          <w:p>
            <w:pPr>
              <w:jc w:val="right"/>
              <w:ind w:right="107"/>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9"/>
              </w:rPr>
              <w:t>2021</w:t>
            </w:r>
          </w:p>
        </w:tc>
      </w:tr>
      <w:tr>
        <w:trPr>
          <w:trHeight w:val="191"/>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03"/>
        </w:trPr>
        <w:tc>
          <w:tcPr>
            <w:tcW w:w="63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2022 Compared with the Three Months Ended September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$7 million in the current period, a decrease of $117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lower net investment spread due to lower returns on other limited partnerships for the comparative measurement period;</w:t>
      </w:r>
    </w:p>
    <w:p>
      <w:pPr>
        <w:spacing w:after="0" w:line="111"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amortization of DAC and VOBA resulting primarily from changes in policyholder behavior and capital markets assumptions, as well as model refinements made in connection with the AAR;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 higher paid claims, net of reinsurance.</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hanging="317"/>
        <w:spacing w:after="0" w:line="264" w:lineRule="auto"/>
        <w:tabs>
          <w:tab w:leader="none" w:pos="7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fee income due to higher unearned revenue amortization resulting primarily from changes in policyholder behavior assumptions made in connection with the AAR.</w:t>
      </w:r>
    </w:p>
    <w:p>
      <w:pPr>
        <w:spacing w:after="0" w:line="75" w:lineRule="exact"/>
        <w:rPr>
          <w:sz w:val="20"/>
          <w:szCs w:val="20"/>
          <w:color w:val="auto"/>
        </w:rPr>
      </w:pPr>
    </w:p>
    <w:p>
      <w:pPr>
        <w:ind w:left="160" w:firstLine="318"/>
        <w:spacing w:after="0" w:line="294" w:lineRule="auto"/>
        <w:rPr>
          <w:sz w:val="20"/>
          <w:szCs w:val="20"/>
          <w:color w:val="auto"/>
        </w:rPr>
      </w:pPr>
      <w:r>
        <w:rPr>
          <w:rFonts w:ascii="Arial" w:cs="Arial" w:eastAsia="Arial" w:hAnsi="Arial"/>
          <w:sz w:val="17"/>
          <w:szCs w:val="17"/>
          <w:color w:val="auto"/>
        </w:rPr>
        <w:t>The provision for income tax, expressed as a percentage of pre-tax adjusted earnings, resulted in an effective tax rate of 22% in both the current and prior periods. Our effective tax rate differs from the statutory tax rate primarily due to the impact of the dividends received deduction.</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2022 Compared with the Nine Months Ended September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$42 million in the current period, a decrease of $178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lower net investment spread due to lower returns on other limited partnerships for the comparative measurement period;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lower net fee income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higher ceded cost of insurance fees consistent with unfavorable equity market returns, which is mostly offset in other expenses;</w:t>
      </w:r>
    </w:p>
    <w:p>
      <w:pPr>
        <w:spacing w:after="0" w:line="122" w:lineRule="exact"/>
        <w:rPr>
          <w:rFonts w:ascii="Arial" w:cs="Arial" w:eastAsia="Arial" w:hAnsi="Arial"/>
          <w:sz w:val="17"/>
          <w:szCs w:val="17"/>
          <w:color w:val="auto"/>
        </w:rPr>
      </w:pPr>
    </w:p>
    <w:p>
      <w:pPr>
        <w:ind w:left="1120" w:hanging="319"/>
        <w:spacing w:after="0"/>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higher ceded cost of insurance fees resulting from new reinsurance agreements entered into in the current period;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line="264" w:lineRule="auto"/>
        <w:tabs>
          <w:tab w:leader="none" w:pos="1130" w:val="left"/>
        </w:tabs>
        <w:numPr>
          <w:ilvl w:val="1"/>
          <w:numId w:val="51"/>
        </w:numPr>
        <w:rPr>
          <w:rFonts w:ascii="Arial" w:cs="Arial" w:eastAsia="Arial" w:hAnsi="Arial"/>
          <w:sz w:val="18"/>
          <w:szCs w:val="18"/>
          <w:color w:val="auto"/>
        </w:rPr>
      </w:pPr>
      <w:r>
        <w:rPr>
          <w:rFonts w:ascii="Arial" w:cs="Arial" w:eastAsia="Arial" w:hAnsi="Arial"/>
          <w:sz w:val="18"/>
          <w:szCs w:val="18"/>
          <w:color w:val="auto"/>
        </w:rPr>
        <w:t>higher unearned revenue amortization resulting primarily from changes in policyholder behavior assumptions made in connection with the AAR;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amortization of DAC and VOBA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5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 unfavorable impact resulting primarily from changes in policyholder behavior and capital markets assumptions, as well as model refinements made in connection with the AAR; and</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impact on gross profits from lower separate account returns;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480" w:right="2040" w:firstLine="321"/>
        <w:spacing w:after="0" w:line="368" w:lineRule="auto"/>
        <w:tabs>
          <w:tab w:leader="none" w:pos="1112"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 Key favorable impacts were:</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higher ceded cost of insurance expenses consistent with unfavorable equity market returns, which is mostly offset in fee income;</w:t>
      </w:r>
    </w:p>
    <w:p>
      <w:pPr>
        <w:spacing w:after="0" w:line="122" w:lineRule="exact"/>
        <w:rPr>
          <w:rFonts w:ascii="Arial" w:cs="Arial" w:eastAsia="Arial" w:hAnsi="Arial"/>
          <w:sz w:val="17"/>
          <w:szCs w:val="17"/>
          <w:color w:val="auto"/>
        </w:rPr>
      </w:pPr>
    </w:p>
    <w:p>
      <w:pPr>
        <w:ind w:left="1120" w:hanging="319"/>
        <w:spacing w:after="0"/>
        <w:tabs>
          <w:tab w:leader="none" w:pos="11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lower transition services agreement expenses;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lower deferred compensation and operational expenses.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18% in the current period compared to 21% in the prior period. Our effective tax rate differs from the statutory tax rate primarily due to the impact of the dividends received deduction.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Run-off segment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9"/>
              </w:rPr>
              <w:t>2021</w:t>
            </w:r>
          </w:p>
        </w:tc>
      </w:tr>
      <w:tr>
        <w:trPr>
          <w:trHeight w:val="191"/>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961</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03"/>
        </w:trPr>
        <w:tc>
          <w:tcPr>
            <w:tcW w:w="63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2022 Compared with the Three Months Ended September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$21 million in the current period, a decrease of $59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 was:</w:t>
      </w:r>
    </w:p>
    <w:p>
      <w:pPr>
        <w:spacing w:after="0" w:line="111" w:lineRule="exact"/>
        <w:rPr>
          <w:sz w:val="20"/>
          <w:szCs w:val="20"/>
          <w:color w:val="auto"/>
        </w:rPr>
      </w:pPr>
    </w:p>
    <w:p>
      <w:pPr>
        <w:ind w:left="480" w:right="1960" w:firstLine="3"/>
        <w:spacing w:after="0" w:line="368" w:lineRule="auto"/>
        <w:tabs>
          <w:tab w:leader="none" w:pos="793"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net investment spread due to lower returns on other limited partnerships for the comparative measurement period. Key net favorable impacts were:</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net costs associated with insurance-related activities, primarily in our ULSG business,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53"/>
        </w:numPr>
        <w:rPr>
          <w:rFonts w:ascii="Arial" w:cs="Arial" w:eastAsia="Arial" w:hAnsi="Arial"/>
          <w:sz w:val="18"/>
          <w:szCs w:val="18"/>
          <w:color w:val="auto"/>
        </w:rPr>
      </w:pPr>
      <w:r>
        <w:rPr>
          <w:rFonts w:ascii="Arial" w:cs="Arial" w:eastAsia="Arial" w:hAnsi="Arial"/>
          <w:sz w:val="18"/>
          <w:szCs w:val="18"/>
          <w:color w:val="auto"/>
        </w:rPr>
        <w:t>a decrease in liability balances resulting primarily from changes in policyholder behavior and capital markets assumptions, as well as model refinements made in connection with the AAR;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higher paid claims, net of reinsurance; and</w:t>
      </w:r>
    </w:p>
    <w:p>
      <w:pPr>
        <w:spacing w:after="0" w:line="111" w:lineRule="exact"/>
        <w:rPr>
          <w:sz w:val="20"/>
          <w:szCs w:val="20"/>
          <w:color w:val="auto"/>
        </w:rPr>
      </w:pPr>
    </w:p>
    <w:p>
      <w:pPr>
        <w:ind w:left="800" w:hanging="317"/>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lower other expenses primarily due to lower transition services agreement expenses.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22% in the current period compared to 10% in the prior period. Our effective tax rate differs from the statutory tax rate primarily due to the impact of the dividends received deduction.</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2022 Compared with the Nine Months Ended September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$169 million in the current period, a decrease of $405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lower net investment spread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lower returns on other limited partnerships for the comparative measurement period; and</w:t>
      </w:r>
    </w:p>
    <w:p>
      <w:pPr>
        <w:spacing w:after="0" w:line="11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55"/>
        </w:numPr>
        <w:rPr>
          <w:rFonts w:ascii="Arial" w:cs="Arial" w:eastAsia="Arial" w:hAnsi="Arial"/>
          <w:sz w:val="18"/>
          <w:szCs w:val="18"/>
          <w:color w:val="auto"/>
        </w:rPr>
      </w:pPr>
      <w:r>
        <w:rPr>
          <w:rFonts w:ascii="Arial" w:cs="Arial" w:eastAsia="Arial" w:hAnsi="Arial"/>
          <w:sz w:val="18"/>
          <w:szCs w:val="18"/>
          <w:color w:val="auto"/>
        </w:rPr>
        <w:t>lower investment yields on our fixed income portfolio, as proceeds from maturing investments and the growth in the investment portfolio were invested at lower yields than the portfolio average;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higher other expenses due to the settlement of a reinsurance-related matter in the current period.</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net costs associated with insurance-related activities, primarily in our ULSG business,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decrease in liability balances resulting primarily from changes in policyholder behavior and capital markets assumptions, as well as model refinements made in connection with the AAR; and</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higher liabilities from the impact of new reinsurance agreements on certain ULSG business entered into in the current period; and</w:t>
      </w:r>
    </w:p>
    <w:p>
      <w:pPr>
        <w:spacing w:after="0" w:line="122" w:lineRule="exact"/>
        <w:rPr>
          <w:rFonts w:ascii="Arial" w:cs="Arial" w:eastAsia="Arial" w:hAnsi="Arial"/>
          <w:sz w:val="17"/>
          <w:szCs w:val="17"/>
          <w:color w:val="auto"/>
        </w:rPr>
      </w:pPr>
    </w:p>
    <w:p>
      <w:pPr>
        <w:ind w:left="1120" w:hanging="319"/>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higher paid claims, net of reinsurance.</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21% in the current period compared to 12% in the prior period. Our effective tax rate differs from the statutory tax rate primarily due to the impact of the dividends received deduction.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Corporate &amp; Other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20" w:type="dxa"/>
            <w:vAlign w:val="bottom"/>
            <w:gridSpan w:val="4"/>
          </w:tcPr>
          <w:p>
            <w:pPr>
              <w:jc w:val="right"/>
              <w:ind w:right="107"/>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6"/>
              </w:rPr>
              <w:t>Less: Net income (loss) attributable to noncontrolling interests and preferred stock dividends</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45"/>
        </w:trPr>
        <w:tc>
          <w:tcPr>
            <w:tcW w:w="6320" w:type="dxa"/>
            <w:vAlign w:val="bottom"/>
            <w:shd w:val="clear" w:color="auto" w:fill="CCEEFF"/>
          </w:tcPr>
          <w:p>
            <w:pPr>
              <w:ind w:left="100"/>
              <w:spacing w:after="0" w:line="145" w:lineRule="exact"/>
              <w:rPr>
                <w:sz w:val="20"/>
                <w:szCs w:val="20"/>
                <w:color w:val="auto"/>
              </w:rPr>
            </w:pPr>
            <w:r>
              <w:rPr>
                <w:rFonts w:ascii="Arial" w:cs="Arial" w:eastAsia="Arial" w:hAnsi="Arial"/>
                <w:sz w:val="16"/>
                <w:szCs w:val="16"/>
                <w:color w:val="auto"/>
                <w:w w:val="95"/>
              </w:rPr>
              <w:t>Pre-tax adjusted earnings, less net income (loss) attributable to noncontrolling interests and</w:t>
            </w:r>
          </w:p>
        </w:tc>
        <w:tc>
          <w:tcPr>
            <w:tcW w:w="7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preferred stock dividends</w:t>
            </w:r>
          </w:p>
        </w:tc>
        <w:tc>
          <w:tcPr>
            <w:tcW w:w="74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2022 Compared with the Three Months Ended September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$0 in the current period, an increase of $83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right="20" w:hanging="317"/>
        <w:spacing w:after="0" w:line="264" w:lineRule="auto"/>
        <w:tabs>
          <w:tab w:leader="none" w:pos="7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higher net investment spread due to higher average invested long-term assets from funding agreements issued in connection with our institutional spread margin business;</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lower costs associated with insurance-related activities due to an adjustment in the current period related to actuarial model refinements;</w:t>
      </w:r>
    </w:p>
    <w:p>
      <w:pPr>
        <w:spacing w:after="0" w:line="122" w:lineRule="exact"/>
        <w:rPr>
          <w:rFonts w:ascii="Arial" w:cs="Arial" w:eastAsia="Arial" w:hAnsi="Arial"/>
          <w:sz w:val="17"/>
          <w:szCs w:val="17"/>
          <w:color w:val="auto"/>
        </w:rPr>
      </w:pPr>
    </w:p>
    <w:p>
      <w:pPr>
        <w:ind w:left="800" w:hanging="317"/>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lower amortization of DAC and VOBA due to an adjustment in the current period related to actuarial model refinements;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lower other expenses due to lower establishment costs.</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13% in the current period compared to 6% in the prior period. Our effective tax rate differs from the statutory tax rate primarily due to the impacts of the dividends received deduction, tax credits and current period non-recurring items.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2022 Compared with the Nine Months Ended September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$98 million in the current period, a lower loss of $147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right="20" w:hanging="317"/>
        <w:spacing w:after="0" w:line="264" w:lineRule="auto"/>
        <w:tabs>
          <w:tab w:leader="none" w:pos="7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higher net investment spread due to higher average invested long-term assets from funding agreements issued in connection with our institutional spread margin business;</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lower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 adjustment in the current period related to actuarial model refinements;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lower paid claims, net of reinsurance;</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lower other expenses due to lower establishment costs;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lower amortization of DAC and VOBA due to an adjustment in the current period related to actuarial model refinements.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 was:</w:t>
      </w:r>
    </w:p>
    <w:p>
      <w:pPr>
        <w:spacing w:after="0" w:line="111" w:lineRule="exact"/>
        <w:rPr>
          <w:sz w:val="20"/>
          <w:szCs w:val="20"/>
          <w:color w:val="auto"/>
        </w:rPr>
      </w:pPr>
    </w:p>
    <w:p>
      <w:pPr>
        <w:ind w:left="800" w:hanging="317"/>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higher preferred stock dividends in the current period.</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58% in the current period compared to 16% in the prior period. Our effective tax rate differs from the statutory tax rate primarily due to the impacts of the dividends received deduction, tax credits and current period non-recurring items.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GMLB Riders for the Three Months and Nine Months Ended September 30, 2022 and 2021</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overall impact on income (loss) available to shareholders before provision for income tax from the performance of GMLB Riders, which includes (i) changes in carrying value of the GAAP liabilities, (ii) the mark-to-market of hedges and reinsurance, (iii) fees and (iv) associated DAC offsets,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2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w w:val="89"/>
              </w:rPr>
              <w:t>2021</w:t>
            </w:r>
          </w:p>
        </w:tc>
      </w:tr>
      <w:tr>
        <w:trPr>
          <w:trHeight w:val="191"/>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Hedges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(772)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(1,216)</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Ceded reinsurance</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Fees (1)</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 DAC</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(215)</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Total GMLB Riders</w:t>
            </w:r>
          </w:p>
        </w:tc>
        <w:tc>
          <w:tcPr>
            <w:tcW w:w="74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(590)</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(198)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w:t>
            </w: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94" w:lineRule="auto"/>
        <w:tabs>
          <w:tab w:leader="none" w:pos="314" w:val="left"/>
        </w:tabs>
        <w:numPr>
          <w:ilvl w:val="0"/>
          <w:numId w:val="61"/>
        </w:numPr>
        <w:rPr>
          <w:rFonts w:ascii="Arial" w:cs="Arial" w:eastAsia="Arial" w:hAnsi="Arial"/>
          <w:sz w:val="17"/>
          <w:szCs w:val="17"/>
          <w:color w:val="auto"/>
        </w:rPr>
      </w:pPr>
      <w:r>
        <w:rPr>
          <w:rFonts w:ascii="Arial" w:cs="Arial" w:eastAsia="Arial" w:hAnsi="Arial"/>
          <w:sz w:val="17"/>
          <w:szCs w:val="17"/>
          <w:color w:val="auto"/>
        </w:rPr>
        <w:t>Excludes living benefit fees, included as a component of adjusted earnings, of $13 million and $16 million for the three months ended September 30, 2022 and 2021, respectively, and $40 million and $45 million for the nine months ended September 30, 2022 and 2021, respectively.</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2022 Compared with the Three Months Ended September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Comparative results from GMLB Riders were unfavorable by $392 million, primarily driven by:</w:t>
      </w:r>
    </w:p>
    <w:p>
      <w:pPr>
        <w:spacing w:after="0" w:line="111" w:lineRule="exact"/>
        <w:rPr>
          <w:sz w:val="20"/>
          <w:szCs w:val="20"/>
          <w:color w:val="auto"/>
        </w:rPr>
      </w:pPr>
    </w:p>
    <w:p>
      <w:pPr>
        <w:ind w:left="800" w:hanging="317"/>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our GMLB hedges;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unfavorable changes to GMLB DAC; and</w:t>
      </w:r>
    </w:p>
    <w:p>
      <w:pPr>
        <w:spacing w:after="0" w:line="111" w:lineRule="exact"/>
        <w:rPr>
          <w:rFonts w:ascii="Arial" w:cs="Arial" w:eastAsia="Arial" w:hAnsi="Arial"/>
          <w:sz w:val="18"/>
          <w:szCs w:val="18"/>
          <w:color w:val="auto"/>
        </w:rPr>
      </w:pPr>
    </w:p>
    <w:p>
      <w:pPr>
        <w:ind w:left="480" w:right="4460" w:firstLine="3"/>
        <w:spacing w:after="0" w:line="368" w:lineRule="auto"/>
        <w:tabs>
          <w:tab w:leader="none" w:pos="793"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variable annuity liability reserves; partially offset by</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favorable changes to the estimated fair value of Shield liabilities.</w:t>
      </w:r>
    </w:p>
    <w:p>
      <w:pPr>
        <w:spacing w:after="0" w:line="200" w:lineRule="exact"/>
        <w:rPr>
          <w:sz w:val="20"/>
          <w:szCs w:val="20"/>
          <w:color w:val="auto"/>
        </w:rPr>
      </w:pPr>
    </w:p>
    <w:p>
      <w:pPr>
        <w:spacing w:after="0" w:line="229" w:lineRule="exact"/>
        <w:rPr>
          <w:sz w:val="20"/>
          <w:szCs w:val="20"/>
          <w:color w:val="auto"/>
        </w:rPr>
      </w:pPr>
    </w:p>
    <w:p>
      <w:pPr>
        <w:ind w:left="800" w:hanging="317"/>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favorable changes to the estimated fair value of Shield liabilities; and</w:t>
      </w:r>
    </w:p>
    <w:p>
      <w:pPr>
        <w:spacing w:after="0" w:line="111" w:lineRule="exact"/>
        <w:rPr>
          <w:rFonts w:ascii="Arial" w:cs="Arial" w:eastAsia="Arial" w:hAnsi="Arial"/>
          <w:sz w:val="18"/>
          <w:szCs w:val="18"/>
          <w:color w:val="auto"/>
        </w:rPr>
      </w:pPr>
    </w:p>
    <w:p>
      <w:pPr>
        <w:ind w:left="480" w:right="5680" w:firstLine="3"/>
        <w:spacing w:after="0" w:line="368" w:lineRule="auto"/>
        <w:tabs>
          <w:tab w:leader="none" w:pos="793"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favorable changes to the estimated fair value of our GMLB hedges; partially offset by</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variable annuity liability reserves;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unfavorable changes to GMLB DAC.</w:t>
      </w:r>
    </w:p>
    <w:p>
      <w:pPr>
        <w:spacing w:after="0" w:line="200" w:lineRule="exact"/>
        <w:rPr>
          <w:sz w:val="20"/>
          <w:szCs w:val="20"/>
          <w:color w:val="auto"/>
        </w:rPr>
      </w:pPr>
    </w:p>
    <w:p>
      <w:pPr>
        <w:spacing w:after="0" w:line="229" w:lineRule="exact"/>
        <w:rPr>
          <w:sz w:val="20"/>
          <w:szCs w:val="20"/>
          <w:color w:val="auto"/>
        </w:rPr>
      </w:pPr>
    </w:p>
    <w:p>
      <w:pPr>
        <w:ind w:left="800" w:hanging="317"/>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our GMLB hedges;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Shield liabilities;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unfavorable changes to GMLB DAC;</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hanging="317"/>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favorable changes to the estimated fair value of variable annuity liability reserves.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was an unfavorable change in the adjustment for nonperformance risk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u w:val="single" w:color="auto"/>
          <w:color w:val="auto"/>
        </w:rPr>
        <w:t>Nine Months Ended September 30, 2022 Compared with the Nine Months Ended September 30, 2021</w:t>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Comparative results from GMLB Riders were favorable by $3.6 billion, primarily driven by:</w:t>
      </w:r>
    </w:p>
    <w:p>
      <w:pPr>
        <w:spacing w:after="0" w:line="123" w:lineRule="exact"/>
        <w:rPr>
          <w:sz w:val="20"/>
          <w:szCs w:val="20"/>
          <w:color w:val="auto"/>
        </w:rPr>
      </w:pPr>
    </w:p>
    <w:p>
      <w:pPr>
        <w:ind w:left="480" w:right="4739" w:firstLine="3"/>
        <w:spacing w:after="0" w:line="368" w:lineRule="auto"/>
        <w:tabs>
          <w:tab w:leader="none" w:pos="7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favorable changes to the estimated fair value of Shield liabilities; partially offset by</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variable annuity liability reserves;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unfavorable changes to GMLB DAC;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our GMLB hedges.</w:t>
      </w:r>
    </w:p>
    <w:p>
      <w:pPr>
        <w:spacing w:after="0" w:line="200" w:lineRule="exact"/>
        <w:rPr>
          <w:sz w:val="20"/>
          <w:szCs w:val="20"/>
          <w:color w:val="auto"/>
        </w:rPr>
      </w:pPr>
    </w:p>
    <w:p>
      <w:pPr>
        <w:spacing w:after="0" w:line="229" w:lineRule="exact"/>
        <w:rPr>
          <w:sz w:val="20"/>
          <w:szCs w:val="20"/>
          <w:color w:val="auto"/>
        </w:rPr>
      </w:pPr>
    </w:p>
    <w:p>
      <w:pPr>
        <w:ind w:left="800" w:hanging="317"/>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favorable changes to the estimated fair value of Shield liabilities;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favorable changes to the estimated fair value of our GMLB hedges;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favorable changes in ceded reinsurance;</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hanging="317"/>
        <w:spacing w:after="0"/>
        <w:tabs>
          <w:tab w:leader="none" w:pos="8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unfavorable changes to the estimated fair value of variable annuity liability reserves; and</w:t>
      </w:r>
    </w:p>
    <w:p>
      <w:pPr>
        <w:spacing w:after="0" w:line="122" w:lineRule="exact"/>
        <w:rPr>
          <w:rFonts w:ascii="Arial" w:cs="Arial" w:eastAsia="Arial" w:hAnsi="Arial"/>
          <w:sz w:val="17"/>
          <w:szCs w:val="17"/>
          <w:color w:val="auto"/>
        </w:rPr>
      </w:pPr>
    </w:p>
    <w:p>
      <w:pPr>
        <w:ind w:left="800" w:hanging="317"/>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unfavorable changes to GMLB DAC.</w:t>
      </w:r>
    </w:p>
    <w:p>
      <w:pPr>
        <w:spacing w:after="0" w:line="200" w:lineRule="exact"/>
        <w:rPr>
          <w:sz w:val="20"/>
          <w:szCs w:val="20"/>
          <w:color w:val="auto"/>
        </w:rPr>
      </w:pPr>
    </w:p>
    <w:p>
      <w:pPr>
        <w:spacing w:after="0" w:line="229" w:lineRule="exact"/>
        <w:rPr>
          <w:sz w:val="20"/>
          <w:szCs w:val="20"/>
          <w:color w:val="auto"/>
        </w:rPr>
      </w:pPr>
    </w:p>
    <w:p>
      <w:pPr>
        <w:ind w:left="800" w:hanging="317"/>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our GMLB hedges;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Shield liabilities;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unfavorable changes to GMLB DAC;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unfavorable changes in ceded reinsurance;</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hanging="317"/>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favorable changes to the estimated fair value of variable annuity liability reserves.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There was a favorable change in the adjustment for nonperformance risk in the current period.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227" w:right="1440"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Risks</w:t>
      </w:r>
    </w:p>
    <w:p>
      <w:pPr>
        <w:spacing w:after="0" w:line="111"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are exposed to the following primary sources of investment risks, which may be heightened or exacerbated by the factors discussed in “Risk Factors</w:t>
      </w:r>
    </w:p>
    <w:p>
      <w:pPr>
        <w:spacing w:after="0" w:line="51"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 Risks Related to Our Business — The ongoing COVID-19 pandemic could materially adversely affect our business, financial condition and results of operations, including our capitalization and liquidity” in our 2021 Annual Report and “— Industry Trends and Uncertainties — COVID-19 Pandemic”:</w:t>
      </w:r>
    </w:p>
    <w:p>
      <w:pPr>
        <w:spacing w:after="0" w:line="16" w:lineRule="exact"/>
        <w:rPr>
          <w:sz w:val="20"/>
          <w:szCs w:val="20"/>
          <w:color w:val="auto"/>
        </w:rPr>
      </w:pPr>
    </w:p>
    <w:p>
      <w:pPr>
        <w:ind w:left="640" w:right="20" w:hanging="316"/>
        <w:spacing w:after="0" w:line="264" w:lineRule="auto"/>
        <w:tabs>
          <w:tab w:leader="none" w:pos="635" w:val="left"/>
        </w:tabs>
        <w:numPr>
          <w:ilvl w:val="1"/>
          <w:numId w:val="71"/>
        </w:numPr>
        <w:rPr>
          <w:rFonts w:ascii="Arial" w:cs="Arial" w:eastAsia="Arial" w:hAnsi="Arial"/>
          <w:sz w:val="18"/>
          <w:szCs w:val="18"/>
          <w:color w:val="auto"/>
        </w:rPr>
      </w:pPr>
      <w:r>
        <w:rPr>
          <w:rFonts w:ascii="Arial" w:cs="Arial" w:eastAsia="Arial" w:hAnsi="Arial"/>
          <w:sz w:val="18"/>
          <w:szCs w:val="18"/>
          <w:color w:val="auto"/>
        </w:rPr>
        <w:t>credit risk, relating to the uncertainty associated with the continued ability of a given obligor to make timely payments of principal and interest, which will likely result in a higher allowance for credit losses and write-offs for uncollectible balances for certain investments;</w:t>
      </w:r>
    </w:p>
    <w:p>
      <w:pPr>
        <w:spacing w:after="0" w:line="7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interest rate risk, relating to the market price and cash flow variability associated with changes in market interest rates. Changes in market interest rates will impact the net unrealized gain or loss position of our fixed income investment portfolio and the rates of return we receive on both new funds invested and reinvestment of existing funds;</w:t>
      </w:r>
    </w:p>
    <w:p>
      <w:pPr>
        <w:spacing w:after="0" w:line="82" w:lineRule="exact"/>
        <w:rPr>
          <w:rFonts w:ascii="Arial" w:cs="Arial" w:eastAsia="Arial" w:hAnsi="Arial"/>
          <w:sz w:val="18"/>
          <w:szCs w:val="18"/>
          <w:color w:val="auto"/>
        </w:rPr>
      </w:pPr>
    </w:p>
    <w:p>
      <w:pPr>
        <w:ind w:left="640" w:hanging="316"/>
        <w:spacing w:after="0"/>
        <w:tabs>
          <w:tab w:leader="none" w:pos="640" w:val="left"/>
        </w:tabs>
        <w:numPr>
          <w:ilvl w:val="1"/>
          <w:numId w:val="71"/>
        </w:numPr>
        <w:rPr>
          <w:rFonts w:ascii="Arial" w:cs="Arial" w:eastAsia="Arial" w:hAnsi="Arial"/>
          <w:sz w:val="15"/>
          <w:szCs w:val="15"/>
          <w:color w:val="auto"/>
        </w:rPr>
      </w:pPr>
      <w:r>
        <w:rPr>
          <w:rFonts w:ascii="Arial" w:cs="Arial" w:eastAsia="Arial" w:hAnsi="Arial"/>
          <w:sz w:val="15"/>
          <w:szCs w:val="15"/>
          <w:color w:val="auto"/>
        </w:rPr>
        <w:t>inflation risk, relating to a sustained or material increase in inflation, which could increase realized and unrealized losses or increase expenses;</w:t>
      </w:r>
    </w:p>
    <w:p>
      <w:pPr>
        <w:spacing w:after="0" w:line="145" w:lineRule="exact"/>
        <w:rPr>
          <w:rFonts w:ascii="Arial" w:cs="Arial" w:eastAsia="Arial" w:hAnsi="Arial"/>
          <w:sz w:val="15"/>
          <w:szCs w:val="15"/>
          <w:color w:val="auto"/>
        </w:rPr>
      </w:pPr>
    </w:p>
    <w:p>
      <w:pPr>
        <w:jc w:val="both"/>
        <w:ind w:left="640" w:hanging="316"/>
        <w:spacing w:after="0" w:line="250" w:lineRule="auto"/>
        <w:tabs>
          <w:tab w:leader="none" w:pos="635" w:val="left"/>
        </w:tabs>
        <w:numPr>
          <w:ilvl w:val="1"/>
          <w:numId w:val="71"/>
        </w:numPr>
        <w:rPr>
          <w:rFonts w:ascii="Arial" w:cs="Arial" w:eastAsia="Arial" w:hAnsi="Arial"/>
          <w:sz w:val="18"/>
          <w:szCs w:val="18"/>
          <w:color w:val="auto"/>
        </w:rPr>
      </w:pPr>
      <w:r>
        <w:rPr>
          <w:rFonts w:ascii="Arial" w:cs="Arial" w:eastAsia="Arial" w:hAnsi="Arial"/>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and will increase losses associated with credit-based non-qualifying derivatives where we assume credit exposure. Credit spread tightening will reduce net investment income associated with new purchases of fixed maturity securities and will favorably impact the net unrealized gain (loss) position of the fixed income investment portfolio;</w:t>
      </w:r>
    </w:p>
    <w:p>
      <w:pPr>
        <w:spacing w:after="0" w:line="87" w:lineRule="exact"/>
        <w:rPr>
          <w:rFonts w:ascii="Arial" w:cs="Arial" w:eastAsia="Arial" w:hAnsi="Arial"/>
          <w:sz w:val="18"/>
          <w:szCs w:val="18"/>
          <w:color w:val="auto"/>
        </w:rPr>
      </w:pPr>
    </w:p>
    <w:p>
      <w:pPr>
        <w:ind w:left="640" w:hanging="316"/>
        <w:spacing w:after="0"/>
        <w:tabs>
          <w:tab w:leader="none" w:pos="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liquidity risk, relating to the diminished ability to sell certain investments, in times of strained market conditions;</w:t>
      </w:r>
    </w:p>
    <w:p>
      <w:pPr>
        <w:spacing w:after="0" w:line="11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w:t>
      </w:r>
    </w:p>
    <w:p>
      <w:pPr>
        <w:spacing w:after="0" w:line="82" w:lineRule="exact"/>
        <w:rPr>
          <w:rFonts w:ascii="Arial" w:cs="Arial" w:eastAsia="Arial" w:hAnsi="Arial"/>
          <w:sz w:val="18"/>
          <w:szCs w:val="18"/>
          <w:color w:val="auto"/>
        </w:rPr>
      </w:pPr>
    </w:p>
    <w:p>
      <w:pPr>
        <w:ind w:left="640" w:hanging="316"/>
        <w:spacing w:after="0"/>
        <w:tabs>
          <w:tab w:leader="none" w:pos="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currency risk, relating to the variability in currency exchange rates for non-U.S. dollar denominated investments;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financial and operational risks related to using external investment managers.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See also “Risk Factors — Economic Environment and Capital Markets-Related Risks — We are exposed to significant financial and capital markets risks which may adversely affect our financial condition, results of operations and liquidity, and may cause our net investment income and our profitability measures to vary from period to period” and “Risk Factors — Investments-Related Risks” in our 2021 Annual Report.</w:t>
      </w:r>
    </w:p>
    <w:p>
      <w:pPr>
        <w:spacing w:after="0" w:line="6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Interest rate risk is managed as part of our Asset Liability Management (“ALM”) strategies. Product design, such as the use of market value adjustment features and surrender charges, is also utilized to manage interest rate risk. These strategies include maintaining an investment portfolio 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business and results of operations are materially affected by conditions in capital markets and the economy, generally.</w:t>
      </w:r>
    </w:p>
    <w:p>
      <w:pPr>
        <w:spacing w:after="0" w:line="1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As a U.S. insurance company, we are affected by the monetary policy of the Federal Reserve Board (the “Federal Reserve”) in the U.S. The Federal Reserve may increase or decrease the federal funds rate in the future, which, in addition to impacting product sales, may have an impact on the valuation of risk-bearing investments. During the first nine months of 2022, the Federal Reserve has increased the target range for the federal funds rate five times — from between 0% and 0.25% to between 0.25% and 0.50% on March 16, 2022; to between 0.75% and 1.00% on May 4, 2022; to between 1.50% and 1.75% on June 15, 2022; to between 2.25% and 2.50% on July 27, 2022; and to between 3.00% and 3.25% on September 21, 2022. On November 2, 2022, the Federal Reserve further increased the target range for the federal fund rate from between 3.00% and 3.25% to between 3.25% and 4.00%. The Federal Reserve has indicated further increases to the target range for the federal funds rate could occur. These target range increases have contributed to a decrease in the net unrealized gains in our investment portfolio, and any additional target increases could similarly contribute to further decreases. We are also affected by the monetary policy of central banks around the world due to the diversification of our investment portfolio.</w:t>
      </w:r>
    </w:p>
    <w:p>
      <w:pPr>
        <w:spacing w:after="0" w:line="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 Industry Trends and Uncertainties — Financial and Economic Environment,” as amended herein, as well as “Management’s Discussion and Analysis of Financial Condition and Results of Operations — Industry Trends and Uncertainties — Financial and Economic Environment” included in our 2021 Annual Report.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Selected Sector Investments</w:t>
      </w:r>
    </w:p>
    <w:p>
      <w:pPr>
        <w:spacing w:after="0" w:line="111"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Recent elevated levels of market volatility have affected the performance of various asset classes. Contributing factors include concerns about energy and oil prices, inflation, geopolitical events, ongoing military actions and the COVID-19 pandemic. See “Risk Factors — Risks Related to Our Business — The ongoing COVID-19 pandemic could materially adversely affect our business, financial condition and results of operations, including our capitalization and liquidity,” “Risk Factors — Economic Environment and Capital Markets-Related Risks — If difficult conditions in the capital markets and the U.S. economy generally persist or are perceived to persist, they may materially adversely affect our business and results of operations,” and “Risk Factors — Investments-Related Risks — Ongoing military actions, the continued threat of terrorism, climate change as well as other catastrophic events may adversely affect the value of our investment portfolio and the level of claim losses we incur” included in our 2021 Annual Report.</w:t>
      </w:r>
    </w:p>
    <w:p>
      <w:pPr>
        <w:spacing w:after="0" w:line="51"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During the nine months ended September 30, 2022, we sold positions with direct exposure to Russia with an amortized cost of $99 million and recorded a net investment realized loss of $8 million. At September 30, 2022, we did not have any direct exposure to Russia or Ukraine.</w:t>
      </w:r>
    </w:p>
    <w:p>
      <w:pPr>
        <w:spacing w:after="0" w:line="5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There has been an increased market focus on energy sector investments as a result of energy and oil price volatility due to, among other factors, ongoing geopolitical events. We maintain a diversified energy sector fixed maturity securities portfolio across sub-sectors and issuers. Our exposure to energy sector fixed maturity securities was $2.6 billion, with net unrealized gains (losses) of ($377) million. Of the $2.6 billion exposure to energy sector fixed maturity securities, 89% were investment grade at September 30, 2022.</w:t>
      </w:r>
    </w:p>
    <w:p>
      <w:pPr>
        <w:spacing w:after="0" w:line="8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There has also been an increased market focus on retail sector investments as a result of the COVID-19 pandemic and uncertainty regarding its duration and severity. Our exposure to retail sector corporate fixed maturity securities was $1.5 billion, with net unrealized gains (losses) of ($258) million. Of the $1.5 billion exposure to retail sector corporate fixed maturity securities, 94% were investment grade at September 30, 2022.</w:t>
      </w:r>
    </w:p>
    <w:p>
      <w:pPr>
        <w:spacing w:after="0" w:line="65"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In addition to the fixed maturity securities discussed above, we have exposure to mortgage loans and certain residential mortgage-backed securities (“RMBS”), commercial mortgage-backed securities (“CMBS”) and asset-backed securities (“ABS”) (collectively, “Structured Securities”) that may be impacted by the COVID-19 pandemic. See “— Investments — Mortgage Loans” and Note 4 of the Notes to the Interim Condensed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 security type, risk profile and ratings profile.</w:t>
      </w:r>
    </w:p>
    <w:p>
      <w:pPr>
        <w:spacing w:after="0" w:line="90"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Nine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9"/>
        </w:trPr>
        <w:tc>
          <w:tcPr>
            <w:tcW w:w="32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91"/>
        </w:trPr>
        <w:tc>
          <w:tcPr>
            <w:tcW w:w="3200" w:type="dxa"/>
            <w:vAlign w:val="bottom"/>
          </w:tcPr>
          <w:p>
            <w:pPr>
              <w:spacing w:after="0"/>
              <w:rPr>
                <w:sz w:val="16"/>
                <w:szCs w:val="16"/>
                <w:color w:val="auto"/>
              </w:rPr>
            </w:pPr>
          </w:p>
        </w:tc>
        <w:tc>
          <w:tcPr>
            <w:tcW w:w="120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r>
      <w:tr>
        <w:trPr>
          <w:trHeight w:val="192"/>
        </w:trPr>
        <w:tc>
          <w:tcPr>
            <w:tcW w:w="3200" w:type="dxa"/>
            <w:vAlign w:val="bottom"/>
          </w:tcPr>
          <w:p>
            <w:pPr>
              <w:spacing w:after="0"/>
              <w:rPr>
                <w:sz w:val="16"/>
                <w:szCs w:val="16"/>
                <w:color w:val="auto"/>
              </w:rPr>
            </w:pPr>
          </w:p>
        </w:tc>
        <w:tc>
          <w:tcPr>
            <w:tcW w:w="10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Yield %</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Yield %</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Yield %</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Yield %</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4"/>
              </w:rPr>
              <w:t>Amount</w:t>
            </w:r>
          </w:p>
        </w:tc>
      </w:tr>
      <w:tr>
        <w:trPr>
          <w:trHeight w:val="191"/>
        </w:trPr>
        <w:tc>
          <w:tcPr>
            <w:tcW w:w="3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4"/>
          </w:tcPr>
          <w:p>
            <w:pPr>
              <w:ind w:left="18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 (1)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w:t>
            </w:r>
          </w:p>
        </w:tc>
      </w:tr>
      <w:tr>
        <w:trPr>
          <w:trHeight w:val="209"/>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fees and expenses (2)</w:t>
            </w:r>
          </w:p>
        </w:tc>
        <w:tc>
          <w:tcPr>
            <w:tcW w:w="9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w w:val="98"/>
              </w:rPr>
              <w:t>(39)</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33"/>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investment income (3)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5.16 %</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3,127</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3,696</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2" w:lineRule="auto"/>
        <w:tabs>
          <w:tab w:leader="none" w:pos="314"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Investment income yields are calculated as investment income as a percentage of average quarterly asset carrying values. Investment income excludes recognized gains and losses and reflects the adjustments presented in footnote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84"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Investment fee and expense yields are calculated as investment fees and expenses as a percentage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82"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Adjusted net investment income presented in the yield table varies from the most directly comparable GAAP measure due to certain reclassifications, as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980" w:type="dxa"/>
            <w:vAlign w:val="bottom"/>
            <w:gridSpan w:val="4"/>
          </w:tcPr>
          <w:p>
            <w:pPr>
              <w:jc w:val="center"/>
              <w:ind w:left="345"/>
              <w:spacing w:after="0"/>
              <w:rPr>
                <w:sz w:val="20"/>
                <w:szCs w:val="20"/>
                <w:color w:val="auto"/>
              </w:rPr>
            </w:pPr>
            <w:r>
              <w:rPr>
                <w:rFonts w:ascii="Arial" w:cs="Arial" w:eastAsia="Arial" w:hAnsi="Arial"/>
                <w:sz w:val="14"/>
                <w:szCs w:val="14"/>
                <w:b w:val="1"/>
                <w:bCs w:val="1"/>
                <w:color w:val="auto"/>
                <w:w w:val="92"/>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47"/>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w w:val="89"/>
              </w:rPr>
              <w:t>2021</w:t>
            </w:r>
          </w:p>
        </w:tc>
      </w:tr>
      <w:tr>
        <w:trPr>
          <w:trHeight w:val="191"/>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877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1,281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w:t>
            </w: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Investment hedge adjustments</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w w:val="91"/>
              </w:rPr>
              <w:t>(23)</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investment income — in the above yield table</w:t>
            </w:r>
          </w:p>
        </w:tc>
        <w:tc>
          <w:tcPr>
            <w:tcW w:w="74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1,287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right="20" w:firstLine="318"/>
        <w:spacing w:after="0" w:line="264" w:lineRule="auto"/>
        <w:rPr>
          <w:sz w:val="20"/>
          <w:szCs w:val="20"/>
          <w:color w:val="auto"/>
        </w:rPr>
      </w:pPr>
      <w:r>
        <w:rPr>
          <w:rFonts w:ascii="Arial" w:cs="Arial" w:eastAsia="Arial" w:hAnsi="Arial"/>
          <w:sz w:val="18"/>
          <w:szCs w:val="18"/>
          <w:color w:val="auto"/>
        </w:rPr>
        <w:t>See “— Results of Operations — Consolidated Results for the Three Months and Nine Months Ended September 30, 2022 and 2021” for an analysis of the period over period changes in net investment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Fixed maturity securities held by type (public or private)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gridSpan w:val="3"/>
          </w:tcPr>
          <w:p>
            <w:pPr>
              <w:ind w:left="780"/>
              <w:spacing w:after="0"/>
              <w:rPr>
                <w:sz w:val="20"/>
                <w:szCs w:val="20"/>
                <w:color w:val="auto"/>
              </w:rPr>
            </w:pPr>
            <w:r>
              <w:rPr>
                <w:rFonts w:ascii="Arial" w:cs="Arial" w:eastAsia="Arial" w:hAnsi="Arial"/>
                <w:sz w:val="14"/>
                <w:szCs w:val="14"/>
                <w:b w:val="1"/>
                <w:bCs w:val="1"/>
                <w:color w:val="auto"/>
                <w:w w:val="93"/>
              </w:rPr>
              <w:t>September 30, 2022</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gridSpan w:val="3"/>
          </w:tcPr>
          <w:p>
            <w:pPr>
              <w:ind w:left="820"/>
              <w:spacing w:after="0"/>
              <w:rPr>
                <w:sz w:val="20"/>
                <w:szCs w:val="20"/>
                <w:color w:val="auto"/>
              </w:rPr>
            </w:pPr>
            <w:r>
              <w:rPr>
                <w:rFonts w:ascii="Arial" w:cs="Arial" w:eastAsia="Arial" w:hAnsi="Arial"/>
                <w:sz w:val="14"/>
                <w:szCs w:val="14"/>
                <w:b w:val="1"/>
                <w:bCs w:val="1"/>
                <w:color w:val="auto"/>
                <w:w w:val="93"/>
              </w:rPr>
              <w:t>December 31, 2021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1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4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gridSpan w:val="3"/>
          </w:tcPr>
          <w:p>
            <w:pPr>
              <w:ind w:left="200"/>
              <w:spacing w:after="0" w:line="130" w:lineRule="exact"/>
              <w:rPr>
                <w:sz w:val="20"/>
                <w:szCs w:val="20"/>
                <w:color w:val="auto"/>
              </w:rPr>
            </w:pPr>
            <w:r>
              <w:rPr>
                <w:rFonts w:ascii="Arial" w:cs="Arial" w:eastAsia="Arial" w:hAnsi="Arial"/>
                <w:sz w:val="14"/>
                <w:szCs w:val="14"/>
                <w:b w:val="1"/>
                <w:bCs w:val="1"/>
                <w:color w:val="auto"/>
              </w:rPr>
              <w:t>Estimated</w:t>
            </w:r>
          </w:p>
        </w:tc>
        <w:tc>
          <w:tcPr>
            <w:tcW w:w="1020" w:type="dxa"/>
            <w:vAlign w:val="bottom"/>
            <w:tcBorders>
              <w:top w:val="single" w:sz="8" w:color="auto"/>
            </w:tcBorders>
          </w:tcPr>
          <w:p>
            <w:pPr>
              <w:ind w:left="60"/>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gridSpan w:val="3"/>
          </w:tcPr>
          <w:p>
            <w:pPr>
              <w:ind w:left="220"/>
              <w:spacing w:after="0" w:line="130" w:lineRule="exact"/>
              <w:rPr>
                <w:sz w:val="20"/>
                <w:szCs w:val="20"/>
                <w:color w:val="auto"/>
              </w:rPr>
            </w:pPr>
            <w:r>
              <w:rPr>
                <w:rFonts w:ascii="Arial" w:cs="Arial" w:eastAsia="Arial" w:hAnsi="Arial"/>
                <w:sz w:val="14"/>
                <w:szCs w:val="14"/>
                <w:b w:val="1"/>
                <w:bCs w:val="1"/>
                <w:color w:val="auto"/>
              </w:rPr>
              <w:t>Estimated</w:t>
            </w:r>
          </w:p>
        </w:tc>
        <w:tc>
          <w:tcPr>
            <w:tcW w:w="1040" w:type="dxa"/>
            <w:vAlign w:val="bottom"/>
            <w:tcBorders>
              <w:top w:val="single" w:sz="8" w:color="auto"/>
            </w:tcBorders>
          </w:tcPr>
          <w:p>
            <w:pPr>
              <w:jc w:val="right"/>
              <w:ind w:right="584"/>
              <w:spacing w:after="0" w:line="130"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Fair Value</w:t>
            </w:r>
          </w:p>
        </w:tc>
        <w:tc>
          <w:tcPr>
            <w:tcW w:w="10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40" w:type="dxa"/>
            <w:vAlign w:val="bottom"/>
            <w:gridSpan w:val="6"/>
          </w:tcPr>
          <w:p>
            <w:pPr>
              <w:ind w:left="480"/>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Publicly-traded</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62,543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72,925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83.3 %</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Privately-placed</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12,728</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14,657</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3"/>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75,271</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87,582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Percentage of cash and invested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Arial" w:cs="Arial" w:eastAsia="Arial" w:hAnsi="Arial"/>
                <w:sz w:val="16"/>
                <w:szCs w:val="16"/>
                <w:color w:val="auto"/>
              </w:rPr>
              <w:t>66.4 %</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Arial" w:cs="Arial" w:eastAsia="Arial" w:hAnsi="Arial"/>
                <w:sz w:val="16"/>
                <w:szCs w:val="16"/>
                <w:color w:val="auto"/>
              </w:rPr>
              <w:t>71.4 %</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See Note 6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See Note 4 of the Notes to the Interim Condensed Consolidated Financial Statements for further information about fixed maturity securities by sector, contractual maturities, continuous gross unrealized losses and the allowance for credit losses.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See “Management’s Discussion and Analysis of Financial Condition and Results of Operations — Investments — Fixed Maturity Securities Available-for-sale — Fixed Maturity Securities Credit Quality — Ratings” included in our 2021 Annual Report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methodologies adopted by the NAIC for certain Structured Securities.</w:t>
      </w:r>
    </w:p>
    <w:p>
      <w:pPr>
        <w:spacing w:after="0" w:line="88"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w w:val="95"/>
              </w:rPr>
              <w:t>September 30, 2022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gridSpan w:val="4"/>
          </w:tcPr>
          <w:p>
            <w:pPr>
              <w:ind w:left="100"/>
              <w:spacing w:after="0"/>
              <w:rPr>
                <w:sz w:val="20"/>
                <w:szCs w:val="20"/>
                <w:color w:val="auto"/>
              </w:rPr>
            </w:pPr>
            <w:r>
              <w:rPr>
                <w:rFonts w:ascii="Arial" w:cs="Arial" w:eastAsia="Arial" w:hAnsi="Arial"/>
                <w:sz w:val="11"/>
                <w:szCs w:val="11"/>
                <w:b w:val="1"/>
                <w:bCs w:val="1"/>
                <w:color w:val="auto"/>
              </w:rPr>
              <w:t>December 31, 2021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NAIC</w:t>
            </w: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860" w:type="dxa"/>
            <w:vAlign w:val="bottom"/>
            <w:gridSpan w:val="2"/>
            <w:vMerge w:val="continue"/>
          </w:tcPr>
          <w:p>
            <w:pPr>
              <w:spacing w:after="0"/>
              <w:rPr>
                <w:sz w:val="8"/>
                <w:szCs w:val="8"/>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NRSRO Rating</w:t>
            </w:r>
          </w:p>
        </w:tc>
        <w:tc>
          <w:tcPr>
            <w:tcW w:w="120" w:type="dxa"/>
            <w:vAlign w:val="bottom"/>
          </w:tcPr>
          <w:p>
            <w:pPr>
              <w:spacing w:after="0"/>
              <w:rPr>
                <w:sz w:val="8"/>
                <w:szCs w:val="8"/>
                <w:color w:val="auto"/>
              </w:rPr>
            </w:pPr>
          </w:p>
        </w:tc>
        <w:tc>
          <w:tcPr>
            <w:tcW w:w="76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8"/>
                <w:szCs w:val="8"/>
                <w:color w:val="auto"/>
              </w:rPr>
            </w:pPr>
          </w:p>
        </w:tc>
        <w:tc>
          <w:tcPr>
            <w:tcW w:w="720" w:type="dxa"/>
            <w:vAlign w:val="bottom"/>
          </w:tcPr>
          <w:p>
            <w:pPr>
              <w:jc w:val="right"/>
              <w:ind w:right="20"/>
              <w:spacing w:after="0" w:line="100" w:lineRule="exact"/>
              <w:rPr>
                <w:sz w:val="20"/>
                <w:szCs w:val="20"/>
                <w:color w:val="auto"/>
              </w:rPr>
            </w:pPr>
            <w:r>
              <w:rPr>
                <w:rFonts w:ascii="Arial" w:cs="Arial" w:eastAsia="Arial" w:hAnsi="Arial"/>
                <w:sz w:val="11"/>
                <w:szCs w:val="11"/>
                <w:b w:val="1"/>
                <w:bCs w:val="1"/>
                <w:color w:val="auto"/>
                <w:w w:val="85"/>
              </w:rPr>
              <w:t>Allowance for</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86"/>
              </w:rPr>
              <w:t>Unrealized</w:t>
            </w:r>
          </w:p>
        </w:tc>
        <w:tc>
          <w:tcPr>
            <w:tcW w:w="900" w:type="dxa"/>
            <w:vAlign w:val="bottom"/>
            <w:gridSpan w:val="3"/>
          </w:tcPr>
          <w:p>
            <w:pPr>
              <w:jc w:val="center"/>
              <w:ind w:right="100"/>
              <w:spacing w:after="0" w:line="100" w:lineRule="exact"/>
              <w:rPr>
                <w:sz w:val="20"/>
                <w:szCs w:val="20"/>
                <w:color w:val="auto"/>
              </w:rPr>
            </w:pPr>
            <w:r>
              <w:rPr>
                <w:rFonts w:ascii="Arial" w:cs="Arial" w:eastAsia="Arial" w:hAnsi="Arial"/>
                <w:sz w:val="11"/>
                <w:szCs w:val="11"/>
                <w:b w:val="1"/>
                <w:bCs w:val="1"/>
                <w:color w:val="auto"/>
                <w:w w:val="89"/>
              </w:rPr>
              <w:t>Estimated Fair</w:t>
            </w:r>
          </w:p>
        </w:tc>
        <w:tc>
          <w:tcPr>
            <w:tcW w:w="640" w:type="dxa"/>
            <w:vAlign w:val="bottom"/>
          </w:tcPr>
          <w:p>
            <w:pPr>
              <w:jc w:val="right"/>
              <w:ind w:right="100"/>
              <w:spacing w:after="0" w:line="100" w:lineRule="exact"/>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89"/>
              </w:rPr>
              <w:t>Amortized</w:t>
            </w:r>
          </w:p>
        </w:tc>
        <w:tc>
          <w:tcPr>
            <w:tcW w:w="100" w:type="dxa"/>
            <w:vAlign w:val="bottom"/>
          </w:tcPr>
          <w:p>
            <w:pPr>
              <w:spacing w:after="0"/>
              <w:rPr>
                <w:sz w:val="8"/>
                <w:szCs w:val="8"/>
                <w:color w:val="auto"/>
              </w:rPr>
            </w:pPr>
          </w:p>
        </w:tc>
        <w:tc>
          <w:tcPr>
            <w:tcW w:w="740" w:type="dxa"/>
            <w:vAlign w:val="bottom"/>
          </w:tcPr>
          <w:p>
            <w:pPr>
              <w:jc w:val="right"/>
              <w:ind w:right="40"/>
              <w:spacing w:after="0" w:line="100" w:lineRule="exact"/>
              <w:rPr>
                <w:sz w:val="20"/>
                <w:szCs w:val="20"/>
                <w:color w:val="auto"/>
              </w:rPr>
            </w:pPr>
            <w:r>
              <w:rPr>
                <w:rFonts w:ascii="Arial" w:cs="Arial" w:eastAsia="Arial" w:hAnsi="Arial"/>
                <w:sz w:val="11"/>
                <w:szCs w:val="11"/>
                <w:b w:val="1"/>
                <w:bCs w:val="1"/>
                <w:color w:val="auto"/>
                <w:w w:val="85"/>
              </w:rPr>
              <w:t>Allowance for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260"/>
              <w:spacing w:after="0" w:line="100" w:lineRule="exact"/>
              <w:rPr>
                <w:sz w:val="20"/>
                <w:szCs w:val="20"/>
                <w:color w:val="auto"/>
              </w:rPr>
            </w:pPr>
            <w:r>
              <w:rPr>
                <w:rFonts w:ascii="Arial" w:cs="Arial" w:eastAsia="Arial" w:hAnsi="Arial"/>
                <w:sz w:val="11"/>
                <w:szCs w:val="11"/>
                <w:b w:val="1"/>
                <w:bCs w:val="1"/>
                <w:color w:val="auto"/>
                <w:w w:val="89"/>
              </w:rPr>
              <w:t>Unrealized</w:t>
            </w:r>
          </w:p>
        </w:tc>
        <w:tc>
          <w:tcPr>
            <w:tcW w:w="880" w:type="dxa"/>
            <w:vAlign w:val="bottom"/>
            <w:gridSpan w:val="3"/>
          </w:tcPr>
          <w:p>
            <w:pPr>
              <w:jc w:val="center"/>
              <w:ind w:right="120"/>
              <w:spacing w:after="0" w:line="100" w:lineRule="exact"/>
              <w:rPr>
                <w:sz w:val="20"/>
                <w:szCs w:val="20"/>
                <w:color w:val="auto"/>
              </w:rPr>
            </w:pPr>
            <w:r>
              <w:rPr>
                <w:rFonts w:ascii="Arial" w:cs="Arial" w:eastAsia="Arial" w:hAnsi="Arial"/>
                <w:sz w:val="11"/>
                <w:szCs w:val="11"/>
                <w:b w:val="1"/>
                <w:bCs w:val="1"/>
                <w:color w:val="auto"/>
                <w:w w:val="89"/>
              </w:rPr>
              <w:t>Estimated Fair</w:t>
            </w:r>
          </w:p>
        </w:tc>
        <w:tc>
          <w:tcPr>
            <w:tcW w:w="640" w:type="dxa"/>
            <w:vAlign w:val="bottom"/>
          </w:tcPr>
          <w:p>
            <w:pPr>
              <w:jc w:val="right"/>
              <w:ind w:right="100"/>
              <w:spacing w:after="0" w:line="100" w:lineRule="exact"/>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Designation</w:t>
            </w: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720" w:type="dxa"/>
            <w:vAlign w:val="bottom"/>
          </w:tcPr>
          <w:p>
            <w:pPr>
              <w:jc w:val="right"/>
              <w:ind w:right="40"/>
              <w:spacing w:after="0"/>
              <w:rPr>
                <w:sz w:val="20"/>
                <w:szCs w:val="20"/>
                <w:color w:val="auto"/>
              </w:rPr>
            </w:pPr>
            <w:r>
              <w:rPr>
                <w:rFonts w:ascii="Arial" w:cs="Arial" w:eastAsia="Arial" w:hAnsi="Arial"/>
                <w:sz w:val="11"/>
                <w:szCs w:val="11"/>
                <w:b w:val="1"/>
                <w:bCs w:val="1"/>
                <w:color w:val="auto"/>
                <w:w w:val="82"/>
              </w:rPr>
              <w:t>Credit Losses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Gain (Loss)</w:t>
            </w:r>
          </w:p>
        </w:tc>
        <w:tc>
          <w:tcPr>
            <w:tcW w:w="180" w:type="dxa"/>
            <w:vAlign w:val="bottom"/>
          </w:tcPr>
          <w:p>
            <w:pPr>
              <w:spacing w:after="0"/>
              <w:rPr>
                <w:sz w:val="12"/>
                <w:szCs w:val="12"/>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1"/>
              </w:rPr>
              <w:t>Value</w:t>
            </w:r>
          </w:p>
        </w:tc>
        <w:tc>
          <w:tcPr>
            <w:tcW w:w="640" w:type="dxa"/>
            <w:vAlign w:val="bottom"/>
          </w:tcPr>
          <w:p>
            <w:pPr>
              <w:jc w:val="right"/>
              <w:ind w:right="8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2"/>
                <w:szCs w:val="12"/>
                <w:color w:val="auto"/>
              </w:rPr>
            </w:pPr>
          </w:p>
        </w:tc>
        <w:tc>
          <w:tcPr>
            <w:tcW w:w="740" w:type="dxa"/>
            <w:vAlign w:val="bottom"/>
          </w:tcPr>
          <w:p>
            <w:pPr>
              <w:jc w:val="right"/>
              <w:ind w:right="60"/>
              <w:spacing w:after="0"/>
              <w:rPr>
                <w:sz w:val="20"/>
                <w:szCs w:val="20"/>
                <w:color w:val="auto"/>
              </w:rPr>
            </w:pPr>
            <w:r>
              <w:rPr>
                <w:rFonts w:ascii="Arial" w:cs="Arial" w:eastAsia="Arial" w:hAnsi="Arial"/>
                <w:sz w:val="11"/>
                <w:szCs w:val="11"/>
                <w:b w:val="1"/>
                <w:bCs w:val="1"/>
                <w:color w:val="auto"/>
                <w:w w:val="82"/>
              </w:rPr>
              <w:t>Credit Losses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Gain (Loss)</w:t>
            </w:r>
          </w:p>
        </w:tc>
        <w:tc>
          <w:tcPr>
            <w:tcW w:w="16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Value</w:t>
            </w:r>
          </w:p>
        </w:tc>
        <w:tc>
          <w:tcPr>
            <w:tcW w:w="640" w:type="dxa"/>
            <w:vAlign w:val="bottom"/>
          </w:tcPr>
          <w:p>
            <w:pPr>
              <w:jc w:val="right"/>
              <w:ind w:right="8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6"/>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6"/>
          </w:tcPr>
          <w:p>
            <w:pPr>
              <w:ind w:left="40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Aaa/Aa/A</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49,367</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65.6 %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55,862</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63.8 %</w:t>
            </w:r>
          </w:p>
        </w:tc>
        <w:tc>
          <w:tcPr>
            <w:tcW w:w="0" w:type="dxa"/>
            <w:vAlign w:val="bottom"/>
          </w:tcPr>
          <w:p>
            <w:pPr>
              <w:spacing w:after="0"/>
              <w:rPr>
                <w:sz w:val="1"/>
                <w:szCs w:val="1"/>
                <w:color w:val="auto"/>
              </w:rPr>
            </w:pPr>
          </w:p>
        </w:tc>
      </w:tr>
      <w:tr>
        <w:trPr>
          <w:trHeight w:val="165"/>
        </w:trPr>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89"/>
              </w:rPr>
              <w:t>2</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Baa</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27,339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(4,261)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23,078</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30.7</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25,493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2,142</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27,635</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Subtotal investment grade</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82,036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72,445</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8,275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83,497</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auto"/>
              </w:rPr>
              <w:t>Ba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2,480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2,161</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2,634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2,699</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auto"/>
              </w:rPr>
              <w:t>Caa and lower</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6</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 or near default</w:t>
            </w: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140" w:type="dxa"/>
            <w:vAlign w:val="bottom"/>
            <w:tcBorders>
              <w:bottom w:val="single" w:sz="8" w:color="CCEEFF"/>
            </w:tcBorders>
            <w:gridSpan w:val="4"/>
          </w:tcPr>
          <w:p>
            <w:pPr>
              <w:ind w:left="20"/>
              <w:spacing w:after="0"/>
              <w:rPr>
                <w:sz w:val="20"/>
                <w:szCs w:val="20"/>
                <w:color w:val="auto"/>
              </w:rPr>
            </w:pPr>
            <w:r>
              <w:rPr>
                <w:rFonts w:ascii="Arial" w:cs="Arial" w:eastAsia="Arial" w:hAnsi="Arial"/>
                <w:sz w:val="12"/>
                <w:szCs w:val="12"/>
                <w:color w:val="auto"/>
              </w:rPr>
              <w:t>Subtotal below investment grade</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2,826</w:t>
            </w:r>
          </w:p>
        </w:tc>
        <w:tc>
          <w:tcPr>
            <w:tcW w:w="1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4,024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4,085</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Total fixed maturity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85,307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(10,031)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75,271</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79,246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8,347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87,582</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0" w:type="dxa"/>
            <w:vAlign w:val="bottom"/>
            <w:gridSpan w:val="14"/>
          </w:tcPr>
          <w:p>
            <w:pPr>
              <w:jc w:val="center"/>
              <w:ind w:right="320"/>
              <w:spacing w:after="0"/>
              <w:rPr>
                <w:sz w:val="20"/>
                <w:szCs w:val="20"/>
                <w:color w:val="auto"/>
              </w:rPr>
            </w:pPr>
            <w:r>
              <w:rPr>
                <w:rFonts w:ascii="Arial" w:cs="Arial" w:eastAsia="Arial" w:hAnsi="Arial"/>
                <w:sz w:val="14"/>
                <w:szCs w:val="14"/>
                <w:b w:val="1"/>
                <w:bCs w:val="1"/>
                <w:color w:val="auto"/>
                <w:w w:val="94"/>
              </w:rPr>
              <w:t>Fixed Maturity Securities — by Sector &amp; Credit Quality Rating</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NAIC Designation</w:t>
            </w: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7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76"/>
              </w:rPr>
              <w:t>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76"/>
              </w:rPr>
              <w:t>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76"/>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9"/>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NRSRO Rating</w:t>
            </w:r>
          </w:p>
        </w:tc>
        <w:tc>
          <w:tcPr>
            <w:tcW w:w="14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Aaa/Aa/A</w:t>
            </w:r>
          </w:p>
        </w:tc>
        <w:tc>
          <w:tcPr>
            <w:tcW w:w="240" w:type="dxa"/>
            <w:vAlign w:val="bottom"/>
          </w:tcPr>
          <w:p>
            <w:pPr>
              <w:spacing w:after="0"/>
              <w:rPr>
                <w:sz w:val="13"/>
                <w:szCs w:val="13"/>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Baa</w:t>
            </w:r>
          </w:p>
        </w:tc>
        <w:tc>
          <w:tcPr>
            <w:tcW w:w="260" w:type="dxa"/>
            <w:vAlign w:val="bottom"/>
          </w:tcPr>
          <w:p>
            <w:pPr>
              <w:spacing w:after="0"/>
              <w:rPr>
                <w:sz w:val="13"/>
                <w:szCs w:val="13"/>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B</w:t>
            </w:r>
          </w:p>
        </w:tc>
        <w:tc>
          <w:tcPr>
            <w:tcW w:w="160" w:type="dxa"/>
            <w:vAlign w:val="bottom"/>
          </w:tcPr>
          <w:p>
            <w:pPr>
              <w:spacing w:after="0"/>
              <w:rPr>
                <w:sz w:val="13"/>
                <w:szCs w:val="13"/>
                <w:color w:val="auto"/>
              </w:rPr>
            </w:pPr>
          </w:p>
        </w:tc>
        <w:tc>
          <w:tcPr>
            <w:tcW w:w="92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91"/>
              </w:rPr>
              <w:t>Caa and</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4"/>
              </w:rPr>
              <w:t>In or Near</w:t>
            </w:r>
          </w:p>
        </w:tc>
        <w:tc>
          <w:tcPr>
            <w:tcW w:w="140" w:type="dxa"/>
            <w:vAlign w:val="bottom"/>
          </w:tcPr>
          <w:p>
            <w:pPr>
              <w:spacing w:after="0"/>
              <w:rPr>
                <w:sz w:val="13"/>
                <w:szCs w:val="13"/>
                <w:color w:val="auto"/>
              </w:rPr>
            </w:pPr>
          </w:p>
        </w:tc>
        <w:tc>
          <w:tcPr>
            <w:tcW w:w="860" w:type="dxa"/>
            <w:vAlign w:val="bottom"/>
          </w:tcPr>
          <w:p>
            <w:pPr>
              <w:jc w:val="center"/>
              <w:ind w:right="42"/>
              <w:spacing w:after="0" w:line="15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3"/>
        </w:trPr>
        <w:tc>
          <w:tcPr>
            <w:tcW w:w="37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Lower</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2022</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14,492</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15,379</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32,138</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10,140</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8,402</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7,859</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CMBS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6,616</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ABS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5,203</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08"/>
        </w:trPr>
        <w:tc>
          <w:tcPr>
            <w:tcW w:w="3720" w:type="dxa"/>
            <w:vAlign w:val="bottom"/>
          </w:tcPr>
          <w:p>
            <w:pPr>
              <w:ind w:left="18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49,367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23,078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75,271</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December 31, 2021</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17,828</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18,074</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39,081</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11,706</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9,307</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9,259</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CMBS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7,282</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ABS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4,280</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08"/>
        </w:trPr>
        <w:tc>
          <w:tcPr>
            <w:tcW w:w="3720" w:type="dxa"/>
            <w:vAlign w:val="bottom"/>
          </w:tcPr>
          <w:p>
            <w:pPr>
              <w:ind w:left="18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55,862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27,635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87,582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1"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We maintain a diversified portfolio of corporate fixed maturity securities across industries and issuers. Our portfolio does not have any exposure to any single issuer in excess of 1% of total investments and the top ten holdings in aggregate comprise 1% and 2% of total investments at September 30, 2022 and December 31, 2021, respectively. Our U.S. and foreign corporate fixed maturity securities holdings by industry were as follows at: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3"/>
          </w:tcPr>
          <w:p>
            <w:pPr>
              <w:ind w:left="780"/>
              <w:spacing w:after="0"/>
              <w:rPr>
                <w:sz w:val="20"/>
                <w:szCs w:val="20"/>
                <w:color w:val="auto"/>
              </w:rPr>
            </w:pPr>
            <w:r>
              <w:rPr>
                <w:rFonts w:ascii="Arial" w:cs="Arial" w:eastAsia="Arial" w:hAnsi="Arial"/>
                <w:sz w:val="14"/>
                <w:szCs w:val="14"/>
                <w:b w:val="1"/>
                <w:bCs w:val="1"/>
                <w:color w:val="auto"/>
                <w:w w:val="90"/>
              </w:rPr>
              <w:t>September 30, 2022</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3"/>
          </w:tcPr>
          <w:p>
            <w:pPr>
              <w:ind w:left="800"/>
              <w:spacing w:after="0"/>
              <w:rPr>
                <w:sz w:val="20"/>
                <w:szCs w:val="20"/>
                <w:color w:val="auto"/>
              </w:rPr>
            </w:pPr>
            <w:r>
              <w:rPr>
                <w:rFonts w:ascii="Arial" w:cs="Arial" w:eastAsia="Arial" w:hAnsi="Arial"/>
                <w:sz w:val="14"/>
                <w:szCs w:val="14"/>
                <w:b w:val="1"/>
                <w:bCs w:val="1"/>
                <w:color w:val="auto"/>
                <w:w w:val="91"/>
              </w:rPr>
              <w:t>December 31, 2021</w:t>
            </w:r>
          </w:p>
        </w:tc>
        <w:tc>
          <w:tcPr>
            <w:tcW w:w="1020" w:type="dxa"/>
            <w:vAlign w:val="bottom"/>
          </w:tcPr>
          <w:p>
            <w:pPr>
              <w:spacing w:after="0"/>
              <w:rPr>
                <w:sz w:val="15"/>
                <w:szCs w:val="15"/>
                <w:color w:val="auto"/>
              </w:rPr>
            </w:pPr>
          </w:p>
        </w:tc>
      </w:tr>
      <w:tr>
        <w:trPr>
          <w:trHeight w:val="24"/>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6"/>
        </w:trPr>
        <w:tc>
          <w:tcPr>
            <w:tcW w:w="4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80" w:type="dxa"/>
            <w:vAlign w:val="bottom"/>
            <w:gridSpan w:val="3"/>
          </w:tcPr>
          <w:p>
            <w:pPr>
              <w:ind w:left="200"/>
              <w:spacing w:after="0" w:line="126" w:lineRule="exact"/>
              <w:rPr>
                <w:sz w:val="20"/>
                <w:szCs w:val="20"/>
                <w:color w:val="auto"/>
              </w:rPr>
            </w:pPr>
            <w:r>
              <w:rPr>
                <w:rFonts w:ascii="Arial" w:cs="Arial" w:eastAsia="Arial" w:hAnsi="Arial"/>
                <w:sz w:val="14"/>
                <w:szCs w:val="14"/>
                <w:b w:val="1"/>
                <w:bCs w:val="1"/>
                <w:color w:val="auto"/>
              </w:rPr>
              <w:t>Estimated</w:t>
            </w:r>
          </w:p>
        </w:tc>
        <w:tc>
          <w:tcPr>
            <w:tcW w:w="400" w:type="dxa"/>
            <w:vAlign w:val="bottom"/>
          </w:tcPr>
          <w:p>
            <w:pPr>
              <w:ind w:left="40"/>
              <w:spacing w:after="0" w:line="126" w:lineRule="exact"/>
              <w:rPr>
                <w:sz w:val="20"/>
                <w:szCs w:val="20"/>
                <w:color w:val="auto"/>
              </w:rPr>
            </w:pPr>
            <w:r>
              <w:rPr>
                <w:rFonts w:ascii="Arial" w:cs="Arial" w:eastAsia="Arial" w:hAnsi="Arial"/>
                <w:sz w:val="14"/>
                <w:szCs w:val="14"/>
                <w:b w:val="1"/>
                <w:bCs w:val="1"/>
                <w:color w:val="auto"/>
              </w:rPr>
              <w:t>% of</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80" w:type="dxa"/>
            <w:vAlign w:val="bottom"/>
            <w:gridSpan w:val="3"/>
          </w:tcPr>
          <w:p>
            <w:pPr>
              <w:ind w:left="180"/>
              <w:spacing w:after="0" w:line="126" w:lineRule="exact"/>
              <w:rPr>
                <w:sz w:val="20"/>
                <w:szCs w:val="20"/>
                <w:color w:val="auto"/>
              </w:rPr>
            </w:pPr>
            <w:r>
              <w:rPr>
                <w:rFonts w:ascii="Arial" w:cs="Arial" w:eastAsia="Arial" w:hAnsi="Arial"/>
                <w:sz w:val="14"/>
                <w:szCs w:val="14"/>
                <w:b w:val="1"/>
                <w:bCs w:val="1"/>
                <w:color w:val="auto"/>
              </w:rPr>
              <w:t>Estimated</w:t>
            </w:r>
          </w:p>
        </w:tc>
        <w:tc>
          <w:tcPr>
            <w:tcW w:w="1020" w:type="dxa"/>
            <w:vAlign w:val="bottom"/>
          </w:tcPr>
          <w:p>
            <w:pPr>
              <w:jc w:val="right"/>
              <w:ind w:right="603"/>
              <w:spacing w:after="0" w:line="126" w:lineRule="exact"/>
              <w:rPr>
                <w:sz w:val="20"/>
                <w:szCs w:val="20"/>
                <w:color w:val="auto"/>
              </w:rPr>
            </w:pPr>
            <w:r>
              <w:rPr>
                <w:rFonts w:ascii="Arial" w:cs="Arial" w:eastAsia="Arial" w:hAnsi="Arial"/>
                <w:sz w:val="14"/>
                <w:szCs w:val="14"/>
                <w:b w:val="1"/>
                <w:bCs w:val="1"/>
                <w:color w:val="auto"/>
              </w:rPr>
              <w:t>% of</w:t>
            </w:r>
          </w:p>
        </w:tc>
      </w:tr>
      <w:tr>
        <w:trPr>
          <w:trHeight w:val="192"/>
        </w:trPr>
        <w:tc>
          <w:tcPr>
            <w:tcW w:w="4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Total</w:t>
            </w:r>
          </w:p>
        </w:tc>
      </w:tr>
      <w:tr>
        <w:trPr>
          <w:trHeight w:val="191"/>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60" w:type="dxa"/>
            <w:vAlign w:val="bottom"/>
            <w:gridSpan w:val="6"/>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16"/>
                <w:szCs w:val="16"/>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16,131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31.8 %</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Finance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11,791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ind w:right="122"/>
              <w:spacing w:after="0"/>
              <w:rPr>
                <w:sz w:val="20"/>
                <w:szCs w:val="20"/>
                <w:color w:val="auto"/>
              </w:rPr>
            </w:pPr>
            <w:r>
              <w:rPr>
                <w:rFonts w:ascii="Arial" w:cs="Arial" w:eastAsia="Arial" w:hAnsi="Arial"/>
                <w:sz w:val="16"/>
                <w:szCs w:val="16"/>
                <w:color w:val="auto"/>
              </w:rPr>
              <w:t>27.9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12,430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24.4</w:t>
            </w:r>
          </w:p>
        </w:tc>
      </w:tr>
      <w:tr>
        <w:trPr>
          <w:trHeight w:val="215"/>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11,650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22.9</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Utility</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5,585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ind w:right="122"/>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7,146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14.1</w:t>
            </w: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2,647</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3,430</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6.8</w:t>
            </w:r>
          </w:p>
        </w:tc>
      </w:tr>
      <w:tr>
        <w:trPr>
          <w:trHeight w:val="380"/>
        </w:trPr>
        <w:tc>
          <w:tcPr>
            <w:tcW w:w="4620" w:type="dxa"/>
            <w:vAlign w:val="bottom"/>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42,278</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100.0 %</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50,787</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We held $19.7 billion and $20.8 billion of Structured Securities, at estimated fair value, at September 30, 2022 and December 31, 2021, respectively, as presented in the RMBS, CMBS and ABS sections below.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RMBS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RMBS holdings are diversified by security type, risk profile and ratings profile, which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September 30, 2022</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6"/>
              <w:spacing w:after="0"/>
              <w:rPr>
                <w:sz w:val="20"/>
                <w:szCs w:val="20"/>
                <w:color w:val="auto"/>
              </w:rPr>
            </w:pPr>
            <w:r>
              <w:rPr>
                <w:rFonts w:ascii="Arial" w:cs="Arial" w:eastAsia="Arial" w:hAnsi="Arial"/>
                <w:sz w:val="14"/>
                <w:szCs w:val="14"/>
                <w:b w:val="1"/>
                <w:bCs w:val="1"/>
                <w:color w:val="auto"/>
                <w:w w:val="99"/>
              </w:rPr>
              <w:t>December 31, 2021</w:t>
            </w:r>
          </w:p>
        </w:tc>
        <w:tc>
          <w:tcPr>
            <w:tcW w:w="1160" w:type="dxa"/>
            <w:vAlign w:val="bottom"/>
          </w:tcPr>
          <w:p>
            <w:pPr>
              <w:spacing w:after="0"/>
              <w:rPr>
                <w:sz w:val="15"/>
                <w:szCs w:val="15"/>
                <w:color w:val="auto"/>
              </w:rPr>
            </w:pPr>
          </w:p>
        </w:tc>
      </w:tr>
      <w:tr>
        <w:trPr>
          <w:trHeight w:val="24"/>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30"/>
        </w:trPr>
        <w:tc>
          <w:tcPr>
            <w:tcW w:w="39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40"/>
              <w:spacing w:after="0" w:line="130" w:lineRule="exact"/>
              <w:rPr>
                <w:sz w:val="20"/>
                <w:szCs w:val="20"/>
                <w:color w:val="auto"/>
              </w:rPr>
            </w:pPr>
            <w:r>
              <w:rPr>
                <w:rFonts w:ascii="Arial" w:cs="Arial" w:eastAsia="Arial" w:hAnsi="Arial"/>
                <w:sz w:val="14"/>
                <w:szCs w:val="14"/>
                <w:b w:val="1"/>
                <w:bCs w:val="1"/>
                <w:color w:val="auto"/>
              </w:rPr>
              <w:t>Estimated</w:t>
            </w:r>
          </w:p>
        </w:tc>
        <w:tc>
          <w:tcPr>
            <w:tcW w:w="1220" w:type="dxa"/>
            <w:vAlign w:val="bottom"/>
            <w:tcBorders>
              <w:top w:val="single" w:sz="8" w:color="auto"/>
            </w:tcBorders>
            <w:gridSpan w:val="2"/>
          </w:tcPr>
          <w:p>
            <w:pPr>
              <w:ind w:left="420"/>
              <w:spacing w:after="0" w:line="130" w:lineRule="exact"/>
              <w:rPr>
                <w:sz w:val="20"/>
                <w:szCs w:val="20"/>
                <w:color w:val="auto"/>
              </w:rPr>
            </w:pPr>
            <w:r>
              <w:rPr>
                <w:rFonts w:ascii="Arial" w:cs="Arial" w:eastAsia="Arial" w:hAnsi="Arial"/>
                <w:sz w:val="14"/>
                <w:szCs w:val="14"/>
                <w:b w:val="1"/>
                <w:bCs w:val="1"/>
                <w:color w:val="auto"/>
              </w:rPr>
              <w:t>% of</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ind w:left="60"/>
              <w:spacing w:after="0" w:line="130" w:lineRule="exact"/>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ind w:left="40"/>
              <w:spacing w:after="0" w:line="130" w:lineRule="exact"/>
              <w:rPr>
                <w:sz w:val="20"/>
                <w:szCs w:val="20"/>
                <w:color w:val="auto"/>
              </w:rPr>
            </w:pPr>
            <w:r>
              <w:rPr>
                <w:rFonts w:ascii="Arial" w:cs="Arial" w:eastAsia="Arial" w:hAnsi="Arial"/>
                <w:sz w:val="14"/>
                <w:szCs w:val="14"/>
                <w:b w:val="1"/>
                <w:bCs w:val="1"/>
                <w:color w:val="auto"/>
              </w:rPr>
              <w:t>Estimated</w:t>
            </w:r>
          </w:p>
        </w:tc>
        <w:tc>
          <w:tcPr>
            <w:tcW w:w="1220" w:type="dxa"/>
            <w:vAlign w:val="bottom"/>
            <w:tcBorders>
              <w:top w:val="single" w:sz="8" w:color="auto"/>
            </w:tcBorders>
            <w:gridSpan w:val="2"/>
          </w:tcPr>
          <w:p>
            <w:pPr>
              <w:ind w:left="400"/>
              <w:spacing w:after="0" w:line="130" w:lineRule="exact"/>
              <w:rPr>
                <w:sz w:val="20"/>
                <w:szCs w:val="20"/>
                <w:color w:val="auto"/>
              </w:rPr>
            </w:pPr>
            <w:r>
              <w:rPr>
                <w:rFonts w:ascii="Arial" w:cs="Arial" w:eastAsia="Arial" w:hAnsi="Arial"/>
                <w:sz w:val="14"/>
                <w:szCs w:val="14"/>
                <w:b w:val="1"/>
                <w:bCs w:val="1"/>
                <w:color w:val="auto"/>
              </w:rPr>
              <w:t>% of</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22"/>
              <w:spacing w:after="0" w:line="130" w:lineRule="exact"/>
              <w:rPr>
                <w:sz w:val="20"/>
                <w:szCs w:val="20"/>
                <w:color w:val="auto"/>
              </w:rPr>
            </w:pPr>
            <w:r>
              <w:rPr>
                <w:rFonts w:ascii="Arial" w:cs="Arial" w:eastAsia="Arial" w:hAnsi="Arial"/>
                <w:sz w:val="14"/>
                <w:szCs w:val="14"/>
                <w:b w:val="1"/>
                <w:bCs w:val="1"/>
                <w:color w:val="auto"/>
                <w:w w:val="96"/>
              </w:rPr>
              <w:t>Net Unrealized</w:t>
            </w:r>
          </w:p>
        </w:tc>
      </w:tr>
      <w:tr>
        <w:trPr>
          <w:trHeight w:val="189"/>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Gains (Losses)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1"/>
              </w:rPr>
              <w:t>Gains (Losses)</w:t>
            </w:r>
          </w:p>
        </w:tc>
      </w:tr>
      <w:tr>
        <w:trPr>
          <w:trHeight w:val="190"/>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5"/>
          </w:tcPr>
          <w:p>
            <w:pPr>
              <w:ind w:left="640"/>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Security type: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09"/>
        </w:trPr>
        <w:tc>
          <w:tcPr>
            <w:tcW w:w="3900" w:type="dxa"/>
            <w:vAlign w:val="bottom"/>
          </w:tcPr>
          <w:p>
            <w:pPr>
              <w:ind w:left="20"/>
              <w:spacing w:after="0"/>
              <w:rPr>
                <w:sz w:val="20"/>
                <w:szCs w:val="20"/>
                <w:color w:val="auto"/>
              </w:rPr>
            </w:pPr>
            <w:r>
              <w:rPr>
                <w:rFonts w:ascii="Arial" w:cs="Arial" w:eastAsia="Arial" w:hAnsi="Arial"/>
                <w:sz w:val="16"/>
                <w:szCs w:val="16"/>
                <w:color w:val="auto"/>
              </w:rPr>
              <w:t>Pass-through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3,935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50.1 %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4,688</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50.6 %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2"/>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Collateralized mortgage obligations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3,924</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4,571</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08"/>
        </w:trPr>
        <w:tc>
          <w:tcPr>
            <w:tcW w:w="390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7,859</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9,259</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8"/>
        </w:trPr>
        <w:tc>
          <w:tcPr>
            <w:tcW w:w="39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Risk profile:</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900" w:type="dxa"/>
            <w:vAlign w:val="bottom"/>
          </w:tcPr>
          <w:p>
            <w:pPr>
              <w:ind w:left="20"/>
              <w:spacing w:after="0"/>
              <w:rPr>
                <w:sz w:val="20"/>
                <w:szCs w:val="20"/>
                <w:color w:val="auto"/>
              </w:rPr>
            </w:pPr>
            <w:r>
              <w:rPr>
                <w:rFonts w:ascii="Arial" w:cs="Arial" w:eastAsia="Arial" w:hAnsi="Arial"/>
                <w:sz w:val="16"/>
                <w:szCs w:val="16"/>
                <w:color w:val="auto"/>
              </w:rPr>
              <w:t>Agency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6,294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80.1 %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7,563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81.7 %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4"/>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3900" w:type="dxa"/>
            <w:vAlign w:val="bottom"/>
          </w:tcPr>
          <w:p>
            <w:pPr>
              <w:ind w:left="20"/>
              <w:spacing w:after="0"/>
              <w:rPr>
                <w:sz w:val="20"/>
                <w:szCs w:val="20"/>
                <w:color w:val="auto"/>
              </w:rPr>
            </w:pPr>
            <w:r>
              <w:rPr>
                <w:rFonts w:ascii="Arial" w:cs="Arial" w:eastAsia="Arial" w:hAnsi="Arial"/>
                <w:sz w:val="16"/>
                <w:szCs w:val="16"/>
                <w:color w:val="auto"/>
              </w:rPr>
              <w:t>Alt-A</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2"/>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08"/>
        </w:trPr>
        <w:tc>
          <w:tcPr>
            <w:tcW w:w="390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7,859</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9,259</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8"/>
        </w:trPr>
        <w:tc>
          <w:tcPr>
            <w:tcW w:w="39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Ratings profile:</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900" w:type="dxa"/>
            <w:vAlign w:val="bottom"/>
          </w:tcPr>
          <w:p>
            <w:pPr>
              <w:ind w:left="180"/>
              <w:spacing w:after="0"/>
              <w:rPr>
                <w:sz w:val="20"/>
                <w:szCs w:val="20"/>
                <w:color w:val="auto"/>
              </w:rPr>
            </w:pPr>
            <w:r>
              <w:rPr>
                <w:rFonts w:ascii="Arial" w:cs="Arial" w:eastAsia="Arial" w:hAnsi="Arial"/>
                <w:sz w:val="16"/>
                <w:szCs w:val="16"/>
                <w:color w:val="auto"/>
              </w:rPr>
              <w:t>Rated Aaa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6,846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7,905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Designated NAIC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239"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CMBS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CMBS holdings are diversified by vintage year, which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20" w:type="dxa"/>
            <w:vAlign w:val="bottom"/>
            <w:gridSpan w:val="5"/>
          </w:tcPr>
          <w:p>
            <w:pPr>
              <w:ind w:left="980"/>
              <w:spacing w:after="0"/>
              <w:rPr>
                <w:sz w:val="20"/>
                <w:szCs w:val="20"/>
                <w:color w:val="auto"/>
              </w:rPr>
            </w:pPr>
            <w:r>
              <w:rPr>
                <w:rFonts w:ascii="Arial" w:cs="Arial" w:eastAsia="Arial" w:hAnsi="Arial"/>
                <w:sz w:val="14"/>
                <w:szCs w:val="14"/>
                <w:b w:val="1"/>
                <w:bCs w:val="1"/>
                <w:color w:val="auto"/>
              </w:rPr>
              <w:t>September 30, 2022</w:t>
            </w:r>
          </w:p>
        </w:tc>
        <w:tc>
          <w:tcPr>
            <w:tcW w:w="360" w:type="dxa"/>
            <w:vAlign w:val="bottom"/>
          </w:tcPr>
          <w:p>
            <w:pPr>
              <w:spacing w:after="0"/>
              <w:rPr>
                <w:sz w:val="15"/>
                <w:szCs w:val="15"/>
                <w:color w:val="auto"/>
              </w:rPr>
            </w:pPr>
          </w:p>
        </w:tc>
        <w:tc>
          <w:tcPr>
            <w:tcW w:w="3300" w:type="dxa"/>
            <w:vAlign w:val="bottom"/>
            <w:gridSpan w:val="4"/>
          </w:tcPr>
          <w:p>
            <w:pPr>
              <w:jc w:val="right"/>
              <w:ind w:right="1181"/>
              <w:spacing w:after="0"/>
              <w:rPr>
                <w:sz w:val="20"/>
                <w:szCs w:val="20"/>
                <w:color w:val="auto"/>
              </w:rPr>
            </w:pPr>
            <w:r>
              <w:rPr>
                <w:rFonts w:ascii="Arial" w:cs="Arial" w:eastAsia="Arial" w:hAnsi="Arial"/>
                <w:sz w:val="14"/>
                <w:szCs w:val="14"/>
                <w:b w:val="1"/>
                <w:bCs w:val="1"/>
                <w:color w:val="auto"/>
              </w:rPr>
              <w:t>December 31, 2021</w:t>
            </w:r>
          </w:p>
        </w:tc>
      </w:tr>
      <w:tr>
        <w:trPr>
          <w:trHeight w:val="24"/>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5"/>
        </w:trPr>
        <w:tc>
          <w:tcPr>
            <w:tcW w:w="38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7"/>
              </w:rPr>
              <w:t>Estimated Fair Value</w:t>
            </w:r>
          </w:p>
        </w:tc>
        <w:tc>
          <w:tcPr>
            <w:tcW w:w="12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7"/>
              </w:rPr>
              <w:t>Estimated Fair Value</w:t>
            </w:r>
          </w:p>
        </w:tc>
      </w:tr>
      <w:tr>
        <w:trPr>
          <w:trHeight w:val="191"/>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2003 - 2011</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2012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5"/>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2014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215"/>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215"/>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1,827</w:t>
            </w:r>
          </w:p>
        </w:tc>
      </w:tr>
      <w:tr>
        <w:trPr>
          <w:trHeight w:val="215"/>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2020</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215"/>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3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7,282</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estimated fair value of CMBS rated Aaa using rating agency ratings was $4.6 billion, or 69.1% of total CMBS, and designated NAIC 1 was $6.3 billion, or 94.6% of total CMBS, at September 30, 2022. The estimated fair value of CMBS Aaa rating agency ratings was $5.0 billion, or 69.1% of total CMBS, and designated NAIC 1 was $6.9 billion, or 94.5% of total CMBS at December 31, 2021.</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ABS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Our ABS holdings are diversified by both collateral type and issuer. Our ABS holdings by collateral type and ratings profile were as follows at: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w w:val="91"/>
              </w:rPr>
              <w:t>September 30, 2022</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30"/>
        </w:trPr>
        <w:tc>
          <w:tcPr>
            <w:tcW w:w="35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30" w:lineRule="exact"/>
              <w:rPr>
                <w:sz w:val="20"/>
                <w:szCs w:val="20"/>
                <w:color w:val="auto"/>
              </w:rPr>
            </w:pPr>
            <w:r>
              <w:rPr>
                <w:rFonts w:ascii="Arial" w:cs="Arial" w:eastAsia="Arial" w:hAnsi="Arial"/>
                <w:sz w:val="14"/>
                <w:szCs w:val="14"/>
                <w:b w:val="1"/>
                <w:bCs w:val="1"/>
                <w:color w:val="auto"/>
              </w:rPr>
              <w:t>Estimated</w:t>
            </w:r>
          </w:p>
        </w:tc>
        <w:tc>
          <w:tcPr>
            <w:tcW w:w="1320" w:type="dxa"/>
            <w:vAlign w:val="bottom"/>
            <w:tcBorders>
              <w:top w:val="single" w:sz="8" w:color="auto"/>
            </w:tcBorders>
            <w:gridSpan w:val="2"/>
          </w:tcPr>
          <w:p>
            <w:pPr>
              <w:ind w:left="460"/>
              <w:spacing w:after="0" w:line="130" w:lineRule="exact"/>
              <w:rPr>
                <w:sz w:val="20"/>
                <w:szCs w:val="20"/>
                <w:color w:val="auto"/>
              </w:rPr>
            </w:pPr>
            <w:r>
              <w:rPr>
                <w:rFonts w:ascii="Arial" w:cs="Arial" w:eastAsia="Arial" w:hAnsi="Arial"/>
                <w:sz w:val="14"/>
                <w:szCs w:val="14"/>
                <w:b w:val="1"/>
                <w:bCs w:val="1"/>
                <w:color w:val="auto"/>
              </w:rPr>
              <w:t>% of</w:t>
            </w: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ind w:left="40"/>
              <w:spacing w:after="0" w:line="130" w:lineRule="exact"/>
              <w:rPr>
                <w:sz w:val="20"/>
                <w:szCs w:val="20"/>
                <w:color w:val="auto"/>
              </w:rPr>
            </w:pPr>
            <w:r>
              <w:rPr>
                <w:rFonts w:ascii="Arial" w:cs="Arial" w:eastAsia="Arial" w:hAnsi="Arial"/>
                <w:sz w:val="14"/>
                <w:szCs w:val="14"/>
                <w:b w:val="1"/>
                <w:bCs w:val="1"/>
                <w:color w:val="auto"/>
              </w:rPr>
              <w:t>Net 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30" w:lineRule="exact"/>
              <w:rPr>
                <w:sz w:val="20"/>
                <w:szCs w:val="20"/>
                <w:color w:val="auto"/>
              </w:rPr>
            </w:pPr>
            <w:r>
              <w:rPr>
                <w:rFonts w:ascii="Arial" w:cs="Arial" w:eastAsia="Arial" w:hAnsi="Arial"/>
                <w:sz w:val="14"/>
                <w:szCs w:val="14"/>
                <w:b w:val="1"/>
                <w:bCs w:val="1"/>
                <w:color w:val="auto"/>
              </w:rPr>
              <w:t>Estimated</w:t>
            </w:r>
          </w:p>
        </w:tc>
        <w:tc>
          <w:tcPr>
            <w:tcW w:w="1340" w:type="dxa"/>
            <w:vAlign w:val="bottom"/>
            <w:tcBorders>
              <w:top w:val="single" w:sz="8" w:color="auto"/>
            </w:tcBorders>
            <w:gridSpan w:val="2"/>
          </w:tcPr>
          <w:p>
            <w:pPr>
              <w:ind w:left="460"/>
              <w:spacing w:after="0" w:line="130" w:lineRule="exact"/>
              <w:rPr>
                <w:sz w:val="20"/>
                <w:szCs w:val="20"/>
                <w:color w:val="auto"/>
              </w:rPr>
            </w:pPr>
            <w:r>
              <w:rPr>
                <w:rFonts w:ascii="Arial" w:cs="Arial" w:eastAsia="Arial" w:hAnsi="Arial"/>
                <w:sz w:val="14"/>
                <w:szCs w:val="14"/>
                <w:b w:val="1"/>
                <w:bCs w:val="1"/>
                <w:color w:val="auto"/>
              </w:rPr>
              <w:t>% of</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22"/>
              <w:spacing w:after="0" w:line="130" w:lineRule="exact"/>
              <w:rPr>
                <w:sz w:val="20"/>
                <w:szCs w:val="20"/>
                <w:color w:val="auto"/>
              </w:rPr>
            </w:pPr>
            <w:r>
              <w:rPr>
                <w:rFonts w:ascii="Arial" w:cs="Arial" w:eastAsia="Arial" w:hAnsi="Arial"/>
                <w:sz w:val="14"/>
                <w:szCs w:val="14"/>
                <w:b w:val="1"/>
                <w:bCs w:val="1"/>
                <w:color w:val="auto"/>
                <w:w w:val="96"/>
              </w:rPr>
              <w:t>Net Unrealized</w:t>
            </w:r>
          </w:p>
        </w:tc>
      </w:tr>
      <w:tr>
        <w:trPr>
          <w:trHeight w:val="189"/>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Gains (Losses)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1"/>
              </w:rPr>
              <w:t>Gains (Losses)</w:t>
            </w:r>
          </w:p>
        </w:tc>
      </w:tr>
      <w:tr>
        <w:trPr>
          <w:trHeight w:val="190"/>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60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 type: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Collateralized obligations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3,142</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60.4 %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2,659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62.1 %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Student loans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color w:val="auto"/>
              </w:rPr>
              <w:t>Consumer loans</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Automobile loans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Credit card loans</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loans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8"/>
        </w:trPr>
        <w:tc>
          <w:tcPr>
            <w:tcW w:w="350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5,203</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4,280</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8"/>
        </w:trPr>
        <w:tc>
          <w:tcPr>
            <w:tcW w:w="35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Ratings profile: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500" w:type="dxa"/>
            <w:vAlign w:val="bottom"/>
          </w:tcPr>
          <w:p>
            <w:pPr>
              <w:ind w:left="180"/>
              <w:spacing w:after="0"/>
              <w:rPr>
                <w:sz w:val="20"/>
                <w:szCs w:val="20"/>
                <w:color w:val="auto"/>
              </w:rPr>
            </w:pPr>
            <w:r>
              <w:rPr>
                <w:rFonts w:ascii="Arial" w:cs="Arial" w:eastAsia="Arial" w:hAnsi="Arial"/>
                <w:sz w:val="16"/>
                <w:szCs w:val="16"/>
                <w:color w:val="auto"/>
              </w:rPr>
              <w:t>Rated Aaa</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2,194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Designated NAIC 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4,543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for Fixed Maturity Securities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4 of the Notes to the Interim Condensed Consolidated Financial Statements for information about the evaluation of fixed maturity securities for an allowance for credit losses or write-offs due to uncollectibility.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5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See “— Liquidity and Capital Resources — The Company — Primary Uses of Liquidity and Capital — Securities Lending” and Note 4 of the Notes to the Interim Condensed Consolidated Financial Statements for information regarding our securities lending program.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Information regarding mortgage loans by portfolio segment is summarized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September 30, 2022</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
        </w:trPr>
        <w:tc>
          <w:tcPr>
            <w:tcW w:w="2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Amortized</w:t>
            </w:r>
          </w:p>
        </w:tc>
        <w:tc>
          <w:tcPr>
            <w:tcW w:w="1160" w:type="dxa"/>
            <w:vAlign w:val="bottom"/>
            <w:gridSpan w:val="2"/>
          </w:tcPr>
          <w:p>
            <w:pPr>
              <w:ind w:left="380"/>
              <w:spacing w:after="0" w:line="126" w:lineRule="exact"/>
              <w:rPr>
                <w:sz w:val="20"/>
                <w:szCs w:val="20"/>
                <w:color w:val="auto"/>
              </w:rPr>
            </w:pPr>
            <w:r>
              <w:rPr>
                <w:rFonts w:ascii="Arial" w:cs="Arial" w:eastAsia="Arial" w:hAnsi="Arial"/>
                <w:sz w:val="14"/>
                <w:szCs w:val="14"/>
                <w:b w:val="1"/>
                <w:bCs w:val="1"/>
                <w:color w:val="auto"/>
              </w:rPr>
              <w:t>% of</w:t>
            </w:r>
          </w:p>
        </w:tc>
        <w:tc>
          <w:tcPr>
            <w:tcW w:w="96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5"/>
              </w:rPr>
              <w:t>Allowance for</w:t>
            </w:r>
          </w:p>
        </w:tc>
        <w:tc>
          <w:tcPr>
            <w:tcW w:w="1220" w:type="dxa"/>
            <w:vAlign w:val="bottom"/>
          </w:tcPr>
          <w:p>
            <w:pPr>
              <w:jc w:val="center"/>
              <w:ind w:left="24"/>
              <w:spacing w:after="0" w:line="126" w:lineRule="exact"/>
              <w:rPr>
                <w:sz w:val="20"/>
                <w:szCs w:val="20"/>
                <w:color w:val="auto"/>
              </w:rPr>
            </w:pPr>
            <w:r>
              <w:rPr>
                <w:rFonts w:ascii="Arial" w:cs="Arial" w:eastAsia="Arial" w:hAnsi="Arial"/>
                <w:sz w:val="14"/>
                <w:szCs w:val="14"/>
                <w:b w:val="1"/>
                <w:bCs w:val="1"/>
                <w:color w:val="auto"/>
                <w:w w:val="94"/>
              </w:rPr>
              <w:t>% of Amortized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3"/>
              </w:rPr>
              <w:t>Amortized</w:t>
            </w:r>
          </w:p>
        </w:tc>
        <w:tc>
          <w:tcPr>
            <w:tcW w:w="1180" w:type="dxa"/>
            <w:vAlign w:val="bottom"/>
            <w:gridSpan w:val="2"/>
          </w:tcPr>
          <w:p>
            <w:pPr>
              <w:ind w:left="400"/>
              <w:spacing w:after="0" w:line="126" w:lineRule="exact"/>
              <w:rPr>
                <w:sz w:val="20"/>
                <w:szCs w:val="20"/>
                <w:color w:val="auto"/>
              </w:rPr>
            </w:pPr>
            <w:r>
              <w:rPr>
                <w:rFonts w:ascii="Arial" w:cs="Arial" w:eastAsia="Arial" w:hAnsi="Arial"/>
                <w:sz w:val="14"/>
                <w:szCs w:val="14"/>
                <w:b w:val="1"/>
                <w:bCs w:val="1"/>
                <w:color w:val="auto"/>
              </w:rPr>
              <w:t>% of</w:t>
            </w:r>
          </w:p>
        </w:tc>
        <w:tc>
          <w:tcPr>
            <w:tcW w:w="98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7"/>
              </w:rPr>
              <w:t>Allowance for</w:t>
            </w:r>
          </w:p>
        </w:tc>
        <w:tc>
          <w:tcPr>
            <w:tcW w:w="12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 of Amortized</w:t>
            </w:r>
          </w:p>
        </w:tc>
      </w:tr>
      <w:tr>
        <w:trPr>
          <w:trHeight w:val="192"/>
        </w:trPr>
        <w:tc>
          <w:tcPr>
            <w:tcW w:w="2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w w:val="92"/>
              </w:rPr>
              <w:t>Credit Losses</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w w:val="94"/>
              </w:rPr>
              <w:t>Credit Losses</w:t>
            </w:r>
          </w:p>
        </w:tc>
        <w:tc>
          <w:tcPr>
            <w:tcW w:w="12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Cost</w:t>
            </w:r>
          </w:p>
        </w:tc>
      </w:tr>
      <w:tr>
        <w:trPr>
          <w:trHeight w:val="191"/>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80" w:type="dxa"/>
            <w:vAlign w:val="bottom"/>
            <w:gridSpan w:val="5"/>
          </w:tcPr>
          <w:p>
            <w:pPr>
              <w:ind w:left="68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9"/>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65"/>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10"/>
        </w:trPr>
        <w:tc>
          <w:tcPr>
            <w:tcW w:w="23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4,216</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19.0 %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15</w:t>
            </w:r>
          </w:p>
        </w:tc>
        <w:tc>
          <w:tcPr>
            <w:tcW w:w="122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120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12"/>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4,686</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08"/>
        </w:trPr>
        <w:tc>
          <w:tcPr>
            <w:tcW w:w="230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22,188</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22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19,973</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25"/>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20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mortgage loan portfolio is diversified by both geographic region and property type to reduce the risk of concentration. The percentage of our commercial and agricultural mortgage loan portfolios collateralized by properties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located in the U.S. were 97% at both September 30, 2022 and December 31, 2021. The remainder was collateralized by properties located outside of the U.S. At September 30, 2022, the carrying value as a percentage of total commercial and agricultural mortgage loans for the top three states in the U.S. was 19% for California, 11% for Texas and 10% for New York. Additionally, we manage risk when originating commercial and agricultural mortgage loans by generally lending up to 75% of the estimated fair value of the underlying real estate collateral.</w:t>
      </w:r>
    </w:p>
    <w:p>
      <w:pPr>
        <w:spacing w:after="0" w:line="8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residential mortgage loan portfolio is managed in a similar manner to reduce risk of concentration. All residential mortgage loans were collateralized by properties located in the U.S. at both September 30, 2022 and December 31, 2021. At September 30, 2022, the carrying value as a percentage of total residential mortgage loans for the top three states in the U.S. was 39% for California, 10% for Florida and 7% for New York.</w:t>
      </w:r>
    </w:p>
    <w:p>
      <w:pPr>
        <w:spacing w:after="0" w:line="65"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i w:val="1"/>
          <w:iCs w:val="1"/>
          <w:color w:val="auto"/>
        </w:rPr>
        <w:t>Commercial Mortgage Loans by Geographic Region and Property Type</w:t>
      </w:r>
      <w:r>
        <w:rPr>
          <w:rFonts w:ascii="Arial" w:cs="Arial" w:eastAsia="Arial" w:hAnsi="Arial"/>
          <w:sz w:val="17"/>
          <w:szCs w:val="17"/>
          <w:color w:val="auto"/>
        </w:rPr>
        <w:t>. 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diversification across geographic regions and property types of commercial mortgage loans was as follows at: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3"/>
          </w:tcPr>
          <w:p>
            <w:pPr>
              <w:ind w:left="580"/>
              <w:spacing w:after="0"/>
              <w:rPr>
                <w:sz w:val="20"/>
                <w:szCs w:val="20"/>
                <w:color w:val="auto"/>
              </w:rPr>
            </w:pPr>
            <w:r>
              <w:rPr>
                <w:rFonts w:ascii="Arial" w:cs="Arial" w:eastAsia="Arial" w:hAnsi="Arial"/>
                <w:sz w:val="14"/>
                <w:szCs w:val="14"/>
                <w:b w:val="1"/>
                <w:bCs w:val="1"/>
                <w:color w:val="auto"/>
              </w:rPr>
              <w:t>September 30, 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tcPr>
          <w:p>
            <w:pPr>
              <w:jc w:val="right"/>
              <w:ind w:right="785"/>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880" w:type="dxa"/>
            <w:vAlign w:val="bottom"/>
          </w:tcPr>
          <w:p>
            <w:pPr>
              <w:ind w:left="580"/>
              <w:spacing w:after="0" w:line="130" w:lineRule="exact"/>
              <w:rPr>
                <w:sz w:val="20"/>
                <w:szCs w:val="20"/>
                <w:color w:val="auto"/>
              </w:rPr>
            </w:pPr>
            <w:r>
              <w:rPr>
                <w:rFonts w:ascii="Arial" w:cs="Arial" w:eastAsia="Arial" w:hAnsi="Arial"/>
                <w:sz w:val="14"/>
                <w:szCs w:val="14"/>
                <w:b w:val="1"/>
                <w:bCs w:val="1"/>
                <w:color w:val="auto"/>
                <w:w w:val="94"/>
              </w:rPr>
              <w:t>% of</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1440" w:type="dxa"/>
            <w:vAlign w:val="bottom"/>
          </w:tcPr>
          <w:p>
            <w:pPr>
              <w:jc w:val="right"/>
              <w:ind w:right="505"/>
              <w:spacing w:after="0" w:line="130"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89"/>
              </w:rPr>
              <w:t>Total</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80" w:type="dxa"/>
            <w:vAlign w:val="bottom"/>
            <w:gridSpan w:val="4"/>
          </w:tcPr>
          <w:p>
            <w:pPr>
              <w:jc w:val="right"/>
              <w:ind w:right="681"/>
              <w:spacing w:after="0"/>
              <w:rPr>
                <w:sz w:val="20"/>
                <w:szCs w:val="20"/>
                <w:color w:val="auto"/>
              </w:rPr>
            </w:pPr>
            <w:r>
              <w:rPr>
                <w:rFonts w:ascii="Arial" w:cs="Arial" w:eastAsia="Arial" w:hAnsi="Arial"/>
                <w:sz w:val="14"/>
                <w:szCs w:val="14"/>
                <w:b w:val="1"/>
                <w:bCs w:val="1"/>
                <w:color w:val="auto"/>
                <w:w w:val="92"/>
              </w:rPr>
              <w:t>(Dollars in millions)</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Geographic region: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Pacific</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2,780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20.9 %</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2,601</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21.3 %</w:t>
            </w:r>
          </w:p>
        </w:tc>
        <w:tc>
          <w:tcPr>
            <w:tcW w:w="0" w:type="dxa"/>
            <w:vAlign w:val="bottom"/>
          </w:tcPr>
          <w:p>
            <w:pPr>
              <w:spacing w:after="0"/>
              <w:rPr>
                <w:sz w:val="1"/>
                <w:szCs w:val="1"/>
                <w:color w:val="auto"/>
              </w:rPr>
            </w:pP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Atlantic</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2,383</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Middle Atlantic</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2,382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2,115</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West South Central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1,425</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Mountain</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1,062</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England</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789</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East North Central</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717</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495</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West North Central</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318</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South Central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Multi-region and Other</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recorded investment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100.0 %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12,187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allowance for credit losses</w:t>
            </w: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6"/>
                <w:szCs w:val="16"/>
                <w:color w:val="auto"/>
              </w:rPr>
              <w:t>67</w:t>
            </w: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42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420" w:type="dxa"/>
            <w:vAlign w:val="bottom"/>
            <w:tcBorders>
              <w:bottom w:val="single" w:sz="8" w:color="CCEEFF"/>
            </w:tcBorders>
            <w:shd w:val="clear" w:color="auto" w:fill="CCEEFF"/>
          </w:tcPr>
          <w:p>
            <w:pPr>
              <w:ind w:left="180"/>
              <w:spacing w:after="0" w:line="206" w:lineRule="exact"/>
              <w:rPr>
                <w:sz w:val="20"/>
                <w:szCs w:val="20"/>
                <w:color w:val="auto"/>
              </w:rPr>
            </w:pPr>
            <w:r>
              <w:rPr>
                <w:rFonts w:ascii="Arial" w:cs="Arial" w:eastAsia="Arial" w:hAnsi="Arial"/>
                <w:sz w:val="18"/>
                <w:szCs w:val="18"/>
                <w:color w:val="auto"/>
              </w:rPr>
              <w:t>Carrying value, net of allowance for credit losses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13,241</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12,120</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Property type: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Apartment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3,895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Office</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3,391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3,566</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1,863</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Industrial</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1,847</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Hotel</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8"/>
        </w:trPr>
        <w:tc>
          <w:tcPr>
            <w:tcW w:w="5420" w:type="dxa"/>
            <w:vAlign w:val="bottom"/>
          </w:tcPr>
          <w:p>
            <w:pPr>
              <w:ind w:left="20"/>
              <w:spacing w:after="0"/>
              <w:rPr>
                <w:sz w:val="20"/>
                <w:szCs w:val="20"/>
                <w:color w:val="auto"/>
              </w:rPr>
            </w:pPr>
            <w:r>
              <w:rPr>
                <w:rFonts w:ascii="Arial" w:cs="Arial" w:eastAsia="Arial" w:hAnsi="Arial"/>
                <w:sz w:val="16"/>
                <w:szCs w:val="16"/>
                <w:color w:val="auto"/>
              </w:rPr>
              <w:t>Total recorded investment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13,286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8"/>
              </w:rPr>
              <w:t>100.0 %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12,187</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Less: allowance for credit losses</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
              <w:spacing w:after="0" w:line="176" w:lineRule="exact"/>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420" w:type="dxa"/>
            <w:vAlign w:val="bottom"/>
          </w:tcPr>
          <w:p>
            <w:pPr>
              <w:ind w:left="180"/>
              <w:spacing w:after="0"/>
              <w:rPr>
                <w:sz w:val="20"/>
                <w:szCs w:val="20"/>
                <w:color w:val="auto"/>
              </w:rPr>
            </w:pPr>
            <w:r>
              <w:rPr>
                <w:rFonts w:ascii="Arial" w:cs="Arial" w:eastAsia="Arial" w:hAnsi="Arial"/>
                <w:sz w:val="16"/>
                <w:szCs w:val="16"/>
                <w:color w:val="auto"/>
              </w:rPr>
              <w:t>Carrying value, net of allowance for credit losses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12,120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Mortgage Loan Credit Quality — Monitoring Process. </w:t>
      </w:r>
      <w:r>
        <w:rPr>
          <w:rFonts w:ascii="Arial" w:cs="Arial" w:eastAsia="Arial" w:hAnsi="Arial"/>
          <w:sz w:val="18"/>
          <w:szCs w:val="18"/>
          <w:color w:val="auto"/>
        </w:rPr>
        <w:t>Our mortgage loan investments are monitored on an ongoing basis, including a review of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current, past due, restructured and under foreclosure. Quarterly, we conduct a formal review of the portfolio with our investment managers. See Note 4 of the Notes to the Interim Condensed Consolidated Financial Statements for information on mortgage loans by credit quality indicator, past due status, nonaccrual status and modified mortgage loans.</w:t>
      </w:r>
    </w:p>
    <w:p>
      <w:pPr>
        <w:spacing w:after="0" w:line="8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mortgage loans is generally similar, with a focus on higher risk loans, such as loans with higher loan-to-value ratios, including reviews on a geographic and sector basis. Our residential mortgage loans are reviewed on an ongoing basis. See Note 4 of the Notes to the Interim Condensed Consolidated Financial Statements for information on our evaluation of residential mortgage loans and related measurement of allowance for credit losses.</w:t>
      </w:r>
    </w:p>
    <w:p>
      <w:pPr>
        <w:spacing w:after="0" w:line="3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57% and 58% at September 30, 2022 and December 31, 2021, respectively, and our average debt-service coverage ratio was 2.2x at both September 30, 2022 and December 31, 2021.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47% and 46% at September 30, 2022 and December 31, 2021, respectively. The values utilized in calculating the agricultural mortgage loan loan-to-value ratio are developed in connection with the ongoing review of the agricultural loan portfolio and are routinely updated.</w:t>
      </w:r>
    </w:p>
    <w:p>
      <w:pPr>
        <w:spacing w:after="0" w:line="5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i w:val="1"/>
          <w:iCs w:val="1"/>
          <w:color w:val="auto"/>
        </w:rPr>
        <w:t xml:space="preserve">Loan Modifications Related to the COVID-19 Pandemic. </w:t>
      </w:r>
      <w:r>
        <w:rPr>
          <w:rFonts w:ascii="Arial" w:cs="Arial" w:eastAsia="Arial" w:hAnsi="Arial"/>
          <w:sz w:val="15"/>
          <w:szCs w:val="15"/>
          <w:color w:val="auto"/>
        </w:rPr>
        <w:t>Our investment managers’ underwriting and credit management practices are proactively refined</w:t>
      </w:r>
      <w:r>
        <w:rPr>
          <w:rFonts w:ascii="Arial" w:cs="Arial" w:eastAsia="Arial" w:hAnsi="Arial"/>
          <w:sz w:val="15"/>
          <w:szCs w:val="15"/>
          <w:i w:val="1"/>
          <w:iCs w:val="1"/>
          <w:color w:val="auto"/>
        </w:rPr>
        <w:t xml:space="preserve"> </w:t>
      </w:r>
      <w:r>
        <w:rPr>
          <w:rFonts w:ascii="Arial" w:cs="Arial" w:eastAsia="Arial" w:hAnsi="Arial"/>
          <w:sz w:val="15"/>
          <w:szCs w:val="15"/>
          <w:color w:val="auto"/>
        </w:rPr>
        <w:t>to meet the changing economic environment. Since March 1, 2020, we have completed loan modifications and have provided waivers to certain covenants, including the furniture, fixture and expense reserves, tenant rent payment deferrals or lease modifications, rate reductions, maturity date extensions, and other actions with a number of our borrowers impacted by the COVID-19 pandemic. A subset of these modifications included short-term principal and interest forbearance. At September 30, 2022, the recorded investment on mortgage loans where borrowers were offered debt-service forbearance and were not making payments was $6 million, comprised entirely of residential mortgage loans. At December 31, 2021, the recorded investment on mortgage loans where borrowers were offered debt-service forbearance and were not making payments was $55 million, comprised of $31 million of agricultural mortgage loans and $24 million of residential mortgage loans. These types of modifications are generally not considered troubled debt restructurings (“TDR”) due to certain relief granted by U.S. federal legislation in March 2020. For more information on TDRs, see Note 4 to the Interim Condensed Consolidated Financial Statements.</w:t>
      </w:r>
    </w:p>
    <w:p>
      <w:pPr>
        <w:spacing w:after="0" w:line="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Mortgage Loan Allowance for Credit Losses</w:t>
      </w:r>
      <w:r>
        <w:rPr>
          <w:rFonts w:ascii="Arial" w:cs="Arial" w:eastAsia="Arial" w:hAnsi="Arial"/>
          <w:sz w:val="18"/>
          <w:szCs w:val="18"/>
          <w:color w:val="auto"/>
        </w:rPr>
        <w:t>. See Notes 4 and 6 of the Notes to the Interim Condensed Consolidated Financial Statements for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about how the allowance for credit losses is established and monitored, as well as activity in and balances of the allowance for credit losses for the nine months ended September 30, 2022 and 2021.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Partnerships and Limited Liability Companies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of our limited partnerships and LLCs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5"/>
                <w:szCs w:val="15"/>
                <w:color w:val="auto"/>
              </w:rPr>
            </w:pPr>
          </w:p>
        </w:tc>
        <w:tc>
          <w:tcPr>
            <w:tcW w:w="1580" w:type="dxa"/>
            <w:vAlign w:val="bottom"/>
          </w:tcPr>
          <w:p>
            <w:pPr>
              <w:jc w:val="right"/>
              <w:ind w:right="243"/>
              <w:spacing w:after="0"/>
              <w:rPr>
                <w:sz w:val="20"/>
                <w:szCs w:val="20"/>
                <w:color w:val="auto"/>
              </w:rPr>
            </w:pPr>
            <w:r>
              <w:rPr>
                <w:rFonts w:ascii="Arial" w:cs="Arial" w:eastAsia="Arial" w:hAnsi="Arial"/>
                <w:sz w:val="14"/>
                <w:szCs w:val="14"/>
                <w:b w:val="1"/>
                <w:bCs w:val="1"/>
                <w:color w:val="auto"/>
                <w:w w:val="98"/>
              </w:rPr>
              <w:t>December 31, 2021</w:t>
            </w:r>
          </w:p>
        </w:tc>
      </w:tr>
      <w:tr>
        <w:trPr>
          <w:trHeight w:val="24"/>
        </w:trPr>
        <w:tc>
          <w:tcPr>
            <w:tcW w:w="7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r>
      <w:tr>
        <w:trPr>
          <w:trHeight w:val="185"/>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gridSpan w:val="4"/>
          </w:tcPr>
          <w:p>
            <w:pPr>
              <w:jc w:val="right"/>
              <w:ind w:right="1383"/>
              <w:spacing w:after="0"/>
              <w:rPr>
                <w:sz w:val="20"/>
                <w:szCs w:val="20"/>
                <w:color w:val="auto"/>
              </w:rPr>
            </w:pPr>
            <w:r>
              <w:rPr>
                <w:rFonts w:ascii="Arial" w:cs="Arial" w:eastAsia="Arial" w:hAnsi="Arial"/>
                <w:sz w:val="14"/>
                <w:szCs w:val="14"/>
                <w:b w:val="1"/>
                <w:bCs w:val="1"/>
                <w:color w:val="auto"/>
              </w:rPr>
              <w:t>(In millions)</w:t>
            </w: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limited partnerships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w:t>
            </w:r>
          </w:p>
        </w:tc>
      </w:tr>
      <w:tr>
        <w:trPr>
          <w:trHeight w:val="21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 estate limited partnerships and LLCs (1)</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r>
      <w:tr>
        <w:trPr>
          <w:trHeight w:val="233"/>
        </w:trPr>
        <w:tc>
          <w:tcPr>
            <w:tcW w:w="7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estimated fair value of real estate limited partnerships and LLCs was $834 million and $595 million at September 30, 2022 and December 31, 2021, respectively.</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our other invested assets by type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5"/>
                <w:szCs w:val="15"/>
                <w:color w:val="auto"/>
              </w:rPr>
            </w:pPr>
          </w:p>
        </w:tc>
        <w:tc>
          <w:tcPr>
            <w:tcW w:w="2480" w:type="dxa"/>
            <w:vAlign w:val="bottom"/>
            <w:gridSpan w:val="4"/>
          </w:tcPr>
          <w:p>
            <w:pPr>
              <w:ind w:left="940"/>
              <w:spacing w:after="0"/>
              <w:rPr>
                <w:sz w:val="20"/>
                <w:szCs w:val="20"/>
                <w:color w:val="auto"/>
              </w:rPr>
            </w:pPr>
            <w:r>
              <w:rPr>
                <w:rFonts w:ascii="Arial" w:cs="Arial" w:eastAsia="Arial" w:hAnsi="Arial"/>
                <w:sz w:val="14"/>
                <w:szCs w:val="14"/>
                <w:b w:val="1"/>
                <w:bCs w:val="1"/>
                <w:color w:val="auto"/>
              </w:rPr>
              <w:t>September 30, 2022</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3"/>
          </w:tcPr>
          <w:p>
            <w:pPr>
              <w:ind w:left="700"/>
              <w:spacing w:after="0"/>
              <w:rPr>
                <w:sz w:val="20"/>
                <w:szCs w:val="20"/>
                <w:color w:val="auto"/>
              </w:rPr>
            </w:pPr>
            <w:r>
              <w:rPr>
                <w:rFonts w:ascii="Arial" w:cs="Arial" w:eastAsia="Arial" w:hAnsi="Arial"/>
                <w:sz w:val="14"/>
                <w:szCs w:val="14"/>
                <w:b w:val="1"/>
                <w:bCs w:val="1"/>
                <w:color w:val="auto"/>
                <w:w w:val="91"/>
              </w:rPr>
              <w:t>December 31, 2021</w:t>
            </w:r>
          </w:p>
        </w:tc>
        <w:tc>
          <w:tcPr>
            <w:tcW w:w="940" w:type="dxa"/>
            <w:vAlign w:val="bottom"/>
          </w:tcPr>
          <w:p>
            <w:pPr>
              <w:spacing w:after="0"/>
              <w:rPr>
                <w:sz w:val="15"/>
                <w:szCs w:val="15"/>
                <w:color w:val="auto"/>
              </w:rPr>
            </w:pPr>
          </w:p>
        </w:tc>
      </w:tr>
      <w:tr>
        <w:trPr>
          <w:trHeight w:val="24"/>
        </w:trPr>
        <w:tc>
          <w:tcPr>
            <w:tcW w:w="4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30"/>
        </w:trPr>
        <w:tc>
          <w:tcPr>
            <w:tcW w:w="4980" w:type="dxa"/>
            <w:vAlign w:val="bottom"/>
          </w:tcPr>
          <w:p>
            <w:pPr>
              <w:spacing w:after="0"/>
              <w:rPr>
                <w:sz w:val="11"/>
                <w:szCs w:val="11"/>
                <w:color w:val="auto"/>
              </w:rPr>
            </w:pPr>
          </w:p>
        </w:tc>
        <w:tc>
          <w:tcPr>
            <w:tcW w:w="98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ind w:left="620"/>
              <w:spacing w:after="0" w:line="130" w:lineRule="exact"/>
              <w:rPr>
                <w:sz w:val="20"/>
                <w:szCs w:val="20"/>
                <w:color w:val="auto"/>
              </w:rPr>
            </w:pPr>
            <w:r>
              <w:rPr>
                <w:rFonts w:ascii="Arial" w:cs="Arial" w:eastAsia="Arial" w:hAnsi="Arial"/>
                <w:sz w:val="14"/>
                <w:szCs w:val="14"/>
                <w:b w:val="1"/>
                <w:bCs w:val="1"/>
                <w:color w:val="auto"/>
              </w:rPr>
              <w:t>% of</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80" w:type="dxa"/>
            <w:vAlign w:val="bottom"/>
            <w:gridSpan w:val="3"/>
          </w:tcPr>
          <w:p>
            <w:pPr>
              <w:jc w:val="center"/>
              <w:ind w:right="980"/>
              <w:spacing w:after="0" w:line="130" w:lineRule="exact"/>
              <w:rPr>
                <w:sz w:val="20"/>
                <w:szCs w:val="20"/>
                <w:color w:val="auto"/>
              </w:rPr>
            </w:pPr>
            <w:r>
              <w:rPr>
                <w:rFonts w:ascii="Arial" w:cs="Arial" w:eastAsia="Arial" w:hAnsi="Arial"/>
                <w:sz w:val="14"/>
                <w:szCs w:val="14"/>
                <w:b w:val="1"/>
                <w:bCs w:val="1"/>
                <w:color w:val="auto"/>
                <w:w w:val="93"/>
              </w:rPr>
              <w:t>Carrying</w:t>
            </w:r>
          </w:p>
        </w:tc>
        <w:tc>
          <w:tcPr>
            <w:tcW w:w="940" w:type="dxa"/>
            <w:vAlign w:val="bottom"/>
          </w:tcPr>
          <w:p>
            <w:pPr>
              <w:jc w:val="right"/>
              <w:ind w:right="543"/>
              <w:spacing w:after="0" w:line="130" w:lineRule="exact"/>
              <w:rPr>
                <w:sz w:val="20"/>
                <w:szCs w:val="20"/>
                <w:color w:val="auto"/>
              </w:rPr>
            </w:pPr>
            <w:r>
              <w:rPr>
                <w:rFonts w:ascii="Arial" w:cs="Arial" w:eastAsia="Arial" w:hAnsi="Arial"/>
                <w:sz w:val="14"/>
                <w:szCs w:val="14"/>
                <w:b w:val="1"/>
                <w:bCs w:val="1"/>
                <w:color w:val="auto"/>
              </w:rPr>
              <w:t>% of</w:t>
            </w:r>
          </w:p>
        </w:tc>
      </w:tr>
      <w:tr>
        <w:trPr>
          <w:trHeight w:val="189"/>
        </w:trPr>
        <w:tc>
          <w:tcPr>
            <w:tcW w:w="4980" w:type="dxa"/>
            <w:vAlign w:val="bottom"/>
          </w:tcPr>
          <w:p>
            <w:pPr>
              <w:spacing w:after="0"/>
              <w:rPr>
                <w:sz w:val="16"/>
                <w:szCs w:val="16"/>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Value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5"/>
              </w:rPr>
              <w:t>Total</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980"/>
              <w:spacing w:after="0"/>
              <w:rPr>
                <w:sz w:val="20"/>
                <w:szCs w:val="20"/>
                <w:color w:val="auto"/>
              </w:rPr>
            </w:pPr>
            <w:r>
              <w:rPr>
                <w:rFonts w:ascii="Arial" w:cs="Arial" w:eastAsia="Arial" w:hAnsi="Arial"/>
                <w:sz w:val="14"/>
                <w:szCs w:val="14"/>
                <w:b w:val="1"/>
                <w:bCs w:val="1"/>
                <w:color w:val="auto"/>
                <w:w w:val="90"/>
              </w:rPr>
              <w:t>Value</w:t>
            </w:r>
          </w:p>
        </w:tc>
        <w:tc>
          <w:tcPr>
            <w:tcW w:w="9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w w:val="89"/>
              </w:rPr>
              <w:t>Total</w:t>
            </w:r>
          </w:p>
        </w:tc>
      </w:tr>
      <w:tr>
        <w:trPr>
          <w:trHeight w:val="190"/>
        </w:trPr>
        <w:tc>
          <w:tcPr>
            <w:tcW w:w="4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40" w:type="dxa"/>
            <w:vAlign w:val="bottom"/>
            <w:gridSpan w:val="6"/>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spacing w:after="0"/>
              <w:rPr>
                <w:sz w:val="16"/>
                <w:szCs w:val="16"/>
                <w:color w:val="auto"/>
              </w:rPr>
            </w:pPr>
          </w:p>
        </w:tc>
      </w:tr>
      <w:tr>
        <w:trPr>
          <w:trHeight w:val="431"/>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Freestanding derivatives with positive estimated fair values</w:t>
            </w:r>
          </w:p>
        </w:tc>
        <w:tc>
          <w:tcPr>
            <w:tcW w:w="980" w:type="dxa"/>
            <w:vAlign w:val="bottom"/>
            <w:shd w:val="clear" w:color="auto" w:fill="CCEEFF"/>
          </w:tcPr>
          <w:p>
            <w:pPr>
              <w:jc w:val="right"/>
              <w:ind w:right="806"/>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3,740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92.7 %</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94.3 %</w:t>
            </w: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color w:val="auto"/>
              </w:rPr>
              <w:t>FHLB Stock</w:t>
            </w:r>
          </w:p>
        </w:tc>
        <w:tc>
          <w:tcPr>
            <w:tcW w:w="98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102"/>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ind w:right="123"/>
              <w:spacing w:after="0"/>
              <w:rPr>
                <w:sz w:val="20"/>
                <w:szCs w:val="20"/>
                <w:color w:val="auto"/>
              </w:rPr>
            </w:pPr>
            <w:r>
              <w:rPr>
                <w:rFonts w:ascii="Arial" w:cs="Arial" w:eastAsia="Arial" w:hAnsi="Arial"/>
                <w:sz w:val="16"/>
                <w:szCs w:val="16"/>
                <w:color w:val="auto"/>
              </w:rPr>
              <w:t>2.1</w:t>
            </w:r>
          </w:p>
        </w:tc>
      </w:tr>
      <w:tr>
        <w:trPr>
          <w:trHeight w:val="214"/>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 and renewable energy partnerships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1.8</w:t>
            </w:r>
          </w:p>
        </w:tc>
      </w:tr>
      <w:tr>
        <w:trPr>
          <w:trHeight w:val="209"/>
        </w:trPr>
        <w:tc>
          <w:tcPr>
            <w:tcW w:w="4980" w:type="dxa"/>
            <w:vAlign w:val="bottom"/>
          </w:tcPr>
          <w:p>
            <w:pPr>
              <w:ind w:left="20"/>
              <w:spacing w:after="0"/>
              <w:rPr>
                <w:sz w:val="20"/>
                <w:szCs w:val="20"/>
                <w:color w:val="auto"/>
              </w:rPr>
            </w:pPr>
            <w:r>
              <w:rPr>
                <w:rFonts w:ascii="Arial" w:cs="Arial" w:eastAsia="Arial" w:hAnsi="Arial"/>
                <w:sz w:val="16"/>
                <w:szCs w:val="16"/>
                <w:color w:val="auto"/>
              </w:rPr>
              <w:t>Leveraged leases, net of non-recourse debt</w:t>
            </w:r>
          </w:p>
        </w:tc>
        <w:tc>
          <w:tcPr>
            <w:tcW w:w="98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102"/>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ind w:right="123"/>
              <w:spacing w:after="0"/>
              <w:rPr>
                <w:sz w:val="20"/>
                <w:szCs w:val="20"/>
                <w:color w:val="auto"/>
              </w:rPr>
            </w:pPr>
            <w:r>
              <w:rPr>
                <w:rFonts w:ascii="Arial" w:cs="Arial" w:eastAsia="Arial" w:hAnsi="Arial"/>
                <w:sz w:val="16"/>
                <w:szCs w:val="16"/>
                <w:color w:val="auto"/>
              </w:rPr>
              <w:t>1.5</w:t>
            </w:r>
          </w:p>
        </w:tc>
      </w:tr>
      <w:tr>
        <w:trPr>
          <w:trHeight w:val="212"/>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0.3</w:t>
            </w:r>
          </w:p>
        </w:tc>
      </w:tr>
      <w:tr>
        <w:trPr>
          <w:trHeight w:val="208"/>
        </w:trPr>
        <w:tc>
          <w:tcPr>
            <w:tcW w:w="4980" w:type="dxa"/>
            <w:vAlign w:val="bottom"/>
          </w:tcPr>
          <w:p>
            <w:pPr>
              <w:ind w:left="18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806"/>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4"/>
              </w:rPr>
              <w:t>4,033</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100.0 %</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3,316</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5 of the Notes to the Interim Condensed Consolidated Financial Statements:</w:t>
      </w:r>
    </w:p>
    <w:p>
      <w:pPr>
        <w:spacing w:after="0" w:line="82" w:lineRule="exact"/>
        <w:rPr>
          <w:sz w:val="20"/>
          <w:szCs w:val="20"/>
          <w:color w:val="auto"/>
        </w:rPr>
      </w:pPr>
    </w:p>
    <w:p>
      <w:pPr>
        <w:ind w:left="640" w:hanging="316"/>
        <w:spacing w:after="0" w:line="264"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excluding embedded derivatives held at September 30, 2022 and December 31, 2021.</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statement of operations effects of derivatives in cash flow, fair value, or non-qualifying hedge relationships for the three months and nine months ended September 30, 2022 and 2021.</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See “Business — Segments and Corporate &amp; Other — Annuities,” “Management’s Discussion and Analysis of Financial Condition and Results of Operations — Risk Management Strategies — ULSG Market Risk Exposure Management” and “Management’s Discussion and Analysis of Financial Condition and Results of Operations — Results of Operations — Annual Actuarial Review” included in our 2021 Annual Report for more information about our use of derivatives by major hedging programs.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Note 6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4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Derivatives categorized as Level 3 at September 30, 2022 include: credit default swaps priced using unobservable credit spreads, or that are priced through independent broker quotations; equity variance swaps with unobservable volatility inputs; foreign currency swaps with certain unobservable inputs and equity index options with unobservable correlation inputs.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Note 5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notional amount and estimated fair value of credit default swaps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3"/>
          </w:tcPr>
          <w:p>
            <w:pPr>
              <w:jc w:val="right"/>
              <w:ind w:right="565"/>
              <w:spacing w:after="0"/>
              <w:rPr>
                <w:sz w:val="20"/>
                <w:szCs w:val="20"/>
                <w:color w:val="auto"/>
              </w:rPr>
            </w:pPr>
            <w:r>
              <w:rPr>
                <w:rFonts w:ascii="Arial" w:cs="Arial" w:eastAsia="Arial" w:hAnsi="Arial"/>
                <w:sz w:val="14"/>
                <w:szCs w:val="14"/>
                <w:b w:val="1"/>
                <w:bCs w:val="1"/>
                <w:color w:val="auto"/>
              </w:rPr>
              <w:t>September 30, 2022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00" w:type="dxa"/>
            <w:vAlign w:val="bottom"/>
            <w:gridSpan w:val="4"/>
          </w:tcPr>
          <w:p>
            <w:pPr>
              <w:jc w:val="right"/>
              <w:ind w:right="964"/>
              <w:spacing w:after="0"/>
              <w:rPr>
                <w:sz w:val="20"/>
                <w:szCs w:val="20"/>
                <w:color w:val="auto"/>
              </w:rPr>
            </w:pPr>
            <w:r>
              <w:rPr>
                <w:rFonts w:ascii="Arial" w:cs="Arial" w:eastAsia="Arial" w:hAnsi="Arial"/>
                <w:sz w:val="14"/>
                <w:szCs w:val="14"/>
                <w:b w:val="1"/>
                <w:bCs w:val="1"/>
                <w:color w:val="auto"/>
              </w:rPr>
              <w:t>December 31, 2021</w:t>
            </w:r>
          </w:p>
        </w:tc>
      </w:tr>
      <w:tr>
        <w:trPr>
          <w:trHeight w:val="24"/>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0"/>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89"/>
              </w:rPr>
              <w:t>Gross Notional</w:t>
            </w:r>
          </w:p>
        </w:tc>
        <w:tc>
          <w:tcPr>
            <w:tcW w:w="1180" w:type="dxa"/>
            <w:vAlign w:val="bottom"/>
          </w:tcPr>
          <w:p>
            <w:pPr>
              <w:jc w:val="right"/>
              <w:ind w:right="25"/>
              <w:spacing w:after="0" w:line="130" w:lineRule="exact"/>
              <w:rPr>
                <w:sz w:val="20"/>
                <w:szCs w:val="20"/>
                <w:color w:val="auto"/>
              </w:rPr>
            </w:pPr>
            <w:r>
              <w:rPr>
                <w:rFonts w:ascii="Arial" w:cs="Arial" w:eastAsia="Arial" w:hAnsi="Arial"/>
                <w:sz w:val="14"/>
                <w:szCs w:val="14"/>
                <w:b w:val="1"/>
                <w:bCs w:val="1"/>
                <w:color w:val="auto"/>
              </w:rPr>
              <w:t>Estimated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2"/>
          </w:tcPr>
          <w:p>
            <w:pPr>
              <w:jc w:val="center"/>
              <w:ind w:right="440"/>
              <w:spacing w:after="0" w:line="130" w:lineRule="exact"/>
              <w:rPr>
                <w:sz w:val="20"/>
                <w:szCs w:val="20"/>
                <w:color w:val="auto"/>
              </w:rPr>
            </w:pPr>
            <w:r>
              <w:rPr>
                <w:rFonts w:ascii="Arial" w:cs="Arial" w:eastAsia="Arial" w:hAnsi="Arial"/>
                <w:sz w:val="14"/>
                <w:szCs w:val="14"/>
                <w:b w:val="1"/>
                <w:bCs w:val="1"/>
                <w:color w:val="auto"/>
                <w:w w:val="89"/>
              </w:rPr>
              <w:t>Gross Notional</w:t>
            </w:r>
          </w:p>
        </w:tc>
        <w:tc>
          <w:tcPr>
            <w:tcW w:w="280" w:type="dxa"/>
            <w:vAlign w:val="bottom"/>
          </w:tcPr>
          <w:p>
            <w:pPr>
              <w:spacing w:after="0"/>
              <w:rPr>
                <w:sz w:val="11"/>
                <w:szCs w:val="11"/>
                <w:color w:val="auto"/>
              </w:rPr>
            </w:pPr>
          </w:p>
        </w:tc>
        <w:tc>
          <w:tcPr>
            <w:tcW w:w="1280" w:type="dxa"/>
            <w:vAlign w:val="bottom"/>
          </w:tcPr>
          <w:p>
            <w:pPr>
              <w:jc w:val="right"/>
              <w:ind w:right="404"/>
              <w:spacing w:after="0" w:line="130" w:lineRule="exact"/>
              <w:rPr>
                <w:sz w:val="20"/>
                <w:szCs w:val="20"/>
                <w:color w:val="auto"/>
              </w:rPr>
            </w:pPr>
            <w:r>
              <w:rPr>
                <w:rFonts w:ascii="Arial" w:cs="Arial" w:eastAsia="Arial" w:hAnsi="Arial"/>
                <w:sz w:val="14"/>
                <w:szCs w:val="14"/>
                <w:b w:val="1"/>
                <w:bCs w:val="1"/>
                <w:color w:val="auto"/>
              </w:rPr>
              <w:t>Estimated</w:t>
            </w:r>
          </w:p>
        </w:tc>
      </w:tr>
      <w:tr>
        <w:trPr>
          <w:trHeight w:val="189"/>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Fair Value</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(In millions)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Written</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05"/>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color w:val="auto"/>
              </w:rPr>
              <w:t>Purchased</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05"/>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1,724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See Note 6 of the Notes to the Interim Condensed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spacing w:after="0" w:line="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5 of the Notes to the Interim Condensed Consolidated Financial Statements for information about the nonperformance risk adjustment included in the valuation of guaranteed minimum benefits (“GMxB”) accounted for as embedded derivatives.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“Management’s Discussion and Analysis of Financial Condition and Results of Operations — Summary of Critical Accounting Estimates” and “Management’s Discussion and Analysis of Financial Condition and Results of Operations — Policyholder Liabilities” included in our 2021 Annual Report for more details on policyholder liabilities. Except as otherwise discussed below, there have been no material changes to our policyholder liabilities.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establish liabilities for amounts payable under insurance policies. See Note 3 of the Notes to the Interim Condensed Consolidated Financial Statements. A discussion of future policy benefits by segment, as well as Corporate &amp; Other, can be found in “Management’s Discussion and Analysis of Financial Condition and Results of Operations — Policyholder Liabilities” included in our 2021 Annual Report.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Policyholder account balances are generally equal to the account value, which includes accrued interest credited, but excludes the impact of any applicable charge that may be incurred upon surrender. See Note 3 of the Notes to the Interim Condensed Consolidated Financial Statements. A discussion of policyholder account balances by segment, as well as Corporate &amp; Other, can be found in “Management’s Discussion and Analysis of Financial Condition and Results of Operations — Policyholder Liabilities” included in our 2021 Annual Report. Policyholder account balances also include amounts associated with funding agreements issued in connection with our institutional spread margin business. See “— Liquidity and Capital Resources — The Company — Primary Sources of Liquidity and Capital — Funding Sources — Funding Agreements.”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Guarantees</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issue certain variable annuity products with guaranteed minimum benefits that provide the policyholder a minimum return based on their initial deposit (the “Benefit Base”) less withdrawals. In some cases, the Benefit Base may be increased by additional deposits, bonus amounts, accruals or optional market value step-ups. See Note 3 of the Notes to the Interim Condensed Consolidated Financial Statements. See also “Quantitative and Qualitative Disclosures About Market Risk — Market Risk - Fair Value Exposures — Interest Rates” and “Business — Segments and Corporate &amp; Other — Annuities — Products — Variable Annuities” included in our 2021 Annual Report for additional information.</w:t>
      </w:r>
    </w:p>
    <w:p>
      <w:pPr>
        <w:spacing w:after="0" w:line="75" w:lineRule="exact"/>
        <w:rPr>
          <w:sz w:val="20"/>
          <w:szCs w:val="20"/>
          <w:color w:val="auto"/>
        </w:rPr>
      </w:pPr>
    </w:p>
    <w:p>
      <w:pPr>
        <w:ind w:right="660" w:firstLine="318"/>
        <w:spacing w:after="0" w:line="368" w:lineRule="auto"/>
        <w:rPr>
          <w:sz w:val="20"/>
          <w:szCs w:val="20"/>
          <w:color w:val="auto"/>
        </w:rPr>
      </w:pPr>
      <w:r>
        <w:rPr>
          <w:rFonts w:ascii="Arial" w:cs="Arial" w:eastAsia="Arial" w:hAnsi="Arial"/>
          <w:sz w:val="18"/>
          <w:szCs w:val="18"/>
          <w:color w:val="auto"/>
        </w:rPr>
        <w:t xml:space="preserve">Select information that management considers relevant to understanding our variable annuity risk management strategy has been included below. </w:t>
      </w:r>
      <w:r>
        <w:rPr>
          <w:rFonts w:ascii="Arial" w:cs="Arial" w:eastAsia="Arial" w:hAnsi="Arial"/>
          <w:sz w:val="18"/>
          <w:szCs w:val="18"/>
          <w:b w:val="1"/>
          <w:bCs w:val="1"/>
          <w:i w:val="1"/>
          <w:iCs w:val="1"/>
          <w:color w:val="auto"/>
        </w:rPr>
        <w:t>Net Amount at Risk</w:t>
      </w:r>
    </w:p>
    <w:p>
      <w:pPr>
        <w:spacing w:after="0" w:line="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net amount at risk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NAR for the guaranteed minimum withdrawal benefits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NAR for the guaranteed minimum accumulation benefits (“GMAB”) is the amount of guaranteed benefits in excess of the account values (if any) as of the balance sheet date and assumes utilization of benefits by all contract holders as of the balance sheet. The NAR for the GMAB is not available until the GMAB maturity date</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NAR for the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variable annuity account value and NAR by type of GMxB were as follows at:</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rPr>
              <w:t>September 30, 2022 (1)</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4"/>
          </w:tcPr>
          <w:p>
            <w:pPr>
              <w:jc w:val="right"/>
              <w:ind w:right="21"/>
              <w:spacing w:after="0"/>
              <w:rPr>
                <w:sz w:val="20"/>
                <w:szCs w:val="20"/>
                <w:color w:val="auto"/>
              </w:rPr>
            </w:pPr>
            <w:r>
              <w:rPr>
                <w:rFonts w:ascii="Arial" w:cs="Arial" w:eastAsia="Arial" w:hAnsi="Arial"/>
                <w:sz w:val="14"/>
                <w:szCs w:val="14"/>
                <w:b w:val="1"/>
                <w:bCs w:val="1"/>
                <w:color w:val="auto"/>
              </w:rPr>
              <w:t>December 31, 2021 (1)</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9"/>
              </w:rPr>
              <w:t>Account</w:t>
            </w:r>
          </w:p>
        </w:tc>
        <w:tc>
          <w:tcPr>
            <w:tcW w:w="1000" w:type="dxa"/>
            <w:vAlign w:val="bottom"/>
            <w:gridSpan w:val="3"/>
          </w:tcPr>
          <w:p>
            <w:pPr>
              <w:ind w:left="20"/>
              <w:spacing w:after="0" w:line="130" w:lineRule="exact"/>
              <w:rPr>
                <w:sz w:val="20"/>
                <w:szCs w:val="20"/>
                <w:color w:val="auto"/>
              </w:rPr>
            </w:pPr>
            <w:r>
              <w:rPr>
                <w:rFonts w:ascii="Arial" w:cs="Arial" w:eastAsia="Arial" w:hAnsi="Arial"/>
                <w:sz w:val="14"/>
                <w:szCs w:val="14"/>
                <w:b w:val="1"/>
                <w:bCs w:val="1"/>
                <w:color w:val="auto"/>
              </w:rPr>
              <w:t>Death Benefit</w:t>
            </w:r>
          </w:p>
        </w:tc>
        <w:tc>
          <w:tcPr>
            <w:tcW w:w="90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w w:val="92"/>
              </w:rPr>
              <w:t>Living Benefit</w:t>
            </w:r>
          </w:p>
        </w:tc>
        <w:tc>
          <w:tcPr>
            <w:tcW w:w="1380" w:type="dxa"/>
            <w:vAlign w:val="bottom"/>
          </w:tcPr>
          <w:p>
            <w:pPr>
              <w:jc w:val="center"/>
              <w:ind w:left="23"/>
              <w:spacing w:after="0" w:line="130" w:lineRule="exact"/>
              <w:rPr>
                <w:sz w:val="20"/>
                <w:szCs w:val="20"/>
                <w:color w:val="auto"/>
              </w:rPr>
            </w:pPr>
            <w:r>
              <w:rPr>
                <w:rFonts w:ascii="Arial" w:cs="Arial" w:eastAsia="Arial" w:hAnsi="Arial"/>
                <w:sz w:val="14"/>
                <w:szCs w:val="14"/>
                <w:b w:val="1"/>
                <w:bCs w:val="1"/>
                <w:color w:val="auto"/>
                <w:w w:val="91"/>
              </w:rPr>
              <w:t>% of Account Value</w:t>
            </w:r>
          </w:p>
        </w:tc>
        <w:tc>
          <w:tcPr>
            <w:tcW w:w="100" w:type="dxa"/>
            <w:vAlign w:val="bottom"/>
          </w:tcPr>
          <w:p>
            <w:pPr>
              <w:spacing w:after="0"/>
              <w:rPr>
                <w:sz w:val="11"/>
                <w:szCs w:val="11"/>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Account Value</w:t>
            </w:r>
          </w:p>
        </w:tc>
        <w:tc>
          <w:tcPr>
            <w:tcW w:w="1000" w:type="dxa"/>
            <w:vAlign w:val="bottom"/>
            <w:gridSpan w:val="3"/>
          </w:tcPr>
          <w:p>
            <w:pPr>
              <w:ind w:left="40"/>
              <w:spacing w:after="0" w:line="130" w:lineRule="exact"/>
              <w:rPr>
                <w:sz w:val="20"/>
                <w:szCs w:val="20"/>
                <w:color w:val="auto"/>
              </w:rPr>
            </w:pPr>
            <w:r>
              <w:rPr>
                <w:rFonts w:ascii="Arial" w:cs="Arial" w:eastAsia="Arial" w:hAnsi="Arial"/>
                <w:sz w:val="14"/>
                <w:szCs w:val="14"/>
                <w:b w:val="1"/>
                <w:bCs w:val="1"/>
                <w:color w:val="auto"/>
              </w:rPr>
              <w:t>Death Benefit</w:t>
            </w:r>
          </w:p>
        </w:tc>
        <w:tc>
          <w:tcPr>
            <w:tcW w:w="920" w:type="dxa"/>
            <w:vAlign w:val="bottom"/>
            <w:gridSpan w:val="2"/>
          </w:tcPr>
          <w:p>
            <w:pPr>
              <w:ind w:left="40"/>
              <w:spacing w:after="0" w:line="130" w:lineRule="exact"/>
              <w:rPr>
                <w:sz w:val="20"/>
                <w:szCs w:val="20"/>
                <w:color w:val="auto"/>
              </w:rPr>
            </w:pPr>
            <w:r>
              <w:rPr>
                <w:rFonts w:ascii="Arial" w:cs="Arial" w:eastAsia="Arial" w:hAnsi="Arial"/>
                <w:sz w:val="14"/>
                <w:szCs w:val="14"/>
                <w:b w:val="1"/>
                <w:bCs w:val="1"/>
                <w:color w:val="auto"/>
                <w:w w:val="92"/>
              </w:rPr>
              <w:t>Living Benefit</w:t>
            </w:r>
          </w:p>
        </w:tc>
        <w:tc>
          <w:tcPr>
            <w:tcW w:w="138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 of Account Value</w:t>
            </w: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NAR (1)</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NAR (1)</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In-the-Money (2)</w:t>
            </w:r>
          </w:p>
        </w:tc>
        <w:tc>
          <w:tcPr>
            <w:tcW w:w="10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NAR (1)</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NAR (1)</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In-the-Money (2)</w:t>
            </w: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00" w:type="dxa"/>
            <w:vAlign w:val="bottom"/>
            <w:gridSpan w:val="5"/>
          </w:tcPr>
          <w:p>
            <w:pPr>
              <w:ind w:left="8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5,056</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37.3 %</w:t>
            </w:r>
          </w:p>
        </w:tc>
        <w:tc>
          <w:tcPr>
            <w:tcW w:w="0" w:type="dxa"/>
            <w:vAlign w:val="bottom"/>
          </w:tcPr>
          <w:p>
            <w:pPr>
              <w:spacing w:after="0"/>
              <w:rPr>
                <w:sz w:val="1"/>
                <w:szCs w:val="1"/>
                <w:color w:val="auto"/>
              </w:rPr>
            </w:pPr>
          </w:p>
        </w:tc>
      </w:tr>
      <w:tr>
        <w:trPr>
          <w:trHeight w:val="209"/>
        </w:trPr>
        <w:tc>
          <w:tcPr>
            <w:tcW w:w="2520" w:type="dxa"/>
            <w:vAlign w:val="bottom"/>
          </w:tcPr>
          <w:p>
            <w:pPr>
              <w:ind w:left="20"/>
              <w:spacing w:after="0"/>
              <w:rPr>
                <w:sz w:val="20"/>
                <w:szCs w:val="20"/>
                <w:color w:val="auto"/>
              </w:rPr>
            </w:pPr>
            <w:r>
              <w:rPr>
                <w:rFonts w:ascii="Arial" w:cs="Arial" w:eastAsia="Arial" w:hAnsi="Arial"/>
                <w:sz w:val="16"/>
                <w:szCs w:val="16"/>
                <w:color w:val="auto"/>
              </w:rPr>
              <w:t>GMIB Max with EDB (3)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6,136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574</w:t>
            </w:r>
          </w:p>
        </w:tc>
        <w:tc>
          <w:tcPr>
            <w:tcW w:w="1380" w:type="dxa"/>
            <w:vAlign w:val="bottom"/>
          </w:tcPr>
          <w:p>
            <w:pPr>
              <w:jc w:val="right"/>
              <w:spacing w:after="0"/>
              <w:rPr>
                <w:sz w:val="20"/>
                <w:szCs w:val="20"/>
                <w:color w:val="auto"/>
              </w:rPr>
            </w:pPr>
            <w:r>
              <w:rPr>
                <w:rFonts w:ascii="Arial" w:cs="Arial" w:eastAsia="Arial" w:hAnsi="Arial"/>
                <w:sz w:val="16"/>
                <w:szCs w:val="16"/>
                <w:color w:val="auto"/>
              </w:rPr>
              <w:t>46.6 %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155</w:t>
            </w:r>
          </w:p>
        </w:tc>
        <w:tc>
          <w:tcPr>
            <w:tcW w:w="1380" w:type="dxa"/>
            <w:vAlign w:val="bottom"/>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215"/>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 Max without EDB</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Arial" w:cs="Arial" w:eastAsia="Arial" w:hAnsi="Arial"/>
                <w:sz w:val="16"/>
                <w:szCs w:val="16"/>
                <w:color w:val="auto"/>
              </w:rPr>
              <w:t>GMWB</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18,656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2,083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1,248</w:t>
            </w:r>
          </w:p>
        </w:tc>
        <w:tc>
          <w:tcPr>
            <w:tcW w:w="1380" w:type="dxa"/>
            <w:vAlign w:val="bottom"/>
          </w:tcPr>
          <w:p>
            <w:pPr>
              <w:jc w:val="right"/>
              <w:spacing w:after="0"/>
              <w:rPr>
                <w:sz w:val="20"/>
                <w:szCs w:val="20"/>
                <w:color w:val="auto"/>
              </w:rPr>
            </w:pPr>
            <w:r>
              <w:rPr>
                <w:rFonts w:ascii="Arial" w:cs="Arial" w:eastAsia="Arial" w:hAnsi="Arial"/>
                <w:sz w:val="16"/>
                <w:szCs w:val="16"/>
                <w:color w:val="auto"/>
              </w:rPr>
              <w:t>44.8 %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25,322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680</w:t>
            </w:r>
          </w:p>
        </w:tc>
        <w:tc>
          <w:tcPr>
            <w:tcW w:w="1380" w:type="dxa"/>
            <w:vAlign w:val="bottom"/>
          </w:tcPr>
          <w:p>
            <w:pPr>
              <w:jc w:val="right"/>
              <w:spacing w:after="0"/>
              <w:rPr>
                <w:sz w:val="20"/>
                <w:szCs w:val="20"/>
                <w:color w:val="auto"/>
              </w:rPr>
            </w:pPr>
            <w:r>
              <w:rPr>
                <w:rFonts w:ascii="Arial" w:cs="Arial" w:eastAsia="Arial" w:hAnsi="Arial"/>
                <w:sz w:val="16"/>
                <w:szCs w:val="16"/>
                <w:color w:val="auto"/>
              </w:rPr>
              <w:t>23.2 %</w:t>
            </w:r>
          </w:p>
        </w:tc>
        <w:tc>
          <w:tcPr>
            <w:tcW w:w="0" w:type="dxa"/>
            <w:vAlign w:val="bottom"/>
          </w:tcPr>
          <w:p>
            <w:pPr>
              <w:spacing w:after="0"/>
              <w:rPr>
                <w:sz w:val="1"/>
                <w:szCs w:val="1"/>
                <w:color w:val="auto"/>
              </w:rPr>
            </w:pPr>
          </w:p>
        </w:tc>
      </w:tr>
      <w:tr>
        <w:trPr>
          <w:trHeight w:val="215"/>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GMAB</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Arial" w:cs="Arial" w:eastAsia="Arial" w:hAnsi="Arial"/>
                <w:sz w:val="16"/>
                <w:szCs w:val="16"/>
                <w:color w:val="auto"/>
              </w:rPr>
              <w:t>GMDB only (other than EDB)</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2,044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EDB only</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8"/>
        </w:trPr>
        <w:tc>
          <w:tcPr>
            <w:tcW w:w="252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79,834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18,461</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8,035</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109,968</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6,361</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5,921</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EDB is defined as enhanced death benefits.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GAAP, certain of our variable annuity guarantee features are accounted for as insurance liabilities and reported in future policy benefits on the consolidated balance sheets with changes reported in policyholder benefits and claims on the consolidated statements of operations. These liabilities are accounted for using long-term assumptions of equity and bond market returns and the level of interest rates. Therefore, these liabilities, valued at $7.2 billion at September 30, 2022, are less sensitive than derivative instruments to periodic changes to equity and fixed income market returns and the level of interest rates. Guarantees accounted for as insurance liabilities in future policy benefits include GMDBs, the life contingent portion of GMWBs and the portion of GMIBs that require annuitization, as well as the life contingent portion of the expected annuitization when the policyholder is required to annuitize upon depletion of their account value.</w:t>
      </w:r>
    </w:p>
    <w:p>
      <w:pPr>
        <w:spacing w:after="0" w:line="9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All other variable annuity guarantee features are accounted for as embedded derivatives and reported in policyholder account balances on the consolidated balance sheets with changes reported in net derivative gains (losses) on the consolidated statements of operations. These liabilities, valued at $1.7 billion at September 30, 2022, are accounted for at estimated fair value. In some cases, a guarantee will have multiple features or options that require separate accounting such that the guarantee is not fully accounted for under only one of the accounting models (known as “split accounting”). Additionally, the index protection and accumulation features of Shield Level Annuities are accounted for as embedded derivatives and reported in policyholder account balances on the consolidated balance sheets with changes reported in net derivative gains (losses) on the consolidated statements of operations. These liabilities, valued at $2.0 billion at September 30, 2022, are accounted for at estimated fair value.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variable annuity reserves by type of GMxB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September 30, 2022</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w w:val="90"/>
              </w:rPr>
              <w:t>Future Policy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Policyholder</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2"/>
              </w:rPr>
              <w:t>Future Policy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0"/>
              </w:rPr>
              <w:t>Policyholder</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Account</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Reserves</w:t>
            </w: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9"/>
              </w:rPr>
              <w:t>Account</w:t>
            </w:r>
          </w:p>
        </w:tc>
        <w:tc>
          <w:tcPr>
            <w:tcW w:w="100" w:type="dxa"/>
            <w:vAlign w:val="bottom"/>
          </w:tcPr>
          <w:p>
            <w:pPr>
              <w:spacing w:after="0"/>
              <w:rPr>
                <w:sz w:val="12"/>
                <w:szCs w:val="12"/>
                <w:color w:val="auto"/>
              </w:rPr>
            </w:pPr>
          </w:p>
        </w:tc>
        <w:tc>
          <w:tcPr>
            <w:tcW w:w="9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86"/>
              </w:rPr>
              <w:t>Total Reserves</w:t>
            </w:r>
          </w:p>
        </w:tc>
        <w:tc>
          <w:tcPr>
            <w:tcW w:w="0" w:type="dxa"/>
            <w:vAlign w:val="bottom"/>
          </w:tcPr>
          <w:p>
            <w:pPr>
              <w:spacing w:after="0"/>
              <w:rPr>
                <w:sz w:val="1"/>
                <w:szCs w:val="1"/>
                <w:color w:val="auto"/>
              </w:rPr>
            </w:pPr>
          </w:p>
        </w:tc>
      </w:tr>
      <w:tr>
        <w:trPr>
          <w:trHeight w:val="193"/>
        </w:trPr>
        <w:tc>
          <w:tcPr>
            <w:tcW w:w="4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Benefits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4"/>
              </w:rPr>
              <w:t>Balances</w:t>
            </w:r>
          </w:p>
        </w:tc>
        <w:tc>
          <w:tcPr>
            <w:tcW w:w="10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Balances</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4"/>
          </w:tcPr>
          <w:p>
            <w:pPr>
              <w:jc w:val="right"/>
              <w:ind w:right="62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3,706</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5,161</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color w:val="auto"/>
              </w:rPr>
              <w:t>GMIB Max</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14"/>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GMWB</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color w:val="auto"/>
              </w:rPr>
              <w:t>GMAB</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GMDB</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08"/>
        </w:trPr>
        <w:tc>
          <w:tcPr>
            <w:tcW w:w="434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7,243</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1,720</w:t>
            </w:r>
          </w:p>
        </w:tc>
        <w:tc>
          <w:tcPr>
            <w:tcW w:w="1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8,963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6,203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1,848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8,051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carrying values of these guarantees can change significantly during periods of sizable and sustained shifts in equity market performance, equity market volatility, or interest rates. Carrying values are also affected by our assumptions around mortality, separate account returns and policyholder behavior, including lapse, annuitization and withdrawal rates. See “Risk Factors — Risks Related to Our Business — Guarantees within certain of our annuity products may decrease our earnings, decrease our capitalization, increase the volatility of our results, result in higher risk management costs and expose us to increased market risk” included in our 2021 Annual Report. Furthermore, changes in policyholder behavior assumptions can result in additional changes in accounting estimates.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Variable Annuity Guarantees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notional amount and estimated fair value of the derivatives held in our macro interest rate hedging program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September 30, 2022</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w w:val="89"/>
              </w:rPr>
              <w:t>Gross Notional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tcPr>
          <w:p>
            <w:pPr>
              <w:ind w:left="300"/>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9"/>
                <w:szCs w:val="19"/>
                <w:color w:val="auto"/>
              </w:rPr>
            </w:pPr>
          </w:p>
        </w:tc>
        <w:tc>
          <w:tcPr>
            <w:tcW w:w="102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w w:val="87"/>
              </w:rPr>
              <w:t>Gross Notional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right"/>
              <w:ind w:right="442"/>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4"/>
        </w:trPr>
        <w:tc>
          <w:tcPr>
            <w:tcW w:w="400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Instrument Type</w:t>
            </w:r>
          </w:p>
        </w:tc>
        <w:tc>
          <w:tcPr>
            <w:tcW w:w="1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23"/>
              <w:spacing w:after="0"/>
              <w:rPr>
                <w:sz w:val="20"/>
                <w:szCs w:val="20"/>
                <w:color w:val="auto"/>
              </w:rPr>
            </w:pPr>
            <w:r>
              <w:rPr>
                <w:rFonts w:ascii="Arial" w:cs="Arial" w:eastAsia="Arial" w:hAnsi="Arial"/>
                <w:sz w:val="14"/>
                <w:szCs w:val="14"/>
                <w:b w:val="1"/>
                <w:bCs w:val="1"/>
                <w:color w:val="auto"/>
              </w:rPr>
              <w:t>Amount (1)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1020" w:type="dxa"/>
            <w:vAlign w:val="bottom"/>
          </w:tcPr>
          <w:p>
            <w:pPr>
              <w:jc w:val="right"/>
              <w:ind w:right="143"/>
              <w:spacing w:after="0"/>
              <w:rPr>
                <w:sz w:val="20"/>
                <w:szCs w:val="20"/>
                <w:color w:val="auto"/>
              </w:rPr>
            </w:pPr>
            <w:r>
              <w:rPr>
                <w:rFonts w:ascii="Arial" w:cs="Arial" w:eastAsia="Arial" w:hAnsi="Arial"/>
                <w:sz w:val="14"/>
                <w:szCs w:val="14"/>
                <w:b w:val="1"/>
                <w:bCs w:val="1"/>
                <w:color w:val="auto"/>
              </w:rPr>
              <w:t>Amount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6"/>
                <w:szCs w:val="16"/>
                <w:color w:val="auto"/>
              </w:rPr>
            </w:pPr>
          </w:p>
        </w:tc>
        <w:tc>
          <w:tcPr>
            <w:tcW w:w="940" w:type="dxa"/>
            <w:vAlign w:val="bottom"/>
          </w:tcPr>
          <w:p>
            <w:pPr>
              <w:jc w:val="right"/>
              <w:ind w:right="182"/>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90"/>
        </w:trPr>
        <w:tc>
          <w:tcPr>
            <w:tcW w:w="3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4"/>
          </w:tcPr>
          <w:p>
            <w:pPr>
              <w:jc w:val="right"/>
              <w:ind w:right="72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1,780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Interest rate options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8,050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forwards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9,808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Hybrid options (2)</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20,538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74" w:lineRule="exact"/>
        <w:rPr>
          <w:rFonts w:ascii="Arial" w:cs="Arial" w:eastAsia="Arial" w:hAnsi="Arial"/>
          <w:sz w:val="18"/>
          <w:szCs w:val="18"/>
          <w:color w:val="auto"/>
        </w:rPr>
      </w:pPr>
    </w:p>
    <w:p>
      <w:pPr>
        <w:ind w:left="320" w:hanging="314"/>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Hybrid options have equity exposure in addition to interest rate exposure.</w:t>
      </w:r>
    </w:p>
    <w:p>
      <w:pPr>
        <w:spacing w:after="0" w:line="111"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gross notional amount and estimated fair value of the derivatives held in our variable annuity hedging program, as well as the interest rate hedges allocated from our macro interest rate hedging program,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September 30, 2022</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89"/>
              </w:rPr>
              <w:t>Gross Notional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tcPr>
          <w:p>
            <w:pPr>
              <w:ind w:left="300"/>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9"/>
                <w:szCs w:val="19"/>
                <w:color w:val="auto"/>
              </w:rPr>
            </w:pPr>
          </w:p>
        </w:tc>
        <w:tc>
          <w:tcPr>
            <w:tcW w:w="10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87"/>
              </w:rPr>
              <w:t>Gross Notional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right"/>
              <w:ind w:right="44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4"/>
        </w:trPr>
        <w:tc>
          <w:tcPr>
            <w:tcW w:w="400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Instrument Type</w:t>
            </w:r>
          </w:p>
        </w:tc>
        <w:tc>
          <w:tcPr>
            <w:tcW w:w="1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22"/>
              <w:spacing w:after="0"/>
              <w:rPr>
                <w:sz w:val="20"/>
                <w:szCs w:val="20"/>
                <w:color w:val="auto"/>
              </w:rPr>
            </w:pPr>
            <w:r>
              <w:rPr>
                <w:rFonts w:ascii="Arial" w:cs="Arial" w:eastAsia="Arial" w:hAnsi="Arial"/>
                <w:sz w:val="14"/>
                <w:szCs w:val="14"/>
                <w:b w:val="1"/>
                <w:bCs w:val="1"/>
                <w:color w:val="auto"/>
              </w:rPr>
              <w:t>Amount (1)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1020" w:type="dxa"/>
            <w:vAlign w:val="bottom"/>
          </w:tcPr>
          <w:p>
            <w:pPr>
              <w:jc w:val="right"/>
              <w:ind w:right="142"/>
              <w:spacing w:after="0"/>
              <w:rPr>
                <w:sz w:val="20"/>
                <w:szCs w:val="20"/>
                <w:color w:val="auto"/>
              </w:rPr>
            </w:pPr>
            <w:r>
              <w:rPr>
                <w:rFonts w:ascii="Arial" w:cs="Arial" w:eastAsia="Arial" w:hAnsi="Arial"/>
                <w:sz w:val="14"/>
                <w:szCs w:val="14"/>
                <w:b w:val="1"/>
                <w:bCs w:val="1"/>
                <w:color w:val="auto"/>
              </w:rPr>
              <w:t>Amount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6"/>
                <w:szCs w:val="16"/>
                <w:color w:val="auto"/>
              </w:rPr>
            </w:pPr>
          </w:p>
        </w:tc>
        <w:tc>
          <w:tcPr>
            <w:tcW w:w="940" w:type="dxa"/>
            <w:vAlign w:val="bottom"/>
          </w:tcPr>
          <w:p>
            <w:pPr>
              <w:jc w:val="right"/>
              <w:ind w:right="181"/>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90"/>
        </w:trPr>
        <w:tc>
          <w:tcPr>
            <w:tcW w:w="3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index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20,695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0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Equity total return swaps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1,519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32,719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15"/>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variance swaps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1,780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options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Interest rate forwards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4,440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Hybrid options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79,508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2,279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3,356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68,265</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1,874</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23" w:lineRule="exact"/>
        <w:rPr>
          <w:sz w:val="20"/>
          <w:szCs w:val="20"/>
          <w:color w:val="auto"/>
        </w:rPr>
      </w:pPr>
    </w:p>
    <w:p>
      <w:pPr>
        <w:ind w:left="320" w:hanging="314"/>
        <w:spacing w:after="0" w:line="264" w:lineRule="auto"/>
        <w:tabs>
          <w:tab w:leader="none" w:pos="31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7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Period-to-period changes in the estimated fair value of these hedges affect our net income, as well as stockholders’ equity and these effects can be material in any given period. See “Risk Factors — Risks Related to Our Business — Our variable annuity exposure risk management strategy may not be effective, may result in significant volatility in our profitability measures and may negatively affect our statutory capital,” “Management’s Discussion and Analysis of Financial Condition and Results of Operations — Summary of Critical Accounting Estimates” and “Management’s Discussion and Analysis of Financial Condition and Results of Operations — Risk Management Strategies” included in our 2021 Annual Report.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including those related to the COVID-19 pandemic, see “— Industry Trends and Uncertainties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COVID-19 Pandemic” and “— Investments — Current Environment,” herein, as well as “Management’s Discussion and Analysis of Financial Condition and Results of Operations — Industry Trends and Uncertainties” and “Management’s Discussion and Analysis of Financial Condition and Results of Operations — Investments — Current Environment” included in our 2021 Annual Report.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Management</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Based upon our capitalization, expectations regarding maintaining our business mix, ratings, and funding sources available to us, we believe we have sufficient liquidity to meet business requirements in current market conditions and certain stress scenarios. Our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spacing w:after="0" w:line="4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maintain a substantial short-term liquidity position, which was $3.4 billion and $3.8 billion at September 30, 2022 and December 31, 2021,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8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An integral part of our liquidity management includes managing our level of liquid assets, which was $41.5 billion and $54.9 billion at September 30, 2022 and December 31, 2021,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76" w:lineRule="exact"/>
        <w:rPr>
          <w:sz w:val="20"/>
          <w:szCs w:val="20"/>
          <w:color w:val="auto"/>
        </w:rPr>
      </w:pPr>
    </w:p>
    <w:p>
      <w:pPr>
        <w:ind w:left="160" w:right="920" w:firstLine="318"/>
        <w:spacing w:after="0" w:line="368" w:lineRule="auto"/>
        <w:rPr>
          <w:sz w:val="20"/>
          <w:szCs w:val="20"/>
          <w:color w:val="auto"/>
        </w:rPr>
      </w:pPr>
      <w:r>
        <w:rPr>
          <w:rFonts w:ascii="Arial" w:cs="Arial" w:eastAsia="Arial" w:hAnsi="Arial"/>
          <w:sz w:val="18"/>
          <w:szCs w:val="18"/>
          <w:color w:val="auto"/>
        </w:rPr>
        <w:t xml:space="preserve">Under certain adverse market and economic conditions, our access to liquidity may deteriorate, or the cost to access liquidity may increase. </w:t>
      </w:r>
      <w:r>
        <w:rPr>
          <w:rFonts w:ascii="Arial" w:cs="Arial" w:eastAsia="Arial" w:hAnsi="Arial"/>
          <w:sz w:val="18"/>
          <w:szCs w:val="18"/>
          <w:b w:val="1"/>
          <w:bCs w:val="1"/>
          <w:i w:val="1"/>
          <w:iCs w:val="1"/>
          <w:u w:val="single" w:color="auto"/>
          <w:color w:val="auto"/>
        </w:rPr>
        <w:t>Capital</w:t>
      </w:r>
    </w:p>
    <w:p>
      <w:pPr>
        <w:spacing w:after="0" w:line="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is supported by our ability to generate cash flows within our insurance companies, our ability to effectively manage the risks of our businesses and our expected ability to borrow funds and raise additional capital to meet operating and growth needs under a variety of market and economic conditions.</w:t>
      </w:r>
    </w:p>
    <w:p>
      <w:pPr>
        <w:spacing w:after="0" w:line="82"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Under current GAAP, we target to maintain a debt-to-capital ratio of approximately 25%, which we monitor using an average of our key leverage ratios as calculated by A.M. Best, Fitch, Moody’s and S&amp;P. As such, we may opportunistically look to pursue additional financing over time, which may include borrowings under credit facilities, the issuance of debt,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equity or hybrid securities, the incurrence of term loans, or the refinancing of existing indebtedness. There can be no assurance that we will be able to complete any such financing transactions on terms and conditions favorable to us or at all.</w:t>
      </w:r>
    </w:p>
    <w:p>
      <w:pPr>
        <w:spacing w:after="0" w:line="7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In support of our target combined risk-based capital (“RBC”) ratio between 400% and 450% in normal market conditions, we expect to continue to maintain a capital and exposure risk management program that targets total assets supporting our variable annuity contracts at or above the average of the worst two percent of a set of capital markets scenarios over the life of the contracts level in normal market conditions.</w:t>
      </w:r>
    </w:p>
    <w:p>
      <w:pPr>
        <w:spacing w:after="0" w:line="65"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We have a share repurchase program under which repurchases may be made through open market purchases, including pursuant to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75"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We currently have no plans to declare and pay dividends on our common stock. Any future declaration and payment of dividends or other distributions or returns of capital will be at the discretion of our Board of Directors and will depend on and be subject to our financial condition, results of operations, cash needs, regulatory and other constraints, capital requirements (including capital requirements of our insurance subsidiaries), contractual restrictions and any other factors that our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primary sources and uses of liquidity and capital were as follows at:</w:t>
      </w:r>
    </w:p>
    <w:p>
      <w:pPr>
        <w:spacing w:after="0" w:line="247"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191"/>
        </w:trPr>
        <w:tc>
          <w:tcPr>
            <w:tcW w:w="8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6"/>
                <w:szCs w:val="16"/>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Sources: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Operating activities, net</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644</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policyholder account balances, net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9,218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9,237</w:t>
            </w:r>
          </w:p>
        </w:tc>
      </w:tr>
      <w:tr>
        <w:trPr>
          <w:trHeight w:val="20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r>
      <w:tr>
        <w:trPr>
          <w:trHeight w:val="208"/>
        </w:trPr>
        <w:tc>
          <w:tcPr>
            <w:tcW w:w="8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sources</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9,481</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10,268</w:t>
            </w:r>
          </w:p>
        </w:tc>
      </w:tr>
      <w:tr>
        <w:trPr>
          <w:trHeight w:val="19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Uses:</w:t>
            </w: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4"/>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 net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Investing activities, net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7,596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9,665</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repaid</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400" w:type="dxa"/>
            <w:vAlign w:val="bottom"/>
          </w:tcPr>
          <w:p>
            <w:pPr>
              <w:ind w:left="20"/>
              <w:spacing w:after="0"/>
              <w:rPr>
                <w:sz w:val="20"/>
                <w:szCs w:val="20"/>
                <w:color w:val="auto"/>
              </w:rPr>
            </w:pPr>
            <w:r>
              <w:rPr>
                <w:rFonts w:ascii="Arial" w:cs="Arial" w:eastAsia="Arial" w:hAnsi="Arial"/>
                <w:sz w:val="16"/>
                <w:szCs w:val="16"/>
                <w:color w:val="auto"/>
              </w:rPr>
              <w:t>Dividends on preferred stock</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acquired in connection with share repurchases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uses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9,162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10,268</w:t>
            </w:r>
          </w:p>
        </w:tc>
      </w:tr>
      <w:tr>
        <w:trPr>
          <w:trHeight w:val="233"/>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111"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111"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Funding Sources</w:t>
      </w:r>
    </w:p>
    <w:p>
      <w:pPr>
        <w:spacing w:after="0" w:line="111" w:lineRule="exact"/>
        <w:rPr>
          <w:sz w:val="20"/>
          <w:szCs w:val="20"/>
          <w:color w:val="auto"/>
        </w:rPr>
      </w:pPr>
    </w:p>
    <w:p>
      <w:pPr>
        <w:jc w:val="both"/>
        <w:ind w:left="320" w:firstLine="318"/>
        <w:spacing w:after="0" w:line="267" w:lineRule="auto"/>
        <w:rPr>
          <w:sz w:val="20"/>
          <w:szCs w:val="20"/>
          <w:color w:val="auto"/>
        </w:rPr>
      </w:pPr>
      <w:r>
        <w:rPr>
          <w:rFonts w:ascii="Arial" w:cs="Arial" w:eastAsia="Arial" w:hAnsi="Arial"/>
          <w:sz w:val="17"/>
          <w:szCs w:val="17"/>
          <w:color w:val="auto"/>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Preferred Stock</w:t>
      </w:r>
    </w:p>
    <w:p>
      <w:pPr>
        <w:spacing w:after="0" w:line="111" w:lineRule="exact"/>
        <w:rPr>
          <w:sz w:val="20"/>
          <w:szCs w:val="20"/>
          <w:color w:val="auto"/>
        </w:rPr>
      </w:pPr>
    </w:p>
    <w:p>
      <w:pPr>
        <w:jc w:val="both"/>
        <w:ind w:left="480" w:firstLine="318"/>
        <w:spacing w:after="0" w:line="264" w:lineRule="auto"/>
        <w:rPr>
          <w:sz w:val="20"/>
          <w:szCs w:val="20"/>
          <w:color w:val="auto"/>
        </w:rPr>
      </w:pPr>
      <w:r>
        <w:rPr>
          <w:rFonts w:ascii="Arial" w:cs="Arial" w:eastAsia="Arial" w:hAnsi="Arial"/>
          <w:sz w:val="18"/>
          <w:szCs w:val="18"/>
          <w:color w:val="auto"/>
        </w:rPr>
        <w:t>See Note 8 of the Notes to the Interim Condensed Consolidated Financial Statements and Note 10 of the Notes to the Consolidated Financial Statements included in our 2021 Annual Report for information on preferred stock issuances.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Funding Agreements</w:t>
      </w:r>
    </w:p>
    <w:p>
      <w:pPr>
        <w:spacing w:after="0" w:line="111" w:lineRule="exact"/>
        <w:rPr>
          <w:sz w:val="20"/>
          <w:szCs w:val="20"/>
          <w:color w:val="auto"/>
        </w:rPr>
      </w:pPr>
    </w:p>
    <w:p>
      <w:pPr>
        <w:jc w:val="both"/>
        <w:ind w:left="480" w:firstLine="318"/>
        <w:spacing w:after="0" w:line="271" w:lineRule="auto"/>
        <w:rPr>
          <w:sz w:val="20"/>
          <w:szCs w:val="20"/>
          <w:color w:val="auto"/>
        </w:rPr>
      </w:pPr>
      <w:r>
        <w:rPr>
          <w:rFonts w:ascii="Arial" w:cs="Arial" w:eastAsia="Arial" w:hAnsi="Arial"/>
          <w:sz w:val="17"/>
          <w:szCs w:val="17"/>
          <w:color w:val="auto"/>
        </w:rPr>
        <w:t>From time to time, 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See Note 3 of the Notes to the Consolidated Financial Statements included in our 2021 Annual Report for additional information on funding agreements.</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Funding Agreement-Backed Commercial Paper Program</w:t>
      </w:r>
    </w:p>
    <w:p>
      <w:pPr>
        <w:spacing w:after="0" w:line="111" w:lineRule="exact"/>
        <w:rPr>
          <w:sz w:val="20"/>
          <w:szCs w:val="20"/>
          <w:color w:val="auto"/>
        </w:rPr>
      </w:pPr>
    </w:p>
    <w:p>
      <w:pPr>
        <w:jc w:val="both"/>
        <w:ind w:left="640" w:firstLine="318"/>
        <w:spacing w:after="0" w:line="250" w:lineRule="auto"/>
        <w:rPr>
          <w:sz w:val="20"/>
          <w:szCs w:val="20"/>
          <w:color w:val="auto"/>
        </w:rPr>
      </w:pPr>
      <w:r>
        <w:rPr>
          <w:rFonts w:ascii="Arial" w:cs="Arial" w:eastAsia="Arial" w:hAnsi="Arial"/>
          <w:sz w:val="18"/>
          <w:szCs w:val="18"/>
          <w:color w:val="auto"/>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$3.0 billion. Activity related to this funding agreement is reported in Corporate &amp; Other.</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Funding Agreement-Backed Notes Program</w:t>
      </w:r>
    </w:p>
    <w:p>
      <w:pPr>
        <w:spacing w:after="0" w:line="111" w:lineRule="exact"/>
        <w:rPr>
          <w:sz w:val="20"/>
          <w:szCs w:val="20"/>
          <w:color w:val="auto"/>
        </w:rPr>
      </w:pPr>
    </w:p>
    <w:p>
      <w:pPr>
        <w:jc w:val="both"/>
        <w:ind w:left="640" w:firstLine="318"/>
        <w:spacing w:after="0" w:line="271" w:lineRule="auto"/>
        <w:rPr>
          <w:sz w:val="20"/>
          <w:szCs w:val="20"/>
          <w:color w:val="auto"/>
        </w:rPr>
      </w:pPr>
      <w:r>
        <w:rPr>
          <w:rFonts w:ascii="Arial" w:cs="Arial" w:eastAsia="Arial" w:hAnsi="Arial"/>
          <w:sz w:val="17"/>
          <w:szCs w:val="17"/>
          <w:color w:val="auto"/>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was increased from $5.0 billion to $7.0 billion in August 2022. Activity related to these funding agreements is reported in Corporate &amp; Other.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Federal Home Loan Bank Funding Agreements</w:t>
      </w:r>
    </w:p>
    <w:p>
      <w:pPr>
        <w:spacing w:after="0" w:line="111" w:lineRule="exact"/>
        <w:rPr>
          <w:sz w:val="20"/>
          <w:szCs w:val="20"/>
          <w:color w:val="auto"/>
        </w:rPr>
      </w:pPr>
    </w:p>
    <w:p>
      <w:pPr>
        <w:jc w:val="both"/>
        <w:ind w:left="640" w:firstLine="318"/>
        <w:spacing w:after="0" w:line="255" w:lineRule="auto"/>
        <w:rPr>
          <w:sz w:val="20"/>
          <w:szCs w:val="20"/>
          <w:color w:val="auto"/>
        </w:rPr>
      </w:pPr>
      <w:r>
        <w:rPr>
          <w:rFonts w:ascii="Arial" w:cs="Arial" w:eastAsia="Arial" w:hAnsi="Arial"/>
          <w:sz w:val="18"/>
          <w:szCs w:val="18"/>
          <w:color w:val="auto"/>
        </w:rPr>
        <w:t>Brighthouse Life Insurance Company is a member of the Federal Home Loan Bank (“FHLB”) of Atlanta, where it maintains a secured funding agreement program, under which funding agreements may be issued either (i) for spread lending purposes or (ii) to provide additional liquidity. Activity related to these funding agreements is reported in Corporate &amp; Other.</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Farmer Mac Funding Agreements</w:t>
      </w:r>
    </w:p>
    <w:p>
      <w:pPr>
        <w:spacing w:after="0" w:line="111" w:lineRule="exact"/>
        <w:rPr>
          <w:sz w:val="20"/>
          <w:szCs w:val="20"/>
          <w:color w:val="auto"/>
        </w:rPr>
      </w:pPr>
    </w:p>
    <w:p>
      <w:pPr>
        <w:jc w:val="both"/>
        <w:ind w:left="640" w:firstLine="318"/>
        <w:spacing w:after="0" w:line="268" w:lineRule="auto"/>
        <w:rPr>
          <w:sz w:val="20"/>
          <w:szCs w:val="20"/>
          <w:color w:val="auto"/>
        </w:rPr>
      </w:pPr>
      <w:r>
        <w:rPr>
          <w:rFonts w:ascii="Arial" w:cs="Arial" w:eastAsia="Arial" w:hAnsi="Arial"/>
          <w:sz w:val="17"/>
          <w:szCs w:val="17"/>
          <w:color w:val="auto"/>
        </w:rPr>
        <w:t>Brighthouse Life Insurance Company has a secured funding agreement program with the Federal Agricultural Mortgage Corporation and its affiliate Farmer Mac Mortgage Securities Corporation (“Farmer Mac”) pursuant to which the parties may enter into funding agreements either (i) for spread lending purposes or (ii) to provide additional liquidity. In September 2022, Brighthouse Life Insurance Company amended this program to (i) extend the term from December 31, 2023 to December 1, 2026 and (ii) increase the maximum aggregate principal amount permitted to be outstanding from $500 million to $750 million. Activity related to these funding agreements is reported in Corporate &amp; Other.</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Information regarding funding agreements issued for spread lending purposes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Aggregate Principal Amount</w:t>
            </w:r>
          </w:p>
        </w:tc>
        <w:tc>
          <w:tcPr>
            <w:tcW w:w="200" w:type="dxa"/>
            <w:vAlign w:val="bottom"/>
          </w:tcPr>
          <w:p>
            <w:pPr>
              <w:spacing w:after="0"/>
              <w:rPr>
                <w:sz w:val="15"/>
                <w:szCs w:val="15"/>
                <w:color w:val="auto"/>
              </w:rPr>
            </w:pPr>
          </w:p>
        </w:tc>
        <w:tc>
          <w:tcPr>
            <w:tcW w:w="2280" w:type="dxa"/>
            <w:vAlign w:val="bottom"/>
            <w:gridSpan w:val="5"/>
          </w:tcPr>
          <w:p>
            <w:pPr>
              <w:ind w:left="700"/>
              <w:spacing w:after="0"/>
              <w:rPr>
                <w:sz w:val="20"/>
                <w:szCs w:val="20"/>
                <w:color w:val="auto"/>
              </w:rPr>
            </w:pPr>
            <w:r>
              <w:rPr>
                <w:rFonts w:ascii="Arial" w:cs="Arial" w:eastAsia="Arial" w:hAnsi="Arial"/>
                <w:sz w:val="14"/>
                <w:szCs w:val="14"/>
                <w:b w:val="1"/>
                <w:bCs w:val="1"/>
                <w:color w:val="auto"/>
              </w:rPr>
              <w:t>Issuances</w:t>
            </w:r>
          </w:p>
        </w:tc>
        <w:tc>
          <w:tcPr>
            <w:tcW w:w="26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Repayments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20" w:type="dxa"/>
            <w:vAlign w:val="bottom"/>
            <w:gridSpan w:val="5"/>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FABCP Program</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8,980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color w:val="auto"/>
              </w:rPr>
              <w:t>FABN Program</w:t>
            </w:r>
          </w:p>
        </w:tc>
        <w:tc>
          <w:tcPr>
            <w:tcW w:w="16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Arial" w:cs="Arial" w:eastAsia="Arial" w:hAnsi="Arial"/>
                <w:sz w:val="16"/>
                <w:szCs w:val="16"/>
                <w:color w:val="auto"/>
              </w:rPr>
              <w:t>3,450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FHLB Funding Agreements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5,350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Farmer Mac Funding Agreements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9,418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15,280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Debt Issuances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See Note 9 of the Notes to the Consolidated Financial Statements included in our 2021 Annual Report for information on debt issuances.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Credit and Committed Facilities</w:t>
      </w:r>
    </w:p>
    <w:p>
      <w:pPr>
        <w:spacing w:after="0" w:line="111" w:lineRule="exact"/>
        <w:rPr>
          <w:sz w:val="20"/>
          <w:szCs w:val="20"/>
          <w:color w:val="auto"/>
        </w:rPr>
      </w:pPr>
    </w:p>
    <w:p>
      <w:pPr>
        <w:jc w:val="both"/>
        <w:ind w:left="480" w:firstLine="318"/>
        <w:spacing w:after="0" w:line="255" w:lineRule="auto"/>
        <w:rPr>
          <w:sz w:val="20"/>
          <w:szCs w:val="20"/>
          <w:color w:val="auto"/>
        </w:rPr>
      </w:pPr>
      <w:r>
        <w:rPr>
          <w:rFonts w:ascii="Arial" w:cs="Arial" w:eastAsia="Arial" w:hAnsi="Arial"/>
          <w:sz w:val="18"/>
          <w:szCs w:val="18"/>
          <w:color w:val="auto"/>
        </w:rPr>
        <w:t>See Notes 9 and 10 of the Notes to the Consolidated Financial Statements included in our 2021 Annual Report for information regarding our credit and committed facilities. See Note 7 of the Notes to the Interim Condensed Consolidated Financial Statements for information regarding our entry into a new revolving credit facility.</w:t>
      </w:r>
    </w:p>
    <w:p>
      <w:pPr>
        <w:spacing w:after="0" w:line="82" w:lineRule="exact"/>
        <w:rPr>
          <w:sz w:val="20"/>
          <w:szCs w:val="20"/>
          <w:color w:val="auto"/>
        </w:rPr>
      </w:pPr>
    </w:p>
    <w:p>
      <w:pPr>
        <w:jc w:val="both"/>
        <w:ind w:left="480" w:firstLine="318"/>
        <w:spacing w:after="0" w:line="255" w:lineRule="auto"/>
        <w:rPr>
          <w:sz w:val="20"/>
          <w:szCs w:val="20"/>
          <w:color w:val="auto"/>
        </w:rPr>
      </w:pPr>
      <w:r>
        <w:rPr>
          <w:rFonts w:ascii="Arial" w:cs="Arial" w:eastAsia="Arial" w:hAnsi="Arial"/>
          <w:sz w:val="18"/>
          <w:szCs w:val="18"/>
          <w:color w:val="auto"/>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spacing w:after="0" w:line="82" w:lineRule="exact"/>
        <w:rPr>
          <w:sz w:val="20"/>
          <w:szCs w:val="20"/>
          <w:color w:val="auto"/>
        </w:rPr>
      </w:pPr>
    </w:p>
    <w:p>
      <w:pPr>
        <w:jc w:val="both"/>
        <w:ind w:left="480" w:firstLine="318"/>
        <w:spacing w:after="0" w:line="252" w:lineRule="auto"/>
        <w:rPr>
          <w:sz w:val="20"/>
          <w:szCs w:val="20"/>
          <w:color w:val="auto"/>
        </w:rPr>
      </w:pPr>
      <w:r>
        <w:rPr>
          <w:rFonts w:ascii="Arial" w:cs="Arial" w:eastAsia="Arial" w:hAnsi="Arial"/>
          <w:sz w:val="18"/>
          <w:szCs w:val="18"/>
          <w:color w:val="auto"/>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September 30, 2022, we were in compliance with these financial covenants.</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Uses of Liquidity and Capital</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See Note 8 of the Notes to the Interim Condensed Consolidated Financial Statements for information relating to authorizations to repurchase BHF common stock, amounts of common stock repurchased pursuant to such authorizations and the amount remaining under such authorizations at September 30, 2022. Subsequent to September 30, 2022 and through November 3, 2022, BHF repurchased an additional 954,210 shares of its common stock through open market purchases, pursuant to a 10b5-1 plan, for $47 million.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Preferred Stock Dividends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See Note 8 of the Notes to the Interim Condensed Consolidated Financial Statements for information relating to dividends declared and paid on our preferred stock.</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Debt Repayments, Repurchases, Redemptions and Exchanges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See Note 9 of the Notes to the Consolidated Financial Statements included in our 2021 Annual Report for information on debt repayments and repurchases, as well as debt maturities and the terms of our outstanding long-term debt.</w:t>
      </w:r>
    </w:p>
    <w:p>
      <w:pPr>
        <w:spacing w:after="0" w:line="75"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We have, and may from time to time in the future,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Insurance Liabilities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Liabilities arising from our insurance activities primarily relate to benefit payments under various annuity and life insurance products, as well as payments for policy surrenders, withdrawals and loans. During the nine months ended September 30, 2022 and 2021, general account surrenders and withdrawals, including repayments of funding agreements in connection with our institutional spread margin business, totaled $14.3 billion and $2.2 billion, respectively. See “— Primary Sources of Liquidity and Capital — Funding Sources — Funding Agreements” for additional information regarding our institutional spread margin business.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1"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We enter into derivatives to manage various risks relating to our ongoing business operations. We pledge collateral to, and have collateral pledged to us by, counterparties in connection with our derivatives. At September 30, 2022, we pledged $7 million of cash collateral to counterparties. At December 31, 2021, we did not pledge any cash collateral to counterparties. At both September 30, 2022 and December 31, 2021, we were obligated to return cash collateral pledged to us by counterparties of $1.7 billion. See Note 5 of the Notes to the Interim Condensed Consolidated Financial Statements for additional information about pledged collateral. We also pledge collateral from time to time in connection with funding agreements.</w:t>
      </w:r>
    </w:p>
    <w:p>
      <w:pPr>
        <w:spacing w:after="0" w:line="4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We receive non-cash collateral from counterparties for derivatives, which can be sold or re-pledged subject to certain constraints, and which is not recorded on our consolidated balance sheets. The amount of this non-cash collateral at estimated fair value was $2.7 billion and $593 million at September 30, 2022 and December 31, 2021, respectively.</w:t>
      </w:r>
    </w:p>
    <w:p>
      <w:pPr>
        <w:spacing w:after="0" w:line="82" w:lineRule="exact"/>
        <w:rPr>
          <w:sz w:val="20"/>
          <w:szCs w:val="20"/>
          <w:color w:val="auto"/>
        </w:rPr>
      </w:pPr>
    </w:p>
    <w:p>
      <w:pPr>
        <w:ind w:left="320" w:right="640" w:firstLine="318"/>
        <w:spacing w:after="0" w:line="368" w:lineRule="auto"/>
        <w:rPr>
          <w:sz w:val="20"/>
          <w:szCs w:val="20"/>
          <w:color w:val="auto"/>
        </w:rPr>
      </w:pPr>
      <w:r>
        <w:rPr>
          <w:rFonts w:ascii="Arial" w:cs="Arial" w:eastAsia="Arial" w:hAnsi="Arial"/>
          <w:sz w:val="18"/>
          <w:szCs w:val="18"/>
          <w:color w:val="auto"/>
        </w:rPr>
        <w:t xml:space="preserve">See Note 5 of the Notes to the Interim Condensed Consolidated Financial Statements for additional information regarding pledged collateral. </w:t>
      </w:r>
      <w:r>
        <w:rPr>
          <w:rFonts w:ascii="Arial" w:cs="Arial" w:eastAsia="Arial" w:hAnsi="Arial"/>
          <w:sz w:val="18"/>
          <w:szCs w:val="18"/>
          <w:i w:val="1"/>
          <w:iCs w:val="1"/>
          <w:u w:val="single" w:color="auto"/>
          <w:color w:val="auto"/>
        </w:rPr>
        <w:t>Securities Lending</w:t>
      </w:r>
    </w:p>
    <w:p>
      <w:pPr>
        <w:spacing w:after="0" w:line="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$4.8 billion and $4.6 billion at September 30, 2022 and December 31, 2021, respectively.</w:t>
      </w:r>
    </w:p>
    <w:p>
      <w:pPr>
        <w:spacing w:after="0" w:line="8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We receive non-cash collateral for securities lending from counterparties, which cannot be sold or re-pledged, and which is not recorded on our consolidated balance sheets. We did not hold any non-cash collateral at September 30, 2022. The amount of this non-cash collateral was $2 million at estimated fair value at December 31, 2021.</w:t>
      </w:r>
    </w:p>
    <w:p>
      <w:pPr>
        <w:spacing w:after="0" w:line="82" w:lineRule="exact"/>
        <w:rPr>
          <w:sz w:val="20"/>
          <w:szCs w:val="20"/>
          <w:color w:val="auto"/>
        </w:rPr>
      </w:pPr>
    </w:p>
    <w:p>
      <w:pPr>
        <w:ind w:left="320" w:right="580" w:firstLine="318"/>
        <w:spacing w:after="0" w:line="368" w:lineRule="auto"/>
        <w:rPr>
          <w:sz w:val="20"/>
          <w:szCs w:val="20"/>
          <w:color w:val="auto"/>
        </w:rPr>
      </w:pPr>
      <w:r>
        <w:rPr>
          <w:rFonts w:ascii="Arial" w:cs="Arial" w:eastAsia="Arial" w:hAnsi="Arial"/>
          <w:sz w:val="18"/>
          <w:szCs w:val="18"/>
          <w:color w:val="auto"/>
        </w:rPr>
        <w:t xml:space="preserve">See Note 4 of the Notes to the Interim Condensed Consolidated Financial Statements for further discussion of our securities lending program. </w:t>
      </w:r>
      <w:r>
        <w:rPr>
          <w:rFonts w:ascii="Arial" w:cs="Arial" w:eastAsia="Arial" w:hAnsi="Arial"/>
          <w:sz w:val="18"/>
          <w:szCs w:val="18"/>
          <w:i w:val="1"/>
          <w:iCs w:val="1"/>
          <w:u w:val="single" w:color="auto"/>
          <w:color w:val="auto"/>
        </w:rPr>
        <w:t>Contingencies, Commitments and Guarantees</w:t>
      </w:r>
    </w:p>
    <w:p>
      <w:pPr>
        <w:spacing w:after="0" w:line="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We establish liabilities for litigation, regulatory and other loss contingencies when it is probable that a loss has been incurred and the amount of the loss can be reasonably estimated. See Note 11 of the Notes to the Interim Condensed Consolidated Financial Statements for additional information regarding contingencies.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20" w:firstLine="318"/>
        <w:spacing w:after="0" w:line="330" w:lineRule="auto"/>
        <w:rPr>
          <w:sz w:val="20"/>
          <w:szCs w:val="20"/>
          <w:color w:val="auto"/>
        </w:rPr>
      </w:pPr>
      <w:r>
        <w:rPr>
          <w:rFonts w:ascii="Arial" w:cs="Arial" w:eastAsia="Arial" w:hAnsi="Arial"/>
          <w:sz w:val="15"/>
          <w:szCs w:val="15"/>
          <w:color w:val="auto"/>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See Notes 4 and 11 of the Notes to the Interim Condensed Consolidated Financial Statements for additional information regarding commitments.</w:t>
      </w:r>
    </w:p>
    <w:p>
      <w:pPr>
        <w:spacing w:after="0" w:line="3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In the normal course of our business, we have provided certain indemnities, guarantees, and commitments to third parties such that we may be required to make payments now or in the future. See Note 11 of the Notes to the Interim Condensed Consolidated Financial Statements for additional information regarding guarantees.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Parent Company</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Liquidity and Capital</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Liquidity and Liquid Assets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At September 30, 2022 and December 31, 2021, BHF and certain of its non-insurance subsidiaries had short-term liquidity of $1.1 billion and $1.6 billion, respectively. Short-term liquidity is comprised of cash and cash equivalents and short-term investments, excluding assets that are pledged or otherwise committed. Assets pledged or otherwise committed include assets held in trust.</w:t>
      </w:r>
    </w:p>
    <w:p>
      <w:pPr>
        <w:spacing w:after="0" w:line="82"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At September 30, 2022 and December 31, 2021, BHF and certain of its non-insurance subsidiaries had liquid assets of $1.1 billion and $1.6 billion, respectively, of which $1.1 billion and $1.5 billion was held by BHF. Liquid assets are comprised of cash and cash equivalents, short-term investments and publicly-traded securities, excluding assets that are pledged or otherwise committed. Assets pledged or otherwise committed include assets held in trust.</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Statutory Capital and Dividends</w:t>
      </w:r>
    </w:p>
    <w:p>
      <w:pPr>
        <w:spacing w:after="0" w:line="111" w:lineRule="exact"/>
        <w:rPr>
          <w:sz w:val="20"/>
          <w:szCs w:val="20"/>
          <w:color w:val="auto"/>
        </w:rPr>
      </w:pPr>
    </w:p>
    <w:p>
      <w:pPr>
        <w:jc w:val="both"/>
        <w:ind w:left="320" w:firstLine="318"/>
        <w:spacing w:after="0" w:line="306" w:lineRule="auto"/>
        <w:rPr>
          <w:sz w:val="20"/>
          <w:szCs w:val="20"/>
          <w:color w:val="auto"/>
        </w:rPr>
      </w:pPr>
      <w:r>
        <w:rPr>
          <w:rFonts w:ascii="Arial" w:cs="Arial" w:eastAsia="Arial" w:hAnsi="Arial"/>
          <w:sz w:val="15"/>
          <w:szCs w:val="15"/>
          <w:color w:val="auto"/>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(“TAC”) does not meet or exceed certain RBC levels. As of the date of the most recent annual statutory financial statements filed with insurance regulators, the TAC of each of our insurance subsidiaries subject to these requirements was in excess of each of those RBC levels.</w:t>
      </w:r>
    </w:p>
    <w:p>
      <w:pPr>
        <w:spacing w:after="0" w:line="263" w:lineRule="exact"/>
        <w:rPr>
          <w:sz w:val="20"/>
          <w:szCs w:val="20"/>
          <w:color w:val="auto"/>
        </w:rPr>
      </w:pPr>
    </w:p>
    <w:p>
      <w:pPr>
        <w:jc w:val="both"/>
        <w:ind w:left="320" w:firstLine="318"/>
        <w:spacing w:after="0" w:line="309" w:lineRule="auto"/>
        <w:rPr>
          <w:sz w:val="20"/>
          <w:szCs w:val="20"/>
          <w:color w:val="auto"/>
        </w:rPr>
      </w:pPr>
      <w:r>
        <w:rPr>
          <w:rFonts w:ascii="Arial" w:cs="Arial" w:eastAsia="Arial" w:hAnsi="Arial"/>
          <w:sz w:val="15"/>
          <w:szCs w:val="15"/>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insurance laws and regulations. See Note 10 of the Notes to the Consolidated Financial Statements included in our 2021 Annual Report.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Sources and Uses of Liquidity and Capital</w:t>
      </w:r>
    </w:p>
    <w:p>
      <w:pPr>
        <w:spacing w:after="0" w:line="11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principal sources of funds available to BHF include distributions from Brighthouse Holdings, LLC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primary uses of liquidity of BHF include debt-service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 addition to the liquidity and capital sources discussed in “— The Company — Primary Sources of Liquidity and Capital” and “— The Company —</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Primary Uses of Liquidity and Capital,” the following additional information is provided regarding BHF’s primary sources and uses of liquidity and capital:</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Distributions from and Capital Contributions to BH Holdings</w:t>
      </w:r>
    </w:p>
    <w:p>
      <w:pPr>
        <w:spacing w:after="0" w:line="111" w:lineRule="exact"/>
        <w:rPr>
          <w:sz w:val="20"/>
          <w:szCs w:val="20"/>
          <w:color w:val="auto"/>
        </w:rPr>
      </w:pPr>
    </w:p>
    <w:p>
      <w:pPr>
        <w:jc w:val="both"/>
        <w:ind w:left="320" w:firstLine="318"/>
        <w:spacing w:after="0" w:line="365" w:lineRule="auto"/>
        <w:rPr>
          <w:sz w:val="20"/>
          <w:szCs w:val="20"/>
          <w:color w:val="auto"/>
        </w:rPr>
      </w:pPr>
      <w:r>
        <w:rPr>
          <w:rFonts w:ascii="Arial" w:cs="Arial" w:eastAsia="Arial" w:hAnsi="Arial"/>
          <w:sz w:val="15"/>
          <w:szCs w:val="15"/>
          <w:color w:val="auto"/>
        </w:rPr>
        <w:t>During the nine months ended September 30, 2022 and 2021, BHF received cash distributions of $350 million and $310 million, respectively, from BH Holdings. During the nine months ended September 30, 2022 and 2021, BHF did not make any cash capital contributions to BH Holdings.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Intercompany Loans</w:t>
      </w:r>
    </w:p>
    <w:p>
      <w:pPr>
        <w:spacing w:after="0" w:line="111" w:lineRule="exact"/>
        <w:rPr>
          <w:sz w:val="20"/>
          <w:szCs w:val="20"/>
          <w:color w:val="auto"/>
        </w:rPr>
      </w:pPr>
    </w:p>
    <w:p>
      <w:pPr>
        <w:jc w:val="both"/>
        <w:ind w:left="320" w:firstLine="318"/>
        <w:spacing w:after="0" w:line="248" w:lineRule="auto"/>
        <w:rPr>
          <w:sz w:val="20"/>
          <w:szCs w:val="20"/>
          <w:color w:val="auto"/>
        </w:rPr>
      </w:pPr>
      <w:r>
        <w:rPr>
          <w:rFonts w:ascii="Arial" w:cs="Arial" w:eastAsia="Arial" w:hAnsi="Arial"/>
          <w:sz w:val="18"/>
          <w:szCs w:val="18"/>
          <w:color w:val="auto"/>
        </w:rPr>
        <w:t>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nine months ended September 30, 2022 and 2021, BHF borrowed $661 million and $547 million, respectively, from certain of its non-insurance subsidiaries and repaid $945 million and $614 million of such borrowings during the nine months ended September 30, 2022 and 2021, respectively. At September 30, 2022 and December 31, 2021, BHF had total obligations outstanding of $428 million and $712 million, respectively, under such agreements.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Intercompany Liquidity Facilities</w:t>
      </w:r>
    </w:p>
    <w:p>
      <w:pPr>
        <w:spacing w:after="0" w:line="111"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not more than 364 days. During both the nine months ended September 30, 2022 and 2021, there were no borrowings or repayments by BHF under these facilities and, at both September 30, 2022 and December 31, 2021, BHF had no obligations outstanding under such facilities.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1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45" w:lineRule="exact"/>
        <w:rPr>
          <w:sz w:val="20"/>
          <w:szCs w:val="20"/>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market risk due to guarantees within certain of our products;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effectiveness of our variable annuity exposure risk management strategy and the impact of such strategy on volatility in our profitability measures and negative effects on our statutory capital;</w:t>
      </w:r>
    </w:p>
    <w:p>
      <w:pPr>
        <w:spacing w:after="0" w:line="7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material differences from actual outcomes compared to the sensitivities calculated under certain scenarios and sensitivities that we may utilize in connection with our variable annuity risk management strategies;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impact of interest rates on our future ULSG policyholder obligations and net income volatility;</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impact of the ongoing COVID-19 pandemic;</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potential material adverse effect of changes in accounting standards, practices or policies applicable to us, including changes in the accounting for long-duration contracts;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loss of business and other negative impacts resulting from a downgrade or a potential downgrade in our financial strength or credit ratings;</w:t>
      </w:r>
    </w:p>
    <w:p>
      <w:pPr>
        <w:spacing w:after="0" w:line="12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the counterparties to our reinsurance or indemnification arrangements to perform their obligations thereunder;</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ability of our subsidiaries to pay dividends to us, and our ability to pay dividends to our shareholders and repurchase our common stock;</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risks associated with climate change;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adverse impact on liabilities for policyholder claims as a result of extreme mortality events;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impact of adverse capital and credit market conditions, including with respect to our ability to meet liquidity needs and access capital;</w:t>
      </w:r>
    </w:p>
    <w:p>
      <w:pPr>
        <w:spacing w:after="0" w:line="122"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impact of economic conditions in the capital markets and the U.S. and global economy, as well as geo-political events, military actions or catastrophic events, on our investment portfolio, including on realized and unrealized losses and impairments, net investment spread and net investment income;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hanging="316"/>
        <w:spacing w:after="0" w:line="294" w:lineRule="auto"/>
        <w:tabs>
          <w:tab w:leader="none" w:pos="6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impact of events that adversely affect issuers, guarantors or collateral relating to our investments or our derivatives counterparties, on impairments, valuation allowances, reserves, net investment income and changes in unrealized gain or loss positions;</w:t>
      </w:r>
    </w:p>
    <w:p>
      <w:pPr>
        <w:spacing w:after="0" w:line="51" w:lineRule="exact"/>
        <w:rPr>
          <w:rFonts w:ascii="Arial" w:cs="Arial" w:eastAsia="Arial" w:hAnsi="Arial"/>
          <w:sz w:val="17"/>
          <w:szCs w:val="17"/>
          <w:color w:val="auto"/>
        </w:rPr>
      </w:pPr>
    </w:p>
    <w:p>
      <w:pPr>
        <w:ind w:left="640" w:hanging="31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on our insurance business or other operations;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potential material negative tax impact of potential future tax legislation that could make some of our products less attractive to consumers;</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effectiveness of our policies and procedures in managing risk;</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whether all or any portion of the tax consequences of our separation from MetLife, Inc. (together with its subsidiaries and affiliates, “MetLife”) are not as expected, leading to material additional taxes or material adverse consequences to tax attributes that impact us;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uncertainty of the outcome of any disputes with MetLife over tax-related or other matters and agreements or disagreements regarding MetLife’s or our obligations under our other agreements;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factors described in this report and from time to time in documents that we file with the SEC.</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2021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routinely use our Investor Relations website to provide presentations, press releases and other information that may be deemed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post financial information.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our 2021 Annual Report.</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have been no material changes to our market risk exposures from the market risk exposures previously disclosed in our 2021 Annual Report with the exception of sensitivity to changes in interest rates previously disclosed in our Second Quarter Form 10-Q.</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September 30, 2022.</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Rules 13a-15(f) and 15d-15(f) under the Exchange Act) that occurred during the quarter ended September 30, 2022 that have materially affected, or are reasonably likely to materially affect, these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11 of the Notes to the Interim Condensed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discuss in this report, in our 2021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2021 Annual Report.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Purchases of BHF common stock made by or on behalf of BHF or its affiliates during the three months ended September 30, 2022 are set forth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18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Average Price Paid per</w:t>
            </w:r>
          </w:p>
        </w:tc>
        <w:tc>
          <w:tcPr>
            <w:tcW w:w="1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65"/>
              <w:spacing w:after="0" w:line="142" w:lineRule="exact"/>
              <w:rPr>
                <w:sz w:val="20"/>
                <w:szCs w:val="20"/>
                <w:color w:val="auto"/>
              </w:rPr>
            </w:pPr>
            <w:r>
              <w:rPr>
                <w:rFonts w:ascii="Arial" w:cs="Arial" w:eastAsia="Arial" w:hAnsi="Arial"/>
                <w:sz w:val="14"/>
                <w:szCs w:val="14"/>
                <w:b w:val="1"/>
                <w:bCs w:val="1"/>
                <w:color w:val="auto"/>
                <w:w w:val="90"/>
              </w:rPr>
              <w:t>Shares that May Yet Be</w:t>
            </w:r>
          </w:p>
        </w:tc>
        <w:tc>
          <w:tcPr>
            <w:tcW w:w="0" w:type="dxa"/>
            <w:vAlign w:val="bottom"/>
          </w:tcPr>
          <w:p>
            <w:pPr>
              <w:spacing w:after="0"/>
              <w:rPr>
                <w:sz w:val="1"/>
                <w:szCs w:val="1"/>
                <w:color w:val="auto"/>
              </w:rPr>
            </w:pPr>
          </w:p>
        </w:tc>
      </w:tr>
      <w:tr>
        <w:trPr>
          <w:trHeight w:val="146"/>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9"/>
              </w:rPr>
              <w:t>Publicly Announced Plans or</w:t>
            </w:r>
          </w:p>
        </w:tc>
        <w:tc>
          <w:tcPr>
            <w:tcW w:w="100" w:type="dxa"/>
            <w:vAlign w:val="bottom"/>
          </w:tcPr>
          <w:p>
            <w:pPr>
              <w:spacing w:after="0"/>
              <w:rPr>
                <w:sz w:val="12"/>
                <w:szCs w:val="12"/>
                <w:color w:val="auto"/>
              </w:rPr>
            </w:pPr>
          </w:p>
        </w:tc>
        <w:tc>
          <w:tcPr>
            <w:tcW w:w="180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0"/>
              </w:rPr>
              <w:t>Purchased Under the Plans</w:t>
            </w:r>
          </w:p>
        </w:tc>
        <w:tc>
          <w:tcPr>
            <w:tcW w:w="0" w:type="dxa"/>
            <w:vAlign w:val="bottom"/>
          </w:tcPr>
          <w:p>
            <w:pPr>
              <w:spacing w:after="0"/>
              <w:rPr>
                <w:sz w:val="1"/>
                <w:szCs w:val="1"/>
                <w:color w:val="auto"/>
              </w:rPr>
            </w:pPr>
          </w:p>
        </w:tc>
      </w:tr>
      <w:tr>
        <w:trPr>
          <w:trHeight w:val="193"/>
        </w:trPr>
        <w:tc>
          <w:tcPr>
            <w:tcW w:w="3760" w:type="dxa"/>
            <w:vAlign w:val="bottom"/>
            <w:gridSpan w:val="2"/>
            <w:vMerge w:val="continue"/>
          </w:tcPr>
          <w:p>
            <w:pPr>
              <w:spacing w:after="0"/>
              <w:rPr>
                <w:sz w:val="16"/>
                <w:szCs w:val="16"/>
                <w:color w:val="auto"/>
              </w:rPr>
            </w:pPr>
          </w:p>
        </w:tc>
        <w:tc>
          <w:tcPr>
            <w:tcW w:w="1780" w:type="dxa"/>
            <w:vAlign w:val="bottom"/>
          </w:tcPr>
          <w:p>
            <w:pPr>
              <w:jc w:val="right"/>
              <w:ind w:right="403"/>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Programs (2)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65"/>
              <w:spacing w:after="0"/>
              <w:rPr>
                <w:sz w:val="20"/>
                <w:szCs w:val="20"/>
                <w:color w:val="auto"/>
              </w:rPr>
            </w:pPr>
            <w:r>
              <w:rPr>
                <w:rFonts w:ascii="Arial" w:cs="Arial" w:eastAsia="Arial" w:hAnsi="Arial"/>
                <w:sz w:val="14"/>
                <w:szCs w:val="14"/>
                <w:b w:val="1"/>
                <w:bCs w:val="1"/>
                <w:color w:val="auto"/>
                <w:w w:val="91"/>
              </w:rPr>
              <w:t>or Programs</w:t>
            </w:r>
          </w:p>
        </w:tc>
        <w:tc>
          <w:tcPr>
            <w:tcW w:w="0" w:type="dxa"/>
            <w:vAlign w:val="bottom"/>
          </w:tcPr>
          <w:p>
            <w:pPr>
              <w:spacing w:after="0"/>
              <w:rPr>
                <w:sz w:val="1"/>
                <w:szCs w:val="1"/>
                <w:color w:val="auto"/>
              </w:rPr>
            </w:pPr>
          </w:p>
        </w:tc>
      </w:tr>
      <w:tr>
        <w:trPr>
          <w:trHeight w:val="190"/>
        </w:trPr>
        <w:tc>
          <w:tcPr>
            <w:tcW w:w="3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1 — July 31, 2022</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1,188,585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1,189,105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0"/>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August 1 — August 31, 2022</w:t>
            </w:r>
          </w:p>
        </w:tc>
        <w:tc>
          <w:tcPr>
            <w:tcW w:w="1780" w:type="dxa"/>
            <w:vAlign w:val="bottom"/>
          </w:tcPr>
          <w:p>
            <w:pPr>
              <w:jc w:val="right"/>
              <w:spacing w:after="0"/>
              <w:rPr>
                <w:sz w:val="20"/>
                <w:szCs w:val="20"/>
                <w:color w:val="auto"/>
              </w:rPr>
            </w:pPr>
            <w:r>
              <w:rPr>
                <w:rFonts w:ascii="Arial" w:cs="Arial" w:eastAsia="Arial" w:hAnsi="Arial"/>
                <w:sz w:val="16"/>
                <w:szCs w:val="16"/>
                <w:color w:val="auto"/>
              </w:rPr>
              <w:t>948,170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47.10</w:t>
            </w:r>
          </w:p>
        </w:tc>
        <w:tc>
          <w:tcPr>
            <w:tcW w:w="120" w:type="dxa"/>
            <w:vAlign w:val="bottom"/>
          </w:tcPr>
          <w:p>
            <w:pPr>
              <w:spacing w:after="0"/>
              <w:rPr>
                <w:sz w:val="18"/>
                <w:szCs w:val="18"/>
                <w:color w:val="auto"/>
              </w:rPr>
            </w:pPr>
          </w:p>
        </w:tc>
        <w:tc>
          <w:tcPr>
            <w:tcW w:w="1800" w:type="dxa"/>
            <w:vAlign w:val="bottom"/>
          </w:tcPr>
          <w:p>
            <w:pPr>
              <w:jc w:val="right"/>
              <w:ind w:right="5"/>
              <w:spacing w:after="0"/>
              <w:rPr>
                <w:sz w:val="20"/>
                <w:szCs w:val="20"/>
                <w:color w:val="auto"/>
              </w:rPr>
            </w:pPr>
            <w:r>
              <w:rPr>
                <w:rFonts w:ascii="Arial" w:cs="Arial" w:eastAsia="Arial" w:hAnsi="Arial"/>
                <w:sz w:val="16"/>
                <w:szCs w:val="16"/>
                <w:color w:val="auto"/>
              </w:rPr>
              <w:t>947,897</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2"/>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 — September 30, 2022</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909,020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47.48</w:t>
            </w:r>
          </w:p>
        </w:tc>
        <w:tc>
          <w:tcPr>
            <w:tcW w:w="12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904,774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08"/>
        </w:trPr>
        <w:tc>
          <w:tcPr>
            <w:tcW w:w="376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3,045,775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3,041,776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365" w:lineRule="auto"/>
        <w:tabs>
          <w:tab w:leader="none" w:pos="314" w:val="left"/>
        </w:tabs>
        <w:numPr>
          <w:ilvl w:val="0"/>
          <w:numId w:val="81"/>
        </w:numPr>
        <w:rPr>
          <w:rFonts w:ascii="Arial" w:cs="Arial" w:eastAsia="Arial" w:hAnsi="Arial"/>
          <w:sz w:val="15"/>
          <w:szCs w:val="15"/>
          <w:color w:val="auto"/>
        </w:rPr>
      </w:pPr>
      <w:r>
        <w:rPr>
          <w:rFonts w:ascii="Arial" w:cs="Arial" w:eastAsia="Arial" w:hAnsi="Arial"/>
          <w:sz w:val="15"/>
          <w:szCs w:val="15"/>
          <w:color w:val="auto"/>
        </w:rPr>
        <w:t>Where applicable, total number of shares purchased includes shares of common stock withheld with respect to option exercise costs and tax withholding obligations associated with the exercise or vesting of share-based compensation awards under our publicly announced benefit plans or programs.</w:t>
      </w:r>
    </w:p>
    <w:p>
      <w:pPr>
        <w:spacing w:after="0" w:line="5" w:lineRule="exact"/>
        <w:rPr>
          <w:rFonts w:ascii="Arial" w:cs="Arial" w:eastAsia="Arial" w:hAnsi="Arial"/>
          <w:sz w:val="15"/>
          <w:szCs w:val="15"/>
          <w:color w:val="auto"/>
        </w:rPr>
      </w:pPr>
    </w:p>
    <w:p>
      <w:pPr>
        <w:jc w:val="both"/>
        <w:ind w:left="320" w:hanging="314"/>
        <w:spacing w:after="0" w:line="255" w:lineRule="auto"/>
        <w:tabs>
          <w:tab w:leader="none" w:pos="314"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See “Management’s Discussion and Analysis of Financial Condition and Results of Operations — Liquidity and Capital Resources — The Company — Primary Uses of Liquidity and Capital — Common Stock Repurchases” and Note 8 of the Notes to the Interim Condensed Consolidated Financial Statements for more information on common stock repurchases.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4" w:lineRule="exact"/>
        <w:rPr>
          <w:sz w:val="20"/>
          <w:szCs w:val="20"/>
          <w:color w:val="auto"/>
        </w:rPr>
      </w:pPr>
    </w:p>
    <w:p>
      <w:pPr>
        <w:jc w:val="both"/>
        <w:ind w:firstLine="159"/>
        <w:spacing w:after="0" w:line="263"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Note Regarding Reliance on Statements in Our Contracts:</w:t>
      </w:r>
      <w:r>
        <w:rPr>
          <w:rFonts w:ascii="Arial" w:cs="Arial" w:eastAsia="Arial" w:hAnsi="Arial"/>
          <w:sz w:val="17"/>
          <w:szCs w:val="17"/>
          <w:i w:val="1"/>
          <w:iCs w:val="1"/>
          <w:color w:val="auto"/>
        </w:rPr>
        <w:t xml:space="preserve"> In reviewing the agreements included as exhibits herein,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Brighthouse Financial, Inc.’s other public filings, which are available without charge through the U.S. Securities and Exchange Commission website at www.sec.gov.)</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Exhibit No.</w:t>
            </w:r>
          </w:p>
        </w:tc>
        <w:tc>
          <w:tcPr>
            <w:tcW w:w="10060" w:type="dxa"/>
            <w:vAlign w:val="bottom"/>
            <w:gridSpan w:val="3"/>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38"/>
        </w:trPr>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r>
      <w:tr>
        <w:trPr>
          <w:trHeight w:val="179"/>
        </w:trPr>
        <w:tc>
          <w:tcPr>
            <w:tcW w:w="1060" w:type="dxa"/>
            <w:vAlign w:val="bottom"/>
          </w:tcPr>
          <w:p>
            <w:pPr>
              <w:jc w:val="center"/>
              <w:spacing w:after="0" w:line="179" w:lineRule="exact"/>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5"/>
                <w:szCs w:val="15"/>
                <w:color w:val="auto"/>
              </w:rPr>
            </w:pPr>
          </w:p>
        </w:tc>
        <w:tc>
          <w:tcPr>
            <w:tcW w:w="10060" w:type="dxa"/>
            <w:vAlign w:val="bottom"/>
            <w:gridSpan w:val="3"/>
          </w:tcPr>
          <w:p>
            <w:pPr>
              <w:spacing w:after="0" w:line="179" w:lineRule="exact"/>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7"/>
                <w:szCs w:val="17"/>
                <w:color w:val="auto"/>
              </w:rPr>
            </w:pPr>
          </w:p>
        </w:tc>
        <w:tc>
          <w:tcPr>
            <w:tcW w:w="7060" w:type="dxa"/>
            <w:vAlign w:val="bottom"/>
            <w:tcBorders>
              <w:top w:val="single" w:sz="8" w:color="0000FF"/>
              <w:bottom w:val="single" w:sz="8" w:color="0000FF"/>
            </w:tcBorders>
          </w:tcPr>
          <w:p>
            <w:pPr>
              <w:spacing w:after="0" w:line="205" w:lineRule="exact"/>
              <w:rPr>
                <w:sz w:val="20"/>
                <w:szCs w:val="20"/>
                <w:color w:val="auto"/>
              </w:rPr>
            </w:pPr>
            <w:r>
              <w:rPr>
                <w:rFonts w:ascii="Arial" w:cs="Arial" w:eastAsia="Arial" w:hAnsi="Arial"/>
                <w:sz w:val="18"/>
                <w:szCs w:val="18"/>
                <w:color w:val="0000FF"/>
                <w:w w:val="90"/>
              </w:rPr>
              <w:t>Certification of Chief Financial Officer pursuant to Section 302 of the Sarbanes-Oxley Act of 2002.</w:t>
            </w:r>
          </w:p>
        </w:tc>
        <w:tc>
          <w:tcPr>
            <w:tcW w:w="40" w:type="dxa"/>
            <w:vAlign w:val="bottom"/>
            <w:tcBorders>
              <w:top w:val="single" w:sz="8" w:color="0000FF"/>
            </w:tcBorders>
          </w:tcPr>
          <w:p>
            <w:pPr>
              <w:spacing w:after="0"/>
              <w:rPr>
                <w:sz w:val="17"/>
                <w:szCs w:val="17"/>
                <w:color w:val="auto"/>
              </w:rPr>
            </w:pPr>
          </w:p>
        </w:tc>
        <w:tc>
          <w:tcPr>
            <w:tcW w:w="2960" w:type="dxa"/>
            <w:vAlign w:val="bottom"/>
          </w:tcPr>
          <w:p>
            <w:pPr>
              <w:spacing w:after="0"/>
              <w:rPr>
                <w:sz w:val="17"/>
                <w:szCs w:val="17"/>
                <w:color w:val="auto"/>
              </w:rPr>
            </w:pPr>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7"/>
              </w:rPr>
              <w:t>32.1**</w:t>
            </w:r>
          </w:p>
        </w:tc>
        <w:tc>
          <w:tcPr>
            <w:tcW w:w="120" w:type="dxa"/>
            <w:vAlign w:val="bottom"/>
          </w:tcPr>
          <w:p>
            <w:pPr>
              <w:spacing w:after="0"/>
              <w:rPr>
                <w:sz w:val="17"/>
                <w:szCs w:val="17"/>
                <w:color w:val="auto"/>
              </w:rPr>
            </w:pPr>
          </w:p>
        </w:tc>
        <w:tc>
          <w:tcPr>
            <w:tcW w:w="10060" w:type="dxa"/>
            <w:vAlign w:val="bottom"/>
            <w:gridSpan w:val="3"/>
          </w:tcPr>
          <w:p>
            <w:pPr>
              <w:spacing w:after="0" w:line="205" w:lineRule="exact"/>
              <w:rPr>
                <w:sz w:val="20"/>
                <w:szCs w:val="20"/>
                <w:color w:val="auto"/>
              </w:rPr>
            </w:pPr>
            <w:r>
              <w:rPr>
                <w:rFonts w:ascii="Arial" w:cs="Arial" w:eastAsia="Arial" w:hAnsi="Arial"/>
                <w:sz w:val="18"/>
                <w:szCs w:val="18"/>
                <w:color w:val="0000FF"/>
              </w:rPr>
              <w:t>Certification of Chief Executive Officer pursuant to Section 906 of the Sarbanes-Oxley Act of 2002.</w:t>
            </w:r>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7"/>
              </w:rPr>
              <w:t>32.2**</w:t>
            </w:r>
          </w:p>
        </w:tc>
        <w:tc>
          <w:tcPr>
            <w:tcW w:w="120" w:type="dxa"/>
            <w:vAlign w:val="bottom"/>
          </w:tcPr>
          <w:p>
            <w:pPr>
              <w:spacing w:after="0"/>
              <w:rPr>
                <w:sz w:val="17"/>
                <w:szCs w:val="17"/>
                <w:color w:val="auto"/>
              </w:rPr>
            </w:pPr>
          </w:p>
        </w:tc>
        <w:tc>
          <w:tcPr>
            <w:tcW w:w="7060" w:type="dxa"/>
            <w:vAlign w:val="bottom"/>
            <w:tcBorders>
              <w:top w:val="single" w:sz="8" w:color="0000FF"/>
              <w:bottom w:val="single" w:sz="8" w:color="0000FF"/>
            </w:tcBorders>
          </w:tcPr>
          <w:p>
            <w:pPr>
              <w:spacing w:after="0" w:line="205" w:lineRule="exact"/>
              <w:rPr>
                <w:sz w:val="20"/>
                <w:szCs w:val="20"/>
                <w:color w:val="auto"/>
              </w:rPr>
            </w:pPr>
            <w:r>
              <w:rPr>
                <w:rFonts w:ascii="Arial" w:cs="Arial" w:eastAsia="Arial" w:hAnsi="Arial"/>
                <w:sz w:val="18"/>
                <w:szCs w:val="18"/>
                <w:color w:val="0000FF"/>
                <w:w w:val="90"/>
              </w:rPr>
              <w:t>Certification of Chief Financial Officer pursuant to Section 906 of the Sarbanes-Oxley Act of 2002.</w:t>
            </w:r>
          </w:p>
        </w:tc>
        <w:tc>
          <w:tcPr>
            <w:tcW w:w="40" w:type="dxa"/>
            <w:vAlign w:val="bottom"/>
            <w:tcBorders>
              <w:top w:val="single" w:sz="8" w:color="0000FF"/>
            </w:tcBorders>
          </w:tcPr>
          <w:p>
            <w:pPr>
              <w:spacing w:after="0"/>
              <w:rPr>
                <w:sz w:val="17"/>
                <w:szCs w:val="17"/>
                <w:color w:val="auto"/>
              </w:rPr>
            </w:pPr>
          </w:p>
        </w:tc>
        <w:tc>
          <w:tcPr>
            <w:tcW w:w="2960" w:type="dxa"/>
            <w:vAlign w:val="bottom"/>
          </w:tcPr>
          <w:p>
            <w:pPr>
              <w:spacing w:after="0"/>
              <w:rPr>
                <w:sz w:val="17"/>
                <w:szCs w:val="17"/>
                <w:color w:val="auto"/>
              </w:rPr>
            </w:pPr>
          </w:p>
        </w:tc>
      </w:tr>
      <w:tr>
        <w:trPr>
          <w:trHeight w:val="193"/>
        </w:trPr>
        <w:tc>
          <w:tcPr>
            <w:tcW w:w="1180" w:type="dxa"/>
            <w:vAlign w:val="bottom"/>
            <w:gridSpan w:val="2"/>
          </w:tcPr>
          <w:p>
            <w:pPr>
              <w:jc w:val="center"/>
              <w:ind w:right="100"/>
              <w:spacing w:after="0" w:line="193" w:lineRule="exact"/>
              <w:rPr>
                <w:sz w:val="20"/>
                <w:szCs w:val="20"/>
                <w:color w:val="auto"/>
              </w:rPr>
            </w:pPr>
            <w:r>
              <w:rPr>
                <w:rFonts w:ascii="Arial" w:cs="Arial" w:eastAsia="Arial" w:hAnsi="Arial"/>
                <w:sz w:val="18"/>
                <w:szCs w:val="18"/>
                <w:color w:val="auto"/>
                <w:w w:val="94"/>
              </w:rPr>
              <w:t>101.INS*</w:t>
            </w:r>
          </w:p>
        </w:tc>
        <w:tc>
          <w:tcPr>
            <w:tcW w:w="10060" w:type="dxa"/>
            <w:vAlign w:val="bottom"/>
            <w:gridSpan w:val="3"/>
          </w:tcPr>
          <w:p>
            <w:pPr>
              <w:spacing w:after="0" w:line="193" w:lineRule="exact"/>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23"/>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rPr>
              <w:t>the Inline XBRL document.</w:t>
            </w:r>
          </w:p>
        </w:tc>
      </w:tr>
      <w:tr>
        <w:trPr>
          <w:trHeight w:val="239"/>
        </w:trPr>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101.SCH*</w:t>
            </w:r>
          </w:p>
        </w:tc>
        <w:tc>
          <w:tcPr>
            <w:tcW w:w="100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101.CAL*</w:t>
            </w:r>
          </w:p>
        </w:tc>
        <w:tc>
          <w:tcPr>
            <w:tcW w:w="1006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101.LAB*</w:t>
            </w:r>
          </w:p>
        </w:tc>
        <w:tc>
          <w:tcPr>
            <w:tcW w:w="100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101.PRE*</w:t>
            </w:r>
          </w:p>
        </w:tc>
        <w:tc>
          <w:tcPr>
            <w:tcW w:w="1006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100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174"/>
        </w:trPr>
        <w:tc>
          <w:tcPr>
            <w:tcW w:w="1060" w:type="dxa"/>
            <w:vAlign w:val="bottom"/>
          </w:tcPr>
          <w:p>
            <w:pPr>
              <w:jc w:val="center"/>
              <w:spacing w:after="0" w:line="174" w:lineRule="exact"/>
              <w:rPr>
                <w:sz w:val="20"/>
                <w:szCs w:val="20"/>
                <w:color w:val="auto"/>
              </w:rPr>
            </w:pPr>
            <w:r>
              <w:rPr>
                <w:rFonts w:ascii="Arial" w:cs="Arial" w:eastAsia="Arial" w:hAnsi="Arial"/>
                <w:sz w:val="18"/>
                <w:szCs w:val="18"/>
                <w:color w:val="auto"/>
                <w:w w:val="97"/>
              </w:rPr>
              <w:t>104*</w:t>
            </w:r>
          </w:p>
        </w:tc>
        <w:tc>
          <w:tcPr>
            <w:tcW w:w="120" w:type="dxa"/>
            <w:vAlign w:val="bottom"/>
          </w:tcPr>
          <w:p>
            <w:pPr>
              <w:spacing w:after="0"/>
              <w:rPr>
                <w:sz w:val="15"/>
                <w:szCs w:val="15"/>
                <w:color w:val="auto"/>
              </w:rPr>
            </w:pPr>
          </w:p>
        </w:tc>
        <w:tc>
          <w:tcPr>
            <w:tcW w:w="10060" w:type="dxa"/>
            <w:vAlign w:val="bottom"/>
            <w:gridSpan w:val="3"/>
          </w:tcPr>
          <w:p>
            <w:pPr>
              <w:spacing w:after="0" w:line="174" w:lineRule="exact"/>
              <w:rPr>
                <w:sz w:val="20"/>
                <w:szCs w:val="20"/>
                <w:color w:val="auto"/>
              </w:rPr>
            </w:pPr>
            <w:r>
              <w:rPr>
                <w:rFonts w:ascii="Arial" w:cs="Arial" w:eastAsia="Arial" w:hAnsi="Arial"/>
                <w:sz w:val="18"/>
                <w:szCs w:val="18"/>
                <w:color w:val="auto"/>
                <w:w w:val="93"/>
              </w:rPr>
              <w:t>The cover page of Brighthouse Financial, Inc.’s Quarterly Report on Form 10-Q for the quarter ended September 30, 2022, formatted in</w:t>
            </w:r>
          </w:p>
        </w:tc>
      </w:tr>
      <w:tr>
        <w:trPr>
          <w:trHeight w:val="223"/>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rPr>
              <w:t>Inline XBRL (included within the Exhibit 101 attachments).</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BRIGHTHOUSE FINANCIAL, INC.</w:t>
      </w:r>
    </w:p>
    <w:p>
      <w:pPr>
        <w:spacing w:after="0" w:line="111" w:lineRule="exact"/>
        <w:rPr>
          <w:sz w:val="20"/>
          <w:szCs w:val="20"/>
          <w:color w:val="auto"/>
        </w:rPr>
      </w:pPr>
    </w:p>
    <w:tbl>
      <w:tblPr>
        <w:tblLayout w:type="fixed"/>
        <w:tblInd w:w="3180" w:type="dxa"/>
        <w:tblCellMar>
          <w:top w:w="0" w:type="dxa"/>
          <w:left w:w="0" w:type="dxa"/>
          <w:bottom w:w="0" w:type="dxa"/>
          <w:right w:w="0" w:type="dxa"/>
        </w:tblCellMar>
      </w:tblPr>
      <w:tr>
        <w:trPr>
          <w:trHeight w:val="224"/>
        </w:trPr>
        <w:tc>
          <w:tcPr>
            <w:tcW w:w="980" w:type="dxa"/>
            <w:vAlign w:val="bottom"/>
            <w:gridSpan w:val="2"/>
          </w:tcPr>
          <w:p>
            <w:pPr>
              <w:spacing w:after="0"/>
              <w:rPr>
                <w:sz w:val="20"/>
                <w:szCs w:val="20"/>
                <w:color w:val="auto"/>
              </w:rPr>
            </w:pPr>
            <w:r>
              <w:rPr>
                <w:rFonts w:ascii="Arial" w:cs="Arial" w:eastAsia="Arial" w:hAnsi="Arial"/>
                <w:sz w:val="18"/>
                <w:szCs w:val="18"/>
                <w:color w:val="auto"/>
              </w:rPr>
              <w:t>By:</w:t>
            </w:r>
          </w:p>
        </w:tc>
        <w:tc>
          <w:tcPr>
            <w:tcW w:w="4160" w:type="dxa"/>
            <w:vAlign w:val="bottom"/>
          </w:tcPr>
          <w:p>
            <w:pPr>
              <w:ind w:left="1000"/>
              <w:spacing w:after="0"/>
              <w:rPr>
                <w:sz w:val="20"/>
                <w:szCs w:val="20"/>
                <w:color w:val="auto"/>
              </w:rPr>
            </w:pPr>
            <w:r>
              <w:rPr>
                <w:rFonts w:ascii="Arial" w:cs="Arial" w:eastAsia="Arial" w:hAnsi="Arial"/>
                <w:sz w:val="18"/>
                <w:szCs w:val="18"/>
                <w:color w:val="auto"/>
              </w:rPr>
              <w:t>/s/ Edward A. Spehar</w:t>
            </w:r>
          </w:p>
        </w:tc>
      </w:tr>
      <w:tr>
        <w:trPr>
          <w:trHeight w:val="244"/>
        </w:trPr>
        <w:tc>
          <w:tcPr>
            <w:tcW w:w="340" w:type="dxa"/>
            <w:vAlign w:val="bottom"/>
          </w:tcPr>
          <w:p>
            <w:pPr>
              <w:spacing w:after="0"/>
              <w:rPr>
                <w:sz w:val="21"/>
                <w:szCs w:val="21"/>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Name:</w:t>
            </w:r>
          </w:p>
        </w:tc>
        <w:tc>
          <w:tcPr>
            <w:tcW w:w="41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Edward A. Spehar</w:t>
            </w:r>
          </w:p>
        </w:tc>
      </w:tr>
      <w:tr>
        <w:trPr>
          <w:trHeight w:val="265"/>
        </w:trPr>
        <w:tc>
          <w:tcPr>
            <w:tcW w:w="34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Title:</w:t>
            </w:r>
          </w:p>
        </w:tc>
        <w:tc>
          <w:tcPr>
            <w:tcW w:w="4160" w:type="dxa"/>
            <w:vAlign w:val="bottom"/>
          </w:tcPr>
          <w:p>
            <w:pPr>
              <w:ind w:left="60"/>
              <w:spacing w:after="0"/>
              <w:rPr>
                <w:sz w:val="20"/>
                <w:szCs w:val="20"/>
                <w:color w:val="auto"/>
              </w:rPr>
            </w:pPr>
            <w:r>
              <w:rPr>
                <w:rFonts w:ascii="Arial" w:cs="Arial" w:eastAsia="Arial" w:hAnsi="Arial"/>
                <w:sz w:val="18"/>
                <w:szCs w:val="18"/>
                <w:color w:val="auto"/>
                <w:w w:val="98"/>
              </w:rPr>
              <w:t>Executive Vice President and Chief Financial Officer</w:t>
            </w:r>
          </w:p>
        </w:tc>
      </w:tr>
      <w:tr>
        <w:trPr>
          <w:trHeight w:val="174"/>
        </w:trPr>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160" w:type="dxa"/>
            <w:vAlign w:val="bottom"/>
          </w:tcPr>
          <w:p>
            <w:pPr>
              <w:ind w:left="60"/>
              <w:spacing w:after="0" w:line="174" w:lineRule="exact"/>
              <w:rPr>
                <w:sz w:val="20"/>
                <w:szCs w:val="20"/>
                <w:color w:val="auto"/>
              </w:rPr>
            </w:pPr>
            <w:r>
              <w:rPr>
                <w:rFonts w:ascii="Arial" w:cs="Arial" w:eastAsia="Arial" w:hAnsi="Arial"/>
                <w:sz w:val="18"/>
                <w:szCs w:val="18"/>
                <w:color w:val="auto"/>
              </w:rPr>
              <w:t>(Duly Authorized Officer and Principal Financial</w:t>
            </w:r>
          </w:p>
        </w:tc>
      </w:tr>
      <w:tr>
        <w:trPr>
          <w:trHeight w:val="223"/>
        </w:trPr>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Officer)</w:t>
            </w:r>
          </w:p>
        </w:tc>
      </w:tr>
    </w:tbl>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November 8, 2022</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227" w:right="339" w:bottom="1440" w:gutter="0" w:footer="0" w:header="0"/>
        </w:sectPr>
      </w:pPr>
    </w:p>
    <w:bookmarkStart w:id="96" w:name="page97"/>
    <w:bookmarkEnd w:id="96"/>
    <w:p>
      <w:pPr>
        <w:ind w:left="10320"/>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 Eric T. Steigerwalt, certify that:</w:t>
      </w:r>
    </w:p>
    <w:p>
      <w:pPr>
        <w:spacing w:after="0" w:line="85" w:lineRule="exact"/>
        <w:rPr>
          <w:sz w:val="20"/>
          <w:szCs w:val="20"/>
          <w:color w:val="auto"/>
        </w:rPr>
      </w:pPr>
    </w:p>
    <w:p>
      <w:pPr>
        <w:ind w:left="180" w:hanging="174"/>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97" w:lineRule="exact"/>
        <w:rPr>
          <w:rFonts w:ascii="Arial" w:cs="Arial" w:eastAsia="Arial" w:hAnsi="Arial"/>
          <w:sz w:val="18"/>
          <w:szCs w:val="18"/>
          <w:color w:val="auto"/>
        </w:rPr>
      </w:pPr>
    </w:p>
    <w:p>
      <w:pPr>
        <w:ind w:firstLine="6"/>
        <w:spacing w:after="0" w:line="359" w:lineRule="auto"/>
        <w:tabs>
          <w:tab w:leader="none" w:pos="206" w:val="left"/>
        </w:tabs>
        <w:numPr>
          <w:ilvl w:val="0"/>
          <w:numId w:val="8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
        <w:spacing w:after="0" w:line="264" w:lineRule="auto"/>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firstLine="6"/>
        <w:spacing w:after="0" w:line="255" w:lineRule="auto"/>
        <w:tabs>
          <w:tab w:leader="none" w:pos="17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firstLine="6"/>
        <w:spacing w:after="0" w:line="294" w:lineRule="auto"/>
        <w:tabs>
          <w:tab w:leader="none" w:pos="198"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pacing w:after="0" w:line="270"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10795</wp:posOffset>
            </wp:positionV>
            <wp:extent cx="30035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Eric T. Steigerwalt</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0" w:right="339" w:bottom="1440" w:gutter="0" w:footer="0" w:header="0"/>
        </w:sectPr>
      </w:pPr>
    </w:p>
    <w:bookmarkStart w:id="97" w:name="page98"/>
    <w:bookmarkEnd w:id="97"/>
    <w:p>
      <w:pPr>
        <w:ind w:left="10320"/>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 Edward A. Spehar, certify that:</w:t>
      </w:r>
    </w:p>
    <w:p>
      <w:pPr>
        <w:spacing w:after="0" w:line="85" w:lineRule="exact"/>
        <w:rPr>
          <w:sz w:val="20"/>
          <w:szCs w:val="20"/>
          <w:color w:val="auto"/>
        </w:rPr>
      </w:pPr>
    </w:p>
    <w:p>
      <w:pPr>
        <w:ind w:left="180" w:hanging="174"/>
        <w:spacing w:after="0"/>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97" w:lineRule="exact"/>
        <w:rPr>
          <w:rFonts w:ascii="Arial" w:cs="Arial" w:eastAsia="Arial" w:hAnsi="Arial"/>
          <w:sz w:val="18"/>
          <w:szCs w:val="18"/>
          <w:color w:val="auto"/>
        </w:rPr>
      </w:pPr>
    </w:p>
    <w:p>
      <w:pPr>
        <w:ind w:firstLine="6"/>
        <w:spacing w:after="0" w:line="359" w:lineRule="auto"/>
        <w:tabs>
          <w:tab w:leader="none" w:pos="206" w:val="left"/>
        </w:tabs>
        <w:numPr>
          <w:ilvl w:val="0"/>
          <w:numId w:val="8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
        <w:spacing w:after="0" w:line="264" w:lineRule="auto"/>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firstLine="6"/>
        <w:spacing w:after="0" w:line="255" w:lineRule="auto"/>
        <w:tabs>
          <w:tab w:leader="none" w:pos="1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firstLine="6"/>
        <w:spacing w:after="0" w:line="294" w:lineRule="auto"/>
        <w:tabs>
          <w:tab w:leader="none" w:pos="19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pacing w:after="0" w:line="27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10795</wp:posOffset>
            </wp:positionV>
            <wp:extent cx="32226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Edward A. Spehar</w:t>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360"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151" w:lineRule="exact"/>
        <w:rPr>
          <w:sz w:val="20"/>
          <w:szCs w:val="20"/>
          <w:color w:val="auto"/>
        </w:rPr>
      </w:pPr>
    </w:p>
    <w:p>
      <w:pPr>
        <w:jc w:val="both"/>
        <w:ind w:firstLine="477"/>
        <w:spacing w:after="0" w:line="330" w:lineRule="auto"/>
        <w:rPr>
          <w:sz w:val="20"/>
          <w:szCs w:val="20"/>
          <w:color w:val="auto"/>
        </w:rPr>
      </w:pPr>
      <w:r>
        <w:rPr>
          <w:rFonts w:ascii="Arial" w:cs="Arial" w:eastAsia="Arial" w:hAnsi="Arial"/>
          <w:sz w:val="15"/>
          <w:szCs w:val="15"/>
          <w:color w:val="auto"/>
        </w:rPr>
        <w:t>I, Eric T. Steigerwalt, certify that, to my knowledge, (i) Brighthouse Financial, Inc.’s Quarterly Report on Form 10-Q for the quarter ended September 30, 2022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pacing w:after="0" w:line="200" w:lineRule="exact"/>
        <w:rPr>
          <w:sz w:val="20"/>
          <w:szCs w:val="20"/>
          <w:color w:val="auto"/>
        </w:rPr>
      </w:pPr>
    </w:p>
    <w:p>
      <w:pPr>
        <w:spacing w:after="0" w:line="282"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10795</wp:posOffset>
            </wp:positionV>
            <wp:extent cx="30035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Eric T. Steigerwalt</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pacing w:after="0" w:line="217" w:lineRule="exact"/>
        <w:rPr>
          <w:sz w:val="20"/>
          <w:szCs w:val="20"/>
          <w:color w:val="auto"/>
        </w:rPr>
      </w:pPr>
    </w:p>
    <w:p>
      <w:pPr>
        <w:jc w:val="both"/>
        <w:ind w:firstLine="477"/>
        <w:spacing w:after="0" w:line="318" w:lineRule="auto"/>
        <w:rPr>
          <w:sz w:val="20"/>
          <w:szCs w:val="20"/>
          <w:color w:val="auto"/>
        </w:rPr>
      </w:pPr>
      <w:r>
        <w:rPr>
          <w:rFonts w:ascii="Arial" w:cs="Arial" w:eastAsia="Arial" w:hAnsi="Arial"/>
          <w:sz w:val="15"/>
          <w:szCs w:val="15"/>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60"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151" w:lineRule="exact"/>
        <w:rPr>
          <w:sz w:val="20"/>
          <w:szCs w:val="20"/>
          <w:color w:val="auto"/>
        </w:rPr>
      </w:pPr>
    </w:p>
    <w:p>
      <w:pPr>
        <w:jc w:val="both"/>
        <w:ind w:firstLine="477"/>
        <w:spacing w:after="0" w:line="330" w:lineRule="auto"/>
        <w:rPr>
          <w:sz w:val="20"/>
          <w:szCs w:val="20"/>
          <w:color w:val="auto"/>
        </w:rPr>
      </w:pPr>
      <w:r>
        <w:rPr>
          <w:rFonts w:ascii="Arial" w:cs="Arial" w:eastAsia="Arial" w:hAnsi="Arial"/>
          <w:sz w:val="15"/>
          <w:szCs w:val="15"/>
          <w:color w:val="auto"/>
        </w:rPr>
        <w:t>I, Edward A. Spehar, certify that, to my knowledge, (i) Brighthouse Financial, Inc.’s Quarterly Report on Form 10-Q for the quarter ended September 30, 2022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pacing w:after="0" w:line="200" w:lineRule="exact"/>
        <w:rPr>
          <w:sz w:val="20"/>
          <w:szCs w:val="20"/>
          <w:color w:val="auto"/>
        </w:rPr>
      </w:pPr>
    </w:p>
    <w:p>
      <w:pPr>
        <w:spacing w:after="0" w:line="282"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10795</wp:posOffset>
            </wp:positionV>
            <wp:extent cx="32226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Edward A. Spehar</w:t>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Executive Vice President and Chief Financial Officer</w:t>
      </w:r>
    </w:p>
    <w:p>
      <w:pPr>
        <w:spacing w:after="0" w:line="217" w:lineRule="exact"/>
        <w:rPr>
          <w:sz w:val="20"/>
          <w:szCs w:val="20"/>
          <w:color w:val="auto"/>
        </w:rPr>
      </w:pPr>
    </w:p>
    <w:p>
      <w:pPr>
        <w:jc w:val="both"/>
        <w:ind w:firstLine="477"/>
        <w:spacing w:after="0" w:line="318" w:lineRule="auto"/>
        <w:rPr>
          <w:sz w:val="20"/>
          <w:szCs w:val="20"/>
          <w:color w:val="auto"/>
        </w:rPr>
      </w:pPr>
      <w:r>
        <w:rPr>
          <w:rFonts w:ascii="Arial" w:cs="Arial" w:eastAsia="Arial" w:hAnsi="Arial"/>
          <w:sz w:val="15"/>
          <w:szCs w:val="15"/>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3"/>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1)"/>
      <w:numFmt w:val="decimal"/>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decimal"/>
      <w:start w:val="1"/>
    </w:lvl>
  </w:abstractNum>
  <w:abstractNum w:abstractNumId="9">
    <w:nsid w:val="542289EC"/>
    <w:multiLevelType w:val="hybridMultilevel"/>
    <w:lvl w:ilvl="0">
      <w:lvlJc w:val="left"/>
      <w:lvlText w:val="%1."/>
      <w:numFmt w:val="decimal"/>
      <w:start w:val="4"/>
    </w:lvl>
  </w:abstractNum>
  <w:abstractNum w:abstractNumId="10">
    <w:nsid w:val="6DE91B18"/>
    <w:multiLevelType w:val="hybridMultilevel"/>
    <w:lvl w:ilvl="0">
      <w:lvlJc w:val="left"/>
      <w:lvlText w:val="(%1)"/>
      <w:numFmt w:val="decimal"/>
      <w:start w:val="1"/>
    </w:lvl>
  </w:abstractNum>
  <w:abstractNum w:abstractNumId="11">
    <w:nsid w:val="38437FDB"/>
    <w:multiLevelType w:val="hybridMultilevel"/>
    <w:lvl w:ilvl="0">
      <w:lvlJc w:val="left"/>
      <w:lvlText w:val="(%1)"/>
      <w:numFmt w:val="decimal"/>
      <w:start w:val="1"/>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1)"/>
      <w:numFmt w:val="decimal"/>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1)"/>
      <w:numFmt w:val="decimal"/>
      <w:start w:val="1"/>
    </w:lvl>
  </w:abstractNum>
  <w:abstractNum w:abstractNumId="16">
    <w:nsid w:val="749ABB43"/>
    <w:multiLevelType w:val="hybridMultilevel"/>
    <w:lvl w:ilvl="0">
      <w:lvlJc w:val="left"/>
      <w:lvlText w:val="(%1)"/>
      <w:numFmt w:val="lowerRoman"/>
      <w:start w:val="2"/>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1)"/>
      <w:numFmt w:val="decimal"/>
      <w:start w:val="2"/>
    </w:lvl>
  </w:abstractNum>
  <w:abstractNum w:abstractNumId="19">
    <w:nsid w:val="79A1DEAA"/>
    <w:multiLevelType w:val="hybridMultilevel"/>
    <w:lvl w:ilvl="0">
      <w:lvlJc w:val="left"/>
      <w:lvlText w:val="(%1)"/>
      <w:numFmt w:val="decimal"/>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1)"/>
      <w:numFmt w:val="decimal"/>
      <w:start w:val="5"/>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lvl w:ilvl="1">
      <w:lvlJc w:val="left"/>
      <w:lvlText w:val="◦"/>
      <w:numFmt w:val="bullet"/>
      <w:start w:val="1"/>
    </w:lvl>
  </w:abstractNum>
  <w:abstractNum w:abstractNumId="33">
    <w:nsid w:val="47398C89"/>
    <w:multiLevelType w:val="hybridMultilevel"/>
    <w:lvl w:ilvl="0">
      <w:lvlJc w:val="left"/>
      <w:lvlText w:val="•"/>
      <w:numFmt w:val="bullet"/>
      <w:start w:val="1"/>
    </w:lvl>
    <w:lvl w:ilvl="1">
      <w:lvlJc w:val="left"/>
      <w:lvlText w:val="◦"/>
      <w:numFmt w:val="bullet"/>
      <w:start w:val="1"/>
    </w:lvl>
  </w:abstractNum>
  <w:abstractNum w:abstractNumId="34">
    <w:nsid w:val="354FE9F9"/>
    <w:multiLevelType w:val="hybridMultilevel"/>
    <w:lvl w:ilvl="0">
      <w:lvlJc w:val="left"/>
      <w:lvlText w:val="•"/>
      <w:numFmt w:val="bullet"/>
      <w:start w:val="1"/>
    </w:lvl>
    <w:lvl w:ilvl="1">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lvl w:ilvl="1">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lvl w:ilvl="1">
      <w:lvlJc w:val="left"/>
      <w:lvlText w:val="◦"/>
      <w:numFmt w:val="bullet"/>
      <w:start w:val="1"/>
    </w:lvl>
  </w:abstractNum>
  <w:abstractNum w:abstractNumId="39">
    <w:nsid w:val="3F6AB60F"/>
    <w:multiLevelType w:val="hybridMultilevel"/>
    <w:lvl w:ilvl="0">
      <w:lvlJc w:val="left"/>
      <w:lvlText w:val="•"/>
      <w:numFmt w:val="bullet"/>
      <w:start w:val="1"/>
    </w:lvl>
    <w:lvl w:ilvl="1">
      <w:lvlJc w:val="left"/>
      <w:lvlText w:val="◦"/>
      <w:numFmt w:val="bullet"/>
      <w:start w:val="1"/>
    </w:lvl>
  </w:abstractNum>
  <w:abstractNum w:abstractNumId="40">
    <w:nsid w:val="61574095"/>
    <w:multiLevelType w:val="hybridMultilevel"/>
    <w:lvl w:ilvl="0">
      <w:lvlJc w:val="left"/>
      <w:lvlText w:val="•"/>
      <w:numFmt w:val="bullet"/>
      <w:start w:val="1"/>
    </w:lvl>
    <w:lvl w:ilvl="1">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lvl w:ilvl="1">
      <w:lvlJc w:val="left"/>
      <w:lvlText w:val="◦"/>
      <w:numFmt w:val="bullet"/>
      <w:start w:val="1"/>
    </w:lvl>
  </w:abstractNum>
  <w:abstractNum w:abstractNumId="43">
    <w:nsid w:val="579BE4F1"/>
    <w:multiLevelType w:val="hybridMultilevel"/>
    <w:lvl w:ilvl="0">
      <w:lvlJc w:val="left"/>
      <w:lvlText w:val="•"/>
      <w:numFmt w:val="bullet"/>
      <w:start w:val="1"/>
    </w:lvl>
    <w:lvl w:ilvl="1">
      <w:lvlJc w:val="left"/>
      <w:lvlText w:val="◦"/>
      <w:numFmt w:val="bullet"/>
      <w:start w:val="1"/>
    </w:lvl>
  </w:abstractNum>
  <w:abstractNum w:abstractNumId="44">
    <w:nsid w:val="310C50B3"/>
    <w:multiLevelType w:val="hybridMultilevel"/>
    <w:lvl w:ilvl="0">
      <w:lvlJc w:val="left"/>
      <w:lvlText w:val="•"/>
      <w:numFmt w:val="bullet"/>
      <w:start w:val="1"/>
    </w:lvl>
    <w:lvl w:ilvl="1">
      <w:lvlJc w:val="left"/>
      <w:lvlText w:val="◦"/>
      <w:numFmt w:val="bullet"/>
      <w:start w:val="1"/>
    </w:lvl>
  </w:abstractNum>
  <w:abstractNum w:abstractNumId="45">
    <w:nsid w:val="5FF87E05"/>
    <w:multiLevelType w:val="hybridMultilevel"/>
    <w:lvl w:ilvl="0">
      <w:lvlJc w:val="left"/>
      <w:lvlText w:val="•"/>
      <w:numFmt w:val="bullet"/>
      <w:start w:val="1"/>
    </w:lvl>
    <w:lvl w:ilvl="1">
      <w:lvlJc w:val="left"/>
      <w:lvlText w:val="◦"/>
      <w:numFmt w:val="bullet"/>
      <w:start w:val="1"/>
    </w:lvl>
  </w:abstractNum>
  <w:abstractNum w:abstractNumId="46">
    <w:nsid w:val="2F305DEF"/>
    <w:multiLevelType w:val="hybridMultilevel"/>
    <w:lvl w:ilvl="0">
      <w:lvlJc w:val="left"/>
      <w:lvlText w:val="•"/>
      <w:numFmt w:val="bullet"/>
      <w:start w:val="1"/>
    </w:lvl>
    <w:lvl w:ilvl="1">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lvl w:ilvl="1">
      <w:lvlJc w:val="left"/>
      <w:lvlText w:val="◦"/>
      <w:numFmt w:val="bullet"/>
      <w:start w:val="1"/>
    </w:lvl>
  </w:abstractNum>
  <w:abstractNum w:abstractNumId="50">
    <w:nsid w:val="1F48EAA1"/>
    <w:multiLevelType w:val="hybridMultilevel"/>
    <w:lvl w:ilvl="0">
      <w:lvlJc w:val="left"/>
      <w:lvlText w:val="•"/>
      <w:numFmt w:val="bullet"/>
      <w:start w:val="1"/>
    </w:lvl>
    <w:lvl w:ilvl="1">
      <w:lvlJc w:val="left"/>
      <w:lvlText w:val="◦"/>
      <w:numFmt w:val="bullet"/>
      <w:start w:val="1"/>
    </w:lvl>
  </w:abstractNum>
  <w:abstractNum w:abstractNumId="51">
    <w:nsid w:val="1381823A"/>
    <w:multiLevelType w:val="hybridMultilevel"/>
    <w:lvl w:ilvl="0">
      <w:lvlJc w:val="left"/>
      <w:lvlText w:val="•"/>
      <w:numFmt w:val="bullet"/>
      <w:start w:val="1"/>
    </w:lvl>
    <w:lvl w:ilvl="1">
      <w:lvlJc w:val="left"/>
      <w:lvlText w:val="◦"/>
      <w:numFmt w:val="bullet"/>
      <w:start w:val="1"/>
    </w:lvl>
  </w:abstractNum>
  <w:abstractNum w:abstractNumId="52">
    <w:nsid w:val="5DB70AE5"/>
    <w:multiLevelType w:val="hybridMultilevel"/>
    <w:lvl w:ilvl="0">
      <w:lvlJc w:val="left"/>
      <w:lvlText w:val="•"/>
      <w:numFmt w:val="bullet"/>
      <w:start w:val="1"/>
    </w:lvl>
    <w:lvl w:ilvl="1">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lvl w:ilvl="1">
      <w:lvlJc w:val="left"/>
      <w:lvlText w:val="◦"/>
      <w:numFmt w:val="bullet"/>
      <w:start w:val="1"/>
    </w:lvl>
  </w:abstractNum>
  <w:abstractNum w:abstractNumId="55">
    <w:nsid w:val="15014ACB"/>
    <w:multiLevelType w:val="hybridMultilevel"/>
    <w:lvl w:ilvl="0">
      <w:lvlJc w:val="left"/>
      <w:lvlText w:val="•"/>
      <w:numFmt w:val="bullet"/>
      <w:start w:val="1"/>
    </w:lvl>
    <w:lvl w:ilvl="1">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lvl w:ilvl="1">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emdash "/>
      <w:numFmt w:val="bullet"/>
      <w:start w:val="1"/>
    </w:lvl>
    <w:lvl w:ilvl="1">
      <w:lvlJc w:val="left"/>
      <w:lvlText w:val="•"/>
      <w:numFmt w:val="bullet"/>
      <w:start w:val="1"/>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1)"/>
      <w:numFmt w:val="decimal"/>
      <w:start w:val="1"/>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emdash "/>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1)"/>
      <w:numFmt w:val="decimal"/>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2022-11-08T16:11:41Z</dcterms:created>
  <dcterms:modified xsi:type="dcterms:W3CDTF">2022-11-08T16:11:41Z</dcterms:modified>
</cp:coreProperties>
</file>