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80" w:after="283"/>
        <w:ind w:left="0" w:right="0" w:firstLine="36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tbl>
      <w:tblPr>
        <w:tblW w:w="9026" w:type="dxa"/>
        <w:jc w:val="center"/>
        <w:tblInd w:w="0" w:type="dxa"/>
        <w:tblCellMar>
          <w:top w:w="28" w:type="dxa"/>
          <w:left w:w="28" w:type="dxa"/>
          <w:bottom w:w="28" w:type="dxa"/>
          <w:right w:w="28" w:type="dxa"/>
        </w:tblCellMar>
      </w:tblPr>
      <w:tblGrid>
        <w:gridCol w:w="124"/>
        <w:gridCol w:w="109"/>
        <w:gridCol w:w="109"/>
        <w:gridCol w:w="2538"/>
        <w:gridCol w:w="2538"/>
        <w:gridCol w:w="360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360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8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2022 </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CellMar>
          <w:top w:w="28" w:type="dxa"/>
          <w:left w:w="28" w:type="dxa"/>
          <w:bottom w:w="28" w:type="dxa"/>
          <w:right w:w="28" w:type="dxa"/>
        </w:tblCellMar>
      </w:tblPr>
      <w:tblGrid>
        <w:gridCol w:w="124"/>
        <w:gridCol w:w="109"/>
        <w:gridCol w:w="109"/>
        <w:gridCol w:w="2536"/>
        <w:gridCol w:w="2536"/>
        <w:gridCol w:w="35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 to ___</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000-55705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0" w:after="283"/>
        <w:jc w:val="center"/>
        <w:rPr/>
      </w:pPr>
      <w:r>
        <w:rPr/>
        <w:drawing>
          <wp:inline distT="0" distB="63500" distL="0" distR="0">
            <wp:extent cx="24574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571500"/>
                    </a:xfrm>
                    <a:prstGeom prst="rect">
                      <a:avLst/>
                    </a:prstGeom>
                  </pic:spPr>
                </pic:pic>
              </a:graphicData>
            </a:graphic>
          </wp:inline>
        </w:drawing>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Brighthouse Life Insurance Company of NY </w:t>
      </w:r>
    </w:p>
    <w:p>
      <w:pPr>
        <w:pStyle w:val="TextBody"/>
        <w:spacing w:lineRule="auto" w:line="288" w:before="18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266" w:type="dxa"/>
        <w:jc w:val="center"/>
        <w:tblInd w:w="0" w:type="dxa"/>
        <w:tblCellMar>
          <w:top w:w="28" w:type="dxa"/>
          <w:left w:w="28" w:type="dxa"/>
          <w:bottom w:w="28" w:type="dxa"/>
          <w:right w:w="28" w:type="dxa"/>
        </w:tblCellMar>
      </w:tblPr>
      <w:tblGrid>
        <w:gridCol w:w="324"/>
        <w:gridCol w:w="285"/>
        <w:gridCol w:w="285"/>
        <w:gridCol w:w="285"/>
        <w:gridCol w:w="285"/>
        <w:gridCol w:w="285"/>
        <w:gridCol w:w="285"/>
        <w:gridCol w:w="285"/>
        <w:gridCol w:w="285"/>
        <w:gridCol w:w="285"/>
        <w:gridCol w:w="285"/>
        <w:gridCol w:w="285"/>
        <w:gridCol w:w="285"/>
        <w:gridCol w:w="285"/>
        <w:gridCol w:w="285"/>
        <w:gridCol w:w="109"/>
        <w:gridCol w:w="109"/>
        <w:gridCol w:w="109"/>
        <w:gridCol w:w="765"/>
        <w:gridCol w:w="765"/>
        <w:gridCol w:w="1095"/>
      </w:tblGrid>
      <w:tr>
        <w:trPr/>
        <w:tc>
          <w:tcPr>
            <w:tcW w:w="324"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r>
      <w:tr>
        <w:trPr/>
        <w:tc>
          <w:tcPr>
            <w:tcW w:w="431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New York</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13-3690700</w:t>
            </w:r>
          </w:p>
        </w:tc>
      </w:tr>
      <w:tr>
        <w:trPr/>
        <w:tc>
          <w:tcPr>
            <w:tcW w:w="431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314"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4"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285 Madison Avenue, 14th Floor, New York, New York</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10017</w:t>
            </w:r>
          </w:p>
        </w:tc>
      </w:tr>
      <w:tr>
        <w:trPr/>
        <w:tc>
          <w:tcPr>
            <w:tcW w:w="431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 xml:space="preserve">(980) 365-7100 </w:t>
      </w:r>
    </w:p>
    <w:p>
      <w:pPr>
        <w:pStyle w:val="TextBody"/>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(Registrant’s telephone number, including area code)</w:t>
      </w:r>
    </w:p>
    <w:p>
      <w:pPr>
        <w:pStyle w:val="TextBody"/>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 None</w:t>
      </w:r>
    </w:p>
    <w:tbl>
      <w:tblPr>
        <w:tblW w:w="4934" w:type="dxa"/>
        <w:jc w:val="center"/>
        <w:tblInd w:w="0" w:type="dxa"/>
        <w:tblCellMar>
          <w:top w:w="28" w:type="dxa"/>
          <w:left w:w="28" w:type="dxa"/>
          <w:bottom w:w="28" w:type="dxa"/>
          <w:right w:w="28" w:type="dxa"/>
        </w:tblCellMar>
      </w:tblPr>
      <w:tblGrid>
        <w:gridCol w:w="413"/>
        <w:gridCol w:w="362"/>
        <w:gridCol w:w="365"/>
        <w:gridCol w:w="389"/>
        <w:gridCol w:w="389"/>
        <w:gridCol w:w="391"/>
        <w:gridCol w:w="768"/>
        <w:gridCol w:w="768"/>
        <w:gridCol w:w="1089"/>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r>
      <w:tr>
        <w:trPr/>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Title of each class</w:t>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Trading symbol(s)</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Name of each exchange on which registered</w:t>
            </w:r>
          </w:p>
        </w:tc>
      </w:tr>
      <w:tr>
        <w:trPr/>
        <w:tc>
          <w:tcPr>
            <w:tcW w:w="1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both"/>
        <w:rPr/>
      </w:pPr>
      <w:r>
        <w:rPr>
          <w:rFonts w:ascii="Times New Roman;sans-serif" w:hAnsi="Times New Roman;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imes New Roman;sans-serif" w:hAnsi="Times New Roman;sans-serif"/>
          <w:b w:val="false"/>
          <w:color w:val="000000"/>
          <w:sz w:val="14"/>
        </w:rPr>
        <w:t>No </w:t>
      </w:r>
      <w:r>
        <w:rPr>
          <w:color w:val="000000"/>
        </w:rPr>
        <w:t>☐</w:t>
      </w:r>
    </w:p>
    <w:p>
      <w:pPr>
        <w:pStyle w:val="TextBody"/>
        <w:spacing w:lineRule="auto" w:line="288" w:before="120" w:after="283"/>
        <w:jc w:val="both"/>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    </w:t>
      </w:r>
      <w:r>
        <w:rPr>
          <w:rFonts w:ascii="Times New Roman;sans-serif" w:hAnsi="Times New Roman;sans-serif"/>
          <w:b w:val="false"/>
          <w:color w:val="000000"/>
          <w:sz w:val="14"/>
        </w:rPr>
        <w:t>No</w:t>
      </w:r>
      <w:r>
        <w:rPr>
          <w:color w:val="000000"/>
        </w:rPr>
        <w:t> ☐</w:t>
      </w:r>
    </w:p>
    <w:p>
      <w:pPr>
        <w:pStyle w:val="TextBody"/>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054" w:type="dxa"/>
        <w:jc w:val="left"/>
        <w:tblInd w:w="0" w:type="dxa"/>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9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283"/>
        <w:jc w:val="both"/>
        <w:rPr/>
      </w:pPr>
      <w:r>
        <w:rPr>
          <w:rFonts w:ascii="Times New Roman;sans-serif" w:hAnsi="Times New Roman;sans-serif"/>
          <w:b w:val="false"/>
          <w:color w:val="000000"/>
          <w:sz w:val="14"/>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4"/>
        </w:rPr>
        <w:t>No</w:t>
      </w:r>
      <w:r>
        <w:rPr>
          <w:color w:val="000000"/>
        </w:rPr>
        <w:t> ☑</w:t>
      </w:r>
    </w:p>
    <w:p>
      <w:pPr>
        <w:pStyle w:val="TextBody"/>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As of May 12, 2022, 200,000 shares of the registrant’s common stock were outstanding, all of which were owned indirectly by Brighthouse Financial, Inc. </w:t>
      </w:r>
    </w:p>
    <w:p>
      <w:pPr>
        <w:pStyle w:val="TextBody"/>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REDUCED DISCLOSURE FORMAT</w:t>
      </w:r>
    </w:p>
    <w:p>
      <w:pPr>
        <w:pStyle w:val="TextBody"/>
        <w:spacing w:lineRule="auto" w:line="288" w:before="60" w:after="283"/>
        <w:jc w:val="both"/>
        <w:rPr>
          <w:rFonts w:ascii="Times New Roman;sans-serif" w:hAnsi="Times New Roman;sans-serif"/>
          <w:b/>
          <w:color w:val="000000"/>
          <w:sz w:val="14"/>
        </w:rPr>
      </w:pPr>
      <w:r>
        <w:rPr>
          <w:rFonts w:ascii="Times New Roman;sans-serif" w:hAnsi="Times New Roman;sans-serif"/>
          <w:b/>
          <w:color w:val="000000"/>
          <w:sz w:val="14"/>
        </w:rPr>
        <w:t>The registrant meets the conditions set forth in General Instruction H(1)(a) and (b) of Form 10-Q and is, therefore, filing this Form 10-Q with the reduced disclosure format.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283"/>
                        <w:ind w:left="0" w:right="0" w:firstLine="360"/>
                        <w:jc w:val="center"/>
                        <w:rPr/>
                      </w:pPr>
                      <w:r>
                        <w:rPr/>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460"/>
        <w:gridCol w:w="344"/>
        <w:gridCol w:w="344"/>
        <w:gridCol w:w="3074"/>
        <w:gridCol w:w="2728"/>
        <w:gridCol w:w="2679"/>
        <w:gridCol w:w="167"/>
        <w:gridCol w:w="167"/>
        <w:gridCol w:w="242"/>
      </w:tblGrid>
      <w:tr>
        <w:trPr/>
        <w:tc>
          <w:tcPr>
            <w:tcW w:w="46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074" w:type="dxa"/>
            <w:tcBorders/>
            <w:shd w:fill="auto" w:val="clear"/>
            <w:vAlign w:val="center"/>
          </w:tcPr>
          <w:p>
            <w:pPr>
              <w:pStyle w:val="TableContents"/>
              <w:spacing w:before="0" w:after="283"/>
              <w:rPr>
                <w:sz w:val="4"/>
                <w:szCs w:val="4"/>
              </w:rPr>
            </w:pPr>
            <w:r>
              <w:rPr>
                <w:sz w:val="4"/>
                <w:szCs w:val="4"/>
              </w:rPr>
            </w:r>
          </w:p>
        </w:tc>
        <w:tc>
          <w:tcPr>
            <w:tcW w:w="2728"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962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29"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d0c303cc1baf4308aeed4ade3cfcd8e9_10">
              <w:r>
                <w:rPr>
                  <w:rStyle w:val="InternetLink"/>
                  <w:rFonts w:ascii="Times New Roman;sans-serif" w:hAnsi="Times New Roman;sans-serif"/>
                  <w:b/>
                  <w:color w:val="0000FF"/>
                  <w:sz w:val="20"/>
                  <w:u w:val="single"/>
                </w:rPr>
                <w:t>Part I — Financial Information</w:t>
              </w:r>
            </w:hyperlink>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(at March 31, 2022 (Unaudited) and December 31, 2021 and for the Three Months Ended March 31, 2022 and 2021 (Unaudited)):</w:t>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d0c303cc1baf4308aeed4ade3cfcd8e9_16">
              <w:r>
                <w:rPr>
                  <w:rStyle w:val="InternetLink"/>
                  <w:rFonts w:ascii="Times New Roman;sans-serif" w:hAnsi="Times New Roman;sans-serif"/>
                  <w:b w:val="false"/>
                  <w:color w:val="0000FF"/>
                  <w:sz w:val="20"/>
                  <w:u w:val="single"/>
                </w:rPr>
                <w:t>Interim Condensed Balance Sheets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6">
              <w:r>
                <w:rPr>
                  <w:rStyle w:val="InternetLink"/>
                  <w:rFonts w:ascii="Times New Roman;sans-serif" w:hAnsi="Times New Roman;sans-serif"/>
                  <w:b w:val="false"/>
                  <w:color w:val="0000FF"/>
                  <w:sz w:val="20"/>
                  <w:u w:val="single"/>
                </w:rPr>
                <w:t>2</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d0c303cc1baf4308aeed4ade3cfcd8e9_19">
              <w:r>
                <w:rPr>
                  <w:rStyle w:val="InternetLink"/>
                  <w:rFonts w:ascii="Times New Roman;sans-serif" w:hAnsi="Times New Roman;sans-serif"/>
                  <w:b w:val="false"/>
                  <w:color w:val="0000FF"/>
                  <w:sz w:val="20"/>
                  <w:u w:val="single"/>
                </w:rPr>
                <w:t>Interim Condensed Statements of Operations and Comprehensive Income (Loss)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9">
              <w:r>
                <w:rPr>
                  <w:rStyle w:val="InternetLink"/>
                  <w:rFonts w:ascii="Times New Roman;sans-serif" w:hAnsi="Times New Roman;sans-serif"/>
                  <w:b w:val="false"/>
                  <w:color w:val="0000FF"/>
                  <w:sz w:val="20"/>
                  <w:u w:val="single"/>
                </w:rPr>
                <w:t>3</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d0c303cc1baf4308aeed4ade3cfcd8e9_22">
              <w:r>
                <w:rPr>
                  <w:rStyle w:val="InternetLink"/>
                  <w:rFonts w:ascii="Times New Roman;sans-serif" w:hAnsi="Times New Roman;sans-serif"/>
                  <w:b w:val="false"/>
                  <w:color w:val="0000FF"/>
                  <w:sz w:val="20"/>
                  <w:u w:val="single"/>
                </w:rPr>
                <w:t>Interim Condensed Statements of Stockholder’s Equity</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2">
              <w:r>
                <w:rPr>
                  <w:rStyle w:val="InternetLink"/>
                  <w:rFonts w:ascii="Times New Roman;sans-serif" w:hAnsi="Times New Roman;sans-serif"/>
                  <w:b w:val="false"/>
                  <w:color w:val="0000FF"/>
                  <w:sz w:val="20"/>
                  <w:u w:val="single"/>
                </w:rPr>
                <w:t>4</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d0c303cc1baf4308aeed4ade3cfcd8e9_25">
              <w:r>
                <w:rPr>
                  <w:rStyle w:val="InternetLink"/>
                  <w:rFonts w:ascii="Times New Roman;sans-serif" w:hAnsi="Times New Roman;sans-serif"/>
                  <w:b w:val="false"/>
                  <w:color w:val="0000FF"/>
                  <w:sz w:val="20"/>
                  <w:u w:val="single"/>
                </w:rPr>
                <w:t>Interim Condensed Statements of Cash Flows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5">
              <w:r>
                <w:rPr>
                  <w:rStyle w:val="InternetLink"/>
                  <w:rFonts w:ascii="Times New Roman;sans-serif" w:hAnsi="Times New Roman;sans-serif"/>
                  <w:b w:val="false"/>
                  <w:color w:val="0000FF"/>
                  <w:sz w:val="20"/>
                  <w:u w:val="single"/>
                </w:rPr>
                <w:t>5</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pPr>
            <w:hyperlink w:anchor="id0c303cc1baf4308aeed4ade3cfcd8e9_28">
              <w:r>
                <w:rPr>
                  <w:rStyle w:val="InternetLink"/>
                  <w:rFonts w:ascii="Times New Roman;sans-serif" w:hAnsi="Times New Roman;sans-serif"/>
                  <w:b w:val="false"/>
                  <w:color w:val="0000FF"/>
                  <w:sz w:val="20"/>
                  <w:u w:val="single"/>
                </w:rPr>
                <w:t>Notes to the Interim Condensed Financial Statements (Unaudited):</w:t>
              </w:r>
            </w:hyperlink>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31">
              <w:r>
                <w:rPr>
                  <w:rStyle w:val="InternetLink"/>
                  <w:rFonts w:ascii="Times New Roman;sans-serif" w:hAnsi="Times New Roman;sans-serif"/>
                  <w:b w:val="false"/>
                  <w:color w:val="0000FF"/>
                  <w:sz w:val="20"/>
                  <w:u w:val="single"/>
                </w:rPr>
                <w:t>Note 1 — Business, Basis of Presentation and Summary of Significant Accounting Policies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31">
              <w:r>
                <w:rPr>
                  <w:rStyle w:val="InternetLink"/>
                  <w:rFonts w:ascii="Times New Roman;sans-serif" w:hAnsi="Times New Roman;sans-serif"/>
                  <w:b w:val="false"/>
                  <w:color w:val="0000FF"/>
                  <w:sz w:val="20"/>
                  <w:u w:val="single"/>
                </w:rPr>
                <w:t>6</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34">
              <w:r>
                <w:rPr>
                  <w:rStyle w:val="InternetLink"/>
                  <w:rFonts w:ascii="Times New Roman;sans-serif" w:hAnsi="Times New Roman;sans-serif"/>
                  <w:b w:val="false"/>
                  <w:color w:val="0000FF"/>
                  <w:sz w:val="20"/>
                  <w:u w:val="single"/>
                </w:rPr>
                <w:t>Note 2 — Segment Information</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34">
              <w:r>
                <w:rPr>
                  <w:rStyle w:val="InternetLink"/>
                  <w:rFonts w:ascii="Times New Roman;sans-serif" w:hAnsi="Times New Roman;sans-serif"/>
                  <w:b w:val="false"/>
                  <w:color w:val="0000FF"/>
                  <w:sz w:val="20"/>
                  <w:u w:val="single"/>
                </w:rPr>
                <w:t>7</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46">
              <w:r>
                <w:rPr>
                  <w:rStyle w:val="InternetLink"/>
                  <w:rFonts w:ascii="Times New Roman;sans-serif" w:hAnsi="Times New Roman;sans-serif"/>
                  <w:b w:val="false"/>
                  <w:color w:val="0000FF"/>
                  <w:sz w:val="20"/>
                  <w:u w:val="single"/>
                </w:rPr>
                <w:t>Note 3 — Insurance</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46">
              <w:r>
                <w:rPr>
                  <w:rStyle w:val="InternetLink"/>
                  <w:rFonts w:ascii="Times New Roman;sans-serif" w:hAnsi="Times New Roman;sans-serif"/>
                  <w:b w:val="false"/>
                  <w:color w:val="0000FF"/>
                  <w:sz w:val="20"/>
                  <w:u w:val="single"/>
                </w:rPr>
                <w:t>9</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52">
              <w:r>
                <w:rPr>
                  <w:rStyle w:val="InternetLink"/>
                  <w:rFonts w:ascii="Times New Roman;sans-serif" w:hAnsi="Times New Roman;sans-serif"/>
                  <w:b w:val="false"/>
                  <w:color w:val="0000FF"/>
                  <w:sz w:val="20"/>
                  <w:u w:val="single"/>
                </w:rPr>
                <w:t>Note 4 — Investments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52">
              <w:r>
                <w:rPr>
                  <w:rStyle w:val="InternetLink"/>
                  <w:rFonts w:ascii="Times New Roman;sans-serif" w:hAnsi="Times New Roman;sans-serif"/>
                  <w:b w:val="false"/>
                  <w:color w:val="0000FF"/>
                  <w:sz w:val="20"/>
                  <w:u w:val="single"/>
                </w:rPr>
                <w:t>11</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103">
              <w:r>
                <w:rPr>
                  <w:rStyle w:val="InternetLink"/>
                  <w:rFonts w:ascii="Times New Roman;sans-serif" w:hAnsi="Times New Roman;sans-serif"/>
                  <w:b w:val="false"/>
                  <w:color w:val="0000FF"/>
                  <w:sz w:val="20"/>
                  <w:u w:val="single"/>
                </w:rPr>
                <w:t>Note 5 — Derivatives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03">
              <w:r>
                <w:rPr>
                  <w:rStyle w:val="InternetLink"/>
                  <w:rFonts w:ascii="Times New Roman;sans-serif" w:hAnsi="Times New Roman;sans-serif"/>
                  <w:b w:val="false"/>
                  <w:color w:val="0000FF"/>
                  <w:sz w:val="20"/>
                  <w:u w:val="single"/>
                </w:rPr>
                <w:t>19</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121">
              <w:r>
                <w:rPr>
                  <w:rStyle w:val="InternetLink"/>
                  <w:rFonts w:ascii="Times New Roman;sans-serif" w:hAnsi="Times New Roman;sans-serif"/>
                  <w:b w:val="false"/>
                  <w:color w:val="0000FF"/>
                  <w:sz w:val="20"/>
                  <w:u w:val="single"/>
                </w:rPr>
                <w:t>Note 6 — Fair Value</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21">
              <w:r>
                <w:rPr>
                  <w:rStyle w:val="InternetLink"/>
                  <w:rFonts w:ascii="Times New Roman;sans-serif" w:hAnsi="Times New Roman;sans-serif"/>
                  <w:b w:val="false"/>
                  <w:color w:val="0000FF"/>
                  <w:sz w:val="20"/>
                  <w:u w:val="single"/>
                </w:rPr>
                <w:t>22</w:t>
              </w:r>
            </w:hyperlink>
          </w:p>
        </w:tc>
      </w:tr>
      <w:tr>
        <w:trPr/>
        <w:tc>
          <w:tcPr>
            <w:tcW w:w="1148" w:type="dxa"/>
            <w:gridSpan w:val="3"/>
            <w:tcBorders/>
            <w:shd w:fill="auto" w:val="clear"/>
            <w:vAlign w:val="center"/>
          </w:tcPr>
          <w:p>
            <w:pPr>
              <w:pStyle w:val="TableContents"/>
              <w:spacing w:before="0" w:after="283"/>
              <w:rPr>
                <w:sz w:val="4"/>
                <w:szCs w:val="4"/>
              </w:rPr>
            </w:pPr>
            <w:r>
              <w:rPr>
                <w:sz w:val="4"/>
                <w:szCs w:val="4"/>
              </w:rPr>
            </w:r>
          </w:p>
        </w:tc>
        <w:tc>
          <w:tcPr>
            <w:tcW w:w="8481"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151">
              <w:r>
                <w:rPr>
                  <w:rStyle w:val="InternetLink"/>
                  <w:rFonts w:ascii="Times New Roman;sans-serif" w:hAnsi="Times New Roman;sans-serif"/>
                  <w:b w:val="false"/>
                  <w:color w:val="0000FF"/>
                  <w:sz w:val="20"/>
                  <w:u w:val="single"/>
                </w:rPr>
                <w:t>Note 7 — Equity</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51">
              <w:r>
                <w:rPr>
                  <w:rStyle w:val="InternetLink"/>
                  <w:rFonts w:ascii="Times New Roman;sans-serif" w:hAnsi="Times New Roman;sans-serif"/>
                  <w:b w:val="false"/>
                  <w:color w:val="0000FF"/>
                  <w:sz w:val="20"/>
                  <w:u w:val="single"/>
                </w:rPr>
                <w:t>31</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157">
              <w:r>
                <w:rPr>
                  <w:rStyle w:val="InternetLink"/>
                  <w:rFonts w:ascii="Times New Roman;sans-serif" w:hAnsi="Times New Roman;sans-serif"/>
                  <w:b w:val="false"/>
                  <w:color w:val="0000FF"/>
                  <w:sz w:val="20"/>
                  <w:u w:val="single"/>
                </w:rPr>
                <w:t>Note 8 — Other Revenues and Other Expenses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57">
              <w:r>
                <w:rPr>
                  <w:rStyle w:val="InternetLink"/>
                  <w:rFonts w:ascii="Times New Roman;sans-serif" w:hAnsi="Times New Roman;sans-serif"/>
                  <w:b w:val="false"/>
                  <w:color w:val="0000FF"/>
                  <w:sz w:val="20"/>
                  <w:u w:val="single"/>
                </w:rPr>
                <w:t>32</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166">
              <w:r>
                <w:rPr>
                  <w:rStyle w:val="InternetLink"/>
                  <w:rFonts w:ascii="Times New Roman;sans-serif" w:hAnsi="Times New Roman;sans-serif"/>
                  <w:b w:val="false"/>
                  <w:color w:val="0000FF"/>
                  <w:sz w:val="20"/>
                  <w:u w:val="single"/>
                </w:rPr>
                <w:t>Note 9 — Contingencies, Commitments and Guarantees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66">
              <w:r>
                <w:rPr>
                  <w:rStyle w:val="InternetLink"/>
                  <w:rFonts w:ascii="Times New Roman;sans-serif" w:hAnsi="Times New Roman;sans-serif"/>
                  <w:b w:val="false"/>
                  <w:color w:val="0000FF"/>
                  <w:sz w:val="20"/>
                  <w:u w:val="single"/>
                </w:rPr>
                <w:t>33</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d0c303cc1baf4308aeed4ade3cfcd8e9_178">
              <w:r>
                <w:rPr>
                  <w:rStyle w:val="InternetLink"/>
                  <w:rFonts w:ascii="Times New Roman;sans-serif" w:hAnsi="Times New Roman;sans-serif"/>
                  <w:b w:val="false"/>
                  <w:color w:val="0000FF"/>
                  <w:sz w:val="20"/>
                  <w:u w:val="single"/>
                </w:rPr>
                <w:t>Note 10 — Related Party Transactions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78">
              <w:r>
                <w:rPr>
                  <w:rStyle w:val="InternetLink"/>
                  <w:rFonts w:ascii="Times New Roman;sans-serif" w:hAnsi="Times New Roman;sans-serif"/>
                  <w:b w:val="false"/>
                  <w:color w:val="0000FF"/>
                  <w:sz w:val="20"/>
                  <w:u w:val="single"/>
                </w:rPr>
                <w:t>34</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 xml:space="preserve">Item 2. </w:t>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196">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196">
              <w:r>
                <w:rPr>
                  <w:rStyle w:val="InternetLink"/>
                  <w:rFonts w:ascii="Times New Roman;sans-serif" w:hAnsi="Times New Roman;sans-serif"/>
                  <w:b w:val="false"/>
                  <w:color w:val="0000FF"/>
                  <w:sz w:val="20"/>
                  <w:u w:val="single"/>
                </w:rPr>
                <w:t>36</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32">
              <w:r>
                <w:rPr>
                  <w:rStyle w:val="InternetLink"/>
                  <w:rFonts w:ascii="Times New Roman;sans-serif" w:hAnsi="Times New Roman;sans-serif"/>
                  <w:b/>
                  <w:color w:val="0000FF"/>
                  <w:sz w:val="20"/>
                  <w:u w:val="single"/>
                </w:rPr>
                <w:t>Controls and Procedures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32">
              <w:r>
                <w:rPr>
                  <w:rStyle w:val="InternetLink"/>
                  <w:rFonts w:ascii="Times New Roman;sans-serif" w:hAnsi="Times New Roman;sans-serif"/>
                  <w:b w:val="false"/>
                  <w:color w:val="0000FF"/>
                  <w:sz w:val="20"/>
                  <w:u w:val="single"/>
                </w:rPr>
                <w:t>43</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9" w:type="dxa"/>
            <w:gridSpan w:val="6"/>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d0c303cc1baf4308aeed4ade3cfcd8e9_235">
              <w:r>
                <w:rPr>
                  <w:rStyle w:val="InternetLink"/>
                  <w:rFonts w:ascii="Times New Roman;sans-serif" w:hAnsi="Times New Roman;sans-serif"/>
                  <w:b/>
                  <w:color w:val="0000FF"/>
                  <w:sz w:val="20"/>
                  <w:u w:val="single"/>
                </w:rPr>
                <w:t>Part II — Other Information</w:t>
              </w:r>
            </w:hyperlink>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d0c303cc1baf4308aeed4ade3cfcd8e9_238">
              <w:r>
                <w:rPr>
                  <w:rStyle w:val="InternetLink"/>
                  <w:rFonts w:ascii="Times New Roman;sans-serif" w:hAnsi="Times New Roman;sans-serif"/>
                  <w:b/>
                  <w:color w:val="0000FF"/>
                  <w:sz w:val="20"/>
                  <w:u w:val="single"/>
                </w:rPr>
                <w:t>Legal Proceedings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38">
              <w:r>
                <w:rPr>
                  <w:rStyle w:val="InternetLink"/>
                  <w:rFonts w:ascii="Times New Roman;sans-serif" w:hAnsi="Times New Roman;sans-serif"/>
                  <w:b w:val="false"/>
                  <w:color w:val="0000FF"/>
                  <w:sz w:val="20"/>
                  <w:u w:val="single"/>
                </w:rPr>
                <w:t>44</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d0c303cc1baf4308aeed4ade3cfcd8e9_241">
              <w:r>
                <w:rPr>
                  <w:rStyle w:val="InternetLink"/>
                  <w:rFonts w:ascii="Times New Roman;sans-serif" w:hAnsi="Times New Roman;sans-serif"/>
                  <w:b/>
                  <w:color w:val="0000FF"/>
                  <w:sz w:val="20"/>
                  <w:u w:val="single"/>
                </w:rPr>
                <w:t>Risk Factors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41">
              <w:r>
                <w:rPr>
                  <w:rStyle w:val="InternetLink"/>
                  <w:rFonts w:ascii="Times New Roman;sans-serif" w:hAnsi="Times New Roman;sans-serif"/>
                  <w:b w:val="false"/>
                  <w:color w:val="0000FF"/>
                  <w:sz w:val="20"/>
                  <w:u w:val="single"/>
                </w:rPr>
                <w:t>44</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 xml:space="preserve">Item 6. </w:t>
            </w:r>
          </w:p>
        </w:tc>
        <w:tc>
          <w:tcPr>
            <w:tcW w:w="848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d0c303cc1baf4308aeed4ade3cfcd8e9_247">
              <w:r>
                <w:rPr>
                  <w:rStyle w:val="InternetLink"/>
                  <w:rFonts w:ascii="Times New Roman;sans-serif" w:hAnsi="Times New Roman;sans-serif"/>
                  <w:b/>
                  <w:color w:val="0000FF"/>
                  <w:sz w:val="20"/>
                  <w:u w:val="single"/>
                </w:rPr>
                <w:t>Exhibits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47">
              <w:r>
                <w:rPr>
                  <w:rStyle w:val="InternetLink"/>
                  <w:rFonts w:ascii="Times New Roman;sans-serif" w:hAnsi="Times New Roman;sans-serif"/>
                  <w:b w:val="false"/>
                  <w:color w:val="0000FF"/>
                  <w:sz w:val="20"/>
                  <w:u w:val="single"/>
                </w:rPr>
                <w:t>45</w:t>
              </w:r>
            </w:hyperlink>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50">
              <w:r>
                <w:rPr>
                  <w:rStyle w:val="InternetLink"/>
                  <w:rFonts w:ascii="Times New Roman;sans-serif" w:hAnsi="Times New Roman;sans-serif"/>
                  <w:b/>
                  <w:color w:val="0000FF"/>
                  <w:sz w:val="20"/>
                  <w:u w:val="single"/>
                </w:rPr>
                <w:t>Signature</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50">
              <w:r>
                <w:rPr>
                  <w:rStyle w:val="InternetLink"/>
                  <w:rFonts w:ascii="Times New Roman;sans-serif" w:hAnsi="Times New Roman;sans-serif"/>
                  <w:b w:val="false"/>
                  <w:color w:val="0000FF"/>
                  <w:sz w:val="20"/>
                  <w:u w:val="single"/>
                </w:rPr>
                <w:t>46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283"/>
                        <w:ind w:left="0" w:right="0" w:firstLine="360"/>
                        <w:jc w:val="center"/>
                        <w:rPr/>
                      </w:pPr>
                      <w:r>
                        <w:rPr/>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2022 (Unaudited) and December 31, 2021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tbl>
      <w:tblPr>
        <w:tblW w:w="10205" w:type="dxa"/>
        <w:jc w:val="center"/>
        <w:tblInd w:w="0" w:type="dxa"/>
        <w:tblCellMar>
          <w:top w:w="28" w:type="dxa"/>
          <w:left w:w="28" w:type="dxa"/>
          <w:bottom w:w="28" w:type="dxa"/>
          <w:right w:w="28" w:type="dxa"/>
        </w:tblCellMar>
      </w:tblPr>
      <w:tblGrid>
        <w:gridCol w:w="2597"/>
        <w:gridCol w:w="2256"/>
        <w:gridCol w:w="2285"/>
        <w:gridCol w:w="109"/>
        <w:gridCol w:w="109"/>
        <w:gridCol w:w="109"/>
        <w:gridCol w:w="230"/>
        <w:gridCol w:w="759"/>
        <w:gridCol w:w="127"/>
        <w:gridCol w:w="109"/>
        <w:gridCol w:w="109"/>
        <w:gridCol w:w="109"/>
        <w:gridCol w:w="254"/>
        <w:gridCol w:w="838"/>
        <w:gridCol w:w="205"/>
      </w:tblGrid>
      <w:tr>
        <w:trPr/>
        <w:tc>
          <w:tcPr>
            <w:tcW w:w="2597"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available-for-sale, at estimated fair value (amortized cost: $4,290 and $4,464, respectively; allowance for credit losses of $0 and $0,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 (net of allowance for credit losses of $4 and $2,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 principally at estimated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 principally at estimated fair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policy acquisition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policy-related balances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for collateral under derivative transactions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Contingencies, Commitments and Guarantees (Note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$10 per share; 200,000 shares authorized, issued and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Statements of Operations and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 and 2021 (Unaudited)</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6937" w:type="dxa"/>
        <w:jc w:val="center"/>
        <w:tblInd w:w="0" w:type="dxa"/>
        <w:tblCellMar>
          <w:top w:w="28" w:type="dxa"/>
          <w:left w:w="28" w:type="dxa"/>
          <w:bottom w:w="28" w:type="dxa"/>
          <w:right w:w="28" w:type="dxa"/>
        </w:tblCellMar>
      </w:tblPr>
      <w:tblGrid>
        <w:gridCol w:w="1428"/>
        <w:gridCol w:w="1254"/>
        <w:gridCol w:w="1262"/>
        <w:gridCol w:w="109"/>
        <w:gridCol w:w="109"/>
        <w:gridCol w:w="171"/>
        <w:gridCol w:w="171"/>
        <w:gridCol w:w="308"/>
        <w:gridCol w:w="781"/>
        <w:gridCol w:w="171"/>
        <w:gridCol w:w="109"/>
        <w:gridCol w:w="109"/>
        <w:gridCol w:w="109"/>
        <w:gridCol w:w="196"/>
        <w:gridCol w:w="496"/>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73" w:type="dxa"/>
            <w:gridSpan w:val="6"/>
            <w:tcBorders/>
            <w:shd w:fill="auto" w:val="clea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policy acquisition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 and 2021 (Unaudited)</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9998" w:type="dxa"/>
        <w:jc w:val="center"/>
        <w:tblInd w:w="0" w:type="dxa"/>
        <w:tblCellMar>
          <w:top w:w="28" w:type="dxa"/>
          <w:left w:w="28" w:type="dxa"/>
          <w:bottom w:w="28" w:type="dxa"/>
          <w:right w:w="28" w:type="dxa"/>
        </w:tblCellMar>
      </w:tblPr>
      <w:tblGrid>
        <w:gridCol w:w="1426"/>
        <w:gridCol w:w="1257"/>
        <w:gridCol w:w="1262"/>
        <w:gridCol w:w="274"/>
        <w:gridCol w:w="338"/>
        <w:gridCol w:w="154"/>
        <w:gridCol w:w="109"/>
        <w:gridCol w:w="109"/>
        <w:gridCol w:w="109"/>
        <w:gridCol w:w="235"/>
        <w:gridCol w:w="505"/>
        <w:gridCol w:w="131"/>
        <w:gridCol w:w="109"/>
        <w:gridCol w:w="109"/>
        <w:gridCol w:w="109"/>
        <w:gridCol w:w="202"/>
        <w:gridCol w:w="435"/>
        <w:gridCol w:w="114"/>
        <w:gridCol w:w="109"/>
        <w:gridCol w:w="109"/>
        <w:gridCol w:w="109"/>
        <w:gridCol w:w="328"/>
        <w:gridCol w:w="705"/>
        <w:gridCol w:w="183"/>
        <w:gridCol w:w="109"/>
        <w:gridCol w:w="109"/>
        <w:gridCol w:w="109"/>
        <w:gridCol w:w="246"/>
        <w:gridCol w:w="700"/>
        <w:gridCol w:w="195"/>
      </w:tblGrid>
      <w:tr>
        <w:trPr/>
        <w:tc>
          <w:tcPr>
            <w:tcW w:w="142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income tax</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2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19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360"/>
        <w:jc w:val="center"/>
        <w:rPr/>
      </w:pPr>
      <w:r>
        <w:rPr/>
      </w:r>
    </w:p>
    <w:tbl>
      <w:tblPr>
        <w:tblW w:w="9998" w:type="dxa"/>
        <w:jc w:val="center"/>
        <w:tblInd w:w="0" w:type="dxa"/>
        <w:tblCellMar>
          <w:top w:w="28" w:type="dxa"/>
          <w:left w:w="28" w:type="dxa"/>
          <w:bottom w:w="28" w:type="dxa"/>
          <w:right w:w="28" w:type="dxa"/>
        </w:tblCellMar>
      </w:tblPr>
      <w:tblGrid>
        <w:gridCol w:w="1426"/>
        <w:gridCol w:w="1257"/>
        <w:gridCol w:w="1262"/>
        <w:gridCol w:w="274"/>
        <w:gridCol w:w="338"/>
        <w:gridCol w:w="154"/>
        <w:gridCol w:w="109"/>
        <w:gridCol w:w="109"/>
        <w:gridCol w:w="109"/>
        <w:gridCol w:w="235"/>
        <w:gridCol w:w="505"/>
        <w:gridCol w:w="131"/>
        <w:gridCol w:w="109"/>
        <w:gridCol w:w="109"/>
        <w:gridCol w:w="109"/>
        <w:gridCol w:w="202"/>
        <w:gridCol w:w="435"/>
        <w:gridCol w:w="114"/>
        <w:gridCol w:w="109"/>
        <w:gridCol w:w="109"/>
        <w:gridCol w:w="109"/>
        <w:gridCol w:w="328"/>
        <w:gridCol w:w="705"/>
        <w:gridCol w:w="183"/>
        <w:gridCol w:w="109"/>
        <w:gridCol w:w="109"/>
        <w:gridCol w:w="109"/>
        <w:gridCol w:w="246"/>
        <w:gridCol w:w="700"/>
        <w:gridCol w:w="195"/>
      </w:tblGrid>
      <w:tr>
        <w:trPr/>
        <w:tc>
          <w:tcPr>
            <w:tcW w:w="1426"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income tax</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2021</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 and 2021 (Unaudited)</w:t>
      </w:r>
    </w:p>
    <w:p>
      <w:pPr>
        <w:pStyle w:val="TextBody"/>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6578" w:type="dxa"/>
        <w:jc w:val="center"/>
        <w:tblInd w:w="0" w:type="dxa"/>
        <w:tblCellMar>
          <w:top w:w="28" w:type="dxa"/>
          <w:left w:w="28" w:type="dxa"/>
          <w:bottom w:w="28" w:type="dxa"/>
          <w:right w:w="28" w:type="dxa"/>
        </w:tblCellMar>
      </w:tblPr>
      <w:tblGrid>
        <w:gridCol w:w="1723"/>
        <w:gridCol w:w="1513"/>
        <w:gridCol w:w="1518"/>
        <w:gridCol w:w="196"/>
        <w:gridCol w:w="421"/>
        <w:gridCol w:w="109"/>
        <w:gridCol w:w="109"/>
        <w:gridCol w:w="109"/>
        <w:gridCol w:w="109"/>
        <w:gridCol w:w="196"/>
        <w:gridCol w:w="421"/>
        <w:gridCol w:w="154"/>
      </w:tblGrid>
      <w:tr>
        <w:trPr/>
        <w:tc>
          <w:tcPr>
            <w:tcW w:w="1723"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maturities and repayments of:</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in connection with freestanding derivatives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in connection with freestanding derivatives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short-term investments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Withdrawals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payables for collateral under derivative transactions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spacing w:lineRule="auto" w:line="288" w:before="120" w:after="283"/>
        <w:ind w:left="0" w:right="0" w:firstLine="360"/>
        <w:jc w:val="both"/>
        <w:rPr>
          <w:color w:val="000000"/>
        </w:rPr>
      </w:pPr>
      <w:r>
        <w:rPr>
          <w:color w:val="000000"/>
        </w:rPr>
        <w:t>“</w:t>
      </w:r>
      <w:r>
        <w:rPr>
          <w:rFonts w:ascii="Times New Roman;sans-serif" w:hAnsi="Times New Roman;sans-serif"/>
          <w:b w:val="false"/>
          <w:color w:val="000000"/>
          <w:sz w:val="20"/>
        </w:rPr>
        <w:t>BHNY” and the “Company” refer to Brighthouse Life Insurance Company of NY, a New York domiciled life insurance company. Brighthouse Life Insurance Company of NY is a wholly-owned subsidiary of Brighthouse Life Insurance Company, which is an indirect wholly-owned subsidiary of Brighthouse Financial, Inc. (“BHF” and together with its subsidiaries, “Brighthouse Financial”). The Company is licensed to transact business in the state of New York.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markets or administers a range of annuity and life insurance products to individuals. The Company is organized into two segments: Annuities and Life. In addition, the Company reports certain of its results of operations in Corporate &amp; Other.</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is a member of a controlled group of affiliated companies, its results may not be indicative of those of a standalone entity.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2021 balance sheet data was derived from audited financial statements included in Brighthouse Life Insurance Company of NY’s Annual Report on Form 10-K for the year ended December 31, 2021 (the “2021 Annual Report”), which include all disclosures required by GAAP. Therefore, these interim condensed financial statements should be read in conjunction with the financial statements of the Company included in the 2021 Annual Report.</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Adoption of New Accounting Pronouncements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March 31, 2022.</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Adoption of New Accounting Pronouncements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new guidance on long-duration contracts (ASU 2018-12, Financial Services-Insurance (Topic 944): Targeted Improvements to the Accounting for Long-Duration Contracts). This new guidance is effective for fiscal years beginning after January 1, 2023. The amendments to Topic 944 will result in significant changes to the measurement, presentation and disclosure requirements for long-duration insurance contracts. A summary of the most significant changes is provided below:</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Guaranteed benefits associated with variable annuity and certain fixed annuity contracts will be classified and presented separately on the balance sheets as market risk benefits (“MRB”). MRBs will be measured at fair value through net income and reported separately on the statements of operations, except for instrument-specific credit risk changes, which will be recognized in other comprehensive income (loss) (“OCI”).</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Cash flow assumptions used to measure the liability for future policy benefits on traditional long-duration contracts (including term life insurance and immediate annuities) will be updated on an annual basis using a retrospective method. The resulting remeasurement gain or loss will be reported separately on the statements of operations along with the remeasurement gain or loss on universal life-type contract liabilities.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 The discount rate assumption used to measure the liability for traditional long-duration contracts will be based on an upper-medium grade fixed income yield, updated quarterly, with changes recognized in OCI.</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(4) Deferred policy acquisition costs (“DAC”) for all insurance products are required to be amortized on a constant-level basis over the expected term of the contracts, using amortization methods that are not a function of revenue or profit emergence. Changes in assumptions used to amortize DAC will be recognized as a revision to future amortization amounts.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(5) There will be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amendments to Topic 944 will be applied to the earliest period presented in the financial statements, making the transition date January 1, 2021. The MRB guidance is required to be applied on a retrospective basis, while the guidance for insurance liability assumption updates and DAC amortization will be applied to existing carrying amounts on the transition date.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guidance will have a significant impact on the Company’s financial statements upon adoption, and will change the pattern and market sensitivity of the Company’s earnings after the transition date. The most significant impact will be the requirement that all variable annuity guarantees be considered MRBs and measured at fair value, because a significant amount of variable annuity guarantees are classified as insurance liabilities under current guidance. The impacts to the financial statements at adoption are highly dependent on market conditions, especially interest rates. The Company is, therefore, unable to currently estimate the ultimate impact of the new guidance on the financial statements; however, at prevailing interest rate levels at the end of 2021, the Company expects the new guidance, upon adoption, would likely result in a material decrease in stockholder’s equity.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 Segment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into two segments: Annuities and Life. In addition, the Company reports certain of its results of operations in Corporate &amp; Other.</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Annuities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Life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Life segment consists of insurance products and services, mainly term life insurance, designed to address policyholders’ needs for financial security and protected wealth transfer, which may be on a tax-advantaged basis.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Corporate &amp; Other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&amp; Other contains the excess capital not allocated to the segments and expenses associated with certain legal proceedings and income tax audit issues.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Financial Measures and Segment Accounting Policies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contract holders by highlighting the results of operations and the underlying profitability drivers of the business.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the Company’s primary businesses by excluding the impact of market volatility, which could distort trends.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Net investment gains (losses);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except earned income and amortization of premium on derivatives that are hedges of investments or that are used to replicate certain investments, but do not qualify for hedge accounting treatment;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Certain variable annuity guaranteed minimum income benefits (“GMIB”) fees (“GMIB Fees”).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Amounts associated with benefits related to GMIBs (“GMIB Costs”);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Amounts associated with periodic crediting rate adjustments based on the total return of a contractually referenced pool of assets;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Amortization of DAC related to (i) net investment gains (losses), (ii) net derivative gains (losses) and (iii) GMIB Fees and GMIB Costs.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impact of the adjustments discussed above is calculated net of the statutory tax rate, which could differ from the Company’s effective tax rate.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accounting policies are the same as those used to prepare the Company’s interim condensed financial statements, except for the adjustments to calculate adjusted earnings described above. In addition, segment accounting policies include the methods of capital allocation described below.</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by segment, as well as Corporate &amp; Other, were as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396" w:type="dxa"/>
        <w:jc w:val="left"/>
        <w:tblInd w:w="0" w:type="dxa"/>
        <w:tblCellMar>
          <w:top w:w="28" w:type="dxa"/>
          <w:left w:w="28" w:type="dxa"/>
          <w:bottom w:w="28" w:type="dxa"/>
          <w:right w:w="28" w:type="dxa"/>
        </w:tblCellMar>
      </w:tblPr>
      <w:tblGrid>
        <w:gridCol w:w="1134"/>
        <w:gridCol w:w="996"/>
        <w:gridCol w:w="1004"/>
        <w:gridCol w:w="109"/>
        <w:gridCol w:w="109"/>
        <w:gridCol w:w="109"/>
        <w:gridCol w:w="215"/>
        <w:gridCol w:w="445"/>
        <w:gridCol w:w="121"/>
        <w:gridCol w:w="109"/>
        <w:gridCol w:w="109"/>
        <w:gridCol w:w="109"/>
        <w:gridCol w:w="196"/>
        <w:gridCol w:w="241"/>
        <w:gridCol w:w="109"/>
        <w:gridCol w:w="109"/>
        <w:gridCol w:w="109"/>
        <w:gridCol w:w="109"/>
        <w:gridCol w:w="240"/>
        <w:gridCol w:w="497"/>
        <w:gridCol w:w="134"/>
        <w:gridCol w:w="109"/>
        <w:gridCol w:w="109"/>
        <w:gridCol w:w="109"/>
        <w:gridCol w:w="196"/>
        <w:gridCol w:w="406"/>
        <w:gridCol w:w="154"/>
      </w:tblGrid>
      <w:tr>
        <w:trPr/>
        <w:tc>
          <w:tcPr>
            <w:tcW w:w="113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&amp;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to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7832" w:type="dxa"/>
        <w:jc w:val="left"/>
        <w:tblInd w:w="0" w:type="dxa"/>
        <w:tblCellMar>
          <w:top w:w="28" w:type="dxa"/>
          <w:left w:w="28" w:type="dxa"/>
          <w:bottom w:w="28" w:type="dxa"/>
          <w:right w:w="28" w:type="dxa"/>
        </w:tblCellMar>
      </w:tblPr>
      <w:tblGrid>
        <w:gridCol w:w="1134"/>
        <w:gridCol w:w="996"/>
        <w:gridCol w:w="1004"/>
        <w:gridCol w:w="109"/>
        <w:gridCol w:w="109"/>
        <w:gridCol w:w="109"/>
        <w:gridCol w:w="240"/>
        <w:gridCol w:w="406"/>
        <w:gridCol w:w="135"/>
        <w:gridCol w:w="109"/>
        <w:gridCol w:w="109"/>
        <w:gridCol w:w="109"/>
        <w:gridCol w:w="196"/>
        <w:gridCol w:w="241"/>
        <w:gridCol w:w="109"/>
        <w:gridCol w:w="109"/>
        <w:gridCol w:w="109"/>
        <w:gridCol w:w="109"/>
        <w:gridCol w:w="240"/>
        <w:gridCol w:w="497"/>
        <w:gridCol w:w="134"/>
        <w:gridCol w:w="109"/>
        <w:gridCol w:w="109"/>
        <w:gridCol w:w="109"/>
        <w:gridCol w:w="196"/>
        <w:gridCol w:w="406"/>
        <w:gridCol w:w="109"/>
        <w:gridCol w:w="109"/>
        <w:gridCol w:w="109"/>
        <w:gridCol w:w="109"/>
        <w:gridCol w:w="154"/>
      </w:tblGrid>
      <w:tr>
        <w:trPr/>
        <w:tc>
          <w:tcPr>
            <w:tcW w:w="113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&amp;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shd w:fill="auto" w:val="clea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to 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by segment, as well as Corporate &amp; Other, were as follows:</w:t>
      </w:r>
    </w:p>
    <w:tbl>
      <w:tblPr>
        <w:tblW w:w="4467" w:type="dxa"/>
        <w:jc w:val="left"/>
        <w:tblInd w:w="0" w:type="dxa"/>
        <w:tblCellMar>
          <w:top w:w="28" w:type="dxa"/>
          <w:left w:w="28" w:type="dxa"/>
          <w:bottom w:w="28" w:type="dxa"/>
          <w:right w:w="28" w:type="dxa"/>
        </w:tblCellMar>
      </w:tblPr>
      <w:tblGrid>
        <w:gridCol w:w="527"/>
        <w:gridCol w:w="461"/>
        <w:gridCol w:w="467"/>
        <w:gridCol w:w="109"/>
        <w:gridCol w:w="109"/>
        <w:gridCol w:w="109"/>
        <w:gridCol w:w="204"/>
        <w:gridCol w:w="204"/>
        <w:gridCol w:w="368"/>
        <w:gridCol w:w="622"/>
        <w:gridCol w:w="204"/>
        <w:gridCol w:w="109"/>
        <w:gridCol w:w="109"/>
        <w:gridCol w:w="109"/>
        <w:gridCol w:w="196"/>
        <w:gridCol w:w="406"/>
        <w:gridCol w:w="154"/>
      </w:tblGrid>
      <w:tr>
        <w:trPr/>
        <w:tc>
          <w:tcPr>
            <w:tcW w:w="527"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83" w:type="dxa"/>
            <w:gridSpan w:val="6"/>
            <w:tcBorders/>
            <w:shd w:fill="auto" w:val="clea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2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by segment, as well as Corporate &amp; Other, were as follows at:</w:t>
      </w:r>
    </w:p>
    <w:tbl>
      <w:tblPr>
        <w:tblW w:w="4913" w:type="dxa"/>
        <w:jc w:val="left"/>
        <w:tblInd w:w="0" w:type="dxa"/>
        <w:tblCellMar>
          <w:top w:w="28" w:type="dxa"/>
          <w:left w:w="28" w:type="dxa"/>
          <w:bottom w:w="28" w:type="dxa"/>
          <w:right w:w="28" w:type="dxa"/>
        </w:tblCellMar>
      </w:tblPr>
      <w:tblGrid>
        <w:gridCol w:w="527"/>
        <w:gridCol w:w="461"/>
        <w:gridCol w:w="467"/>
        <w:gridCol w:w="109"/>
        <w:gridCol w:w="109"/>
        <w:gridCol w:w="109"/>
        <w:gridCol w:w="259"/>
        <w:gridCol w:w="856"/>
        <w:gridCol w:w="144"/>
        <w:gridCol w:w="109"/>
        <w:gridCol w:w="109"/>
        <w:gridCol w:w="109"/>
        <w:gridCol w:w="304"/>
        <w:gridCol w:w="1002"/>
        <w:gridCol w:w="239"/>
      </w:tblGrid>
      <w:tr>
        <w:trPr/>
        <w:tc>
          <w:tcPr>
            <w:tcW w:w="527"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10,745 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3. Insurance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Notes 1 and 3 of the Notes to the Financial Statements included in the 2021 Annual Report, the Company issues variable annuity contracts with guaranteed minimum benefits. Guaranteed minimum death benefits, the life contingent portion of guaranteed minimum withdrawal benefits (“GMWB”) and certain portions of GMIBs are accounted for as insurance liabilities in future policyholder benefits, while other guarantees are accounted for in whole or in part as embedded derivatives in policyholder account balances and are further discussed in Note 5.</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3. Insurance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Company’s guarantee exposure was as follows at:</w:t>
      </w:r>
    </w:p>
    <w:tbl>
      <w:tblPr>
        <w:tblW w:w="9293" w:type="dxa"/>
        <w:jc w:val="left"/>
        <w:tblInd w:w="0" w:type="dxa"/>
        <w:tblCellMar>
          <w:top w:w="28" w:type="dxa"/>
          <w:left w:w="28" w:type="dxa"/>
          <w:bottom w:w="28" w:type="dxa"/>
          <w:right w:w="28" w:type="dxa"/>
        </w:tblCellMar>
      </w:tblPr>
      <w:tblGrid>
        <w:gridCol w:w="1068"/>
        <w:gridCol w:w="942"/>
        <w:gridCol w:w="945"/>
        <w:gridCol w:w="273"/>
        <w:gridCol w:w="775"/>
        <w:gridCol w:w="153"/>
        <w:gridCol w:w="158"/>
        <w:gridCol w:w="158"/>
        <w:gridCol w:w="109"/>
        <w:gridCol w:w="249"/>
        <w:gridCol w:w="707"/>
        <w:gridCol w:w="140"/>
        <w:gridCol w:w="158"/>
        <w:gridCol w:w="158"/>
        <w:gridCol w:w="109"/>
        <w:gridCol w:w="273"/>
        <w:gridCol w:w="775"/>
        <w:gridCol w:w="152"/>
        <w:gridCol w:w="158"/>
        <w:gridCol w:w="158"/>
        <w:gridCol w:w="109"/>
        <w:gridCol w:w="249"/>
        <w:gridCol w:w="707"/>
        <w:gridCol w:w="140"/>
        <w:gridCol w:w="158"/>
        <w:gridCol w:w="158"/>
        <w:gridCol w:w="154"/>
      </w:tblGrid>
      <w:tr>
        <w:trPr/>
        <w:tc>
          <w:tcPr>
            <w:tcW w:w="106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the</w:t>
              <w:br/>
              <w:t>Event of Death</w:t>
            </w:r>
          </w:p>
        </w:tc>
        <w:tc>
          <w:tcPr>
            <w:tcW w:w="4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At</w:t>
              <w:br/>
              <w:t>Annuitization</w:t>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the </w:t>
              <w:br/>
              <w:t>Event of Death</w:t>
            </w:r>
          </w:p>
        </w:tc>
        <w:tc>
          <w:tcPr>
            <w:tcW w:w="4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At</w:t>
              <w:br/>
              <w:t>Annuitization</w:t>
            </w:r>
          </w:p>
        </w:tc>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Annuity Contracts (1), (2)</w:t>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Variable Annuity Guarantees</w:t>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value (3)</w:t>
            </w:r>
          </w:p>
        </w:tc>
        <w:tc>
          <w:tcPr>
            <w:tcW w:w="2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value</w:t>
            </w:r>
          </w:p>
        </w:tc>
        <w:tc>
          <w:tcPr>
            <w:tcW w:w="27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2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attained age of contract holders</w:t>
            </w:r>
          </w:p>
        </w:tc>
        <w:tc>
          <w:tcPr>
            <w:tcW w:w="120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years</w:t>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years</w:t>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years</w:t>
            </w:r>
          </w:p>
        </w:tc>
        <w:tc>
          <w:tcPr>
            <w:tcW w:w="4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years</w:t>
            </w:r>
          </w:p>
        </w:tc>
        <w:tc>
          <w:tcPr>
            <w:tcW w:w="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Company’s annuity contracts with guarantees may offer more than one type of guarantee in each contract. Therefore, the amounts listed above may not be mutually exclusive.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Financial Statements included in the 2021 Annual Report for a discussion of guaranteed minimum benefits which have been reinsured.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(3)Includes the contract holder’s investments in the general account and separate account, if applicable.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Financial Statements included in the 2021 Annual Report for a description of the Company’s accounting policies for investments and the fair value hierarchy for investments and the related valuation methodologies.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by Sector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by sector were as follows at:</w:t>
      </w:r>
    </w:p>
    <w:tbl>
      <w:tblPr>
        <w:tblW w:w="11559" w:type="dxa"/>
        <w:jc w:val="left"/>
        <w:tblInd w:w="0" w:type="dxa"/>
        <w:tblCellMar>
          <w:top w:w="28" w:type="dxa"/>
          <w:left w:w="28" w:type="dxa"/>
          <w:bottom w:w="28" w:type="dxa"/>
          <w:right w:w="28" w:type="dxa"/>
        </w:tblCellMar>
      </w:tblPr>
      <w:tblGrid>
        <w:gridCol w:w="463"/>
        <w:gridCol w:w="248"/>
        <w:gridCol w:w="250"/>
        <w:gridCol w:w="196"/>
        <w:gridCol w:w="556"/>
        <w:gridCol w:w="109"/>
        <w:gridCol w:w="109"/>
        <w:gridCol w:w="109"/>
        <w:gridCol w:w="109"/>
        <w:gridCol w:w="198"/>
        <w:gridCol w:w="411"/>
        <w:gridCol w:w="112"/>
        <w:gridCol w:w="109"/>
        <w:gridCol w:w="109"/>
        <w:gridCol w:w="109"/>
        <w:gridCol w:w="196"/>
        <w:gridCol w:w="33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8"/>
        <w:gridCol w:w="411"/>
        <w:gridCol w:w="112"/>
        <w:gridCol w:w="109"/>
        <w:gridCol w:w="109"/>
        <w:gridCol w:w="109"/>
        <w:gridCol w:w="196"/>
        <w:gridCol w:w="421"/>
        <w:gridCol w:w="109"/>
        <w:gridCol w:w="109"/>
        <w:gridCol w:w="109"/>
        <w:gridCol w:w="109"/>
        <w:gridCol w:w="196"/>
        <w:gridCol w:w="331"/>
        <w:gridCol w:w="109"/>
        <w:gridCol w:w="109"/>
        <w:gridCol w:w="109"/>
        <w:gridCol w:w="109"/>
        <w:gridCol w:w="196"/>
        <w:gridCol w:w="556"/>
        <w:gridCol w:w="154"/>
      </w:tblGrid>
      <w:tr>
        <w:trPr/>
        <w:tc>
          <w:tcPr>
            <w:tcW w:w="46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3"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8"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2021</w:t>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2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6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2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r>
      <w:tr>
        <w:trPr/>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8" w:type="dxa"/>
            <w:gridSpan w:val="5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non-income producing fixed maturity securities with an estimated fair value of $2 million at March 31, 2022. The Company did not hold any non-income producing fixed maturity securities at December 31, 2021.</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Maturities of Fixed Maturity Securities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fixed maturity securities, by contractual maturity date, were as follows at March 31, 2022:</w:t>
      </w:r>
    </w:p>
    <w:tbl>
      <w:tblPr>
        <w:tblW w:w="10205" w:type="dxa"/>
        <w:jc w:val="left"/>
        <w:tblInd w:w="0" w:type="dxa"/>
        <w:tblCellMar>
          <w:top w:w="28" w:type="dxa"/>
          <w:left w:w="28" w:type="dxa"/>
          <w:bottom w:w="28" w:type="dxa"/>
          <w:right w:w="28" w:type="dxa"/>
        </w:tblCellMar>
      </w:tblPr>
      <w:tblGrid>
        <w:gridCol w:w="505"/>
        <w:gridCol w:w="443"/>
        <w:gridCol w:w="447"/>
        <w:gridCol w:w="292"/>
        <w:gridCol w:w="494"/>
        <w:gridCol w:w="162"/>
        <w:gridCol w:w="109"/>
        <w:gridCol w:w="109"/>
        <w:gridCol w:w="109"/>
        <w:gridCol w:w="293"/>
        <w:gridCol w:w="630"/>
        <w:gridCol w:w="165"/>
        <w:gridCol w:w="109"/>
        <w:gridCol w:w="109"/>
        <w:gridCol w:w="109"/>
        <w:gridCol w:w="467"/>
        <w:gridCol w:w="1327"/>
        <w:gridCol w:w="259"/>
        <w:gridCol w:w="109"/>
        <w:gridCol w:w="109"/>
        <w:gridCol w:w="109"/>
        <w:gridCol w:w="247"/>
        <w:gridCol w:w="702"/>
        <w:gridCol w:w="137"/>
        <w:gridCol w:w="109"/>
        <w:gridCol w:w="109"/>
        <w:gridCol w:w="109"/>
        <w:gridCol w:w="274"/>
        <w:gridCol w:w="590"/>
        <w:gridCol w:w="153"/>
        <w:gridCol w:w="109"/>
        <w:gridCol w:w="109"/>
        <w:gridCol w:w="109"/>
        <w:gridCol w:w="210"/>
        <w:gridCol w:w="598"/>
        <w:gridCol w:w="175"/>
      </w:tblGrid>
      <w:tr>
        <w:trPr/>
        <w:tc>
          <w:tcPr>
            <w:tcW w:w="505"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in One </w:t>
              <w:br/>
              <w:t>Year or Less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Due After One</w:t>
              <w:br/>
              <w:t>Year Through</w:t>
              <w:br/>
              <w:t>Five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Due After Five Years Through</w:t>
              <w:br/>
              <w:t>Ten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Due After Ten</w:t>
              <w:br/>
              <w:t>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Structured</w:t>
              <w:br/>
              <w:t>Securities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Fixed</w:t>
              <w:br/>
              <w:t>Maturity</w:t>
              <w:br/>
              <w:t>Securities</w:t>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0"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9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4,166 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(1)Structured securities include residential mortgage-backed securities (“RMBS”), commercial mortgage-backed securities (“CMBS”) and asset-backed securities (“ABS”) (collectively, “Structured Securities”).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Continuous Gross Unrealized Losses for Fixed Maturity Securities by Sector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205" w:type="dxa"/>
        <w:jc w:val="left"/>
        <w:tblInd w:w="0" w:type="dxa"/>
        <w:tblCellMar>
          <w:top w:w="28" w:type="dxa"/>
          <w:left w:w="28" w:type="dxa"/>
          <w:bottom w:w="28" w:type="dxa"/>
          <w:right w:w="28" w:type="dxa"/>
        </w:tblCellMar>
      </w:tblPr>
      <w:tblGrid>
        <w:gridCol w:w="707"/>
        <w:gridCol w:w="500"/>
        <w:gridCol w:w="505"/>
        <w:gridCol w:w="196"/>
        <w:gridCol w:w="556"/>
        <w:gridCol w:w="109"/>
        <w:gridCol w:w="109"/>
        <w:gridCol w:w="109"/>
        <w:gridCol w:w="109"/>
        <w:gridCol w:w="202"/>
        <w:gridCol w:w="435"/>
        <w:gridCol w:w="114"/>
        <w:gridCol w:w="109"/>
        <w:gridCol w:w="109"/>
        <w:gridCol w:w="109"/>
        <w:gridCol w:w="196"/>
        <w:gridCol w:w="421"/>
        <w:gridCol w:w="109"/>
        <w:gridCol w:w="109"/>
        <w:gridCol w:w="109"/>
        <w:gridCol w:w="109"/>
        <w:gridCol w:w="231"/>
        <w:gridCol w:w="390"/>
        <w:gridCol w:w="130"/>
        <w:gridCol w:w="109"/>
        <w:gridCol w:w="109"/>
        <w:gridCol w:w="109"/>
        <w:gridCol w:w="196"/>
        <w:gridCol w:w="556"/>
        <w:gridCol w:w="109"/>
        <w:gridCol w:w="109"/>
        <w:gridCol w:w="109"/>
        <w:gridCol w:w="109"/>
        <w:gridCol w:w="231"/>
        <w:gridCol w:w="390"/>
        <w:gridCol w:w="130"/>
        <w:gridCol w:w="109"/>
        <w:gridCol w:w="109"/>
        <w:gridCol w:w="109"/>
        <w:gridCol w:w="217"/>
        <w:gridCol w:w="367"/>
        <w:gridCol w:w="122"/>
        <w:gridCol w:w="109"/>
        <w:gridCol w:w="109"/>
        <w:gridCol w:w="109"/>
        <w:gridCol w:w="263"/>
        <w:gridCol w:w="324"/>
        <w:gridCol w:w="210"/>
      </w:tblGrid>
      <w:tr>
        <w:trPr/>
        <w:tc>
          <w:tcPr>
            <w:tcW w:w="707"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r>
      <w:tr>
        <w:trPr/>
        <w:tc>
          <w:tcPr>
            <w:tcW w:w="1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2021</w:t>
            </w:r>
          </w:p>
        </w:tc>
      </w:tr>
      <w:tr>
        <w:trPr/>
        <w:tc>
          <w:tcPr>
            <w:tcW w:w="1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12 Months or Greater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Less than 12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12 Months or Greater</w:t>
            </w:r>
          </w:p>
        </w:tc>
      </w:tr>
      <w:tr>
        <w:trPr/>
        <w:tc>
          <w:tcPr>
            <w:tcW w:w="1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w:t>
            </w:r>
          </w:p>
        </w:tc>
      </w:tr>
      <w:tr>
        <w:trPr/>
        <w:tc>
          <w:tcPr>
            <w:tcW w:w="1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3" w:type="dxa"/>
            <w:gridSpan w:val="4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7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2"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1712"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1712"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1712"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r>
      <w:tr>
        <w:trPr/>
        <w:tc>
          <w:tcPr>
            <w:tcW w:w="171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securities in an unrealized loss position</w:t>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Fixed Maturity Securities</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spacing w:lineRule="auto" w:line="288" w:before="120" w:after="283"/>
        <w:ind w:left="0" w:right="0" w:firstLine="360"/>
        <w:jc w:val="both"/>
        <w:rPr/>
      </w:pPr>
      <w:r>
        <w:rPr>
          <w:rFonts w:ascii="Times New Roman;sans-serif" w:hAnsi="Times New Roman;sans-serif"/>
          <w:b w:val="false"/>
          <w:color w:val="000000"/>
          <w:sz w:val="20"/>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w:t>
      </w:r>
      <w:r>
        <w:rPr>
          <w:color w:val="000000"/>
        </w:rPr>
        <w:t xml:space="preserve"> </w:t>
      </w:r>
      <w:r>
        <w:rPr>
          <w:rFonts w:ascii="Times New Roman;sans-serif" w:hAnsi="Times New Roman;sans-serif"/>
          <w:b w:val="false"/>
          <w:color w:val="000000"/>
          <w:sz w:val="20"/>
        </w:rPr>
        <w:t xml:space="preserve">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$28 million and $30 million at March 31, 2022 and December 31, 2021, respectively, and is included in accrued investment income.</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Period Evaluation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current evaluation of its fixed maturity securities in an unrealized loss position and the current intent or requirement to sell, the Company recorded an allowance for credit losses of less than $1 million on one fixed maturity security at March 31, 2022. Management concluded that for fixed maturity securities in an unrealized loss position, the unrealized loss was not due to issuer 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non-issuer-specific credit spreads. These issuers continued to make timely principal and interest payments and the estimated fair value is expected to recover as the securities approach maturity.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Mortgage Loans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by Portfolio Segment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summarized as follows at:</w:t>
      </w:r>
    </w:p>
    <w:tbl>
      <w:tblPr>
        <w:tblW w:w="6380" w:type="dxa"/>
        <w:jc w:val="left"/>
        <w:tblInd w:w="0" w:type="dxa"/>
        <w:tblCellMar>
          <w:top w:w="28" w:type="dxa"/>
          <w:left w:w="28" w:type="dxa"/>
          <w:bottom w:w="28" w:type="dxa"/>
          <w:right w:w="28" w:type="dxa"/>
        </w:tblCellMar>
      </w:tblPr>
      <w:tblGrid>
        <w:gridCol w:w="743"/>
        <w:gridCol w:w="654"/>
        <w:gridCol w:w="657"/>
        <w:gridCol w:w="196"/>
        <w:gridCol w:w="556"/>
        <w:gridCol w:w="109"/>
        <w:gridCol w:w="109"/>
        <w:gridCol w:w="109"/>
        <w:gridCol w:w="109"/>
        <w:gridCol w:w="278"/>
        <w:gridCol w:w="278"/>
        <w:gridCol w:w="268"/>
        <w:gridCol w:w="109"/>
        <w:gridCol w:w="109"/>
        <w:gridCol w:w="109"/>
        <w:gridCol w:w="210"/>
        <w:gridCol w:w="452"/>
        <w:gridCol w:w="119"/>
        <w:gridCol w:w="109"/>
        <w:gridCol w:w="109"/>
        <w:gridCol w:w="109"/>
        <w:gridCol w:w="278"/>
        <w:gridCol w:w="278"/>
        <w:gridCol w:w="323"/>
      </w:tblGrid>
      <w:tr>
        <w:trPr/>
        <w:tc>
          <w:tcPr>
            <w:tcW w:w="7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6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32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forbearance period granted on all COVID-19 pandemic impacted loans have ended and all impacted loans were in good standing. </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Mortgage Loans</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$4 million at both March 31, 2022 and December 31, 2021.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evaluated in both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Mortgage Loans by Portfolio Segment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by portfolio segment were as follows:</w:t>
      </w:r>
    </w:p>
    <w:tbl>
      <w:tblPr>
        <w:tblW w:w="6242" w:type="dxa"/>
        <w:jc w:val="left"/>
        <w:tblInd w:w="0" w:type="dxa"/>
        <w:tblCellMar>
          <w:top w:w="28" w:type="dxa"/>
          <w:left w:w="28" w:type="dxa"/>
          <w:bottom w:w="28" w:type="dxa"/>
          <w:right w:w="28" w:type="dxa"/>
        </w:tblCellMar>
      </w:tblPr>
      <w:tblGrid>
        <w:gridCol w:w="1086"/>
        <w:gridCol w:w="953"/>
        <w:gridCol w:w="961"/>
        <w:gridCol w:w="355"/>
        <w:gridCol w:w="437"/>
        <w:gridCol w:w="199"/>
        <w:gridCol w:w="109"/>
        <w:gridCol w:w="109"/>
        <w:gridCol w:w="109"/>
        <w:gridCol w:w="368"/>
        <w:gridCol w:w="447"/>
        <w:gridCol w:w="191"/>
        <w:gridCol w:w="109"/>
        <w:gridCol w:w="109"/>
        <w:gridCol w:w="109"/>
        <w:gridCol w:w="196"/>
        <w:gridCol w:w="241"/>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2021</w:t>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7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Quality of Mortgage Loans by Portfolio Segment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by year of origination and credit quality indicator was as follows at:</w:t>
      </w:r>
    </w:p>
    <w:tbl>
      <w:tblPr>
        <w:tblW w:w="9504" w:type="dxa"/>
        <w:jc w:val="left"/>
        <w:tblInd w:w="0" w:type="dxa"/>
        <w:tblCellMar>
          <w:top w:w="28" w:type="dxa"/>
          <w:left w:w="28" w:type="dxa"/>
          <w:bottom w:w="28" w:type="dxa"/>
          <w:right w:w="28" w:type="dxa"/>
        </w:tblCellMar>
      </w:tblPr>
      <w:tblGrid>
        <w:gridCol w:w="888"/>
        <w:gridCol w:w="784"/>
        <w:gridCol w:w="788"/>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196"/>
        <w:gridCol w:w="421"/>
        <w:gridCol w:w="109"/>
        <w:gridCol w:w="109"/>
        <w:gridCol w:w="109"/>
        <w:gridCol w:w="109"/>
        <w:gridCol w:w="196"/>
        <w:gridCol w:w="331"/>
        <w:gridCol w:w="109"/>
        <w:gridCol w:w="109"/>
        <w:gridCol w:w="109"/>
        <w:gridCol w:w="109"/>
        <w:gridCol w:w="196"/>
        <w:gridCol w:w="421"/>
        <w:gridCol w:w="109"/>
        <w:gridCol w:w="109"/>
        <w:gridCol w:w="109"/>
        <w:gridCol w:w="109"/>
        <w:gridCol w:w="196"/>
        <w:gridCol w:w="556"/>
        <w:gridCol w:w="154"/>
      </w:tblGrid>
      <w:tr>
        <w:trPr/>
        <w:tc>
          <w:tcPr>
            <w:tcW w:w="88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4"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2022</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360"/>
        <w:jc w:val="both"/>
        <w:rPr/>
      </w:pPr>
      <w:r>
        <w:rPr/>
      </w:r>
    </w:p>
    <w:p>
      <w:pPr>
        <w:pStyle w:val="TextBody"/>
        <w:spacing w:before="180" w:after="283"/>
        <w:ind w:left="0" w:right="0" w:firstLine="360"/>
        <w:jc w:val="center"/>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tbl>
      <w:tblPr>
        <w:tblW w:w="9278" w:type="dxa"/>
        <w:jc w:val="left"/>
        <w:tblInd w:w="0" w:type="dxa"/>
        <w:tblCellMar>
          <w:top w:w="28" w:type="dxa"/>
          <w:left w:w="28" w:type="dxa"/>
          <w:bottom w:w="28" w:type="dxa"/>
          <w:right w:w="28" w:type="dxa"/>
        </w:tblCellMar>
      </w:tblPr>
      <w:tblGrid>
        <w:gridCol w:w="892"/>
        <w:gridCol w:w="782"/>
        <w:gridCol w:w="785"/>
        <w:gridCol w:w="196"/>
        <w:gridCol w:w="421"/>
        <w:gridCol w:w="109"/>
        <w:gridCol w:w="109"/>
        <w:gridCol w:w="109"/>
        <w:gridCol w:w="109"/>
        <w:gridCol w:w="196"/>
        <w:gridCol w:w="331"/>
        <w:gridCol w:w="109"/>
        <w:gridCol w:w="109"/>
        <w:gridCol w:w="109"/>
        <w:gridCol w:w="109"/>
        <w:gridCol w:w="196"/>
        <w:gridCol w:w="421"/>
        <w:gridCol w:w="109"/>
        <w:gridCol w:w="109"/>
        <w:gridCol w:w="109"/>
        <w:gridCol w:w="109"/>
        <w:gridCol w:w="196"/>
        <w:gridCol w:w="331"/>
        <w:gridCol w:w="109"/>
        <w:gridCol w:w="109"/>
        <w:gridCol w:w="109"/>
        <w:gridCol w:w="109"/>
        <w:gridCol w:w="196"/>
        <w:gridCol w:w="331"/>
        <w:gridCol w:w="109"/>
        <w:gridCol w:w="109"/>
        <w:gridCol w:w="109"/>
        <w:gridCol w:w="109"/>
        <w:gridCol w:w="196"/>
        <w:gridCol w:w="421"/>
        <w:gridCol w:w="109"/>
        <w:gridCol w:w="109"/>
        <w:gridCol w:w="109"/>
        <w:gridCol w:w="109"/>
        <w:gridCol w:w="196"/>
        <w:gridCol w:w="421"/>
        <w:gridCol w:w="154"/>
      </w:tblGrid>
      <w:tr>
        <w:trPr/>
        <w:tc>
          <w:tcPr>
            <w:tcW w:w="89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9"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commercial mortgage loans by debt-service coverage ratio was as follows at:</w:t>
      </w:r>
    </w:p>
    <w:tbl>
      <w:tblPr>
        <w:tblW w:w="7340" w:type="dxa"/>
        <w:jc w:val="left"/>
        <w:tblInd w:w="0" w:type="dxa"/>
        <w:tblCellMar>
          <w:top w:w="28" w:type="dxa"/>
          <w:left w:w="28" w:type="dxa"/>
          <w:bottom w:w="28" w:type="dxa"/>
          <w:right w:w="28" w:type="dxa"/>
        </w:tblCellMar>
      </w:tblPr>
      <w:tblGrid>
        <w:gridCol w:w="788"/>
        <w:gridCol w:w="692"/>
        <w:gridCol w:w="694"/>
        <w:gridCol w:w="336"/>
        <w:gridCol w:w="722"/>
        <w:gridCol w:w="187"/>
        <w:gridCol w:w="109"/>
        <w:gridCol w:w="109"/>
        <w:gridCol w:w="109"/>
        <w:gridCol w:w="278"/>
        <w:gridCol w:w="278"/>
        <w:gridCol w:w="268"/>
        <w:gridCol w:w="109"/>
        <w:gridCol w:w="109"/>
        <w:gridCol w:w="109"/>
        <w:gridCol w:w="336"/>
        <w:gridCol w:w="722"/>
        <w:gridCol w:w="187"/>
        <w:gridCol w:w="109"/>
        <w:gridCol w:w="109"/>
        <w:gridCol w:w="109"/>
        <w:gridCol w:w="278"/>
        <w:gridCol w:w="278"/>
        <w:gridCol w:w="315"/>
      </w:tblGrid>
      <w:tr>
        <w:trPr/>
        <w:tc>
          <w:tcPr>
            <w:tcW w:w="7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Debt-service coverage ratios:</w:t>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1.20x</w:t>
            </w:r>
          </w:p>
        </w:tc>
        <w:tc>
          <w:tcPr>
            <w:tcW w:w="3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26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31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1.00x - 1.20x</w:t>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1.00x</w:t>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Past Due Mortgage Loans by Portfolio Segment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high-quality, well performing mortgage loan portfolio, with over 99% of all mortgage loans classified as performing at March 31, 2022 and with all mortgage loans classified as performing at December 31, 2021. Delinquency is defined consistent with industry practice, when mortgage loans are past due as follows: commercial mortgage loans — 60 days; and agricultural mortgage loans — 90 days. The Company had one agricultural mortgage loan past due with an amortized cost of $2 million at March 31, 2022. The Company did not have any mortgage loans past due at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in Nonaccrual Status by Portfolio Segment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placed in a nonaccrual status if there are concerns regarding collectability of future payments or the loan is past due, unless the past due loan is well collateralized. The Company did not have any mortgage loans in a nonaccrual status at either March 31, 2022 or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Modified Mortgage Loans by Portfolio Segment</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any mortgage loans modified in a TDR during both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Unrealized Investment Gains (Losses)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investment gains (losses) on fixed maturity securities and the effect on DAC, deferred sales inducements (“DSI”) and future policy benefits, that would result from the realization of the unrealized gains (losses), are included in net unrealized investment gains (losses) in accumulated other comprehensive income (loss) (“AOCI”).</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unrealized investment gains (losses), included in AOCI, were as follows at:</w:t>
      </w:r>
    </w:p>
    <w:tbl>
      <w:tblPr>
        <w:tblW w:w="6100" w:type="dxa"/>
        <w:jc w:val="left"/>
        <w:tblInd w:w="0" w:type="dxa"/>
        <w:tblCellMar>
          <w:top w:w="28" w:type="dxa"/>
          <w:left w:w="28" w:type="dxa"/>
          <w:bottom w:w="28" w:type="dxa"/>
          <w:right w:w="28" w:type="dxa"/>
        </w:tblCellMar>
      </w:tblPr>
      <w:tblGrid>
        <w:gridCol w:w="1077"/>
        <w:gridCol w:w="942"/>
        <w:gridCol w:w="950"/>
        <w:gridCol w:w="308"/>
        <w:gridCol w:w="780"/>
        <w:gridCol w:w="171"/>
        <w:gridCol w:w="109"/>
        <w:gridCol w:w="109"/>
        <w:gridCol w:w="109"/>
        <w:gridCol w:w="392"/>
        <w:gridCol w:w="843"/>
        <w:gridCol w:w="310"/>
      </w:tblGrid>
      <w:tr>
        <w:trPr/>
        <w:tc>
          <w:tcPr>
            <w:tcW w:w="1077"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0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w:t>
            </w:r>
          </w:p>
        </w:tc>
        <w:tc>
          <w:tcPr>
            <w:tcW w:w="10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allocated from:</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10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DAC and DSI</w:t>
            </w:r>
          </w:p>
        </w:tc>
        <w:tc>
          <w:tcPr>
            <w:tcW w:w="10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10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net unrealized investment gains (losses) were as follows:</w:t>
      </w:r>
    </w:p>
    <w:tbl>
      <w:tblPr>
        <w:tblW w:w="6824" w:type="dxa"/>
        <w:jc w:val="left"/>
        <w:tblInd w:w="0" w:type="dxa"/>
        <w:tblCellMar>
          <w:top w:w="28" w:type="dxa"/>
          <w:left w:w="28" w:type="dxa"/>
          <w:bottom w:w="28" w:type="dxa"/>
          <w:right w:w="28" w:type="dxa"/>
        </w:tblCellMar>
      </w:tblPr>
      <w:tblGrid>
        <w:gridCol w:w="1439"/>
        <w:gridCol w:w="1266"/>
        <w:gridCol w:w="1270"/>
        <w:gridCol w:w="660"/>
        <w:gridCol w:w="1671"/>
        <w:gridCol w:w="518"/>
      </w:tblGrid>
      <w:tr>
        <w:trPr/>
        <w:tc>
          <w:tcPr>
            <w:tcW w:w="1439"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66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5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auto" w:val="clear"/>
            <w:vAlign w:val="center"/>
          </w:tcPr>
          <w:p>
            <w:pPr>
              <w:pStyle w:val="TableContents"/>
              <w:spacing w:before="0" w:after="283"/>
              <w:rPr>
                <w:sz w:val="4"/>
                <w:szCs w:val="4"/>
              </w:rPr>
            </w:pPr>
            <w:r>
              <w:rPr>
                <w:sz w:val="4"/>
                <w:szCs w:val="4"/>
              </w:rPr>
            </w:r>
          </w:p>
        </w:tc>
        <w:tc>
          <w:tcPr>
            <w:tcW w:w="2849" w:type="dxa"/>
            <w:gridSpan w:val="3"/>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during the period</w:t>
            </w:r>
          </w:p>
        </w:tc>
        <w:tc>
          <w:tcPr>
            <w:tcW w:w="23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5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relating to:</w:t>
            </w:r>
          </w:p>
        </w:tc>
        <w:tc>
          <w:tcPr>
            <w:tcW w:w="28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23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auto" w:val="clear"/>
            <w:vAlign w:val="center"/>
          </w:tcPr>
          <w:p>
            <w:pPr>
              <w:pStyle w:val="TableContents"/>
              <w:spacing w:before="0" w:after="283"/>
              <w:rPr>
                <w:sz w:val="4"/>
                <w:szCs w:val="4"/>
              </w:rPr>
            </w:pPr>
            <w:r>
              <w:rPr>
                <w:sz w:val="4"/>
                <w:szCs w:val="4"/>
              </w:rPr>
            </w:r>
          </w:p>
        </w:tc>
        <w:tc>
          <w:tcPr>
            <w:tcW w:w="2849" w:type="dxa"/>
            <w:gridSpan w:val="3"/>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DAC and DSI</w:t>
            </w:r>
          </w:p>
        </w:tc>
        <w:tc>
          <w:tcPr>
            <w:tcW w:w="23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auto" w:val="clear"/>
            <w:vAlign w:val="center"/>
          </w:tcPr>
          <w:p>
            <w:pPr>
              <w:pStyle w:val="TableContents"/>
              <w:spacing w:before="0" w:after="283"/>
              <w:rPr>
                <w:sz w:val="4"/>
                <w:szCs w:val="4"/>
              </w:rPr>
            </w:pPr>
            <w:r>
              <w:rPr>
                <w:sz w:val="4"/>
                <w:szCs w:val="4"/>
              </w:rPr>
            </w:r>
          </w:p>
        </w:tc>
        <w:tc>
          <w:tcPr>
            <w:tcW w:w="2849" w:type="dxa"/>
            <w:gridSpan w:val="3"/>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23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investment gains (losses)</w:t>
            </w:r>
          </w:p>
        </w:tc>
        <w:tc>
          <w:tcPr>
            <w:tcW w:w="6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5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investments in any counterparty that were greater than 10% of the Company’s equity, other than the U.S. government and its agencies, at both March 31, 2022 and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Invested Assets on Deposit and Pledged as Collateral</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Invested assets on deposit and pledged as collateral at estimated fair value were as follows at:</w:t>
      </w:r>
    </w:p>
    <w:tbl>
      <w:tblPr>
        <w:tblW w:w="7512" w:type="dxa"/>
        <w:jc w:val="left"/>
        <w:tblInd w:w="0" w:type="dxa"/>
        <w:tblCellMar>
          <w:top w:w="28" w:type="dxa"/>
          <w:left w:w="28" w:type="dxa"/>
          <w:bottom w:w="28" w:type="dxa"/>
          <w:right w:w="28" w:type="dxa"/>
        </w:tblCellMar>
      </w:tblPr>
      <w:tblGrid>
        <w:gridCol w:w="1585"/>
        <w:gridCol w:w="1395"/>
        <w:gridCol w:w="1400"/>
        <w:gridCol w:w="340"/>
        <w:gridCol w:w="731"/>
        <w:gridCol w:w="189"/>
        <w:gridCol w:w="109"/>
        <w:gridCol w:w="109"/>
        <w:gridCol w:w="109"/>
        <w:gridCol w:w="392"/>
        <w:gridCol w:w="843"/>
        <w:gridCol w:w="310"/>
      </w:tblGrid>
      <w:tr>
        <w:trPr/>
        <w:tc>
          <w:tcPr>
            <w:tcW w:w="1585"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on deposit (regulatory deposits)</w:t>
            </w:r>
          </w:p>
        </w:tc>
        <w:tc>
          <w:tcPr>
            <w:tcW w:w="3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pledged as collateral (1)</w:t>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invested assets on deposit and pledged as collateral (2)</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pledged invested assets in connection with derivative transactions (see Note 5).</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did not hold any restricted cash and cash equivalents at either March 31, 2022 or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invested in legal entities that are VIEs. VIEs are consolidated when the investor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VIEs for which the Company has concluded that it is the primary beneficiary at either March 31, 2022 or December 31,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maximum exposure to loss related to the VIEs for which the Company has concluded that it holds a variable interest, but is not the primary beneficiary, were as follows at:</w:t>
      </w:r>
    </w:p>
    <w:tbl>
      <w:tblPr>
        <w:tblW w:w="6129" w:type="dxa"/>
        <w:jc w:val="left"/>
        <w:tblInd w:w="0" w:type="dxa"/>
        <w:tblCellMar>
          <w:top w:w="28" w:type="dxa"/>
          <w:left w:w="28" w:type="dxa"/>
          <w:bottom w:w="28" w:type="dxa"/>
          <w:right w:w="28" w:type="dxa"/>
        </w:tblCellMar>
      </w:tblPr>
      <w:tblGrid>
        <w:gridCol w:w="674"/>
        <w:gridCol w:w="590"/>
        <w:gridCol w:w="595"/>
        <w:gridCol w:w="210"/>
        <w:gridCol w:w="452"/>
        <w:gridCol w:w="119"/>
        <w:gridCol w:w="109"/>
        <w:gridCol w:w="109"/>
        <w:gridCol w:w="109"/>
        <w:gridCol w:w="227"/>
        <w:gridCol w:w="487"/>
        <w:gridCol w:w="127"/>
        <w:gridCol w:w="109"/>
        <w:gridCol w:w="109"/>
        <w:gridCol w:w="109"/>
        <w:gridCol w:w="210"/>
        <w:gridCol w:w="452"/>
        <w:gridCol w:w="119"/>
        <w:gridCol w:w="109"/>
        <w:gridCol w:w="109"/>
        <w:gridCol w:w="109"/>
        <w:gridCol w:w="225"/>
        <w:gridCol w:w="483"/>
        <w:gridCol w:w="178"/>
      </w:tblGrid>
      <w:tr>
        <w:trPr/>
        <w:tc>
          <w:tcPr>
            <w:tcW w:w="67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Exposure</w:t>
              <w:br/>
              <w:t>to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Exposure</w:t>
              <w:br/>
              <w:t>to Loss</w:t>
            </w:r>
          </w:p>
        </w:tc>
      </w:tr>
      <w:tr>
        <w:trPr/>
        <w:tc>
          <w:tcPr>
            <w:tcW w:w="1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21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VIEs are described below.</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4. Investments (continued)</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income were as follows:</w:t>
      </w:r>
    </w:p>
    <w:tbl>
      <w:tblPr>
        <w:tblW w:w="4838" w:type="dxa"/>
        <w:jc w:val="left"/>
        <w:tblInd w:w="0" w:type="dxa"/>
        <w:tblCellMar>
          <w:top w:w="28" w:type="dxa"/>
          <w:left w:w="28" w:type="dxa"/>
          <w:bottom w:w="28" w:type="dxa"/>
          <w:right w:w="28" w:type="dxa"/>
        </w:tblCellMar>
      </w:tblPr>
      <w:tblGrid>
        <w:gridCol w:w="727"/>
        <w:gridCol w:w="641"/>
        <w:gridCol w:w="642"/>
        <w:gridCol w:w="109"/>
        <w:gridCol w:w="109"/>
        <w:gridCol w:w="204"/>
        <w:gridCol w:w="204"/>
        <w:gridCol w:w="368"/>
        <w:gridCol w:w="622"/>
        <w:gridCol w:w="204"/>
        <w:gridCol w:w="109"/>
        <w:gridCol w:w="109"/>
        <w:gridCol w:w="109"/>
        <w:gridCol w:w="196"/>
        <w:gridCol w:w="331"/>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08" w:type="dxa"/>
            <w:gridSpan w:val="6"/>
            <w:tcBorders/>
            <w:shd w:fill="auto" w:val="clea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2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Gains (Losses)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Components of Net Investment Gains (Losses)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gains (losses) were as follows:</w:t>
      </w:r>
    </w:p>
    <w:tbl>
      <w:tblPr>
        <w:tblW w:w="5740" w:type="dxa"/>
        <w:jc w:val="left"/>
        <w:tblInd w:w="0" w:type="dxa"/>
        <w:tblCellMar>
          <w:top w:w="28" w:type="dxa"/>
          <w:left w:w="28" w:type="dxa"/>
          <w:bottom w:w="28" w:type="dxa"/>
          <w:right w:w="28" w:type="dxa"/>
        </w:tblCellMar>
      </w:tblPr>
      <w:tblGrid>
        <w:gridCol w:w="930"/>
        <w:gridCol w:w="814"/>
        <w:gridCol w:w="821"/>
        <w:gridCol w:w="109"/>
        <w:gridCol w:w="109"/>
        <w:gridCol w:w="208"/>
        <w:gridCol w:w="208"/>
        <w:gridCol w:w="375"/>
        <w:gridCol w:w="604"/>
        <w:gridCol w:w="208"/>
        <w:gridCol w:w="109"/>
        <w:gridCol w:w="109"/>
        <w:gridCol w:w="109"/>
        <w:gridCol w:w="196"/>
        <w:gridCol w:w="241"/>
        <w:gridCol w:w="109"/>
        <w:gridCol w:w="109"/>
        <w:gridCol w:w="109"/>
        <w:gridCol w:w="109"/>
        <w:gridCol w:w="154"/>
      </w:tblGrid>
      <w:tr>
        <w:trPr/>
        <w:tc>
          <w:tcPr>
            <w:tcW w:w="930"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88"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net investment gains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Sales or Disposals of Fixed Maturity Securities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gains and losses on sales of securities are determined on a specific identification basis. Proceeds from sales or disposals of fixed maturity securities and the components of fixed maturity securities net investment gains (losses) were as follows: </w:t>
      </w:r>
    </w:p>
    <w:tbl>
      <w:tblPr>
        <w:tblW w:w="5034" w:type="dxa"/>
        <w:jc w:val="left"/>
        <w:tblInd w:w="0" w:type="dxa"/>
        <w:tblCellMar>
          <w:top w:w="28" w:type="dxa"/>
          <w:left w:w="28" w:type="dxa"/>
          <w:bottom w:w="28" w:type="dxa"/>
          <w:right w:w="28" w:type="dxa"/>
        </w:tblCellMar>
      </w:tblPr>
      <w:tblGrid>
        <w:gridCol w:w="797"/>
        <w:gridCol w:w="701"/>
        <w:gridCol w:w="706"/>
        <w:gridCol w:w="109"/>
        <w:gridCol w:w="109"/>
        <w:gridCol w:w="185"/>
        <w:gridCol w:w="185"/>
        <w:gridCol w:w="333"/>
        <w:gridCol w:w="716"/>
        <w:gridCol w:w="185"/>
        <w:gridCol w:w="109"/>
        <w:gridCol w:w="109"/>
        <w:gridCol w:w="109"/>
        <w:gridCol w:w="196"/>
        <w:gridCol w:w="331"/>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08" w:type="dxa"/>
            <w:gridSpan w:val="6"/>
            <w:tcBorders/>
            <w:shd w:fill="auto" w:val="clea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04" w:type="dxa"/>
            <w:gridSpan w:val="3"/>
            <w:tcBorders/>
            <w:shd w:fill="auto" w:val="clear"/>
            <w:tcMar>
              <w:top w:w="0" w:type="dxa"/>
              <w:left w:w="0" w:type="dxa"/>
              <w:bottom w:w="0" w:type="dxa"/>
              <w:right w:w="0" w:type="dxa"/>
            </w:tcMar>
            <w:vAlign w:val="center"/>
          </w:tcPr>
          <w:p>
            <w:pPr>
              <w:pStyle w:val="TableContents"/>
              <w:spacing w:before="240" w:after="283"/>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2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3"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85"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5. Derivatives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Accounting for Derivatives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Financial Statements included in the 2021 Annual Report for a description of the Company’s accounting policies for derivatives and the fair value hierarchy for derivatives.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Types of Derivative Instruments and Derivative Strategies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overall risk management strategy that incorporates the use of derivative instruments to minimize its exposure to various market risks. Commonly used derivative instruments include, but are not necessarily limited to:</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Interest rate caps;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Foreign currency swaps; and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Equity market derivatives: options and total return swaps.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detailed information on these contracts and the related strategies, see Note 7 of the Notes to the Financial Statements included in the 2021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Primary Risks Managed by Derivatives</w:t>
      </w:r>
    </w:p>
    <w:p>
      <w:pPr>
        <w:pStyle w:val="TextBody"/>
        <w:spacing w:lineRule="auto" w:line="288" w:before="120" w:after="283"/>
        <w:ind w:left="0" w:right="0" w:firstLine="360"/>
        <w:jc w:val="both"/>
        <w:rPr/>
      </w:pPr>
      <w:r>
        <w:rPr>
          <w:rFonts w:ascii="Times New Roman;sans-serif" w:hAnsi="Times New Roman;sans-serif"/>
          <w:b w:val="false"/>
          <w:color w:val="000000"/>
          <w:sz w:val="20"/>
        </w:rPr>
        <w:t>The primary underlying risk exposure, gross notional amount and estimated fair value</w:t>
      </w:r>
      <w:r>
        <w:rPr>
          <w:color w:val="000000"/>
        </w:rPr>
        <w:t xml:space="preserve"> </w:t>
      </w:r>
      <w:r>
        <w:rPr>
          <w:rFonts w:ascii="Times New Roman;sans-serif" w:hAnsi="Times New Roman;sans-serif"/>
          <w:b w:val="false"/>
          <w:color w:val="000000"/>
          <w:sz w:val="20"/>
        </w:rPr>
        <w:t>of derivatives held were as follows at:</w:t>
      </w:r>
    </w:p>
    <w:tbl>
      <w:tblPr>
        <w:tblW w:w="10300" w:type="dxa"/>
        <w:jc w:val="left"/>
        <w:tblInd w:w="0" w:type="dxa"/>
        <w:tblCellMar>
          <w:top w:w="28" w:type="dxa"/>
          <w:left w:w="28" w:type="dxa"/>
          <w:bottom w:w="28" w:type="dxa"/>
          <w:right w:w="28" w:type="dxa"/>
        </w:tblCellMar>
      </w:tblPr>
      <w:tblGrid>
        <w:gridCol w:w="666"/>
        <w:gridCol w:w="327"/>
        <w:gridCol w:w="193"/>
        <w:gridCol w:w="769"/>
        <w:gridCol w:w="769"/>
        <w:gridCol w:w="773"/>
        <w:gridCol w:w="109"/>
        <w:gridCol w:w="109"/>
        <w:gridCol w:w="109"/>
        <w:gridCol w:w="196"/>
        <w:gridCol w:w="556"/>
        <w:gridCol w:w="109"/>
        <w:gridCol w:w="109"/>
        <w:gridCol w:w="109"/>
        <w:gridCol w:w="109"/>
        <w:gridCol w:w="196"/>
        <w:gridCol w:w="421"/>
        <w:gridCol w:w="109"/>
        <w:gridCol w:w="109"/>
        <w:gridCol w:w="109"/>
        <w:gridCol w:w="109"/>
        <w:gridCol w:w="218"/>
        <w:gridCol w:w="470"/>
        <w:gridCol w:w="123"/>
        <w:gridCol w:w="109"/>
        <w:gridCol w:w="109"/>
        <w:gridCol w:w="109"/>
        <w:gridCol w:w="196"/>
        <w:gridCol w:w="556"/>
        <w:gridCol w:w="109"/>
        <w:gridCol w:w="109"/>
        <w:gridCol w:w="109"/>
        <w:gridCol w:w="109"/>
        <w:gridCol w:w="196"/>
        <w:gridCol w:w="421"/>
        <w:gridCol w:w="109"/>
        <w:gridCol w:w="109"/>
        <w:gridCol w:w="109"/>
        <w:gridCol w:w="109"/>
        <w:gridCol w:w="217"/>
        <w:gridCol w:w="467"/>
        <w:gridCol w:w="172"/>
      </w:tblGrid>
      <w:tr>
        <w:trPr/>
        <w:tc>
          <w:tcPr>
            <w:tcW w:w="66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Primary Underlying Risk Exposure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Notional</w:t>
              <w:br/>
              <w:t>Amount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Notional</w:t>
              <w:br/>
              <w:t>Amount</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300" w:type="dxa"/>
            <w:gridSpan w:val="42"/>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qualifying hedges</w:t>
            </w:r>
          </w:p>
        </w:tc>
        <w:tc>
          <w:tcPr>
            <w:tcW w:w="2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300" w:type="dxa"/>
            <w:gridSpan w:val="42"/>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caps</w:t>
            </w:r>
          </w:p>
        </w:tc>
        <w:tc>
          <w:tcPr>
            <w:tcW w:w="23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index options</w:t>
            </w:r>
          </w:p>
        </w:tc>
        <w:tc>
          <w:tcPr>
            <w:tcW w:w="23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2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total return swaps</w:t>
            </w:r>
          </w:p>
        </w:tc>
        <w:tc>
          <w:tcPr>
            <w:tcW w:w="23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7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non-designated or non-qualifying derivatives</w:t>
            </w:r>
          </w:p>
        </w:tc>
        <w:tc>
          <w:tcPr>
            <w:tcW w:w="2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300" w:type="dxa"/>
            <w:gridSpan w:val="42"/>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Embedded derivatives:</w:t>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Ceded guaranteed minimum income benefits</w:t>
            </w:r>
          </w:p>
        </w:tc>
        <w:tc>
          <w:tcPr>
            <w:tcW w:w="23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guaranteed minimum benefits</w:t>
            </w:r>
          </w:p>
        </w:tc>
        <w:tc>
          <w:tcPr>
            <w:tcW w:w="23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index-linked annuities</w:t>
            </w:r>
          </w:p>
        </w:tc>
        <w:tc>
          <w:tcPr>
            <w:tcW w:w="231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embedded derivatives</w:t>
            </w:r>
          </w:p>
        </w:tc>
        <w:tc>
          <w:tcPr>
            <w:tcW w:w="23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360"/>
        <w:jc w:val="center"/>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5. Derivatives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gains (losses), including earned income, recognized for derivatives and gains (losses) pertaining to hedged items presented in net derivative gains (losses) were as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1489"/>
        <w:gridCol w:w="1148"/>
        <w:gridCol w:w="1157"/>
        <w:gridCol w:w="300"/>
        <w:gridCol w:w="622"/>
        <w:gridCol w:w="168"/>
        <w:gridCol w:w="109"/>
        <w:gridCol w:w="109"/>
        <w:gridCol w:w="109"/>
        <w:gridCol w:w="302"/>
        <w:gridCol w:w="627"/>
        <w:gridCol w:w="170"/>
        <w:gridCol w:w="109"/>
        <w:gridCol w:w="109"/>
        <w:gridCol w:w="109"/>
        <w:gridCol w:w="390"/>
        <w:gridCol w:w="810"/>
        <w:gridCol w:w="219"/>
        <w:gridCol w:w="109"/>
        <w:gridCol w:w="109"/>
        <w:gridCol w:w="109"/>
        <w:gridCol w:w="471"/>
        <w:gridCol w:w="976"/>
        <w:gridCol w:w="375"/>
      </w:tblGrid>
      <w:tr>
        <w:trPr/>
        <w:tc>
          <w:tcPr>
            <w:tcW w:w="1489"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w:t>
              <w:br/>
              <w:t>Gains (Losses)</w:t>
              <w:br/>
              <w:t>Recognized for</w:t>
              <w:br/>
              <w:t>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Derivative </w:t>
              <w:br/>
              <w:t>Gains (Losses)</w:t>
              <w:br/>
              <w:t>Recognized for</w:t>
              <w:br/>
              <w:t>Hedged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of </w:t>
              <w:br/>
              <w:t>Gains (Losses) Deferred in AOCI</w:t>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3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9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9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9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9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2021</w:t>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3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9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9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22" w:type="dxa"/>
            <w:gridSpan w:val="3"/>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92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9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2022 and December 31, 2021, the balance in AOCI associated with cash flow hedges was $8 million and $7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spacing w:lineRule="auto" w:line="288" w:before="120" w:after="283"/>
        <w:ind w:left="0" w:right="0" w:firstLine="360"/>
        <w:jc w:val="both"/>
        <w:rPr/>
      </w:pPr>
      <w:r>
        <w:rPr>
          <w:rFonts w:ascii="Times New Roman;sans-serif" w:hAnsi="Times New Roman;sans-serif"/>
          <w:b w:val="false"/>
          <w:color w:val="000000"/>
          <w:sz w:val="20"/>
        </w:rPr>
        <w:t>See Note 6</w:t>
      </w:r>
      <w:r>
        <w:rPr>
          <w:color w:val="000000"/>
        </w:rPr>
        <w:t xml:space="preserve"> </w:t>
      </w:r>
      <w:r>
        <w:rPr>
          <w:rFonts w:ascii="Times New Roman;sans-serif" w:hAnsi="Times New Roman;sans-serif"/>
          <w:b w:val="false"/>
          <w:color w:val="000000"/>
          <w:sz w:val="20"/>
        </w:rPr>
        <w:t>for a description of the impact of credit risk on the valuation of derivatives.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5. Derivatives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CellMar>
          <w:top w:w="28" w:type="dxa"/>
          <w:left w:w="28" w:type="dxa"/>
          <w:bottom w:w="28" w:type="dxa"/>
          <w:right w:w="28" w:type="dxa"/>
        </w:tblCellMar>
      </w:tblPr>
      <w:tblGrid>
        <w:gridCol w:w="502"/>
        <w:gridCol w:w="271"/>
        <w:gridCol w:w="272"/>
        <w:gridCol w:w="109"/>
        <w:gridCol w:w="109"/>
        <w:gridCol w:w="109"/>
        <w:gridCol w:w="319"/>
        <w:gridCol w:w="686"/>
        <w:gridCol w:w="179"/>
        <w:gridCol w:w="109"/>
        <w:gridCol w:w="109"/>
        <w:gridCol w:w="109"/>
        <w:gridCol w:w="420"/>
        <w:gridCol w:w="615"/>
        <w:gridCol w:w="152"/>
        <w:gridCol w:w="133"/>
        <w:gridCol w:w="133"/>
        <w:gridCol w:w="133"/>
        <w:gridCol w:w="363"/>
        <w:gridCol w:w="681"/>
        <w:gridCol w:w="159"/>
        <w:gridCol w:w="109"/>
        <w:gridCol w:w="109"/>
        <w:gridCol w:w="109"/>
        <w:gridCol w:w="212"/>
        <w:gridCol w:w="456"/>
        <w:gridCol w:w="118"/>
        <w:gridCol w:w="109"/>
        <w:gridCol w:w="109"/>
        <w:gridCol w:w="109"/>
        <w:gridCol w:w="362"/>
        <w:gridCol w:w="809"/>
        <w:gridCol w:w="204"/>
        <w:gridCol w:w="109"/>
        <w:gridCol w:w="109"/>
        <w:gridCol w:w="109"/>
        <w:gridCol w:w="355"/>
        <w:gridCol w:w="737"/>
        <w:gridCol w:w="299"/>
      </w:tblGrid>
      <w:tr>
        <w:trPr/>
        <w:tc>
          <w:tcPr>
            <w:tcW w:w="50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on the 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(1)</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Collateral Received/Pledged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Collateral Received/Pledged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After Securities Collateral</w:t>
            </w:r>
          </w:p>
        </w:tc>
      </w:tr>
      <w:tr>
        <w:trPr/>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0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amounts subject to an enforceable master netting agreement or similar agreement.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amount of cash collateral offset in the table above is limited to the net estimated fair value of derivatives after application of netting agreement.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(3)Securities collateral received from counterparties is not reported on the balance sheets and may not be sold or re-pledged unless the counterparty is in default. Amounts do not include excess of collateral pledged or received.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estimated fair values of derivatives in a net liability position containing such credit-contingent provisions and the aggregate estimated fair value of assets posted as collateral for such instruments were as follows at: </w:t>
      </w:r>
    </w:p>
    <w:tbl>
      <w:tblPr>
        <w:tblW w:w="7974" w:type="dxa"/>
        <w:jc w:val="left"/>
        <w:tblInd w:w="0" w:type="dxa"/>
        <w:tblCellMar>
          <w:top w:w="28" w:type="dxa"/>
          <w:left w:w="28" w:type="dxa"/>
          <w:bottom w:w="28" w:type="dxa"/>
          <w:right w:w="28" w:type="dxa"/>
        </w:tblCellMar>
      </w:tblPr>
      <w:tblGrid>
        <w:gridCol w:w="1636"/>
        <w:gridCol w:w="1437"/>
        <w:gridCol w:w="1442"/>
        <w:gridCol w:w="109"/>
        <w:gridCol w:w="109"/>
        <w:gridCol w:w="109"/>
        <w:gridCol w:w="340"/>
        <w:gridCol w:w="731"/>
        <w:gridCol w:w="189"/>
        <w:gridCol w:w="109"/>
        <w:gridCol w:w="109"/>
        <w:gridCol w:w="109"/>
        <w:gridCol w:w="392"/>
        <w:gridCol w:w="843"/>
        <w:gridCol w:w="310"/>
      </w:tblGrid>
      <w:tr>
        <w:trPr/>
        <w:tc>
          <w:tcPr>
            <w:tcW w:w="1636"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(1)After taking into consideration the existence of netting agreements.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Considerable judgment is often required in interpreting market data to develop estimates of fair value, and the use of different assumptions or valuation methodologies may have a material effect on the estimated fair value amounts.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8558" w:type="dxa"/>
        <w:jc w:val="left"/>
        <w:tblInd w:w="0" w:type="dxa"/>
        <w:tblCellMar>
          <w:top w:w="28" w:type="dxa"/>
          <w:left w:w="28" w:type="dxa"/>
          <w:bottom w:w="28" w:type="dxa"/>
          <w:right w:w="28" w:type="dxa"/>
        </w:tblCellMar>
      </w:tblPr>
      <w:tblGrid>
        <w:gridCol w:w="1429"/>
        <w:gridCol w:w="1260"/>
        <w:gridCol w:w="1271"/>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281"/>
        <w:gridCol w:w="800"/>
        <w:gridCol w:w="223"/>
      </w:tblGrid>
      <w:tr>
        <w:trPr/>
        <w:tc>
          <w:tcPr>
            <w:tcW w:w="1429"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8"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Short-term investments </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(1)</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 assets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Embedded derivatives within asset host contracts (2)</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assets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4,722 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(1)</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22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 liabilities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Embedded derivatives within liability host contracts (2)</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tbl>
      <w:tblPr>
        <w:tblW w:w="8559" w:type="dxa"/>
        <w:jc w:val="left"/>
        <w:tblInd w:w="0" w:type="dxa"/>
        <w:tblCellMar>
          <w:top w:w="28" w:type="dxa"/>
          <w:left w:w="28" w:type="dxa"/>
          <w:bottom w:w="28" w:type="dxa"/>
          <w:right w:w="28" w:type="dxa"/>
        </w:tblCellMar>
      </w:tblPr>
      <w:tblGrid>
        <w:gridCol w:w="1429"/>
        <w:gridCol w:w="1260"/>
        <w:gridCol w:w="1271"/>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222"/>
        <w:gridCol w:w="731"/>
        <w:gridCol w:w="352"/>
      </w:tblGrid>
      <w:tr>
        <w:trPr/>
        <w:tc>
          <w:tcPr>
            <w:tcW w:w="1429"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9"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Short-term investments </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(1)</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 assets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Embedded derivatives within asset host contracts (2)</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assets</w:t>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liabilities: (1)</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352"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 liabilities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Embedded derivatives within liability host contracts (2)</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(1)Derivative assets are presented within other invested assets on the balance sheets and derivative liabilities are presented within other liabilities on the balance sheets. The amounts are presented gross in the tables above to reflect the presentation on the balance sheets.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(2)Embedded derivatives within asset host contracts are presented within premiums, reinsurance and other receivables on the balance sheets. Embedded derivatives within liability host contracts are presented within policyholder account balances on the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Valuation Controls and Procedures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2022.</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Determination of Fair Value</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Maturity Securities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pStyle w:val="TextBody"/>
        <w:spacing w:lineRule="auto" w:line="288" w:before="180" w:after="283"/>
        <w:ind w:left="0" w:right="0" w:firstLine="360"/>
        <w:jc w:val="both"/>
        <w:rPr/>
      </w:pPr>
      <w:r>
        <w:rPr>
          <w:rFonts w:ascii="Times New Roman;sans-serif" w:hAnsi="Times New Roman;sans-serif"/>
          <w:b w:val="false"/>
          <w:i/>
          <w:color w:val="000000"/>
          <w:sz w:val="20"/>
        </w:rPr>
        <w:t>U.S. corporate and foreign corporate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spacing w:lineRule="auto" w:line="288" w:before="180" w:after="283"/>
        <w:ind w:left="0" w:right="0" w:firstLine="360"/>
        <w:jc w:val="both"/>
        <w:rPr/>
      </w:pPr>
      <w:r>
        <w:rPr>
          <w:rFonts w:ascii="Times New Roman;sans-serif" w:hAnsi="Times New Roman;sans-serif"/>
          <w:b w:val="false"/>
          <w:i/>
          <w:color w:val="000000"/>
          <w:sz w:val="20"/>
        </w:rPr>
        <w:t>U.S. government and agency, state and political subdivision and foreign government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TextBody"/>
        <w:spacing w:lineRule="auto" w:line="288" w:before="180" w:after="283"/>
        <w:ind w:left="0" w:right="0" w:firstLine="360"/>
        <w:jc w:val="both"/>
        <w:rPr/>
      </w:pPr>
      <w:r>
        <w:rPr>
          <w:rFonts w:ascii="Times New Roman;sans-serif" w:hAnsi="Times New Roman;sans-serif"/>
          <w:b w:val="false"/>
          <w:i/>
          <w:color w:val="000000"/>
          <w:sz w:val="20"/>
        </w:rPr>
        <w:t>Structured Securities:</w:t>
      </w:r>
      <w:r>
        <w:rPr>
          <w:color w:val="000000"/>
        </w:rPr>
        <w:t xml:space="preserve"> </w:t>
      </w:r>
      <w:r>
        <w:rPr>
          <w:rFonts w:ascii="Times New Roman;sans-serif" w:hAnsi="Times New Roman;sans-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 and Short-term Investments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spacing w:lineRule="auto" w:line="288" w:before="120" w:after="283"/>
        <w:ind w:left="0" w:right="0" w:firstLine="360"/>
        <w:jc w:val="both"/>
        <w:rPr/>
      </w:pPr>
      <w:r>
        <w:rPr>
          <w:rFonts w:ascii="Times New Roman;sans-serif" w:hAnsi="Times New Roman;sans-serif"/>
          <w:b w:val="false"/>
          <w:i/>
          <w:color w:val="000000"/>
          <w:sz w:val="20"/>
        </w:rPr>
        <w:t>Equity securities and short-term investments: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financial instruments with values derived from interest rates, foreign currency exchange rates and/or financial indices. Derivatives may be exchange-traded or contracted in the over-the-counter (“OTC”) market. The Company’s OTC derivatives are settled bilateral contracts between two counterparties (“OTC-bilateral”).</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OTC-bilateral derivatives classified as Level 2 assets or liabilities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inputs to the pricing models for most OTC-bilateral derivatives are inputs that are observable in the market or can be derived principally from, or corroborated by, observable market data. Certain OTC-bilateral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inputs for OTC-bilateral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of both the counterparty and the Company are considered in determining the estimated fair value for all OTC-bilateral derivatives, and any potential credit adjustment is based on the net exposure by counterparty after taking into account the effects of netting agreements and collateral arrangements. The Company values its OTC-bilateral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Embedded Derivatives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Embedded derivatives principally include certain direct variable annuity guarantees and certain affiliated ceded reinsurance agreements related to such variable annuity guarantees, and equity crediting rates within index-linked annuity contracts. Embedded derivatives are recorded at estimated fair value with changes in estimated fair value reported in net income.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variable annuity products with guaranteed minimum benefits. Guaranteed minimum accumulation benefits (“GMAB”),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balance sheets, with changes in estimated fair value reported in net derivative gains (losses).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fair value of these embedded derivatives by estimating the present value of projected future benefits minus the present value of projected future fees using actuarial and capital markets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 markets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these guarantee liabilities includes nonperformance risk adjustments and adjustments for a risk margin related to non-capital markets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Risk margins are established to capture the non-capital markets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Transfers Into or Out of Level 3:</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Assets and Liabilities Measured at Fair Value Using Significant Unobservable Inputs (Level 3)</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tbl>
      <w:tblPr>
        <w:tblW w:w="10205" w:type="dxa"/>
        <w:jc w:val="left"/>
        <w:tblInd w:w="0" w:type="dxa"/>
        <w:tblCellMar>
          <w:top w:w="28" w:type="dxa"/>
          <w:left w:w="28" w:type="dxa"/>
          <w:bottom w:w="28" w:type="dxa"/>
          <w:right w:w="28" w:type="dxa"/>
        </w:tblCellMar>
      </w:tblPr>
      <w:tblGrid>
        <w:gridCol w:w="589"/>
        <w:gridCol w:w="515"/>
        <w:gridCol w:w="521"/>
        <w:gridCol w:w="169"/>
        <w:gridCol w:w="169"/>
        <w:gridCol w:w="169"/>
        <w:gridCol w:w="329"/>
        <w:gridCol w:w="329"/>
        <w:gridCol w:w="333"/>
        <w:gridCol w:w="109"/>
        <w:gridCol w:w="109"/>
        <w:gridCol w:w="109"/>
        <w:gridCol w:w="225"/>
        <w:gridCol w:w="225"/>
        <w:gridCol w:w="225"/>
        <w:gridCol w:w="594"/>
        <w:gridCol w:w="368"/>
        <w:gridCol w:w="366"/>
        <w:gridCol w:w="109"/>
        <w:gridCol w:w="109"/>
        <w:gridCol w:w="109"/>
        <w:gridCol w:w="163"/>
        <w:gridCol w:w="163"/>
        <w:gridCol w:w="148"/>
        <w:gridCol w:w="111"/>
        <w:gridCol w:w="111"/>
        <w:gridCol w:w="111"/>
        <w:gridCol w:w="157"/>
        <w:gridCol w:w="157"/>
        <w:gridCol w:w="159"/>
        <w:gridCol w:w="109"/>
        <w:gridCol w:w="109"/>
        <w:gridCol w:w="109"/>
        <w:gridCol w:w="166"/>
        <w:gridCol w:w="166"/>
        <w:gridCol w:w="148"/>
        <w:gridCol w:w="118"/>
        <w:gridCol w:w="118"/>
        <w:gridCol w:w="118"/>
        <w:gridCol w:w="157"/>
        <w:gridCol w:w="157"/>
        <w:gridCol w:w="159"/>
        <w:gridCol w:w="109"/>
        <w:gridCol w:w="109"/>
        <w:gridCol w:w="109"/>
        <w:gridCol w:w="343"/>
        <w:gridCol w:w="343"/>
        <w:gridCol w:w="498"/>
      </w:tblGrid>
      <w:tr>
        <w:trPr/>
        <w:tc>
          <w:tcPr>
            <w:tcW w:w="58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r>
      <w:tr>
        <w:trPr/>
        <w:tc>
          <w:tcPr>
            <w:tcW w:w="1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Impact of </w:t>
              <w:br/>
              <w:t>Increase in Input</w:t>
              <w:br/>
              <w:t xml:space="preserve">on Estimated </w:t>
              <w:br/>
              <w:t>Fair Value</w:t>
            </w:r>
          </w:p>
        </w:tc>
      </w:tr>
      <w:tr>
        <w:trPr/>
        <w:tc>
          <w:tcPr>
            <w:tcW w:w="1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Valuation Techniques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pPr>
            <w:r>
              <w:rPr>
                <w:rFonts w:ascii="Times New Roman;sans-serif" w:hAnsi="Times New Roman;sans-serif"/>
                <w:b/>
                <w:sz w:val="14"/>
              </w:rPr>
              <w:br/>
            </w:r>
            <w:r>
              <w:rPr>
                <w:rFonts w:ascii="Times New Roman;sans-serif" w:hAnsi="Times New Roman;sans-serif"/>
                <w:b/>
                <w:color w:val="000000"/>
                <w:sz w:val="14"/>
              </w:rPr>
              <w:t>Range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5453" w:type="dxa"/>
            <w:gridSpan w:val="18"/>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Embedded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2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Direct, assumed and ceded guaranteed minimum benefits</w:t>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Option pricing </w:t>
              <w:br/>
              <w:t>techniques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13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13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0.30%</w:t>
            </w:r>
          </w:p>
        </w:tc>
        <w:tc>
          <w:tcPr>
            <w:tcW w:w="3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0.30%</w:t>
            </w:r>
          </w:p>
        </w:tc>
        <w:tc>
          <w:tcPr>
            <w:tcW w:w="3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13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(3)</w:t>
            </w:r>
          </w:p>
        </w:tc>
      </w:tr>
      <w:tr>
        <w:trPr/>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132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0.25%</w:t>
            </w:r>
          </w:p>
        </w:tc>
        <w:tc>
          <w:tcPr>
            <w:tcW w:w="3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0.25%</w:t>
            </w:r>
          </w:p>
        </w:tc>
        <w:tc>
          <w:tcPr>
            <w:tcW w:w="3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13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16.44%</w:t>
            </w:r>
          </w:p>
        </w:tc>
        <w:tc>
          <w:tcPr>
            <w:tcW w:w="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16.44%</w:t>
            </w:r>
          </w:p>
        </w:tc>
        <w:tc>
          <w:tcPr>
            <w:tcW w:w="3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(5)</w:t>
            </w:r>
          </w:p>
        </w:tc>
      </w:tr>
      <w:tr>
        <w:trPr/>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13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0.10%</w:t>
            </w:r>
          </w:p>
        </w:tc>
        <w:tc>
          <w:tcPr>
            <w:tcW w:w="3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(0.38)%</w:t>
            </w:r>
          </w:p>
        </w:tc>
        <w:tc>
          <w:tcPr>
            <w:tcW w:w="3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(6)Nonperformance risk spread varies by duration. For any given contract, multiple nonperformance risk spreads will apply, depending on the duration of the cash flow being discounted for purposes of valuing the embedded derivative.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measured at estimated fair value on a recurring basis using significant unobservable inputs (Level 3) were summarized as follows:</w:t>
      </w:r>
    </w:p>
    <w:tbl>
      <w:tblPr>
        <w:tblW w:w="10205" w:type="dxa"/>
        <w:jc w:val="left"/>
        <w:tblInd w:w="0" w:type="dxa"/>
        <w:tblCellMar>
          <w:top w:w="28" w:type="dxa"/>
          <w:left w:w="28" w:type="dxa"/>
          <w:bottom w:w="28" w:type="dxa"/>
          <w:right w:w="28" w:type="dxa"/>
        </w:tblCellMar>
      </w:tblPr>
      <w:tblGrid>
        <w:gridCol w:w="1374"/>
        <w:gridCol w:w="743"/>
        <w:gridCol w:w="750"/>
        <w:gridCol w:w="109"/>
        <w:gridCol w:w="109"/>
        <w:gridCol w:w="109"/>
        <w:gridCol w:w="296"/>
        <w:gridCol w:w="614"/>
        <w:gridCol w:w="166"/>
        <w:gridCol w:w="116"/>
        <w:gridCol w:w="116"/>
        <w:gridCol w:w="116"/>
        <w:gridCol w:w="300"/>
        <w:gridCol w:w="595"/>
        <w:gridCol w:w="136"/>
        <w:gridCol w:w="116"/>
        <w:gridCol w:w="116"/>
        <w:gridCol w:w="116"/>
        <w:gridCol w:w="314"/>
        <w:gridCol w:w="653"/>
        <w:gridCol w:w="175"/>
        <w:gridCol w:w="116"/>
        <w:gridCol w:w="116"/>
        <w:gridCol w:w="116"/>
        <w:gridCol w:w="116"/>
        <w:gridCol w:w="116"/>
        <w:gridCol w:w="283"/>
        <w:gridCol w:w="489"/>
        <w:gridCol w:w="127"/>
        <w:gridCol w:w="109"/>
        <w:gridCol w:w="109"/>
        <w:gridCol w:w="109"/>
        <w:gridCol w:w="259"/>
        <w:gridCol w:w="576"/>
        <w:gridCol w:w="145"/>
        <w:gridCol w:w="109"/>
        <w:gridCol w:w="171"/>
      </w:tblGrid>
      <w:tr>
        <w:trPr/>
        <w:tc>
          <w:tcPr>
            <w:tcW w:w="137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 Significant Unobservable Inputs (Level 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280" w:type="dxa"/>
            <w:gridSpan w:val="2"/>
            <w:tcBorders/>
            <w:shd w:fill="auto" w:val="clea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Maturity Securities</w:t>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Corporate (1)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Structured Securities</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Foreign Government</w:t>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Equity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Embedded</w:t>
              <w:br/>
              <w:t>Derivatives (2)</w:t>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280" w:type="dxa"/>
            <w:gridSpan w:val="2"/>
            <w:tcBorders/>
            <w:shd w:fill="auto" w:val="clea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Settlements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Settlements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unrealized gains (losses) included in net income (loss) for the instruments still held at March 31, 2022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unrealized gains (losses) included in other comprehensive income for the instruments still held at March 31, 2022 (7)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unrealized gains (losses) included in net income (loss) for the instruments still held at March 31, 2021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4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Changes in unrealized gains (losses) included in other comprehensive income for the instruments still held at March 31, 2021 (7)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3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(1)Comprised of U.S. and foreign corporate securities.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(2)Embedded derivative assets and liabilities are presented net for purposes of the rollforward.</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embedded derivatives are reported in net derivative gains (losses).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(4)Interest accruals, as well as cash interest coupons received, are excluded from the rollforward.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(5)Items purchased/issued and then sold/settled in the same period are excluded from the rollforward. Fees attributed to embedded derivatives are included in settlements.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(6)Gains and losses, in net income (loss) and OCI, are calculated assuming transfers into and/or out of Level 3 occurred at the beginning of the period. Items transferred into and then out of Level 3 in the same period are excluded from the rollforward.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embedded derivatives are reported in net derivative gains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6. Fair Value (continued)</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 Carried at Other Than Fair Value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derivative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for such financial instruments, and their corresponding placement in the fair value hierarchy, are summarized as follows at:</w:t>
      </w:r>
    </w:p>
    <w:tbl>
      <w:tblPr>
        <w:tblW w:w="8651" w:type="dxa"/>
        <w:jc w:val="left"/>
        <w:tblInd w:w="0" w:type="dxa"/>
        <w:tblCellMar>
          <w:top w:w="28" w:type="dxa"/>
          <w:left w:w="28" w:type="dxa"/>
          <w:bottom w:w="28" w:type="dxa"/>
          <w:right w:w="28" w:type="dxa"/>
        </w:tblCellMar>
      </w:tblPr>
      <w:tblGrid>
        <w:gridCol w:w="1181"/>
        <w:gridCol w:w="1040"/>
        <w:gridCol w:w="1048"/>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201"/>
        <w:gridCol w:w="571"/>
        <w:gridCol w:w="158"/>
      </w:tblGrid>
      <w:tr>
        <w:trPr/>
        <w:tc>
          <w:tcPr>
            <w:tcW w:w="1181"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2"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bl>
    <w:tbl>
      <w:tblPr>
        <w:tblW w:w="8436" w:type="dxa"/>
        <w:jc w:val="left"/>
        <w:tblInd w:w="0" w:type="dxa"/>
        <w:tblCellMar>
          <w:top w:w="28" w:type="dxa"/>
          <w:left w:w="28" w:type="dxa"/>
          <w:bottom w:w="28" w:type="dxa"/>
          <w:right w:w="28" w:type="dxa"/>
        </w:tblCellMar>
      </w:tblPr>
      <w:tblGrid>
        <w:gridCol w:w="1181"/>
        <w:gridCol w:w="1040"/>
        <w:gridCol w:w="1048"/>
        <w:gridCol w:w="210"/>
        <w:gridCol w:w="452"/>
        <w:gridCol w:w="119"/>
        <w:gridCol w:w="109"/>
        <w:gridCol w:w="109"/>
        <w:gridCol w:w="109"/>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236"/>
        <w:gridCol w:w="507"/>
        <w:gridCol w:w="187"/>
      </w:tblGrid>
      <w:tr>
        <w:trPr/>
        <w:tc>
          <w:tcPr>
            <w:tcW w:w="1181"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7"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9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7"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21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21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7.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changes in the balances of each component of AOCI was as follows:</w:t>
      </w:r>
    </w:p>
    <w:tbl>
      <w:tblPr>
        <w:tblW w:w="7897" w:type="dxa"/>
        <w:jc w:val="left"/>
        <w:tblInd w:w="0" w:type="dxa"/>
        <w:tblCellMar>
          <w:top w:w="28" w:type="dxa"/>
          <w:left w:w="28" w:type="dxa"/>
          <w:bottom w:w="28" w:type="dxa"/>
          <w:right w:w="28" w:type="dxa"/>
        </w:tblCellMar>
      </w:tblPr>
      <w:tblGrid>
        <w:gridCol w:w="1378"/>
        <w:gridCol w:w="1213"/>
        <w:gridCol w:w="1219"/>
        <w:gridCol w:w="388"/>
        <w:gridCol w:w="865"/>
        <w:gridCol w:w="216"/>
        <w:gridCol w:w="112"/>
        <w:gridCol w:w="112"/>
        <w:gridCol w:w="112"/>
        <w:gridCol w:w="414"/>
        <w:gridCol w:w="509"/>
        <w:gridCol w:w="232"/>
        <w:gridCol w:w="112"/>
        <w:gridCol w:w="112"/>
        <w:gridCol w:w="112"/>
        <w:gridCol w:w="201"/>
        <w:gridCol w:w="432"/>
        <w:gridCol w:w="158"/>
      </w:tblGrid>
      <w:tr>
        <w:trPr/>
        <w:tc>
          <w:tcPr>
            <w:tcW w:w="137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Investment Gains</w:t>
              <w:br/>
              <w:t>(Losses), Net of</w:t>
              <w:br/>
              <w:t>Related Offsets (1)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 (Losses)</w:t>
              <w:br/>
              <w:t>on Derivatives</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38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 (2)</w:t>
            </w:r>
          </w:p>
        </w:tc>
        <w:tc>
          <w:tcPr>
            <w:tcW w:w="12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AOCI before reclassifications, net of income tax</w:t>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 (2)</w:t>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 net of income tax</w:t>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1469"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 w:after="283"/>
        <w:ind w:left="0" w:right="0" w:firstLine="360"/>
        <w:jc w:val="center"/>
        <w:rPr/>
      </w:pPr>
      <w:r>
        <w:rPr/>
      </w:r>
    </w:p>
    <w:tbl>
      <w:tblPr>
        <w:tblW w:w="7939" w:type="dxa"/>
        <w:jc w:val="left"/>
        <w:tblInd w:w="0" w:type="dxa"/>
        <w:tblCellMar>
          <w:top w:w="28" w:type="dxa"/>
          <w:left w:w="28" w:type="dxa"/>
          <w:bottom w:w="28" w:type="dxa"/>
          <w:right w:w="28" w:type="dxa"/>
        </w:tblCellMar>
      </w:tblPr>
      <w:tblGrid>
        <w:gridCol w:w="1378"/>
        <w:gridCol w:w="1213"/>
        <w:gridCol w:w="1219"/>
        <w:gridCol w:w="396"/>
        <w:gridCol w:w="852"/>
        <w:gridCol w:w="222"/>
        <w:gridCol w:w="115"/>
        <w:gridCol w:w="115"/>
        <w:gridCol w:w="115"/>
        <w:gridCol w:w="414"/>
        <w:gridCol w:w="509"/>
        <w:gridCol w:w="232"/>
        <w:gridCol w:w="115"/>
        <w:gridCol w:w="115"/>
        <w:gridCol w:w="115"/>
        <w:gridCol w:w="207"/>
        <w:gridCol w:w="445"/>
        <w:gridCol w:w="162"/>
      </w:tblGrid>
      <w:tr>
        <w:trPr/>
        <w:tc>
          <w:tcPr>
            <w:tcW w:w="1378"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2021</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Investment Gains</w:t>
              <w:br/>
              <w:t>(Losses), Net of</w:t>
              <w:br/>
              <w:t>Related Offsets (1)</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 (Losses)</w:t>
              <w:br/>
              <w:t>on Derivatives</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3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 (2)</w:t>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AOCI before reclassifications, net of income tax</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 (2)</w:t>
            </w:r>
          </w:p>
        </w:tc>
        <w:tc>
          <w:tcPr>
            <w:tcW w:w="12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 net of income tax</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814" w:type="dxa"/>
            <w:gridSpan w:val="3"/>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814" w:type="dxa"/>
            <w:gridSpan w:val="3"/>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14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814" w:type="dxa"/>
            <w:gridSpan w:val="3"/>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2021</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(1)See Note 4 for information on offsets to investments related to future policy benefits, DAC and DSI.</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effects of income taxes on amounts recorded to AOCI are also recognized in AOCI. These income tax effects are released from AOCI when the related activity is reclassified into results from operations.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8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7. Equity (continued)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amounts reclassified out of each component of AOCI was as follows:</w:t>
      </w:r>
    </w:p>
    <w:tbl>
      <w:tblPr>
        <w:tblW w:w="10205" w:type="dxa"/>
        <w:jc w:val="left"/>
        <w:tblInd w:w="0" w:type="dxa"/>
        <w:tblCellMar>
          <w:top w:w="28" w:type="dxa"/>
          <w:left w:w="28" w:type="dxa"/>
          <w:bottom w:w="28" w:type="dxa"/>
          <w:right w:w="28" w:type="dxa"/>
        </w:tblCellMar>
      </w:tblPr>
      <w:tblGrid>
        <w:gridCol w:w="1111"/>
        <w:gridCol w:w="859"/>
        <w:gridCol w:w="862"/>
        <w:gridCol w:w="109"/>
        <w:gridCol w:w="109"/>
        <w:gridCol w:w="109"/>
        <w:gridCol w:w="109"/>
        <w:gridCol w:w="109"/>
        <w:gridCol w:w="126"/>
        <w:gridCol w:w="126"/>
        <w:gridCol w:w="335"/>
        <w:gridCol w:w="463"/>
        <w:gridCol w:w="186"/>
        <w:gridCol w:w="156"/>
        <w:gridCol w:w="156"/>
        <w:gridCol w:w="156"/>
        <w:gridCol w:w="281"/>
        <w:gridCol w:w="346"/>
        <w:gridCol w:w="161"/>
        <w:gridCol w:w="109"/>
        <w:gridCol w:w="109"/>
        <w:gridCol w:w="109"/>
        <w:gridCol w:w="1246"/>
        <w:gridCol w:w="1246"/>
        <w:gridCol w:w="1247"/>
        <w:gridCol w:w="109"/>
        <w:gridCol w:w="161"/>
      </w:tblGrid>
      <w:tr>
        <w:trPr/>
        <w:tc>
          <w:tcPr>
            <w:tcW w:w="111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 Components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4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Amounts Reclassified from AOCI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Statements of Operations and Comprehensive Income (Loss) Location</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6"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 before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 net of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reclassifications, net of income tax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8. Other Revenues and Other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Direct other revenues consisted primarily of 12b-1 fees of $3 million and $4 million for the three months ended March 31, 2022 and 2021, respectively, of which all were reported in the Annuities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other expenses was as follows:</w:t>
      </w:r>
    </w:p>
    <w:tbl>
      <w:tblPr>
        <w:tblW w:w="8123" w:type="dxa"/>
        <w:jc w:val="left"/>
        <w:tblInd w:w="0" w:type="dxa"/>
        <w:tblCellMar>
          <w:top w:w="28" w:type="dxa"/>
          <w:left w:w="28" w:type="dxa"/>
          <w:bottom w:w="28" w:type="dxa"/>
          <w:right w:w="28" w:type="dxa"/>
        </w:tblCellMar>
      </w:tblPr>
      <w:tblGrid>
        <w:gridCol w:w="1917"/>
        <w:gridCol w:w="1685"/>
        <w:gridCol w:w="1693"/>
        <w:gridCol w:w="109"/>
        <w:gridCol w:w="109"/>
        <w:gridCol w:w="204"/>
        <w:gridCol w:w="204"/>
        <w:gridCol w:w="368"/>
        <w:gridCol w:w="622"/>
        <w:gridCol w:w="204"/>
        <w:gridCol w:w="109"/>
        <w:gridCol w:w="109"/>
        <w:gridCol w:w="109"/>
        <w:gridCol w:w="196"/>
        <w:gridCol w:w="331"/>
        <w:gridCol w:w="154"/>
      </w:tblGrid>
      <w:tr>
        <w:trPr/>
        <w:tc>
          <w:tcPr>
            <w:tcW w:w="1917"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08" w:type="dxa"/>
            <w:gridSpan w:val="6"/>
            <w:tcBorders/>
            <w:shd w:fill="auto" w:val="clear"/>
          </w:tcPr>
          <w:p>
            <w:pPr>
              <w:pStyle w:val="TableContents"/>
              <w:spacing w:before="0" w:after="283"/>
              <w:rPr>
                <w:sz w:val="4"/>
                <w:szCs w:val="4"/>
              </w:rPr>
            </w:pPr>
            <w:r>
              <w:rPr>
                <w:sz w:val="4"/>
                <w:szCs w:val="4"/>
              </w:rPr>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2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Contracted services and other labor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services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Establishment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and other taxes, licenses and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related costs, excluding compensation, net of DAC capitalization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spacing w:lineRule="auto" w:line="288"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for a discussion of related party expenses included in the table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9. Contingencies, Commitments and Guarantees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Litigation</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Practices Claims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financial statements for all probable and reasonably estimable losses for sales practices matters.</w:t>
      </w:r>
    </w:p>
    <w:p>
      <w:pPr>
        <w:pStyle w:val="TextBody"/>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Various litigations, claims and assessments against the Company, in addition to those discussed previously and those otherwise provided for in the Company’s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net income or cash flows in particular quarterly or annual periods.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Loss Contingencies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establishing liabilities for loss contingencies associated with disputes or other matters involving third parties, including counterparties to contractual arrangements entered into by the Company (e.g., third-party vendors and reinsurers), as well as with tax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 quarterly basis, the Company reviews relevant information with respect to other loss contingencies and, when applicable, updates its accruals, disclosures and estimates of reasonably possible losses or ranges of loss based on such reviews.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 Commitments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lend funds under mortgage loan commitments. The amounts of these mortgage loan commitments were $127 million and $161 million at March 31, 2022 and December 31, 2021, respectively.</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Commitments to Fund Private Corporate Bond Investments</w:t>
      </w:r>
    </w:p>
    <w:p>
      <w:pPr>
        <w:pStyle w:val="TextBody"/>
        <w:spacing w:lineRule="auto" w:line="288" w:before="120" w:after="283"/>
        <w:ind w:left="0" w:right="0" w:firstLine="360"/>
        <w:jc w:val="both"/>
        <w:rPr/>
      </w:pPr>
      <w:r>
        <w:rPr>
          <w:rFonts w:ascii="Times New Roman;sans-serif" w:hAnsi="Times New Roman;sans-serif"/>
          <w:b w:val="false"/>
          <w:color w:val="000000"/>
          <w:sz w:val="20"/>
        </w:rPr>
        <w:t>The Company commits to lend funds under private corporate bond investments. The amounts of these unfunded commitments were $12 million and $16 million at March 31, 2022</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December 31,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9. Contingencies, Commitments and Guarantees (continued)</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 liability for indemnities, guarantees and commitments at either March 31, 2022 or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existing arrangements with its Brighthouse Financial affiliates and had previous arrangements with MetLife, Inc. (together with its subsidiaries and affiliates, “MetLife”) for services necessary to conduct its activities. Certain of the MetLife services have continued, however, MetLife ceased to be a related party in June 2018. See Note 8 for amounts related to continuing transition services. Other material arrangements between the Company and its related parties not disclosed elsewhere are as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Reinsurance Agreements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reinsurance agreements primarily as a purchaser of reinsurance for its various insurance products. The Company participates in reinsurance activities in order to limit losses, minimize exposure to significant risks and provide additional capacity for future growth.</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significant effects of ceded related party reinsurance included on the interim condensed statements of operations and comprehensive income (loss) was as follows:</w:t>
      </w:r>
    </w:p>
    <w:tbl>
      <w:tblPr>
        <w:tblW w:w="6849" w:type="dxa"/>
        <w:jc w:val="right"/>
        <w:tblInd w:w="0" w:type="dxa"/>
        <w:tblCellMar>
          <w:top w:w="28" w:type="dxa"/>
          <w:left w:w="28" w:type="dxa"/>
          <w:bottom w:w="28" w:type="dxa"/>
          <w:right w:w="28" w:type="dxa"/>
        </w:tblCellMar>
      </w:tblPr>
      <w:tblGrid>
        <w:gridCol w:w="1425"/>
        <w:gridCol w:w="1251"/>
        <w:gridCol w:w="1269"/>
        <w:gridCol w:w="109"/>
        <w:gridCol w:w="109"/>
        <w:gridCol w:w="188"/>
        <w:gridCol w:w="188"/>
        <w:gridCol w:w="338"/>
        <w:gridCol w:w="701"/>
        <w:gridCol w:w="188"/>
        <w:gridCol w:w="109"/>
        <w:gridCol w:w="109"/>
        <w:gridCol w:w="109"/>
        <w:gridCol w:w="196"/>
        <w:gridCol w:w="406"/>
        <w:gridCol w:w="154"/>
      </w:tblGrid>
      <w:tr>
        <w:trPr/>
        <w:tc>
          <w:tcPr>
            <w:tcW w:w="1425"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83" w:type="dxa"/>
            <w:gridSpan w:val="6"/>
            <w:tcBorders/>
            <w:shd w:fill="auto" w:val="clea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3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20" w:after="283"/>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Life Insurance Company of NY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Brighthouse Financial,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Financial Statements (Unaudited) (continued)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10. Related Party Transactions (continued)</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significant effects of ceded related party reinsurance included on the interim condensed balance sheets was as follows at:</w:t>
      </w:r>
    </w:p>
    <w:tbl>
      <w:tblPr>
        <w:tblW w:w="6402" w:type="dxa"/>
        <w:jc w:val="left"/>
        <w:tblInd w:w="0" w:type="dxa"/>
        <w:tblCellMar>
          <w:top w:w="28" w:type="dxa"/>
          <w:left w:w="28" w:type="dxa"/>
          <w:bottom w:w="28" w:type="dxa"/>
          <w:right w:w="28" w:type="dxa"/>
        </w:tblCellMar>
      </w:tblPr>
      <w:tblGrid>
        <w:gridCol w:w="1183"/>
        <w:gridCol w:w="1038"/>
        <w:gridCol w:w="1049"/>
        <w:gridCol w:w="340"/>
        <w:gridCol w:w="731"/>
        <w:gridCol w:w="189"/>
        <w:gridCol w:w="109"/>
        <w:gridCol w:w="109"/>
        <w:gridCol w:w="109"/>
        <w:gridCol w:w="392"/>
        <w:gridCol w:w="843"/>
        <w:gridCol w:w="310"/>
      </w:tblGrid>
      <w:tr>
        <w:trPr/>
        <w:tc>
          <w:tcPr>
            <w:tcW w:w="1183"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34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3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4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8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3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cedes risks to Brighthouse Life Insurance Company related to guaranteed minimum benefit guarantees written directly by the Company. These ceded reinsurance agreements contain embedded derivatives and changes in the estimated fair value are included within net derivative gains (losses). The embedded derivatives associated with the cessions are included within premiums, reinsurance and other receivables and were $294 million and $351 million at March 31, 2022 and December 31, 2021, respectively. Net derivative gains (losses) associated with the embedded derivatives were ($58) million and ($142) million for the three months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Shared Services and Overhead Allocations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Services, LLC, an affiliate, currently provides the Company certain services, which include, but are not limited to, treasury, financial planning and analysis, legal, human resources, tax planning, internal audit, financial reporting and information technology. Revenues received from an affiliate related to these agreements, recorded in universal life and investment-type product policy fees, were $3 million for both the three months ended March 31, 2022 and 2021. Costs incurred under these arrangements were $12 million for both the three months ended March 31, 2022 and 2021, and were recorded in other expenses.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net receivables from/(payables to) affiliates, related to the items discussed above, of ($22) million and ($18) million at March 31, 2022 and December 31,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Broker-Dealer Transactions</w:t>
      </w:r>
    </w:p>
    <w:p>
      <w:pPr>
        <w:pStyle w:val="TextBody"/>
        <w:spacing w:lineRule="auto" w:line="288" w:before="120" w:after="283"/>
        <w:ind w:left="0" w:right="0" w:firstLine="360"/>
        <w:jc w:val="both"/>
        <w:rPr/>
      </w:pPr>
      <w:r>
        <w:rPr>
          <w:rFonts w:ascii="Times New Roman;sans-serif" w:hAnsi="Times New Roman;sans-serif"/>
          <w:b w:val="false"/>
          <w:color w:val="000000"/>
          <w:sz w:val="20"/>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$3 million for both the three months ended March 31, 2022 and 2021. Commission expenses incurred related to these transactions and recorded in other expenses was $21 million and $22 million for the three months ended March 31, 2022 and 2021, respectively. The Company also had related party fee income receivables of $1 million at both March 31, 2022</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Index to Management’s Discussion and Analysis of Financial Condition and Results of Operations</w:t>
      </w:r>
    </w:p>
    <w:tbl>
      <w:tblPr>
        <w:tblW w:w="4380" w:type="dxa"/>
        <w:jc w:val="center"/>
        <w:tblInd w:w="0" w:type="dxa"/>
        <w:tblCellMar>
          <w:top w:w="28" w:type="dxa"/>
          <w:left w:w="28" w:type="dxa"/>
          <w:bottom w:w="28" w:type="dxa"/>
          <w:right w:w="28" w:type="dxa"/>
        </w:tblCellMar>
      </w:tblPr>
      <w:tblGrid>
        <w:gridCol w:w="1378"/>
        <w:gridCol w:w="1212"/>
        <w:gridCol w:w="1219"/>
        <w:gridCol w:w="167"/>
        <w:gridCol w:w="167"/>
        <w:gridCol w:w="237"/>
      </w:tblGrid>
      <w:tr>
        <w:trPr/>
        <w:tc>
          <w:tcPr>
            <w:tcW w:w="137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02">
              <w:r>
                <w:rPr>
                  <w:rStyle w:val="InternetLink"/>
                  <w:rFonts w:ascii="Times New Roman;sans-serif" w:hAnsi="Times New Roman;sans-serif"/>
                  <w:b w:val="false"/>
                  <w:color w:val="0000FF"/>
                  <w:sz w:val="20"/>
                  <w:u w:val="single"/>
                </w:rPr>
                <w:t>Overview</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02">
              <w:r>
                <w:rPr>
                  <w:rStyle w:val="InternetLink"/>
                  <w:rFonts w:ascii="Times New Roman;sans-serif" w:hAnsi="Times New Roman;sans-serif"/>
                  <w:b w:val="false"/>
                  <w:color w:val="0000FF"/>
                  <w:sz w:val="20"/>
                  <w:u w:val="single"/>
                </w:rPr>
                <w:t>36</w:t>
              </w:r>
            </w:hyperlink>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05">
              <w:r>
                <w:rPr>
                  <w:rStyle w:val="InternetLink"/>
                  <w:rFonts w:ascii="Times New Roman;sans-serif" w:hAnsi="Times New Roman;sans-serif"/>
                  <w:b w:val="false"/>
                  <w:color w:val="0000FF"/>
                  <w:sz w:val="20"/>
                  <w:u w:val="single"/>
                </w:rPr>
                <w:t>Regulatory Developments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05">
              <w:r>
                <w:rPr>
                  <w:rStyle w:val="InternetLink"/>
                  <w:rFonts w:ascii="Times New Roman;sans-serif" w:hAnsi="Times New Roman;sans-serif"/>
                  <w:b w:val="false"/>
                  <w:color w:val="0000FF"/>
                  <w:sz w:val="20"/>
                  <w:u w:val="single"/>
                </w:rPr>
                <w:t>37</w:t>
              </w:r>
            </w:hyperlink>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08">
              <w:r>
                <w:rPr>
                  <w:rStyle w:val="InternetLink"/>
                  <w:rFonts w:ascii="Times New Roman;sans-serif" w:hAnsi="Times New Roman;sans-serif"/>
                  <w:b w:val="false"/>
                  <w:color w:val="0000FF"/>
                  <w:sz w:val="20"/>
                  <w:u w:val="single"/>
                </w:rPr>
                <w:t>Summary of Critical Accounting Estimates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08">
              <w:r>
                <w:rPr>
                  <w:rStyle w:val="InternetLink"/>
                  <w:rFonts w:ascii="Times New Roman;sans-serif" w:hAnsi="Times New Roman;sans-serif"/>
                  <w:b w:val="false"/>
                  <w:color w:val="0000FF"/>
                  <w:sz w:val="20"/>
                  <w:u w:val="single"/>
                </w:rPr>
                <w:t>38</w:t>
              </w:r>
            </w:hyperlink>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11">
              <w:r>
                <w:rPr>
                  <w:rStyle w:val="InternetLink"/>
                  <w:rFonts w:ascii="Times New Roman;sans-serif" w:hAnsi="Times New Roman;sans-serif"/>
                  <w:b w:val="false"/>
                  <w:color w:val="0000FF"/>
                  <w:sz w:val="20"/>
                  <w:u w:val="single"/>
                </w:rPr>
                <w:t>Non-GAAP Financial Disclosures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11">
              <w:r>
                <w:rPr>
                  <w:rStyle w:val="InternetLink"/>
                  <w:rFonts w:ascii="Times New Roman;sans-serif" w:hAnsi="Times New Roman;sans-serif"/>
                  <w:b w:val="false"/>
                  <w:color w:val="0000FF"/>
                  <w:sz w:val="20"/>
                  <w:u w:val="single"/>
                </w:rPr>
                <w:t>38</w:t>
              </w:r>
            </w:hyperlink>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14">
              <w:r>
                <w:rPr>
                  <w:rStyle w:val="InternetLink"/>
                  <w:rFonts w:ascii="Times New Roman;sans-serif" w:hAnsi="Times New Roman;sans-serif"/>
                  <w:b w:val="false"/>
                  <w:color w:val="0000FF"/>
                  <w:sz w:val="20"/>
                  <w:u w:val="single"/>
                </w:rPr>
                <w:t>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14">
              <w:r>
                <w:rPr>
                  <w:rStyle w:val="InternetLink"/>
                  <w:rFonts w:ascii="Times New Roman;sans-serif" w:hAnsi="Times New Roman;sans-serif"/>
                  <w:b w:val="false"/>
                  <w:color w:val="0000FF"/>
                  <w:sz w:val="20"/>
                  <w:u w:val="single"/>
                </w:rPr>
                <w:t>40</w:t>
              </w:r>
            </w:hyperlink>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0c303cc1baf4308aeed4ade3cfcd8e9_226">
              <w:r>
                <w:rPr>
                  <w:rStyle w:val="InternetLink"/>
                  <w:rFonts w:ascii="Times New Roman;sans-serif" w:hAnsi="Times New Roman;sans-serif"/>
                  <w:b w:val="false"/>
                  <w:color w:val="0000FF"/>
                  <w:sz w:val="20"/>
                  <w:u w:val="single"/>
                </w:rPr>
                <w:t>Note Regarding Forward-Looking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d0c303cc1baf4308aeed4ade3cfcd8e9_226">
              <w:r>
                <w:rPr>
                  <w:rStyle w:val="InternetLink"/>
                  <w:rFonts w:ascii="Times New Roman;sans-serif" w:hAnsi="Times New Roman;sans-serif"/>
                  <w:b w:val="false"/>
                  <w:color w:val="0000FF"/>
                  <w:sz w:val="20"/>
                  <w:u w:val="single"/>
                </w:rPr>
                <w:t>42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discussion, “BHNY,” the “Company,” “we,” “our” and “us” refer to Brighthouse Life Insurance Company of NY. BHNY is an indirect wholly-owned subsidiary of Brighthouse Financial, Inc. (“BHF” and together with its subsidiaries, “Brighthouse Financial”). This Management’s Discussion and Analysis of Financial Condition and Results of Operations should be read in conjunction with (i) the Interim Condensed Financial Statements and related notes included elsewhere herein; (ii) our Annual Report on Form 10-K for the year ended December 31, 2021, filed with the U.S. Securities and Exchange Commission (“SEC”) on March 3, 2022 (the “2021 Annual Report”); and (iii) our current reports on Form 8-K filed in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BHNY is a New York stock life insurance company licensed to do business only in the state of New York. We market or administer a range of annuity and life insurance products to individuals and deliver our products through multiple independent distribution channels and marketing arrangements with a diverse network of distribution partners. We are organized into two segments: Annuities and Life. In addition, we report certain of our results of operations in Corporate &amp; Other. See “Business — Segments and Corporate &amp; Other” included in our 2021 Annual Report, as well as Note 2 of the Notes to the Interim Condensed Financial Statements for further information regarding our segments and Corporate &amp; Other.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developments related to the COVID-19 pandemic, which has negatively impacted us in certain respects. At this time, it continues to not be possible to estimate (i) the severity or duration of the pandemic, including the severity, duration and frequency of any additional “waves” or emerging variants of COVID-19 or (ii) the efficacy or utilization of any therapeutic treatments and vaccines for COVID-19 or variants thereof. 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any targets we may provide to the markets or any aspects of our business model. See “Business — Regulation,” “Risk Factors — Risks Related to Our Business — The ongoing COVID-19 pandemic could materially adversely affect our business, financial condition and results of operations, including our capitalization and liquidity” and “Management’s Discussion and Analysis of Financial Condition and Results of Operations — Overview — COVID-19 Pandemic” included in our 2021 Annual Report, as well as Note 4 of the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Developments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domiciled in New York and regulated by the New York State Department of Financial Services. We are regulated primarily at the state level, with some products and services also subject to federal regulation. In addition, BHNY is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2021 Annual Report, as amended or supplemented by our subsequent Quarterly Reports under the heading “Management’s Discussion and Analysis of Financial Condition and Results of Operations — Regulatory Developments.”</w:t>
      </w: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Transition from LIBOR</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2022, the Adjustable Interest Rate (LIBOR) Act (the “LIBOR Act”) was signed into law, which provided a replacement framework for outstanding financial contracts tied to LIBOR once LIBOR ceases to be published. The LIBOR Act is substantially similar to the law passed in New York in April 2021 that aimed at ensuring legal clarity for legacy contracts governed by New York law. The LIBOR Act provides a statutory mechanism and safe harbor that applies on a nationwide basis to replace LIBOR with a benchmark rate, selected by the Federal Reserve Board based on a secured overnight funding rate, for certain contracts that reference LIBOR and contain no or insufficient fallback provisions. The LIBOR Act preempts and supersedes any state or local law, statute, rule, regulation or standard relating to the selection or use of a benchmark replacement or related changes and allows parties that already have effective fallback provisions to opt out of the legislation. See “Business — Regulation — Transition from LIBOR” and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 to period — Changes to LIBOR” included in our 2021 Annual Report, as amended or supplemented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Summary of Critical Accounting Estimates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of America (“GAAP”) requires management to adopt accounting policies and make estimates and assumptions that affect amounts reported on the Interim Condensed Financial Statements. </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estimates include those used in determining:</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liabilities for future policy benefits;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amortization of deferred policy acquisition costs (“DAC”);</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freestanding derivatives and the recognition and estimated fair value of embedded derivatives requiring bifurcation;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measurement of income taxes and the valuation of deferred tax assets.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critical accounting estimates are described in “Management’s Discussion and Analysis of Financial Condition and Results of Operations — Summary of Critical Accounting Estimates” and Note 1 of the Notes to the Financial Statements included in our 2021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Non-GAAP Financial Disclosures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definitions of non-GAAP financial measures may differ from those used by other companies.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Earnings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report, we present adjusted earnings as a measure of our performance that is not calculated in accordance with GAAP. Adjusted earnings is used by management to evaluate performance and facilitate comparisons to industry results. We believe the presentation of adjusted earnings, as the Company measures it for management purposes, enhances the understanding of our performance by contract holders by highlighting the results of operations and the underlying profitability drivers of our business. Adjusted earnings should not be viewed as a substitute for net income (loss), which is the most directly comparable financial measure calculated in accordance with GAAP. See “— Results of Operations” for a reconciliation of adjusted earnings to net income (loss).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earnings, which may be positive or negative, focuses on our primary businesses by excluding the impact of market volatility, which could distort trends. </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Net investment gains (losses);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Certain variable annuity guaranteed minimum income benefits (“GMIB”) fees (“GMIB Fees”).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Amounts associated with benefits related to GMIBs (“GMIB Costs”);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Amounts associated with periodic crediting rate adjustments based on the total return of a contractually referenced pool of assets (“Market Value Adjustments”);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Amortization of DAC related to (i) net investment gains (losses), (ii) net derivative gains (losses) and (iii) GMIB Fees and GMIB Costs.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impact of the adjustments discussed above is calculated net of the statutory tax rate, which could differ from our effective tax rate.</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tbl>
      <w:tblPr>
        <w:tblW w:w="10205" w:type="dxa"/>
        <w:jc w:val="left"/>
        <w:tblInd w:w="0" w:type="dxa"/>
        <w:tblCellMar>
          <w:top w:w="28" w:type="dxa"/>
          <w:left w:w="28" w:type="dxa"/>
          <w:bottom w:w="28" w:type="dxa"/>
          <w:right w:w="28" w:type="dxa"/>
        </w:tblCellMar>
      </w:tblPr>
      <w:tblGrid>
        <w:gridCol w:w="291"/>
        <w:gridCol w:w="255"/>
        <w:gridCol w:w="255"/>
        <w:gridCol w:w="773"/>
        <w:gridCol w:w="773"/>
        <w:gridCol w:w="489"/>
        <w:gridCol w:w="199"/>
        <w:gridCol w:w="199"/>
        <w:gridCol w:w="199"/>
        <w:gridCol w:w="1956"/>
        <w:gridCol w:w="1956"/>
        <w:gridCol w:w="2860"/>
      </w:tblGrid>
      <w:tr>
        <w:trPr/>
        <w:tc>
          <w:tcPr>
            <w:tcW w:w="29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r>
      <w:tr>
        <w:trPr/>
        <w:tc>
          <w:tcPr>
            <w:tcW w:w="2836" w:type="dxa"/>
            <w:gridSpan w:val="6"/>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Adjusted Earnings</w:t>
            </w:r>
          </w:p>
        </w:tc>
        <w:tc>
          <w:tcPr>
            <w:tcW w:w="7369" w:type="dxa"/>
            <w:gridSpan w:val="6"/>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How Derived from GAAP (1)</w:t>
            </w:r>
          </w:p>
        </w:tc>
      </w:tr>
      <w:tr>
        <w:trPr/>
        <w:tc>
          <w:tcPr>
            <w:tcW w:w="8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2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6772"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r>
              <w:rPr>
                <w:rFonts w:ascii="Times New Roman;sans-serif" w:hAnsi="Times New Roman;sans-serif"/>
                <w:b w:val="false"/>
                <w:i/>
                <w:color w:val="000000"/>
                <w:sz w:val="20"/>
              </w:rPr>
              <w:t>Universal life and investment-type policy fees</w:t>
            </w:r>
            <w:r>
              <w:rPr>
                <w:color w:val="000000"/>
              </w:rPr>
              <w:t xml:space="preserve"> </w:t>
            </w:r>
            <w:r>
              <w:rPr>
                <w:rFonts w:ascii="Times New Roman;sans-serif" w:hAnsi="Times New Roman;sans-serif"/>
                <w:b w:val="false"/>
                <w:color w:val="000000"/>
                <w:sz w:val="20"/>
              </w:rPr>
              <w:t xml:space="preserve">(excluding (a) unearned revenue adjustments related to net investment gains (losses) and net derivative gains (losses) and (b) GMIB Fees) plus </w:t>
            </w:r>
            <w:r>
              <w:rPr>
                <w:rFonts w:ascii="Times New Roman;sans-serif" w:hAnsi="Times New Roman;sans-serif"/>
                <w:b w:val="false"/>
                <w:i/>
                <w:color w:val="000000"/>
                <w:sz w:val="20"/>
              </w:rPr>
              <w:t>Other revenues</w:t>
            </w:r>
            <w:r>
              <w:rPr>
                <w:color w:val="000000"/>
              </w:rPr>
              <w:t xml:space="preserve"> </w:t>
            </w:r>
            <w:r>
              <w:rPr>
                <w:rFonts w:ascii="Times New Roman;sans-serif" w:hAnsi="Times New Roman;sans-serif"/>
                <w:b w:val="false"/>
                <w:color w:val="000000"/>
                <w:sz w:val="20"/>
              </w:rPr>
              <w:t>and amortization of deferred gain on reinsurance.</w:t>
            </w:r>
          </w:p>
        </w:tc>
      </w:tr>
      <w:tr>
        <w:trPr/>
        <w:tc>
          <w:tcPr>
            <w:tcW w:w="8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2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spread</w:t>
            </w:r>
          </w:p>
        </w:tc>
        <w:tc>
          <w:tcPr>
            <w:tcW w:w="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6772" w:type="dxa"/>
            <w:gridSpan w:val="3"/>
            <w:tcBorders/>
            <w:shd w:fill="CCEEFF" w:val="clear"/>
            <w:tcMar>
              <w:top w:w="0" w:type="dxa"/>
              <w:left w:w="0" w:type="dxa"/>
              <w:bottom w:w="0" w:type="dxa"/>
              <w:right w:w="0" w:type="dxa"/>
            </w:tcMar>
            <w:vAlign w:val="center"/>
          </w:tcPr>
          <w:p>
            <w:pPr>
              <w:pStyle w:val="TableContents"/>
              <w:spacing w:lineRule="auto" w:line="288" w:before="240" w:after="283"/>
              <w:jc w:val="left"/>
              <w:rPr/>
            </w:pPr>
            <w:r>
              <w:rPr>
                <w:rFonts w:ascii="Times New Roman;sans-serif" w:hAnsi="Times New Roman;sans-serif"/>
                <w:b w:val="false"/>
                <w:i/>
                <w:color w:val="000000"/>
                <w:sz w:val="20"/>
              </w:rPr>
              <w:t>Net investment income</w:t>
            </w:r>
            <w:r>
              <w:rPr>
                <w:color w:val="000000"/>
              </w:rPr>
              <w:t xml:space="preserve"> </w:t>
            </w:r>
            <w:r>
              <w:rPr>
                <w:rFonts w:ascii="Times New Roman;sans-serif" w:hAnsi="Times New Roman;sans-serif"/>
                <w:b w:val="false"/>
                <w:color w:val="000000"/>
                <w:sz w:val="20"/>
              </w:rPr>
              <w:t>plus Investment Hedge Adjustments and interest received on ceded fixed annuity reinsurance deposit funds reduced by Interest credited to policyholder account balances and interest on future policy benefits.</w:t>
            </w:r>
          </w:p>
        </w:tc>
      </w:tr>
      <w:tr>
        <w:trPr/>
        <w:tc>
          <w:tcPr>
            <w:tcW w:w="8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2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Insurance-related activities</w:t>
            </w:r>
          </w:p>
        </w:tc>
        <w:tc>
          <w:tcPr>
            <w:tcW w:w="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6772"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r>
              <w:rPr>
                <w:rFonts w:ascii="Times New Roman;sans-serif" w:hAnsi="Times New Roman;sans-serif"/>
                <w:b w:val="false"/>
                <w:i/>
                <w:color w:val="000000"/>
                <w:sz w:val="20"/>
              </w:rPr>
              <w:t>Premiums</w:t>
            </w:r>
            <w:r>
              <w:rPr>
                <w:color w:val="000000"/>
              </w:rPr>
              <w:t xml:space="preserve"> </w:t>
            </w:r>
            <w:r>
              <w:rPr>
                <w:rFonts w:ascii="Times New Roman;sans-serif" w:hAnsi="Times New Roman;sans-serif"/>
                <w:b w:val="false"/>
                <w:color w:val="000000"/>
                <w:sz w:val="20"/>
              </w:rPr>
              <w:t xml:space="preserve">less </w:t>
            </w:r>
            <w:r>
              <w:rPr>
                <w:rFonts w:ascii="Times New Roman;sans-serif" w:hAnsi="Times New Roman;sans-serif"/>
                <w:b w:val="false"/>
                <w:i/>
                <w:color w:val="000000"/>
                <w:sz w:val="20"/>
              </w:rPr>
              <w:t>Policyholder benefits and claims</w:t>
            </w:r>
            <w:r>
              <w:rPr>
                <w:color w:val="000000"/>
              </w:rPr>
              <w:t xml:space="preserve"> </w:t>
            </w:r>
            <w:r>
              <w:rPr>
                <w:rFonts w:ascii="Times New Roman;sans-serif" w:hAnsi="Times New Roman;sans-serif"/>
                <w:b w:val="false"/>
                <w:color w:val="000000"/>
                <w:sz w:val="20"/>
              </w:rPr>
              <w:t>(excluding (a) GMIB Costs, (b) Market Value Adjustments, (c) interest on future policy benefits and (d) amortization of deferred gain on reinsurance) plus the pass through of performance of ceded separate account assets.</w:t>
            </w:r>
          </w:p>
        </w:tc>
      </w:tr>
      <w:tr>
        <w:trPr/>
        <w:tc>
          <w:tcPr>
            <w:tcW w:w="8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2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DAC</w:t>
            </w:r>
          </w:p>
        </w:tc>
        <w:tc>
          <w:tcPr>
            <w:tcW w:w="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6772" w:type="dxa"/>
            <w:gridSpan w:val="3"/>
            <w:tcBorders/>
            <w:shd w:fill="CCEEFF" w:val="clear"/>
            <w:tcMar>
              <w:top w:w="0" w:type="dxa"/>
              <w:left w:w="0" w:type="dxa"/>
              <w:bottom w:w="0" w:type="dxa"/>
              <w:right w:w="0" w:type="dxa"/>
            </w:tcMar>
            <w:vAlign w:val="center"/>
          </w:tcPr>
          <w:p>
            <w:pPr>
              <w:pStyle w:val="TableContents"/>
              <w:spacing w:lineRule="auto" w:line="288" w:before="240" w:after="283"/>
              <w:jc w:val="left"/>
              <w:rPr/>
            </w:pPr>
            <w:r>
              <w:rPr>
                <w:rFonts w:ascii="Times New Roman;sans-serif" w:hAnsi="Times New Roman;sans-serif"/>
                <w:b w:val="false"/>
                <w:i/>
                <w:color w:val="000000"/>
                <w:sz w:val="20"/>
              </w:rPr>
              <w:t>Amortization of DAC</w:t>
            </w:r>
            <w:r>
              <w:rPr>
                <w:color w:val="000000"/>
              </w:rPr>
              <w:t xml:space="preserve"> </w:t>
            </w:r>
            <w:r>
              <w:rPr>
                <w:rFonts w:ascii="Times New Roman;sans-serif" w:hAnsi="Times New Roman;sans-serif"/>
                <w:b w:val="false"/>
                <w:color w:val="000000"/>
                <w:sz w:val="20"/>
              </w:rPr>
              <w:t>(excluding amounts related to (a) net investment gains (losses), (b) net derivative gains (losses) and (c) GMIB Fees and GMIB Costs).</w:t>
            </w:r>
          </w:p>
        </w:tc>
      </w:tr>
      <w:tr>
        <w:trPr/>
        <w:tc>
          <w:tcPr>
            <w:tcW w:w="8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2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 of DAC capitalization</w:t>
            </w:r>
          </w:p>
        </w:tc>
        <w:tc>
          <w:tcPr>
            <w:tcW w:w="5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6772" w:type="dxa"/>
            <w:gridSpan w:val="3"/>
            <w:tcBorders/>
            <w:shd w:fill="FFFFFF" w:val="clear"/>
            <w:tcMar>
              <w:top w:w="0" w:type="dxa"/>
              <w:left w:w="0" w:type="dxa"/>
              <w:bottom w:w="0" w:type="dxa"/>
              <w:right w:w="0" w:type="dxa"/>
            </w:tcMar>
            <w:vAlign w:val="center"/>
          </w:tcPr>
          <w:p>
            <w:pPr>
              <w:pStyle w:val="TableContents"/>
              <w:spacing w:lineRule="auto" w:line="288" w:before="240" w:after="283"/>
              <w:jc w:val="left"/>
              <w:rPr/>
            </w:pPr>
            <w:r>
              <w:rPr>
                <w:rFonts w:ascii="Times New Roman;sans-serif" w:hAnsi="Times New Roman;sans-serif"/>
                <w:b w:val="false"/>
                <w:i/>
                <w:color w:val="000000"/>
                <w:sz w:val="20"/>
              </w:rPr>
              <w:t>Other expenses</w:t>
            </w:r>
            <w:r>
              <w:rPr>
                <w:color w:val="000000"/>
              </w:rPr>
              <w:t xml:space="preserve"> </w:t>
            </w:r>
            <w:r>
              <w:rPr>
                <w:rFonts w:ascii="Times New Roman;sans-serif" w:hAnsi="Times New Roman;sans-serif"/>
                <w:b w:val="false"/>
                <w:color w:val="000000"/>
                <w:sz w:val="20"/>
              </w:rPr>
              <w:t>reduced by capitalization of DAC.</w:t>
            </w:r>
          </w:p>
        </w:tc>
      </w:tr>
      <w:tr>
        <w:trPr/>
        <w:tc>
          <w:tcPr>
            <w:tcW w:w="80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20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 (benefit)</w:t>
            </w:r>
          </w:p>
        </w:tc>
        <w:tc>
          <w:tcPr>
            <w:tcW w:w="59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677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impact of the above items.</w:t>
            </w:r>
          </w:p>
        </w:tc>
      </w:tr>
    </w:tbl>
    <w:p>
      <w:pPr>
        <w:pStyle w:val="TextBody"/>
        <w:spacing w:lineRule="auto" w:line="288" w:before="24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(1)Italicized items indicate GAAP statement of operations line items.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GAAP guidance for segment reporting, adjusted earnings is also our GAAP measure of segment performance. Accordingly, we report adjusted earnings by segment in Note 2 of the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Results for the Three Months Ended March 31, 2022 and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all amounts in the following discussions of our results of operations are stated before income tax except for adjusted earnings, which are presented net of income tax.</w:t>
      </w:r>
    </w:p>
    <w:tbl>
      <w:tblPr>
        <w:tblW w:w="6065" w:type="dxa"/>
        <w:jc w:val="left"/>
        <w:tblInd w:w="0" w:type="dxa"/>
        <w:tblCellMar>
          <w:top w:w="28" w:type="dxa"/>
          <w:left w:w="28" w:type="dxa"/>
          <w:bottom w:w="28" w:type="dxa"/>
          <w:right w:w="28" w:type="dxa"/>
        </w:tblCellMar>
      </w:tblPr>
      <w:tblGrid>
        <w:gridCol w:w="1428"/>
        <w:gridCol w:w="1250"/>
        <w:gridCol w:w="1266"/>
        <w:gridCol w:w="109"/>
        <w:gridCol w:w="109"/>
        <w:gridCol w:w="109"/>
        <w:gridCol w:w="196"/>
        <w:gridCol w:w="406"/>
        <w:gridCol w:w="109"/>
        <w:gridCol w:w="109"/>
        <w:gridCol w:w="109"/>
        <w:gridCol w:w="109"/>
        <w:gridCol w:w="196"/>
        <w:gridCol w:w="406"/>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DAC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income (loss) were as follows:</w:t>
      </w:r>
    </w:p>
    <w:tbl>
      <w:tblPr>
        <w:tblW w:w="5495" w:type="dxa"/>
        <w:jc w:val="left"/>
        <w:tblInd w:w="0" w:type="dxa"/>
        <w:tblCellMar>
          <w:top w:w="28" w:type="dxa"/>
          <w:left w:w="28" w:type="dxa"/>
          <w:bottom w:w="28" w:type="dxa"/>
          <w:right w:w="28" w:type="dxa"/>
        </w:tblCellMar>
      </w:tblPr>
      <w:tblGrid>
        <w:gridCol w:w="1222"/>
        <w:gridCol w:w="1070"/>
        <w:gridCol w:w="1082"/>
        <w:gridCol w:w="109"/>
        <w:gridCol w:w="109"/>
        <w:gridCol w:w="109"/>
        <w:gridCol w:w="196"/>
        <w:gridCol w:w="406"/>
        <w:gridCol w:w="109"/>
        <w:gridCol w:w="109"/>
        <w:gridCol w:w="109"/>
        <w:gridCol w:w="109"/>
        <w:gridCol w:w="196"/>
        <w:gridCol w:w="406"/>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GMLB Riders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derivative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2022 Compared with the Three Months Ended March 31,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 was $38 million ($29 million, net of income tax), a lower loss of $25 million ($20 million, net of income tax) from a loss before provision for income tax of $63 million ($49 million, net of income tax) in the prior period.</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income before provision for income tax was driven by the following net favorable items: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net favorable change in guaranteed minimum living benefits (“GMLB”) riders (“GMLB Riders”) from lower relative equity markets and higher interest rates resulting in: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to the estimated fair value of the embedded derivative liabilities associated with Shield Level Annuities (“Shield”);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 favorable change in ceded reinsurance;</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to the estimated fair value of our GMLB hedges;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unfavorable change to the estimated fair value of variable annuity liability reserves;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 unfavorable change to GMLB DAC; and</w:t>
      </w:r>
    </w:p>
    <w:p>
      <w:pPr>
        <w:pStyle w:val="TextBody"/>
        <w:spacing w:lineRule="auto" w:line="288" w:before="120" w:after="283"/>
        <w:ind w:left="0" w:right="0" w:firstLine="360"/>
        <w:jc w:val="both"/>
        <w:rPr/>
      </w:pPr>
      <w:r>
        <w:rPr>
          <w:color w:val="000000"/>
        </w:rPr>
        <w:t>•</w:t>
      </w:r>
      <w:r>
        <w:rPr>
          <w:rFonts w:ascii="Times New Roman;sans-serif" w:hAnsi="Times New Roman;sans-serif"/>
          <w:b w:val="false"/>
          <w:color w:val="000000"/>
          <w:sz w:val="20"/>
        </w:rPr>
        <w:t>higher pre-tax adjusted earnings, as discussed in greater detail below.</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income before provision for income tax was partially offset by net investment losses reflecting current period net losses on sales of fixed maturity securities compared to prior period net gains.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resulted in an effective tax rate of 24% in the current period compared to 22% in the prior period. The increase in the effective tax rate was driven by higher pre-tax adjusted earnings, as discussed in greater detail below. Our effective tax rate differs from the statutory tax rate primarily due to the impacts of the dividends received deduction and tax credits.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Reconciliation of Net Income (Loss) to Adjusted Earnings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(loss) to adjusted earnings was as follows:</w:t>
      </w:r>
    </w:p>
    <w:tbl>
      <w:tblPr>
        <w:tblW w:w="5676" w:type="dxa"/>
        <w:jc w:val="left"/>
        <w:tblInd w:w="0" w:type="dxa"/>
        <w:tblCellMar>
          <w:top w:w="28" w:type="dxa"/>
          <w:left w:w="28" w:type="dxa"/>
          <w:bottom w:w="28" w:type="dxa"/>
          <w:right w:w="28" w:type="dxa"/>
        </w:tblCellMar>
      </w:tblPr>
      <w:tblGrid>
        <w:gridCol w:w="1284"/>
        <w:gridCol w:w="1133"/>
        <w:gridCol w:w="1138"/>
        <w:gridCol w:w="109"/>
        <w:gridCol w:w="109"/>
        <w:gridCol w:w="109"/>
        <w:gridCol w:w="196"/>
        <w:gridCol w:w="406"/>
        <w:gridCol w:w="109"/>
        <w:gridCol w:w="109"/>
        <w:gridCol w:w="109"/>
        <w:gridCol w:w="109"/>
        <w:gridCol w:w="196"/>
        <w:gridCol w:w="406"/>
        <w:gridCol w:w="154"/>
      </w:tblGrid>
      <w:tr>
        <w:trPr/>
        <w:tc>
          <w:tcPr>
            <w:tcW w:w="1284"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GMLB Riders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Other 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Results for the Three Months Ended March 31, 2022 and 2021 — Adjusted Earnings</w:t>
      </w:r>
    </w:p>
    <w:p>
      <w:pPr>
        <w:pStyle w:val="TextBody"/>
        <w:spacing w:lineRule="auto" w:line="288" w:before="120" w:after="283"/>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components of adjusted earnings were as follows:</w:t>
      </w:r>
    </w:p>
    <w:tbl>
      <w:tblPr>
        <w:tblW w:w="5108" w:type="dxa"/>
        <w:jc w:val="left"/>
        <w:tblInd w:w="0" w:type="dxa"/>
        <w:tblCellMar>
          <w:top w:w="28" w:type="dxa"/>
          <w:left w:w="28" w:type="dxa"/>
          <w:bottom w:w="28" w:type="dxa"/>
          <w:right w:w="28" w:type="dxa"/>
        </w:tblCellMar>
      </w:tblPr>
      <w:tblGrid>
        <w:gridCol w:w="1133"/>
        <w:gridCol w:w="998"/>
        <w:gridCol w:w="1004"/>
        <w:gridCol w:w="109"/>
        <w:gridCol w:w="109"/>
        <w:gridCol w:w="109"/>
        <w:gridCol w:w="196"/>
        <w:gridCol w:w="332"/>
        <w:gridCol w:w="109"/>
        <w:gridCol w:w="109"/>
        <w:gridCol w:w="109"/>
        <w:gridCol w:w="109"/>
        <w:gridCol w:w="196"/>
        <w:gridCol w:w="332"/>
        <w:gridCol w:w="154"/>
      </w:tblGrid>
      <w:tr>
        <w:trPr/>
        <w:tc>
          <w:tcPr>
            <w:tcW w:w="113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 of DAC capitalization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March 31, 2022 Compared with the Three Months Ended March 31, 2021</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$1 million in the current period, an increase of $3 million.</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impacts were: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 higher average invested assets resulting from positive net flows in the general account; and</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amortization of DAC driven by a decrease in equity market performance resulting in favorable changes to our Shield business.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impacts were: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associated with insurance-related activities driven by higher paid claims, net of reinsurance;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asset-based fees resulting from lower average separate account balances, a portion of which is offset in other expenses.</w:t>
      </w:r>
    </w:p>
    <w:p>
      <w:pPr>
        <w:pStyle w:val="TextBody"/>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pre-tax adjusted earnings resulted in a lower effective tax rate in the current period compared to the prior period. Our effective tax rate differs from the statutory tax rate primarily due to the impacts of the dividends received deduction and tax credits.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BHNY.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between actual experience and actuarial assumptions and the effectiveness of our actuarial models;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on earnings, capitalization and statutory capital and greater volatility of our results due to guarantees within certain of our products;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the ongoing COVID-19 pandemic;</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potential material adverse effect of changes in accounting standards, practices or policies applicable to us, including changes in the accounting for long-duration contracts;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business and other negative impacts resulting from a downgrade or a potential downgrade in our financial strength ratings;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reinsurance and the ability of the counterparties to our reinsurance or indemnification arrangements to perform their obligations thereunder;</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heightened competition, including with respect to service, product features, scale, price, actual or perceived financial strength, claims-paying ratings, financial strength ratings, e-business capabilities and name recognition;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market and distribute our products through distribution channels;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risks associated with climate change;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adverse impact on liabilities for policyholder claims as a result of extreme mortality events;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adverse capital and credit market conditions, including with respect to our ability to meet liquidity needs and access capital;</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economic conditions in the capital markets and the U.S. and global economy, as well as geo-political events, military actions or catastrophic events, on our investment portfolio, including on realized and unrealized losses and impairments, net investment spread and net investment income;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events that adversely affect issuers, guarantors or collateral relating to our investments or our derivatives counterparties, on impairments, valuation allowances, reserves, net investment income and changes in unrealized gain or loss positions;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regulation and in supervisory and enforcement policies on our insurance business or other operations;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potential material negative tax impact of potential future tax legislation that could make some of our products less attractive to consumers;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policies and procedures in managing risk;</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all or any portion of the tax consequences of our separation from MetLife, Inc. (together with its subsidiaries and affiliates, “MetLife”) are not as expected, leading to material additional taxes or material adverse consequences to tax attributes that impact us;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uncertainty of the outcome of any disputes with MetLife over tax-related or other matters and agreements or disagreements regarding MetLife’s or our obligations under our other agreements;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described in this report and from time to time in documents that we file with the SEC.</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2021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2022.</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MetLife provides certain services to the Company on a transitional basis through services agreements. The Company continues to change business processes, implement systems and establish new third-party arrangements, as a subsidiary of Brighthouse Financial, Inc. We consider these in aggregate to be material changes in our internal control over financial reporting.</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noted above, there were no changes to the Company’s internal control over financial reporting (as defined in Rules 13a-15(f) and 15d-15(f) under the Exchange Act) that occurred during the quarter ended March 31, 2022 that have materially affected, or are reasonably likely to materially affect, these internal controls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in this report, in our 2021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2021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320"/>
        <w:ind w:left="0" w:right="0" w:firstLine="360"/>
        <w:jc w:val="both"/>
        <w:rPr/>
      </w:pPr>
      <w:r>
        <w:rPr>
          <w:rFonts w:ascii="Times New Roman;sans-serif" w:hAnsi="Times New Roman;sans-serif"/>
          <w:b w:val="false"/>
          <w:i/>
          <w:color w:val="000000"/>
          <w:sz w:val="20"/>
        </w:rPr>
        <w:t>(</w:t>
      </w:r>
      <w:r>
        <w:rPr>
          <w:rFonts w:ascii="Times New Roman;sans-serif" w:hAnsi="Times New Roman;sans-serif"/>
          <w:b/>
          <w:i/>
          <w:color w:val="000000"/>
          <w:sz w:val="20"/>
        </w:rPr>
        <w:t>Note Regarding Reliance on Statements in Our Contracts:</w:t>
      </w:r>
      <w:r>
        <w:rPr>
          <w:color w:val="000000"/>
        </w:rPr>
        <w:t xml:space="preserve"> </w:t>
      </w:r>
      <w:r>
        <w:rPr>
          <w:rFonts w:ascii="Times New Roman;sans-serif" w:hAnsi="Times New Roman;sans-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Life Insurance Company of NY, its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of NY and its affiliates may be found elsewhere herein and Brighthouse Life Insurance Company of NY’s other public filings, which are available without charge through the U.S. Securities and Exchange Commission website at www.sec.gov.)</w:t>
      </w:r>
    </w:p>
    <w:tbl>
      <w:tblPr>
        <w:tblW w:w="10205" w:type="dxa"/>
        <w:jc w:val="left"/>
        <w:tblInd w:w="0" w:type="dxa"/>
        <w:tblCellMar>
          <w:top w:w="28" w:type="dxa"/>
          <w:left w:w="28" w:type="dxa"/>
          <w:bottom w:w="28" w:type="dxa"/>
          <w:right w:w="28" w:type="dxa"/>
        </w:tblCellMar>
      </w:tblPr>
      <w:tblGrid>
        <w:gridCol w:w="292"/>
        <w:gridCol w:w="256"/>
        <w:gridCol w:w="258"/>
        <w:gridCol w:w="109"/>
        <w:gridCol w:w="109"/>
        <w:gridCol w:w="109"/>
        <w:gridCol w:w="2646"/>
        <w:gridCol w:w="2646"/>
        <w:gridCol w:w="3780"/>
      </w:tblGrid>
      <w:tr>
        <w:trPr/>
        <w:tc>
          <w:tcPr>
            <w:tcW w:w="29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3780" w:type="dxa"/>
            <w:tcBorders/>
            <w:shd w:fill="auto" w:val="clear"/>
            <w:vAlign w:val="center"/>
          </w:tcPr>
          <w:p>
            <w:pPr>
              <w:pStyle w:val="TableContents"/>
              <w:spacing w:before="0" w:after="283"/>
              <w:rPr>
                <w:sz w:val="4"/>
                <w:szCs w:val="4"/>
              </w:rPr>
            </w:pPr>
            <w:r>
              <w:rPr>
                <w:sz w:val="4"/>
                <w:szCs w:val="4"/>
              </w:rPr>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bhny-03312022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hny-03312022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hny-03312022xe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bhny-03312022xe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Brighthouse Life Insurance Company of NY’s Quarterly Report on Form 10-Q for the quarter ended March 31, 2022, formatted in Inline XBRL (included within the Exhibit 101 attachments).</w:t>
            </w:r>
          </w:p>
        </w:tc>
      </w:tr>
    </w:tbl>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before="1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jc w:val="both"/>
        <w:rPr/>
      </w:pPr>
      <w:hyperlink w:anchor="id0c303cc1baf4308aeed4ade3cfcd8e9_7">
        <w:r>
          <w:rPr>
            <w:rStyle w:val="InternetLink"/>
            <w:rFonts w:ascii="Times New Roman;sans-serif" w:hAnsi="Times New Roman;sans-serif"/>
            <w:b/>
            <w:color w:val="0000FF"/>
            <w:sz w:val="18"/>
            <w:u w:val="single"/>
          </w:rPr>
          <w:t>Table of Contents</w:t>
        </w:r>
      </w:hyperlink>
    </w:p>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180" w:after="283"/>
        <w:ind w:left="0" w:right="0" w:firstLine="360"/>
        <w:jc w:val="center"/>
        <w:rPr/>
      </w:pPr>
      <w:r>
        <w:rPr/>
      </w:r>
    </w:p>
    <w:tbl>
      <w:tblPr>
        <w:tblW w:w="8170" w:type="dxa"/>
        <w:jc w:val="center"/>
        <w:tblInd w:w="0" w:type="dxa"/>
        <w:tblCellMar>
          <w:top w:w="28" w:type="dxa"/>
          <w:left w:w="28" w:type="dxa"/>
          <w:bottom w:w="28" w:type="dxa"/>
          <w:right w:w="28" w:type="dxa"/>
        </w:tblCellMar>
      </w:tblPr>
      <w:tblGrid>
        <w:gridCol w:w="425"/>
        <w:gridCol w:w="372"/>
        <w:gridCol w:w="372"/>
        <w:gridCol w:w="372"/>
        <w:gridCol w:w="372"/>
        <w:gridCol w:w="372"/>
        <w:gridCol w:w="372"/>
        <w:gridCol w:w="372"/>
        <w:gridCol w:w="372"/>
        <w:gridCol w:w="1365"/>
        <w:gridCol w:w="1365"/>
        <w:gridCol w:w="2039"/>
      </w:tblGrid>
      <w:tr>
        <w:trPr/>
        <w:tc>
          <w:tcPr>
            <w:tcW w:w="42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2039" w:type="dxa"/>
            <w:tcBorders/>
            <w:shd w:fill="auto" w:val="clear"/>
            <w:vAlign w:val="center"/>
          </w:tcPr>
          <w:p>
            <w:pPr>
              <w:pStyle w:val="TableContents"/>
              <w:spacing w:before="0" w:after="283"/>
              <w:rPr>
                <w:sz w:val="4"/>
                <w:szCs w:val="4"/>
              </w:rPr>
            </w:pPr>
            <w:r>
              <w:rPr>
                <w:sz w:val="4"/>
                <w:szCs w:val="4"/>
              </w:rPr>
            </w:r>
          </w:p>
        </w:tc>
      </w:tr>
      <w:tr>
        <w:trPr/>
        <w:tc>
          <w:tcPr>
            <w:tcW w:w="8170"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OF NY</w:t>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Kristine H. Toscano</w:t>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1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Kristine H. Toscano</w:t>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r>
        <w:trPr/>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240"/>
        <w:ind w:left="0" w:right="0" w:firstLine="720"/>
        <w:jc w:val="center"/>
        <w:rPr/>
      </w:pPr>
      <w:r>
        <w:rPr>
          <w:rFonts w:ascii="Times New Roman;sans-serif" w:hAnsi="Times New Roman;sans-serif"/>
          <w:b w:val="false"/>
          <w:color w:val="000000"/>
          <w:sz w:val="20"/>
          <w:u w:val="single"/>
        </w:rPr>
        <w:t>CERTIFICATIONS</w:t>
      </w:r>
      <w:r>
        <w:rPr>
          <w:color w:val="000000"/>
        </w:rPr>
        <w:t xml:space="preserve">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 David A. Rosenbaum, certify that: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Life Insurance Company of NY;</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bl>
      <w:tblPr>
        <w:tblW w:w="5160" w:type="dxa"/>
        <w:jc w:val="right"/>
        <w:tblInd w:w="0" w:type="dxa"/>
        <w:tblCellMar>
          <w:top w:w="28" w:type="dxa"/>
          <w:left w:w="28" w:type="dxa"/>
          <w:bottom w:w="28" w:type="dxa"/>
          <w:right w:w="28" w:type="dxa"/>
        </w:tblCellMar>
      </w:tblPr>
      <w:tblGrid>
        <w:gridCol w:w="1650"/>
        <w:gridCol w:w="1452"/>
        <w:gridCol w:w="2058"/>
      </w:tblGrid>
      <w:tr>
        <w:trPr/>
        <w:tc>
          <w:tcPr>
            <w:tcW w:w="1650"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Rosenbaum</w:t>
            </w:r>
          </w:p>
        </w:tc>
      </w:tr>
      <w:tr>
        <w:trPr/>
        <w:tc>
          <w:tcPr>
            <w:tcW w:w="516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A. Rosenbaum</w:t>
              <w:br/>
              <w:t>Chairman of the Board, President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240"/>
        <w:ind w:left="0" w:right="0" w:firstLine="720"/>
        <w:jc w:val="center"/>
        <w:rPr/>
      </w:pPr>
      <w:r>
        <w:rPr>
          <w:rFonts w:ascii="Times New Roman;sans-serif" w:hAnsi="Times New Roman;sans-serif"/>
          <w:b w:val="false"/>
          <w:color w:val="000000"/>
          <w:sz w:val="20"/>
          <w:u w:val="single"/>
        </w:rPr>
        <w:t>CERTIFICATIONS</w:t>
      </w:r>
      <w:r>
        <w:rPr>
          <w:color w:val="000000"/>
        </w:rPr>
        <w:t xml:space="preserve">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 Kristine H. Toscano, certify that: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Life Insurance Company of NY;</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10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bl>
      <w:tblPr>
        <w:tblW w:w="3585" w:type="dxa"/>
        <w:jc w:val="right"/>
        <w:tblInd w:w="0" w:type="dxa"/>
        <w:tblCellMar>
          <w:top w:w="28" w:type="dxa"/>
          <w:left w:w="28" w:type="dxa"/>
          <w:bottom w:w="28" w:type="dxa"/>
          <w:right w:w="28" w:type="dxa"/>
        </w:tblCellMar>
      </w:tblPr>
      <w:tblGrid>
        <w:gridCol w:w="1147"/>
        <w:gridCol w:w="1009"/>
        <w:gridCol w:w="1429"/>
      </w:tblGrid>
      <w:tr>
        <w:trPr/>
        <w:tc>
          <w:tcPr>
            <w:tcW w:w="114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Kristine H. Toscano</w:t>
            </w:r>
          </w:p>
        </w:tc>
      </w:tr>
      <w:tr>
        <w:trPr/>
        <w:tc>
          <w:tcPr>
            <w:tcW w:w="35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Kristine H. Toscano</w:t>
              <w:br/>
              <w:t>Vice President and Chief Financial Officer</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spacing w:before="0" w:after="0"/>
        <w:jc w:val="center"/>
        <w:rPr/>
      </w:pPr>
      <w:r>
        <w:rPr/>
      </w:r>
    </w:p>
    <w:p>
      <w:pPr>
        <w:pStyle w:val="TextBody"/>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David A. Rosenbaum, certify that, to my knowledge, (i) Brighthouse Life Insurance Company of NY’s Quarterly Report on Form 10-Q for the quarter ended March 31, 2022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 of 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color w:val="000000"/>
        </w:rPr>
      </w:pPr>
      <w:r>
        <w:rPr>
          <w:color w:val="000000"/>
        </w:rPr>
        <w:t>            </w:t>
      </w:r>
    </w:p>
    <w:tbl>
      <w:tblPr>
        <w:tblW w:w="5160" w:type="dxa"/>
        <w:jc w:val="right"/>
        <w:tblInd w:w="0" w:type="dxa"/>
        <w:tblCellMar>
          <w:top w:w="28" w:type="dxa"/>
          <w:left w:w="28" w:type="dxa"/>
          <w:bottom w:w="28" w:type="dxa"/>
          <w:right w:w="28" w:type="dxa"/>
        </w:tblCellMar>
      </w:tblPr>
      <w:tblGrid>
        <w:gridCol w:w="1650"/>
        <w:gridCol w:w="1452"/>
        <w:gridCol w:w="2058"/>
      </w:tblGrid>
      <w:tr>
        <w:trPr/>
        <w:tc>
          <w:tcPr>
            <w:tcW w:w="1650"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Rosenbaum</w:t>
            </w:r>
          </w:p>
        </w:tc>
      </w:tr>
      <w:tr>
        <w:trPr/>
        <w:tc>
          <w:tcPr>
            <w:tcW w:w="516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A. Rosenbaum</w:t>
              <w:br/>
              <w:t>Chairman of the Board, President and Chief Executive Officer</w:t>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Life Insurance Company of 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spacing w:before="0" w:after="0"/>
        <w:jc w:val="center"/>
        <w:rPr/>
      </w:pPr>
      <w:r>
        <w:rPr/>
      </w:r>
    </w:p>
    <w:p>
      <w:pPr>
        <w:pStyle w:val="TextBody"/>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spacing w:before="0" w:after="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Kristine H. Toscano, certify that, to my knowledge, (i) Brighthouse Life Insurance Company of NY’s Quarterly Report on Form 10-Q for the quarter ended March 31, 2022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 of NY.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color w:val="000000"/>
        </w:rPr>
      </w:pPr>
      <w:r>
        <w:rPr>
          <w:color w:val="000000"/>
        </w:rPr>
        <w:t>            </w:t>
      </w:r>
    </w:p>
    <w:tbl>
      <w:tblPr>
        <w:tblW w:w="3585" w:type="dxa"/>
        <w:jc w:val="right"/>
        <w:tblInd w:w="0" w:type="dxa"/>
        <w:tblCellMar>
          <w:top w:w="28" w:type="dxa"/>
          <w:left w:w="28" w:type="dxa"/>
          <w:bottom w:w="28" w:type="dxa"/>
          <w:right w:w="28" w:type="dxa"/>
        </w:tblCellMar>
      </w:tblPr>
      <w:tblGrid>
        <w:gridCol w:w="1147"/>
        <w:gridCol w:w="1009"/>
        <w:gridCol w:w="1429"/>
      </w:tblGrid>
      <w:tr>
        <w:trPr/>
        <w:tc>
          <w:tcPr>
            <w:tcW w:w="114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Kristine H. Toscano</w:t>
            </w:r>
          </w:p>
        </w:tc>
      </w:tr>
      <w:tr>
        <w:trPr/>
        <w:tc>
          <w:tcPr>
            <w:tcW w:w="358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Kristine H. Toscano</w:t>
              <w:br/>
              <w:t>Vice President and Chief Financial Officer</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Life Insurance Company of 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spacing w:before="0" w:after="0"/>
        <w:jc w:val="both"/>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20589</Words>
  <CharactersWithSpaces>133922</CharactersWithSpaces>
  <Paragraphs>3347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