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829310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787400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t>UNITED STATES</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2502535</wp:posOffset>
            </wp:positionH>
            <wp:positionV relativeFrom="paragraph">
              <wp:posOffset>156210</wp:posOffset>
            </wp:positionV>
            <wp:extent cx="2347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7595"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FORM 10-Q</w:t>
      </w:r>
    </w:p>
    <w:p>
      <w:pPr>
        <w:spacing w:after="0" w:line="148" w:lineRule="exact"/>
        <w:rPr>
          <w:sz w:val="24"/>
          <w:szCs w:val="24"/>
          <w:color w:val="auto"/>
        </w:rPr>
      </w:pPr>
    </w:p>
    <w:p>
      <w:pPr>
        <w:ind w:left="2120" w:hanging="531"/>
        <w:spacing w:after="0"/>
        <w:tabs>
          <w:tab w:leader="none" w:pos="212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June 30, 2022</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44" w:lineRule="exact"/>
        <w:rPr>
          <w:sz w:val="24"/>
          <w:szCs w:val="24"/>
          <w:color w:val="auto"/>
        </w:rPr>
      </w:pPr>
    </w:p>
    <w:p>
      <w:pPr>
        <w:ind w:left="1640" w:hanging="369"/>
        <w:spacing w:after="0"/>
        <w:tabs>
          <w:tab w:leader="none" w:pos="16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transition period from ___ to 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001-37905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2830830</wp:posOffset>
            </wp:positionH>
            <wp:positionV relativeFrom="paragraph">
              <wp:posOffset>189865</wp:posOffset>
            </wp:positionV>
            <wp:extent cx="1489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9075" cy="825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332740</wp:posOffset>
            </wp:positionV>
            <wp:extent cx="2061210" cy="471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61210" cy="471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Brighthouse Financial, Inc.</w:t>
      </w:r>
    </w:p>
    <w:p>
      <w:pPr>
        <w:sectPr>
          <w:pgSz w:w="11900" w:h="16838" w:orient="portrait"/>
          <w:cols w:equalWidth="0" w:num="1">
            <w:col w:w="11240"/>
          </w:cols>
          <w:pgMar w:left="320" w:top="1393" w:right="339" w:bottom="1440" w:gutter="0" w:footer="0" w:header="0"/>
        </w:sectPr>
      </w:pPr>
    </w:p>
    <w:p>
      <w:pPr>
        <w:spacing w:after="0" w:line="38" w:lineRule="exact"/>
        <w:rPr>
          <w:sz w:val="24"/>
          <w:szCs w:val="24"/>
          <w:color w:val="auto"/>
        </w:rPr>
      </w:pPr>
    </w:p>
    <w:p>
      <w:pPr>
        <w:jc w:val="right"/>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68" w:lineRule="exact"/>
        <w:rPr>
          <w:sz w:val="24"/>
          <w:szCs w:val="24"/>
          <w:color w:val="auto"/>
        </w:rPr>
      </w:pPr>
    </w:p>
    <w:p>
      <w:pPr>
        <w:jc w:val="center"/>
        <w:ind w:right="220"/>
        <w:spacing w:after="0"/>
        <w:rPr>
          <w:sz w:val="20"/>
          <w:szCs w:val="20"/>
          <w:color w:val="auto"/>
        </w:rPr>
      </w:pPr>
      <w:r>
        <w:rPr>
          <w:rFonts w:ascii="Arial" w:cs="Arial" w:eastAsia="Arial" w:hAnsi="Arial"/>
          <w:sz w:val="14"/>
          <w:szCs w:val="14"/>
          <w:b w:val="1"/>
          <w:bCs w:val="1"/>
          <w:color w:val="auto"/>
        </w:rPr>
        <w:t>Delaware</w:t>
      </w:r>
    </w:p>
    <w:p>
      <w:pPr>
        <w:spacing w:after="0" w:line="29" w:lineRule="exact"/>
        <w:rPr>
          <w:sz w:val="24"/>
          <w:szCs w:val="24"/>
          <w:color w:val="auto"/>
        </w:rPr>
      </w:pPr>
    </w:p>
    <w:p>
      <w:pPr>
        <w:jc w:val="center"/>
        <w:ind w:right="220"/>
        <w:spacing w:after="0"/>
        <w:rPr>
          <w:sz w:val="20"/>
          <w:szCs w:val="20"/>
          <w:color w:val="auto"/>
        </w:rPr>
      </w:pPr>
      <w:r>
        <w:rPr>
          <w:rFonts w:ascii="Arial" w:cs="Arial" w:eastAsia="Arial" w:hAnsi="Arial"/>
          <w:sz w:val="14"/>
          <w:szCs w:val="14"/>
          <w:i w:val="1"/>
          <w:iCs w:val="1"/>
          <w:color w:val="auto"/>
        </w:rPr>
        <w:t>(State or other jurisdiction of incorporation or organization)</w:t>
      </w:r>
    </w:p>
    <w:p>
      <w:pPr>
        <w:spacing w:after="0" w:line="167" w:lineRule="exact"/>
        <w:rPr>
          <w:sz w:val="24"/>
          <w:szCs w:val="24"/>
          <w:color w:val="auto"/>
        </w:rPr>
      </w:pPr>
    </w:p>
    <w:p>
      <w:pPr>
        <w:ind w:left="1840"/>
        <w:spacing w:after="0"/>
        <w:rPr>
          <w:sz w:val="20"/>
          <w:szCs w:val="20"/>
          <w:color w:val="auto"/>
        </w:rPr>
      </w:pPr>
      <w:r>
        <w:rPr>
          <w:rFonts w:ascii="Arial" w:cs="Arial" w:eastAsia="Arial" w:hAnsi="Arial"/>
          <w:sz w:val="14"/>
          <w:szCs w:val="14"/>
          <w:b w:val="1"/>
          <w:bCs w:val="1"/>
          <w:color w:val="auto"/>
        </w:rPr>
        <w:t>11225 North Community House Road, Charlotte, North</w:t>
      </w:r>
    </w:p>
    <w:p>
      <w:pPr>
        <w:ind w:left="3100"/>
        <w:spacing w:after="0"/>
        <w:rPr>
          <w:sz w:val="20"/>
          <w:szCs w:val="20"/>
          <w:color w:val="auto"/>
        </w:rPr>
      </w:pPr>
      <w:r>
        <w:rPr>
          <w:rFonts w:ascii="Arial" w:cs="Arial" w:eastAsia="Arial" w:hAnsi="Arial"/>
          <w:sz w:val="14"/>
          <w:szCs w:val="14"/>
          <w:b w:val="1"/>
          <w:bCs w:val="1"/>
          <w:color w:val="auto"/>
        </w:rPr>
        <w:t>Carolina</w:t>
      </w:r>
    </w:p>
    <w:p>
      <w:pPr>
        <w:spacing w:after="0" w:line="92" w:lineRule="exact"/>
        <w:rPr>
          <w:sz w:val="24"/>
          <w:szCs w:val="24"/>
          <w:color w:val="auto"/>
        </w:rPr>
      </w:pPr>
    </w:p>
    <w:p>
      <w:pPr>
        <w:ind w:left="242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33" w:lineRule="exact"/>
        <w:rPr>
          <w:sz w:val="24"/>
          <w:szCs w:val="24"/>
          <w:color w:val="auto"/>
        </w:rPr>
      </w:pPr>
    </w:p>
    <w:tbl>
      <w:tblPr>
        <w:tblLayout w:type="fixed"/>
        <w:tblInd w:w="1120" w:type="dxa"/>
        <w:tblCellMar>
          <w:top w:w="0" w:type="dxa"/>
          <w:left w:w="0" w:type="dxa"/>
          <w:bottom w:w="0" w:type="dxa"/>
          <w:right w:w="0" w:type="dxa"/>
        </w:tblCellMar>
      </w:tblPr>
      <w:tr>
        <w:trPr>
          <w:trHeight w:val="167"/>
        </w:trPr>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gridSpan w:val="2"/>
          </w:tcPr>
          <w:p>
            <w:pPr>
              <w:jc w:val="center"/>
              <w:ind w:right="118"/>
              <w:spacing w:after="0"/>
              <w:rPr>
                <w:sz w:val="20"/>
                <w:szCs w:val="20"/>
                <w:color w:val="auto"/>
              </w:rPr>
            </w:pPr>
            <w:r>
              <w:rPr>
                <w:rFonts w:ascii="Arial" w:cs="Arial" w:eastAsia="Arial" w:hAnsi="Arial"/>
                <w:sz w:val="14"/>
                <w:szCs w:val="14"/>
                <w:b w:val="1"/>
                <w:bCs w:val="1"/>
                <w:color w:val="auto"/>
                <w:w w:val="91"/>
              </w:rPr>
              <w:t>(980) 365-7100</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40" w:type="dxa"/>
            <w:vAlign w:val="bottom"/>
            <w:gridSpan w:val="4"/>
          </w:tcPr>
          <w:p>
            <w:pPr>
              <w:jc w:val="center"/>
              <w:ind w:left="758"/>
              <w:spacing w:after="0"/>
              <w:rPr>
                <w:sz w:val="20"/>
                <w:szCs w:val="20"/>
                <w:color w:val="auto"/>
              </w:rPr>
            </w:pPr>
            <w:r>
              <w:rPr>
                <w:rFonts w:ascii="Arial" w:cs="Arial" w:eastAsia="Arial" w:hAnsi="Arial"/>
                <w:sz w:val="12"/>
                <w:szCs w:val="12"/>
                <w:i w:val="1"/>
                <w:iCs w:val="1"/>
                <w:color w:val="auto"/>
                <w:w w:val="92"/>
              </w:rPr>
              <w:t>(Registrant’s telephone number, including area code)</w:t>
            </w:r>
          </w:p>
        </w:tc>
        <w:tc>
          <w:tcPr>
            <w:tcW w:w="0" w:type="dxa"/>
            <w:vAlign w:val="bottom"/>
          </w:tcPr>
          <w:p>
            <w:pPr>
              <w:spacing w:after="0"/>
              <w:rPr>
                <w:sz w:val="1"/>
                <w:szCs w:val="1"/>
                <w:color w:val="auto"/>
              </w:rPr>
            </w:pPr>
          </w:p>
        </w:tc>
      </w:tr>
      <w:tr>
        <w:trPr>
          <w:trHeight w:val="252"/>
        </w:trPr>
        <w:tc>
          <w:tcPr>
            <w:tcW w:w="1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40" w:type="dxa"/>
            <w:vAlign w:val="bottom"/>
            <w:gridSpan w:val="4"/>
          </w:tcPr>
          <w:p>
            <w:pPr>
              <w:jc w:val="center"/>
              <w:ind w:left="738"/>
              <w:spacing w:after="0"/>
              <w:rPr>
                <w:sz w:val="20"/>
                <w:szCs w:val="20"/>
                <w:color w:val="auto"/>
              </w:rPr>
            </w:pPr>
            <w:r>
              <w:rPr>
                <w:rFonts w:ascii="Arial" w:cs="Arial" w:eastAsia="Arial" w:hAnsi="Arial"/>
                <w:sz w:val="12"/>
                <w:szCs w:val="12"/>
                <w:color w:val="auto"/>
                <w:w w:val="93"/>
              </w:rPr>
              <w:t>Securities registered pursuant to Section 12(b) of the Act:</w:t>
            </w:r>
          </w:p>
        </w:tc>
        <w:tc>
          <w:tcPr>
            <w:tcW w:w="0" w:type="dxa"/>
            <w:vAlign w:val="bottom"/>
          </w:tcPr>
          <w:p>
            <w:pPr>
              <w:spacing w:after="0"/>
              <w:rPr>
                <w:sz w:val="1"/>
                <w:szCs w:val="1"/>
                <w:color w:val="auto"/>
              </w:rPr>
            </w:pPr>
          </w:p>
        </w:tc>
      </w:tr>
      <w:tr>
        <w:trPr>
          <w:trHeight w:val="335"/>
        </w:trPr>
        <w:tc>
          <w:tcPr>
            <w:tcW w:w="1400" w:type="dxa"/>
            <w:vAlign w:val="bottom"/>
          </w:tcPr>
          <w:p>
            <w:pPr>
              <w:spacing w:after="0"/>
              <w:rPr>
                <w:sz w:val="24"/>
                <w:szCs w:val="24"/>
                <w:color w:val="auto"/>
              </w:rPr>
            </w:pPr>
          </w:p>
        </w:tc>
        <w:tc>
          <w:tcPr>
            <w:tcW w:w="2460" w:type="dxa"/>
            <w:vAlign w:val="bottom"/>
            <w:gridSpan w:val="2"/>
          </w:tcPr>
          <w:p>
            <w:pPr>
              <w:jc w:val="center"/>
              <w:ind w:right="1518"/>
              <w:spacing w:after="0"/>
              <w:rPr>
                <w:sz w:val="20"/>
                <w:szCs w:val="20"/>
                <w:color w:val="auto"/>
              </w:rPr>
            </w:pPr>
            <w:r>
              <w:rPr>
                <w:rFonts w:ascii="Arial" w:cs="Arial" w:eastAsia="Arial" w:hAnsi="Arial"/>
                <w:sz w:val="12"/>
                <w:szCs w:val="12"/>
                <w:color w:val="auto"/>
                <w:w w:val="91"/>
              </w:rPr>
              <w:t>Title of each class</w:t>
            </w:r>
          </w:p>
        </w:tc>
        <w:tc>
          <w:tcPr>
            <w:tcW w:w="2060" w:type="dxa"/>
            <w:vAlign w:val="bottom"/>
            <w:gridSpan w:val="3"/>
          </w:tcPr>
          <w:p>
            <w:pPr>
              <w:jc w:val="center"/>
              <w:ind w:right="60"/>
              <w:spacing w:after="0"/>
              <w:rPr>
                <w:sz w:val="20"/>
                <w:szCs w:val="20"/>
                <w:color w:val="auto"/>
              </w:rPr>
            </w:pPr>
            <w:r>
              <w:rPr>
                <w:rFonts w:ascii="Arial" w:cs="Arial" w:eastAsia="Arial" w:hAnsi="Arial"/>
                <w:sz w:val="12"/>
                <w:szCs w:val="12"/>
                <w:color w:val="auto"/>
                <w:w w:val="95"/>
              </w:rPr>
              <w:t>Trading symbol(s)</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2"/>
              </w:rPr>
              <w:t>Common Stock, par value $0.01 per share</w:t>
            </w:r>
          </w:p>
        </w:tc>
        <w:tc>
          <w:tcPr>
            <w:tcW w:w="540" w:type="dxa"/>
            <w:vAlign w:val="bottom"/>
          </w:tcPr>
          <w:p>
            <w:pPr>
              <w:spacing w:after="0"/>
              <w:rPr>
                <w:sz w:val="18"/>
                <w:szCs w:val="18"/>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2"/>
                <w:szCs w:val="12"/>
                <w:b w:val="1"/>
                <w:bCs w:val="1"/>
                <w:color w:val="auto"/>
              </w:rPr>
              <w:t>BHF</w:t>
            </w:r>
          </w:p>
        </w:tc>
        <w:tc>
          <w:tcPr>
            <w:tcW w:w="0" w:type="dxa"/>
            <w:vAlign w:val="bottom"/>
          </w:tcPr>
          <w:p>
            <w:pPr>
              <w:spacing w:after="0"/>
              <w:rPr>
                <w:sz w:val="1"/>
                <w:szCs w:val="1"/>
                <w:color w:val="auto"/>
              </w:rPr>
            </w:pPr>
          </w:p>
        </w:tc>
      </w:tr>
      <w:tr>
        <w:trPr>
          <w:trHeight w:val="163"/>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1"/>
              </w:rPr>
              <w:t>Depositary Shares, each representing a 1/1,000th interest in a share of</w:t>
            </w:r>
          </w:p>
        </w:tc>
        <w:tc>
          <w:tcPr>
            <w:tcW w:w="540" w:type="dxa"/>
            <w:vAlign w:val="bottom"/>
          </w:tcPr>
          <w:p>
            <w:pPr>
              <w:spacing w:after="0"/>
              <w:rPr>
                <w:sz w:val="14"/>
                <w:szCs w:val="14"/>
                <w:color w:val="auto"/>
              </w:rPr>
            </w:pPr>
          </w:p>
        </w:tc>
        <w:tc>
          <w:tcPr>
            <w:tcW w:w="1520" w:type="dxa"/>
            <w:vAlign w:val="bottom"/>
            <w:gridSpan w:val="2"/>
            <w:vMerge w:val="restart"/>
          </w:tcPr>
          <w:p>
            <w:pPr>
              <w:jc w:val="center"/>
              <w:ind w:right="600"/>
              <w:spacing w:after="0"/>
              <w:rPr>
                <w:sz w:val="20"/>
                <w:szCs w:val="20"/>
                <w:color w:val="auto"/>
              </w:rPr>
            </w:pPr>
            <w:r>
              <w:rPr>
                <w:rFonts w:ascii="Arial" w:cs="Arial" w:eastAsia="Arial" w:hAnsi="Arial"/>
                <w:sz w:val="12"/>
                <w:szCs w:val="12"/>
                <w:b w:val="1"/>
                <w:bCs w:val="1"/>
                <w:color w:val="auto"/>
                <w:w w:val="96"/>
              </w:rPr>
              <w:t>BHFAP</w:t>
            </w:r>
          </w:p>
        </w:tc>
        <w:tc>
          <w:tcPr>
            <w:tcW w:w="0" w:type="dxa"/>
            <w:vAlign w:val="bottom"/>
          </w:tcPr>
          <w:p>
            <w:pPr>
              <w:spacing w:after="0"/>
              <w:rPr>
                <w:sz w:val="1"/>
                <w:szCs w:val="1"/>
                <w:color w:val="auto"/>
              </w:rPr>
            </w:pPr>
          </w:p>
        </w:tc>
      </w:tr>
      <w:tr>
        <w:trPr>
          <w:trHeight w:val="89"/>
        </w:trPr>
        <w:tc>
          <w:tcPr>
            <w:tcW w:w="3860" w:type="dxa"/>
            <w:vAlign w:val="bottom"/>
            <w:gridSpan w:val="3"/>
            <w:vMerge w:val="restart"/>
          </w:tcPr>
          <w:p>
            <w:pPr>
              <w:jc w:val="center"/>
              <w:ind w:right="118"/>
              <w:spacing w:after="0"/>
              <w:rPr>
                <w:sz w:val="20"/>
                <w:szCs w:val="20"/>
                <w:color w:val="auto"/>
              </w:rPr>
            </w:pPr>
            <w:r>
              <w:rPr>
                <w:rFonts w:ascii="Arial" w:cs="Arial" w:eastAsia="Arial" w:hAnsi="Arial"/>
                <w:sz w:val="12"/>
                <w:szCs w:val="12"/>
                <w:b w:val="1"/>
                <w:bCs w:val="1"/>
                <w:color w:val="auto"/>
                <w:w w:val="94"/>
              </w:rPr>
              <w:t>6.600% Non-Cumulative Preferred Stock, Series A</w:t>
            </w:r>
          </w:p>
        </w:tc>
        <w:tc>
          <w:tcPr>
            <w:tcW w:w="5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386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1"/>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00"/>
              <w:spacing w:after="0"/>
              <w:rPr>
                <w:sz w:val="20"/>
                <w:szCs w:val="20"/>
                <w:color w:val="auto"/>
              </w:rPr>
            </w:pPr>
            <w:r>
              <w:rPr>
                <w:rFonts w:ascii="Arial" w:cs="Arial" w:eastAsia="Arial" w:hAnsi="Arial"/>
                <w:sz w:val="12"/>
                <w:szCs w:val="12"/>
                <w:b w:val="1"/>
                <w:bCs w:val="1"/>
                <w:color w:val="auto"/>
              </w:rPr>
              <w:t>BHFAO</w:t>
            </w:r>
          </w:p>
        </w:tc>
        <w:tc>
          <w:tcPr>
            <w:tcW w:w="0" w:type="dxa"/>
            <w:vAlign w:val="bottom"/>
          </w:tcPr>
          <w:p>
            <w:pPr>
              <w:spacing w:after="0"/>
              <w:rPr>
                <w:sz w:val="1"/>
                <w:szCs w:val="1"/>
                <w:color w:val="auto"/>
              </w:rPr>
            </w:pPr>
          </w:p>
        </w:tc>
      </w:tr>
      <w:tr>
        <w:trPr>
          <w:trHeight w:val="89"/>
        </w:trPr>
        <w:tc>
          <w:tcPr>
            <w:tcW w:w="3860" w:type="dxa"/>
            <w:vAlign w:val="bottom"/>
            <w:gridSpan w:val="3"/>
            <w:vMerge w:val="restart"/>
          </w:tcPr>
          <w:p>
            <w:pPr>
              <w:jc w:val="center"/>
              <w:ind w:right="118"/>
              <w:spacing w:after="0"/>
              <w:rPr>
                <w:sz w:val="20"/>
                <w:szCs w:val="20"/>
                <w:color w:val="auto"/>
              </w:rPr>
            </w:pPr>
            <w:r>
              <w:rPr>
                <w:rFonts w:ascii="Arial" w:cs="Arial" w:eastAsia="Arial" w:hAnsi="Arial"/>
                <w:sz w:val="12"/>
                <w:szCs w:val="12"/>
                <w:b w:val="1"/>
                <w:bCs w:val="1"/>
                <w:color w:val="auto"/>
                <w:w w:val="94"/>
              </w:rPr>
              <w:t>6.750% Non-Cumulative Preferred Stock, Series B</w:t>
            </w:r>
          </w:p>
        </w:tc>
        <w:tc>
          <w:tcPr>
            <w:tcW w:w="5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386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1"/>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20"/>
              <w:spacing w:after="0"/>
              <w:rPr>
                <w:sz w:val="20"/>
                <w:szCs w:val="20"/>
                <w:color w:val="auto"/>
              </w:rPr>
            </w:pPr>
            <w:r>
              <w:rPr>
                <w:rFonts w:ascii="Arial" w:cs="Arial" w:eastAsia="Arial" w:hAnsi="Arial"/>
                <w:sz w:val="12"/>
                <w:szCs w:val="12"/>
                <w:b w:val="1"/>
                <w:bCs w:val="1"/>
                <w:color w:val="auto"/>
                <w:w w:val="99"/>
              </w:rPr>
              <w:t>BHFAN</w:t>
            </w:r>
          </w:p>
        </w:tc>
        <w:tc>
          <w:tcPr>
            <w:tcW w:w="0" w:type="dxa"/>
            <w:vAlign w:val="bottom"/>
          </w:tcPr>
          <w:p>
            <w:pPr>
              <w:spacing w:after="0"/>
              <w:rPr>
                <w:sz w:val="1"/>
                <w:szCs w:val="1"/>
                <w:color w:val="auto"/>
              </w:rPr>
            </w:pPr>
          </w:p>
        </w:tc>
      </w:tr>
      <w:tr>
        <w:trPr>
          <w:trHeight w:val="89"/>
        </w:trPr>
        <w:tc>
          <w:tcPr>
            <w:tcW w:w="3860" w:type="dxa"/>
            <w:vAlign w:val="bottom"/>
            <w:gridSpan w:val="3"/>
            <w:vMerge w:val="restart"/>
          </w:tcPr>
          <w:p>
            <w:pPr>
              <w:jc w:val="center"/>
              <w:ind w:right="118"/>
              <w:spacing w:after="0"/>
              <w:rPr>
                <w:sz w:val="20"/>
                <w:szCs w:val="20"/>
                <w:color w:val="auto"/>
              </w:rPr>
            </w:pPr>
            <w:r>
              <w:rPr>
                <w:rFonts w:ascii="Arial" w:cs="Arial" w:eastAsia="Arial" w:hAnsi="Arial"/>
                <w:sz w:val="12"/>
                <w:szCs w:val="12"/>
                <w:b w:val="1"/>
                <w:bCs w:val="1"/>
                <w:color w:val="auto"/>
                <w:w w:val="94"/>
              </w:rPr>
              <w:t>5.375% Non-Cumulative Preferred Stock, Series C</w:t>
            </w:r>
          </w:p>
        </w:tc>
        <w:tc>
          <w:tcPr>
            <w:tcW w:w="5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386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1"/>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20"/>
              <w:spacing w:after="0"/>
              <w:rPr>
                <w:sz w:val="20"/>
                <w:szCs w:val="20"/>
                <w:color w:val="auto"/>
              </w:rPr>
            </w:pPr>
            <w:r>
              <w:rPr>
                <w:rFonts w:ascii="Arial" w:cs="Arial" w:eastAsia="Arial" w:hAnsi="Arial"/>
                <w:sz w:val="12"/>
                <w:szCs w:val="12"/>
                <w:b w:val="1"/>
                <w:bCs w:val="1"/>
                <w:color w:val="auto"/>
              </w:rPr>
              <w:t>BHFAM</w:t>
            </w:r>
          </w:p>
        </w:tc>
        <w:tc>
          <w:tcPr>
            <w:tcW w:w="0" w:type="dxa"/>
            <w:vAlign w:val="bottom"/>
          </w:tcPr>
          <w:p>
            <w:pPr>
              <w:spacing w:after="0"/>
              <w:rPr>
                <w:sz w:val="1"/>
                <w:szCs w:val="1"/>
                <w:color w:val="auto"/>
              </w:rPr>
            </w:pPr>
          </w:p>
        </w:tc>
      </w:tr>
      <w:tr>
        <w:trPr>
          <w:trHeight w:val="89"/>
        </w:trPr>
        <w:tc>
          <w:tcPr>
            <w:tcW w:w="3860" w:type="dxa"/>
            <w:vAlign w:val="bottom"/>
            <w:gridSpan w:val="3"/>
            <w:vMerge w:val="restart"/>
          </w:tcPr>
          <w:p>
            <w:pPr>
              <w:jc w:val="center"/>
              <w:ind w:right="118"/>
              <w:spacing w:after="0"/>
              <w:rPr>
                <w:sz w:val="20"/>
                <w:szCs w:val="20"/>
                <w:color w:val="auto"/>
              </w:rPr>
            </w:pPr>
            <w:r>
              <w:rPr>
                <w:rFonts w:ascii="Arial" w:cs="Arial" w:eastAsia="Arial" w:hAnsi="Arial"/>
                <w:sz w:val="12"/>
                <w:szCs w:val="12"/>
                <w:b w:val="1"/>
                <w:bCs w:val="1"/>
                <w:color w:val="auto"/>
                <w:w w:val="94"/>
              </w:rPr>
              <w:t>4.625% Non-Cumulative Preferred Stock, Series D</w:t>
            </w:r>
          </w:p>
        </w:tc>
        <w:tc>
          <w:tcPr>
            <w:tcW w:w="5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386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3"/>
              </w:rPr>
              <w:t>6.250% Junior Subordinated Debentures due 2058</w:t>
            </w:r>
          </w:p>
        </w:tc>
        <w:tc>
          <w:tcPr>
            <w:tcW w:w="540" w:type="dxa"/>
            <w:vAlign w:val="bottom"/>
          </w:tcPr>
          <w:p>
            <w:pPr>
              <w:spacing w:after="0"/>
              <w:rPr>
                <w:sz w:val="16"/>
                <w:szCs w:val="16"/>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2"/>
                <w:szCs w:val="12"/>
                <w:b w:val="1"/>
                <w:bCs w:val="1"/>
                <w:color w:val="auto"/>
              </w:rPr>
              <w:t>BHFAL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46" w:lineRule="exact"/>
        <w:rPr>
          <w:sz w:val="24"/>
          <w:szCs w:val="24"/>
          <w:color w:val="auto"/>
        </w:rPr>
      </w:pPr>
    </w:p>
    <w:p>
      <w:pPr>
        <w:jc w:val="center"/>
        <w:ind w:right="1900"/>
        <w:spacing w:after="0"/>
        <w:rPr>
          <w:sz w:val="20"/>
          <w:szCs w:val="20"/>
          <w:color w:val="auto"/>
        </w:rPr>
      </w:pPr>
      <w:r>
        <w:rPr>
          <w:rFonts w:ascii="Arial" w:cs="Arial" w:eastAsia="Arial" w:hAnsi="Arial"/>
          <w:sz w:val="14"/>
          <w:szCs w:val="14"/>
          <w:b w:val="1"/>
          <w:bCs w:val="1"/>
          <w:color w:val="auto"/>
        </w:rPr>
        <w:t>81-3846992</w:t>
      </w:r>
    </w:p>
    <w:p>
      <w:pPr>
        <w:spacing w:after="0" w:line="29" w:lineRule="exact"/>
        <w:rPr>
          <w:sz w:val="24"/>
          <w:szCs w:val="24"/>
          <w:color w:val="auto"/>
        </w:rPr>
      </w:pPr>
    </w:p>
    <w:p>
      <w:pPr>
        <w:jc w:val="center"/>
        <w:ind w:right="1900"/>
        <w:spacing w:after="0"/>
        <w:rPr>
          <w:sz w:val="20"/>
          <w:szCs w:val="20"/>
          <w:color w:val="auto"/>
        </w:rPr>
      </w:pPr>
      <w:r>
        <w:rPr>
          <w:rFonts w:ascii="Arial" w:cs="Arial" w:eastAsia="Arial" w:hAnsi="Arial"/>
          <w:sz w:val="13"/>
          <w:szCs w:val="13"/>
          <w:i w:val="1"/>
          <w:iCs w:val="1"/>
          <w:color w:val="auto"/>
        </w:rPr>
        <w:t>(I.R.S. Employer Identification No.)</w:t>
      </w:r>
    </w:p>
    <w:p>
      <w:pPr>
        <w:spacing w:after="0" w:line="257" w:lineRule="exact"/>
        <w:rPr>
          <w:sz w:val="24"/>
          <w:szCs w:val="24"/>
          <w:color w:val="auto"/>
        </w:rPr>
      </w:pPr>
    </w:p>
    <w:p>
      <w:pPr>
        <w:jc w:val="center"/>
        <w:ind w:right="1900"/>
        <w:spacing w:after="0"/>
        <w:rPr>
          <w:sz w:val="20"/>
          <w:szCs w:val="20"/>
          <w:color w:val="auto"/>
        </w:rPr>
      </w:pPr>
      <w:r>
        <w:rPr>
          <w:rFonts w:ascii="Arial" w:cs="Arial" w:eastAsia="Arial" w:hAnsi="Arial"/>
          <w:sz w:val="14"/>
          <w:szCs w:val="14"/>
          <w:b w:val="1"/>
          <w:bCs w:val="1"/>
          <w:color w:val="auto"/>
        </w:rPr>
        <w:t>28277</w:t>
      </w:r>
    </w:p>
    <w:p>
      <w:pPr>
        <w:spacing w:after="0" w:line="174" w:lineRule="exact"/>
        <w:rPr>
          <w:sz w:val="24"/>
          <w:szCs w:val="24"/>
          <w:color w:val="auto"/>
        </w:rPr>
      </w:pPr>
    </w:p>
    <w:p>
      <w:pPr>
        <w:ind w:left="700"/>
        <w:spacing w:after="0"/>
        <w:rPr>
          <w:sz w:val="20"/>
          <w:szCs w:val="20"/>
          <w:color w:val="auto"/>
        </w:rPr>
      </w:pPr>
      <w:r>
        <w:rPr>
          <w:rFonts w:ascii="Arial" w:cs="Arial" w:eastAsia="Arial" w:hAnsi="Arial"/>
          <w:sz w:val="14"/>
          <w:szCs w:val="14"/>
          <w:i w:val="1"/>
          <w:iCs w:val="1"/>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280"/>
        <w:spacing w:after="0"/>
        <w:rPr>
          <w:sz w:val="20"/>
          <w:szCs w:val="20"/>
          <w:color w:val="auto"/>
        </w:rPr>
      </w:pPr>
      <w:r>
        <w:rPr>
          <w:rFonts w:ascii="Arial" w:cs="Arial" w:eastAsia="Arial" w:hAnsi="Arial"/>
          <w:sz w:val="11"/>
          <w:szCs w:val="11"/>
          <w:u w:val="single" w:color="auto"/>
          <w:color w:val="auto"/>
        </w:rPr>
        <w:t>Name of each exchange on which registered</w:t>
      </w:r>
    </w:p>
    <w:p>
      <w:pPr>
        <w:spacing w:after="0" w:line="82" w:lineRule="exact"/>
        <w:rPr>
          <w:sz w:val="24"/>
          <w:szCs w:val="24"/>
          <w:color w:val="auto"/>
        </w:rPr>
      </w:pPr>
    </w:p>
    <w:p>
      <w:pPr>
        <w:jc w:val="center"/>
        <w:ind w:right="1280"/>
        <w:spacing w:after="0"/>
        <w:rPr>
          <w:sz w:val="20"/>
          <w:szCs w:val="20"/>
          <w:color w:val="auto"/>
        </w:rPr>
      </w:pPr>
      <w:r>
        <w:rPr>
          <w:rFonts w:ascii="Arial" w:cs="Arial" w:eastAsia="Arial" w:hAnsi="Arial"/>
          <w:sz w:val="12"/>
          <w:szCs w:val="12"/>
          <w:b w:val="1"/>
          <w:bCs w:val="1"/>
          <w:color w:val="auto"/>
        </w:rPr>
        <w:t>The Nasdaq Stock Market LLC</w:t>
      </w:r>
    </w:p>
    <w:p>
      <w:pPr>
        <w:spacing w:after="0" w:line="114" w:lineRule="exact"/>
        <w:rPr>
          <w:sz w:val="24"/>
          <w:szCs w:val="24"/>
          <w:color w:val="auto"/>
        </w:rPr>
      </w:pPr>
    </w:p>
    <w:p>
      <w:pPr>
        <w:ind w:left="480"/>
        <w:spacing w:after="0"/>
        <w:rPr>
          <w:sz w:val="20"/>
          <w:szCs w:val="20"/>
          <w:color w:val="auto"/>
        </w:rPr>
      </w:pPr>
      <w:r>
        <w:rPr>
          <w:rFonts w:ascii="Arial" w:cs="Arial" w:eastAsia="Arial" w:hAnsi="Arial"/>
          <w:sz w:val="12"/>
          <w:szCs w:val="12"/>
          <w:b w:val="1"/>
          <w:bCs w:val="1"/>
          <w:color w:val="auto"/>
        </w:rPr>
        <w:t>The Nasdaq Stock Market LLC</w:t>
      </w:r>
    </w:p>
    <w:p>
      <w:pPr>
        <w:spacing w:after="0" w:line="180" w:lineRule="exact"/>
        <w:rPr>
          <w:sz w:val="24"/>
          <w:szCs w:val="24"/>
          <w:color w:val="auto"/>
        </w:rPr>
      </w:pPr>
    </w:p>
    <w:p>
      <w:pPr>
        <w:ind w:left="480"/>
        <w:spacing w:after="0"/>
        <w:rPr>
          <w:sz w:val="20"/>
          <w:szCs w:val="20"/>
          <w:color w:val="auto"/>
        </w:rPr>
      </w:pPr>
      <w:r>
        <w:rPr>
          <w:rFonts w:ascii="Arial" w:cs="Arial" w:eastAsia="Arial" w:hAnsi="Arial"/>
          <w:sz w:val="12"/>
          <w:szCs w:val="12"/>
          <w:b w:val="1"/>
          <w:bCs w:val="1"/>
          <w:color w:val="auto"/>
        </w:rPr>
        <w:t>The Nasdaq Stock Market LLC</w:t>
      </w:r>
    </w:p>
    <w:p>
      <w:pPr>
        <w:spacing w:after="0" w:line="180" w:lineRule="exact"/>
        <w:rPr>
          <w:sz w:val="24"/>
          <w:szCs w:val="24"/>
          <w:color w:val="auto"/>
        </w:rPr>
      </w:pPr>
    </w:p>
    <w:p>
      <w:pPr>
        <w:ind w:left="480"/>
        <w:spacing w:after="0"/>
        <w:rPr>
          <w:sz w:val="20"/>
          <w:szCs w:val="20"/>
          <w:color w:val="auto"/>
        </w:rPr>
      </w:pPr>
      <w:r>
        <w:rPr>
          <w:rFonts w:ascii="Arial" w:cs="Arial" w:eastAsia="Arial" w:hAnsi="Arial"/>
          <w:sz w:val="12"/>
          <w:szCs w:val="12"/>
          <w:b w:val="1"/>
          <w:bCs w:val="1"/>
          <w:color w:val="auto"/>
        </w:rPr>
        <w:t>The Nasdaq Stock Market LLC</w:t>
      </w:r>
    </w:p>
    <w:p>
      <w:pPr>
        <w:spacing w:after="0" w:line="180" w:lineRule="exact"/>
        <w:rPr>
          <w:sz w:val="24"/>
          <w:szCs w:val="24"/>
          <w:color w:val="auto"/>
        </w:rPr>
      </w:pPr>
    </w:p>
    <w:p>
      <w:pPr>
        <w:ind w:left="480"/>
        <w:spacing w:after="0"/>
        <w:rPr>
          <w:sz w:val="20"/>
          <w:szCs w:val="20"/>
          <w:color w:val="auto"/>
        </w:rPr>
      </w:pPr>
      <w:r>
        <w:rPr>
          <w:rFonts w:ascii="Arial" w:cs="Arial" w:eastAsia="Arial" w:hAnsi="Arial"/>
          <w:sz w:val="12"/>
          <w:szCs w:val="12"/>
          <w:b w:val="1"/>
          <w:bCs w:val="1"/>
          <w:color w:val="auto"/>
        </w:rPr>
        <w:t>The Nasdaq Stock Market LLC</w:t>
      </w:r>
    </w:p>
    <w:p>
      <w:pPr>
        <w:spacing w:after="0" w:line="127" w:lineRule="exact"/>
        <w:rPr>
          <w:sz w:val="24"/>
          <w:szCs w:val="24"/>
          <w:color w:val="auto"/>
        </w:rPr>
      </w:pPr>
    </w:p>
    <w:p>
      <w:pPr>
        <w:ind w:left="480"/>
        <w:spacing w:after="0"/>
        <w:rPr>
          <w:sz w:val="20"/>
          <w:szCs w:val="20"/>
          <w:color w:val="auto"/>
        </w:rPr>
      </w:pPr>
      <w:r>
        <w:rPr>
          <w:rFonts w:ascii="Arial" w:cs="Arial" w:eastAsia="Arial" w:hAnsi="Arial"/>
          <w:sz w:val="12"/>
          <w:szCs w:val="12"/>
          <w:b w:val="1"/>
          <w:bCs w:val="1"/>
          <w:color w:val="auto"/>
        </w:rPr>
        <w:t>The Nasdaq Stock Market LLC</w:t>
      </w:r>
    </w:p>
    <w:p>
      <w:pPr>
        <w:spacing w:after="0" w:line="222" w:lineRule="exact"/>
        <w:rPr>
          <w:sz w:val="24"/>
          <w:szCs w:val="24"/>
          <w:color w:val="auto"/>
        </w:rPr>
      </w:pPr>
    </w:p>
    <w:p>
      <w:pPr>
        <w:sectPr>
          <w:pgSz w:w="11900" w:h="16838" w:orient="portrait"/>
          <w:cols w:equalWidth="0" w:num="2">
            <w:col w:w="7260" w:space="60"/>
            <w:col w:w="3920"/>
          </w:cols>
          <w:pgMar w:left="320" w:top="1393" w:right="339" w:bottom="1440" w:gutter="0" w:footer="0" w:header="0"/>
          <w:type w:val="continuous"/>
        </w:sectPr>
      </w:pPr>
    </w:p>
    <w:p>
      <w:pPr>
        <w:spacing w:after="0" w:line="2" w:lineRule="exact"/>
        <w:rPr>
          <w:sz w:val="24"/>
          <w:szCs w:val="24"/>
          <w:color w:val="auto"/>
        </w:rPr>
      </w:pPr>
    </w:p>
    <w:p>
      <w:pPr>
        <w:spacing w:after="0" w:line="158"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82" w:lineRule="exact"/>
        <w:rPr>
          <w:sz w:val="24"/>
          <w:szCs w:val="24"/>
          <w:color w:val="auto"/>
        </w:rPr>
      </w:pPr>
    </w:p>
    <w:p>
      <w:pPr>
        <w:spacing w:after="0" w:line="158"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82" w:lineRule="exact"/>
        <w:rPr>
          <w:sz w:val="24"/>
          <w:szCs w:val="24"/>
          <w:color w:val="auto"/>
        </w:rPr>
      </w:pPr>
    </w:p>
    <w:p>
      <w:pPr>
        <w:spacing w:after="0" w:line="28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9" w:lineRule="exact"/>
        <w:rPr>
          <w:sz w:val="24"/>
          <w:szCs w:val="24"/>
          <w:color w:val="auto"/>
        </w:rPr>
      </w:pPr>
    </w:p>
    <w:tbl>
      <w:tblPr>
        <w:tblLayout w:type="fixed"/>
        <w:tblInd w:w="1100" w:type="dxa"/>
        <w:tblCellMar>
          <w:top w:w="0" w:type="dxa"/>
          <w:left w:w="0" w:type="dxa"/>
          <w:bottom w:w="0" w:type="dxa"/>
          <w:right w:w="0" w:type="dxa"/>
        </w:tblCellMar>
      </w:tblPr>
      <w:tr>
        <w:trPr>
          <w:trHeight w:val="193"/>
        </w:trPr>
        <w:tc>
          <w:tcPr>
            <w:tcW w:w="1180" w:type="dxa"/>
            <w:vAlign w:val="bottom"/>
          </w:tcPr>
          <w:p>
            <w:pPr>
              <w:spacing w:after="0"/>
              <w:rPr>
                <w:sz w:val="20"/>
                <w:szCs w:val="20"/>
                <w:color w:val="auto"/>
              </w:rPr>
            </w:pPr>
            <w:r>
              <w:rPr>
                <w:rFonts w:ascii="Arial" w:cs="Arial" w:eastAsia="Arial" w:hAnsi="Arial"/>
                <w:sz w:val="12"/>
                <w:szCs w:val="12"/>
                <w:color w:val="auto"/>
                <w:w w:val="97"/>
              </w:rPr>
              <w:t>Large accelerated filer</w:t>
            </w:r>
          </w:p>
        </w:tc>
        <w:tc>
          <w:tcPr>
            <w:tcW w:w="296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ind w:left="2780"/>
              <w:spacing w:after="0"/>
              <w:rPr>
                <w:sz w:val="20"/>
                <w:szCs w:val="20"/>
                <w:color w:val="auto"/>
              </w:rPr>
            </w:pPr>
            <w:r>
              <w:rPr>
                <w:rFonts w:ascii="Arial" w:cs="Arial" w:eastAsia="Arial" w:hAnsi="Arial"/>
                <w:sz w:val="12"/>
                <w:szCs w:val="12"/>
                <w:color w:val="auto"/>
              </w:rPr>
              <w:t>Accelerated filer</w:t>
            </w:r>
          </w:p>
        </w:tc>
        <w:tc>
          <w:tcPr>
            <w:tcW w:w="240" w:type="dxa"/>
            <w:vAlign w:val="bottom"/>
            <w:vMerge w:val="restart"/>
          </w:tcPr>
          <w:p>
            <w:pPr>
              <w:ind w:left="120"/>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53"/>
        </w:trPr>
        <w:tc>
          <w:tcPr>
            <w:tcW w:w="1180" w:type="dxa"/>
            <w:vAlign w:val="bottom"/>
          </w:tcPr>
          <w:p>
            <w:pPr>
              <w:spacing w:after="0"/>
              <w:rPr>
                <w:sz w:val="4"/>
                <w:szCs w:val="4"/>
                <w:color w:val="auto"/>
              </w:rPr>
            </w:pPr>
          </w:p>
        </w:tc>
        <w:tc>
          <w:tcPr>
            <w:tcW w:w="2960" w:type="dxa"/>
            <w:vAlign w:val="bottom"/>
          </w:tcPr>
          <w:p>
            <w:pPr>
              <w:spacing w:after="0"/>
              <w:rPr>
                <w:sz w:val="4"/>
                <w:szCs w:val="4"/>
                <w:color w:val="auto"/>
              </w:rPr>
            </w:pPr>
          </w:p>
        </w:tc>
        <w:tc>
          <w:tcPr>
            <w:tcW w:w="42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1180" w:type="dxa"/>
            <w:vAlign w:val="bottom"/>
          </w:tcPr>
          <w:p>
            <w:pPr>
              <w:spacing w:after="0"/>
              <w:rPr>
                <w:sz w:val="20"/>
                <w:szCs w:val="20"/>
                <w:color w:val="auto"/>
              </w:rPr>
            </w:pPr>
            <w:r>
              <w:rPr>
                <w:rFonts w:ascii="Arial" w:cs="Arial" w:eastAsia="Arial" w:hAnsi="Arial"/>
                <w:sz w:val="12"/>
                <w:szCs w:val="12"/>
                <w:color w:val="auto"/>
              </w:rPr>
              <w:t>Non-accelerated filer</w:t>
            </w:r>
          </w:p>
        </w:tc>
        <w:tc>
          <w:tcPr>
            <w:tcW w:w="296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ind w:left="2780"/>
              <w:spacing w:after="0"/>
              <w:rPr>
                <w:sz w:val="20"/>
                <w:szCs w:val="20"/>
                <w:color w:val="auto"/>
              </w:rPr>
            </w:pPr>
            <w:r>
              <w:rPr>
                <w:rFonts w:ascii="Arial" w:cs="Arial" w:eastAsia="Arial" w:hAnsi="Arial"/>
                <w:sz w:val="12"/>
                <w:szCs w:val="12"/>
                <w:color w:val="auto"/>
              </w:rPr>
              <w:t>Smaller reporting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21"/>
        </w:trPr>
        <w:tc>
          <w:tcPr>
            <w:tcW w:w="11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40" w:type="dxa"/>
            <w:vAlign w:val="bottom"/>
          </w:tcPr>
          <w:p>
            <w:pPr>
              <w:ind w:left="2780"/>
              <w:spacing w:after="0"/>
              <w:rPr>
                <w:sz w:val="20"/>
                <w:szCs w:val="20"/>
                <w:color w:val="auto"/>
              </w:rPr>
            </w:pPr>
            <w:r>
              <w:rPr>
                <w:rFonts w:ascii="Arial" w:cs="Arial" w:eastAsia="Arial" w:hAnsi="Arial"/>
                <w:sz w:val="12"/>
                <w:szCs w:val="12"/>
                <w:color w:val="auto"/>
              </w:rPr>
              <w:t>Emerging growth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bl>
    <w:p>
      <w:pPr>
        <w:spacing w:after="0" w:line="166" w:lineRule="exact"/>
        <w:rPr>
          <w:sz w:val="24"/>
          <w:szCs w:val="24"/>
          <w:color w:val="auto"/>
        </w:rPr>
      </w:pPr>
    </w:p>
    <w:p>
      <w:pPr>
        <w:spacing w:after="0" w:line="158"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60" w:lineRule="exact"/>
        <w:rPr>
          <w:sz w:val="24"/>
          <w:szCs w:val="24"/>
          <w:color w:val="auto"/>
        </w:rPr>
      </w:pPr>
    </w:p>
    <w:p>
      <w:pPr>
        <w:ind w:right="4860"/>
        <w:spacing w:after="0" w:line="216"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highlight w:val="black"/>
        </w:rPr>
        <w:t>☐</w:t>
      </w:r>
      <w:r>
        <w:rPr>
          <w:rFonts w:ascii="Arial" w:cs="Arial" w:eastAsia="Arial" w:hAnsi="Arial"/>
          <w:sz w:val="12"/>
          <w:szCs w:val="12"/>
          <w:color w:val="auto"/>
        </w:rPr>
        <w:t xml:space="preserve"> No </w:t>
      </w:r>
      <w:r>
        <w:rPr>
          <w:rFonts w:ascii="MS PGothic" w:cs="MS PGothic" w:eastAsia="MS PGothic" w:hAnsi="MS PGothic"/>
          <w:sz w:val="12"/>
          <w:szCs w:val="12"/>
          <w:color w:val="auto"/>
          <w:highlight w:val="black"/>
        </w:rPr>
        <w:t>☑</w:t>
      </w:r>
      <w:r>
        <w:rPr>
          <w:rFonts w:ascii="Arial" w:cs="Arial" w:eastAsia="Arial" w:hAnsi="Arial"/>
          <w:sz w:val="12"/>
          <w:szCs w:val="12"/>
          <w:color w:val="auto"/>
        </w:rPr>
        <w:t xml:space="preserve"> As of August 2, 2022, 71,817,368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747395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137160</wp:posOffset>
            </wp:positionV>
            <wp:extent cx="699516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651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111760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8" w:lineRule="exact"/>
        <w:rPr>
          <w:sz w:val="20"/>
          <w:szCs w:val="20"/>
          <w:color w:val="auto"/>
        </w:rPr>
      </w:pPr>
    </w:p>
    <w:p>
      <w:pPr>
        <w:ind w:left="10740"/>
        <w:spacing w:after="0"/>
        <w:rPr>
          <w:sz w:val="20"/>
          <w:szCs w:val="20"/>
          <w:color w:val="auto"/>
        </w:rPr>
      </w:pPr>
      <w:r>
        <w:rPr>
          <w:rFonts w:ascii="Arial" w:cs="Arial" w:eastAsia="Arial" w:hAnsi="Arial"/>
          <w:sz w:val="18"/>
          <w:szCs w:val="18"/>
          <w:b w:val="1"/>
          <w:bCs w:val="1"/>
          <w:u w:val="single" w:color="auto"/>
          <w:color w:val="auto"/>
        </w:rPr>
        <w:t>Page</w:t>
      </w:r>
    </w:p>
    <w:p>
      <w:pPr>
        <w:spacing w:after="0" w:line="22"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 Financial Information</w:t>
        </w:r>
      </w:hyperlink>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100" w:type="dxa"/>
            <w:vAlign w:val="bottom"/>
            <w:gridSpan w:val="2"/>
          </w:tcPr>
          <w:p>
            <w:pPr>
              <w:ind w:left="100"/>
              <w:spacing w:after="0" w:line="193" w:lineRule="exact"/>
              <w:rPr>
                <w:sz w:val="20"/>
                <w:szCs w:val="20"/>
                <w:color w:val="auto"/>
              </w:rPr>
            </w:pPr>
            <w:r>
              <w:rPr>
                <w:rFonts w:ascii="Arial" w:cs="Arial" w:eastAsia="Arial" w:hAnsi="Arial"/>
                <w:sz w:val="18"/>
                <w:szCs w:val="18"/>
                <w:b w:val="1"/>
                <w:bCs w:val="1"/>
                <w:color w:val="auto"/>
              </w:rPr>
              <w:t>Item 1.</w:t>
            </w:r>
          </w:p>
        </w:tc>
        <w:tc>
          <w:tcPr>
            <w:tcW w:w="9540" w:type="dxa"/>
            <w:vAlign w:val="bottom"/>
            <w:gridSpan w:val="25"/>
          </w:tcPr>
          <w:p>
            <w:pPr>
              <w:spacing w:after="0" w:line="193" w:lineRule="exact"/>
              <w:rPr>
                <w:sz w:val="20"/>
                <w:szCs w:val="20"/>
                <w:color w:val="auto"/>
              </w:rPr>
            </w:pPr>
            <w:r>
              <w:rPr>
                <w:rFonts w:ascii="Arial" w:cs="Arial" w:eastAsia="Arial" w:hAnsi="Arial"/>
                <w:sz w:val="18"/>
                <w:szCs w:val="18"/>
                <w:color w:val="auto"/>
                <w:w w:val="90"/>
              </w:rPr>
              <w:t>Consolidated Financial Statements (at June 30, 2022 (Unaudited) and December 31, 2021 and for the Three Months and Six Months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0" w:type="dxa"/>
            <w:vAlign w:val="bottom"/>
            <w:gridSpan w:val="24"/>
          </w:tcPr>
          <w:p>
            <w:pPr>
              <w:spacing w:after="0"/>
              <w:rPr>
                <w:sz w:val="20"/>
                <w:szCs w:val="20"/>
                <w:color w:val="auto"/>
              </w:rPr>
            </w:pPr>
            <w:r>
              <w:rPr>
                <w:rFonts w:ascii="Arial" w:cs="Arial" w:eastAsia="Arial" w:hAnsi="Arial"/>
                <w:sz w:val="18"/>
                <w:szCs w:val="18"/>
                <w:color w:val="auto"/>
              </w:rPr>
              <w:t>Ended June 30, 2022 and 2021 (Unaudited)):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60" w:type="dxa"/>
            <w:vAlign w:val="bottom"/>
            <w:tcBorders>
              <w:bottom w:val="single" w:sz="8" w:color="0000FF"/>
            </w:tcBorders>
            <w:gridSpan w:val="14"/>
          </w:tcPr>
          <w:p>
            <w:pPr>
              <w:spacing w:after="0" w:line="187"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Interim Condensed Consolidated Balance Sheets</w:t>
              </w:r>
            </w:hyperlink>
          </w:p>
        </w:tc>
        <w:tc>
          <w:tcPr>
            <w:tcW w:w="5940" w:type="dxa"/>
            <w:vAlign w:val="bottom"/>
            <w:gridSpan w:val="10"/>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0000FF"/>
            </w:tcBorders>
          </w:tcPr>
          <w:p>
            <w:pPr>
              <w:jc w:val="center"/>
              <w:spacing w:after="0" w:line="187"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22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0" w:type="dxa"/>
            <w:vAlign w:val="bottom"/>
            <w:gridSpan w:val="24"/>
          </w:tcPr>
          <w:p>
            <w:pPr>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Interim Condensed Consolidated Statements of Operations and Comprehensive Income (Loss)</w:t>
              </w:r>
            </w:hyperlink>
          </w:p>
        </w:tc>
        <w:tc>
          <w:tcPr>
            <w:tcW w:w="360" w:type="dxa"/>
            <w:vAlign w:val="bottom"/>
            <w:gridSpan w:val="2"/>
          </w:tcPr>
          <w:p>
            <w:pPr>
              <w:jc w:val="center"/>
              <w:ind w:left="92"/>
              <w:spacing w:after="0" w:line="205"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tcBorders>
              <w:top w:val="single" w:sz="8" w:color="0000FF"/>
              <w:bottom w:val="single" w:sz="8" w:color="0000FF"/>
            </w:tcBorders>
            <w:gridSpan w:val="16"/>
          </w:tcPr>
          <w:p>
            <w:pPr>
              <w:spacing w:after="0" w:line="205" w:lineRule="exact"/>
              <w:rPr>
                <w:rFonts w:ascii="Arial" w:cs="Arial" w:eastAsia="Arial" w:hAnsi="Arial"/>
                <w:sz w:val="18"/>
                <w:szCs w:val="18"/>
                <w:color w:val="0000FF"/>
                <w:w w:val="88"/>
              </w:rPr>
            </w:pPr>
            <w:hyperlink w:anchor="page4">
              <w:r>
                <w:rPr>
                  <w:rFonts w:ascii="Arial" w:cs="Arial" w:eastAsia="Arial" w:hAnsi="Arial"/>
                  <w:sz w:val="18"/>
                  <w:szCs w:val="18"/>
                  <w:color w:val="0000FF"/>
                  <w:w w:val="88"/>
                </w:rPr>
                <w:t>Interim Condensed Consolidated Statements of Equity</w:t>
              </w:r>
            </w:hyperlink>
          </w:p>
        </w:tc>
        <w:tc>
          <w:tcPr>
            <w:tcW w:w="2820" w:type="dxa"/>
            <w:vAlign w:val="bottom"/>
            <w:tcBorders>
              <w:top w:val="single" w:sz="8" w:color="0000FF"/>
            </w:tcBorders>
            <w:gridSpan w:val="7"/>
          </w:tcPr>
          <w:p>
            <w:pPr>
              <w:spacing w:after="0"/>
              <w:rPr>
                <w:sz w:val="17"/>
                <w:szCs w:val="17"/>
                <w:color w:val="auto"/>
              </w:rPr>
            </w:pPr>
          </w:p>
        </w:tc>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0000FF"/>
              <w:bottom w:val="single" w:sz="8" w:color="0000FF"/>
            </w:tcBorders>
          </w:tcPr>
          <w:p>
            <w:pPr>
              <w:jc w:val="center"/>
              <w:spacing w:after="0" w:line="205"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20" w:type="dxa"/>
            <w:vAlign w:val="bottom"/>
            <w:tcBorders>
              <w:bottom w:val="single" w:sz="8" w:color="0000FF"/>
            </w:tcBorders>
            <w:gridSpan w:val="17"/>
          </w:tcPr>
          <w:p>
            <w:pPr>
              <w:spacing w:after="0" w:line="205"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Interim Condensed Consolidated Statements of Cash Flows</w:t>
              </w:r>
            </w:hyperlink>
          </w:p>
        </w:tc>
        <w:tc>
          <w:tcPr>
            <w:tcW w:w="518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00" w:type="dxa"/>
            <w:vAlign w:val="bottom"/>
            <w:tcBorders>
              <w:bottom w:val="single" w:sz="8" w:color="0000FF"/>
            </w:tcBorders>
            <w:gridSpan w:val="20"/>
          </w:tcPr>
          <w:p>
            <w:pPr>
              <w:spacing w:after="0" w:line="205" w:lineRule="exact"/>
              <w:rPr>
                <w:rFonts w:ascii="Arial" w:cs="Arial" w:eastAsia="Arial" w:hAnsi="Arial"/>
                <w:sz w:val="18"/>
                <w:szCs w:val="18"/>
                <w:color w:val="0000FF"/>
                <w:w w:val="88"/>
              </w:rPr>
            </w:pPr>
            <w:hyperlink w:anchor="page6">
              <w:r>
                <w:rPr>
                  <w:rFonts w:ascii="Arial" w:cs="Arial" w:eastAsia="Arial" w:hAnsi="Arial"/>
                  <w:sz w:val="18"/>
                  <w:szCs w:val="18"/>
                  <w:color w:val="0000FF"/>
                  <w:w w:val="88"/>
                </w:rPr>
                <w:t>Notes to the Interim Condensed Consolidated Financial Statements (Unaudited):</w:t>
              </w:r>
            </w:hyperlink>
          </w:p>
        </w:tc>
        <w:tc>
          <w:tcPr>
            <w:tcW w:w="370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40" w:type="dxa"/>
            <w:vAlign w:val="bottom"/>
            <w:gridSpan w:val="23"/>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Note 1 — Business, Basis of Presentation and Summary of Significant Accounting Policies</w:t>
              </w:r>
            </w:hyperlink>
          </w:p>
        </w:tc>
        <w:tc>
          <w:tcPr>
            <w:tcW w:w="360" w:type="dxa"/>
            <w:vAlign w:val="bottom"/>
            <w:gridSpan w:val="2"/>
          </w:tcPr>
          <w:p>
            <w:pPr>
              <w:jc w:val="center"/>
              <w:ind w:left="92"/>
              <w:spacing w:after="0" w:line="205"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Borders>
              <w:top w:val="single" w:sz="8" w:color="0000FF"/>
              <w:bottom w:val="single" w:sz="8" w:color="0000FF"/>
            </w:tcBorders>
            <w:gridSpan w:val="11"/>
          </w:tcPr>
          <w:p>
            <w:pPr>
              <w:spacing w:after="0" w:line="205" w:lineRule="exact"/>
              <w:rPr>
                <w:rFonts w:ascii="Arial" w:cs="Arial" w:eastAsia="Arial" w:hAnsi="Arial"/>
                <w:sz w:val="18"/>
                <w:szCs w:val="18"/>
                <w:color w:val="0000FF"/>
                <w:w w:val="90"/>
              </w:rPr>
            </w:pPr>
            <w:hyperlink w:anchor="page8">
              <w:r>
                <w:rPr>
                  <w:rFonts w:ascii="Arial" w:cs="Arial" w:eastAsia="Arial" w:hAnsi="Arial"/>
                  <w:sz w:val="18"/>
                  <w:szCs w:val="18"/>
                  <w:color w:val="0000FF"/>
                  <w:w w:val="90"/>
                </w:rPr>
                <w:t>Note 2 — Segment Information</w:t>
              </w:r>
            </w:hyperlink>
          </w:p>
        </w:tc>
        <w:tc>
          <w:tcPr>
            <w:tcW w:w="4200" w:type="dxa"/>
            <w:vAlign w:val="bottom"/>
            <w:tcBorders>
              <w:top w:val="single" w:sz="8" w:color="0000FF"/>
            </w:tcBorders>
            <w:gridSpan w:val="10"/>
          </w:tcPr>
          <w:p>
            <w:pPr>
              <w:spacing w:after="0"/>
              <w:rPr>
                <w:sz w:val="17"/>
                <w:szCs w:val="17"/>
                <w:color w:val="auto"/>
              </w:rPr>
            </w:pPr>
          </w:p>
        </w:tc>
        <w:tc>
          <w:tcPr>
            <w:tcW w:w="27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0000FF"/>
              <w:bottom w:val="single" w:sz="8" w:color="0000FF"/>
            </w:tcBorders>
          </w:tcPr>
          <w:p>
            <w:pPr>
              <w:jc w:val="center"/>
              <w:spacing w:after="0" w:line="205"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7</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Borders>
              <w:bottom w:val="single" w:sz="8" w:color="0000FF"/>
            </w:tcBorders>
            <w:gridSpan w:val="6"/>
          </w:tcPr>
          <w:p>
            <w:pPr>
              <w:spacing w:after="0" w:line="205" w:lineRule="exact"/>
              <w:rPr>
                <w:rFonts w:ascii="Arial" w:cs="Arial" w:eastAsia="Arial" w:hAnsi="Arial"/>
                <w:sz w:val="18"/>
                <w:szCs w:val="18"/>
                <w:color w:val="0000FF"/>
                <w:w w:val="88"/>
              </w:rPr>
            </w:pPr>
            <w:hyperlink w:anchor="page12">
              <w:r>
                <w:rPr>
                  <w:rFonts w:ascii="Arial" w:cs="Arial" w:eastAsia="Arial" w:hAnsi="Arial"/>
                  <w:sz w:val="18"/>
                  <w:szCs w:val="18"/>
                  <w:color w:val="0000FF"/>
                  <w:w w:val="88"/>
                </w:rPr>
                <w:t>Note 3 — Insurance</w:t>
              </w:r>
            </w:hyperlink>
          </w:p>
        </w:tc>
        <w:tc>
          <w:tcPr>
            <w:tcW w:w="7800" w:type="dxa"/>
            <w:vAlign w:val="bottom"/>
            <w:gridSpan w:val="17"/>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12">
              <w:r>
                <w:rPr>
                  <w:rFonts w:ascii="Arial" w:cs="Arial" w:eastAsia="Arial" w:hAnsi="Arial"/>
                  <w:sz w:val="17"/>
                  <w:szCs w:val="17"/>
                  <w:color w:val="0000FF"/>
                  <w:w w:val="73"/>
                </w:rPr>
                <w:t>11</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40" w:type="dxa"/>
            <w:vAlign w:val="bottom"/>
            <w:gridSpan w:val="23"/>
          </w:tcPr>
          <w:p>
            <w:pPr>
              <w:spacing w:after="0" w:line="205" w:lineRule="exact"/>
              <w:rPr>
                <w:rFonts w:ascii="Arial" w:cs="Arial" w:eastAsia="Arial" w:hAnsi="Arial"/>
                <w:sz w:val="18"/>
                <w:szCs w:val="18"/>
                <w:color w:val="0000FF"/>
              </w:rPr>
            </w:pPr>
            <w:hyperlink w:anchor="page13">
              <w:r>
                <w:rPr>
                  <w:rFonts w:ascii="Arial" w:cs="Arial" w:eastAsia="Arial" w:hAnsi="Arial"/>
                  <w:sz w:val="18"/>
                  <w:szCs w:val="18"/>
                  <w:color w:val="0000FF"/>
                </w:rPr>
                <w:t>Note 4 — Investments</w:t>
              </w:r>
            </w:hyperlink>
          </w:p>
        </w:tc>
        <w:tc>
          <w:tcPr>
            <w:tcW w:w="360" w:type="dxa"/>
            <w:vAlign w:val="bottom"/>
            <w:gridSpan w:val="2"/>
          </w:tcPr>
          <w:p>
            <w:pPr>
              <w:jc w:val="center"/>
              <w:ind w:left="92"/>
              <w:spacing w:after="0" w:line="205" w:lineRule="exact"/>
              <w:rPr>
                <w:rFonts w:ascii="Arial" w:cs="Arial" w:eastAsia="Arial" w:hAnsi="Arial"/>
                <w:sz w:val="18"/>
                <w:szCs w:val="18"/>
                <w:color w:val="0000FF"/>
                <w:w w:val="89"/>
              </w:rPr>
            </w:pPr>
            <w:hyperlink w:anchor="page13">
              <w:r>
                <w:rPr>
                  <w:rFonts w:ascii="Arial" w:cs="Arial" w:eastAsia="Arial" w:hAnsi="Arial"/>
                  <w:sz w:val="18"/>
                  <w:szCs w:val="18"/>
                  <w:color w:val="0000FF"/>
                  <w:w w:val="89"/>
                </w:rPr>
                <w:t>12</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Borders>
              <w:top w:val="single" w:sz="8" w:color="0000FF"/>
            </w:tcBorders>
            <w:gridSpan w:val="9"/>
          </w:tcPr>
          <w:p>
            <w:pPr>
              <w:spacing w:after="0" w:line="205" w:lineRule="exact"/>
              <w:rPr>
                <w:rFonts w:ascii="Arial" w:cs="Arial" w:eastAsia="Arial" w:hAnsi="Arial"/>
                <w:sz w:val="18"/>
                <w:szCs w:val="18"/>
                <w:color w:val="0000FF"/>
                <w:w w:val="92"/>
              </w:rPr>
            </w:pPr>
            <w:hyperlink w:anchor="page25">
              <w:r>
                <w:rPr>
                  <w:rFonts w:ascii="Arial" w:cs="Arial" w:eastAsia="Arial" w:hAnsi="Arial"/>
                  <w:sz w:val="18"/>
                  <w:szCs w:val="18"/>
                  <w:color w:val="0000FF"/>
                  <w:w w:val="92"/>
                </w:rPr>
                <w:t>Note 5 — Derivatives</w:t>
              </w:r>
            </w:hyperlink>
          </w:p>
        </w:tc>
        <w:tc>
          <w:tcPr>
            <w:tcW w:w="7640" w:type="dxa"/>
            <w:vAlign w:val="bottom"/>
            <w:gridSpan w:val="14"/>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0000FF"/>
            </w:tcBorders>
          </w:tcPr>
          <w:p>
            <w:pPr>
              <w:jc w:val="center"/>
              <w:spacing w:after="0"/>
              <w:rPr>
                <w:rFonts w:ascii="Arial" w:cs="Arial" w:eastAsia="Arial" w:hAnsi="Arial"/>
                <w:sz w:val="17"/>
                <w:szCs w:val="17"/>
                <w:color w:val="0000FF"/>
                <w:w w:val="73"/>
              </w:rPr>
            </w:pPr>
            <w:hyperlink w:anchor="page25">
              <w:r>
                <w:rPr>
                  <w:rFonts w:ascii="Arial" w:cs="Arial" w:eastAsia="Arial" w:hAnsi="Arial"/>
                  <w:sz w:val="17"/>
                  <w:szCs w:val="17"/>
                  <w:color w:val="0000FF"/>
                  <w:w w:val="73"/>
                </w:rPr>
                <w:t>24</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Borders>
              <w:top w:val="single" w:sz="8" w:color="0000FF"/>
              <w:bottom w:val="single" w:sz="8" w:color="0000FF"/>
            </w:tcBorders>
            <w:gridSpan w:val="7"/>
          </w:tcPr>
          <w:p>
            <w:pPr>
              <w:spacing w:after="0" w:line="205"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Note 6 — Fair Value</w:t>
              </w:r>
            </w:hyperlink>
          </w:p>
        </w:tc>
        <w:tc>
          <w:tcPr>
            <w:tcW w:w="80" w:type="dxa"/>
            <w:vAlign w:val="bottom"/>
            <w:tcBorders>
              <w:top w:val="single" w:sz="8" w:color="0000FF"/>
            </w:tcBorders>
          </w:tcPr>
          <w:p>
            <w:pPr>
              <w:spacing w:after="0"/>
              <w:rPr>
                <w:sz w:val="17"/>
                <w:szCs w:val="17"/>
                <w:color w:val="auto"/>
              </w:rPr>
            </w:pPr>
          </w:p>
        </w:tc>
        <w:tc>
          <w:tcPr>
            <w:tcW w:w="7680" w:type="dxa"/>
            <w:vAlign w:val="bottom"/>
            <w:gridSpan w:val="15"/>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0000FF"/>
              <w:bottom w:val="single" w:sz="8" w:color="0000FF"/>
            </w:tcBorders>
          </w:tcPr>
          <w:p>
            <w:pPr>
              <w:jc w:val="center"/>
              <w:spacing w:after="0"/>
              <w:rPr>
                <w:rFonts w:ascii="Arial" w:cs="Arial" w:eastAsia="Arial" w:hAnsi="Arial"/>
                <w:sz w:val="17"/>
                <w:szCs w:val="17"/>
                <w:color w:val="0000FF"/>
                <w:w w:val="73"/>
              </w:rPr>
            </w:pPr>
            <w:hyperlink w:anchor="page30">
              <w:r>
                <w:rPr>
                  <w:rFonts w:ascii="Arial" w:cs="Arial" w:eastAsia="Arial" w:hAnsi="Arial"/>
                  <w:sz w:val="17"/>
                  <w:szCs w:val="17"/>
                  <w:color w:val="0000FF"/>
                  <w:w w:val="73"/>
                </w:rPr>
                <w:t>30</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Borders>
              <w:bottom w:val="single" w:sz="8" w:color="0000FF"/>
            </w:tcBorders>
            <w:gridSpan w:val="10"/>
          </w:tcPr>
          <w:p>
            <w:pPr>
              <w:spacing w:after="0" w:line="205" w:lineRule="exact"/>
              <w:rPr>
                <w:rFonts w:ascii="Arial" w:cs="Arial" w:eastAsia="Arial" w:hAnsi="Arial"/>
                <w:sz w:val="18"/>
                <w:szCs w:val="18"/>
                <w:color w:val="0000FF"/>
                <w:w w:val="91"/>
              </w:rPr>
            </w:pPr>
            <w:hyperlink w:anchor="page40">
              <w:r>
                <w:rPr>
                  <w:rFonts w:ascii="Arial" w:cs="Arial" w:eastAsia="Arial" w:hAnsi="Arial"/>
                  <w:sz w:val="18"/>
                  <w:szCs w:val="18"/>
                  <w:color w:val="0000FF"/>
                  <w:w w:val="91"/>
                </w:rPr>
                <w:t>Note 7 — Long-term Debt</w:t>
              </w:r>
            </w:hyperlink>
          </w:p>
        </w:tc>
        <w:tc>
          <w:tcPr>
            <w:tcW w:w="7340" w:type="dxa"/>
            <w:vAlign w:val="bottom"/>
            <w:gridSpan w:val="13"/>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39</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Borders>
              <w:bottom w:val="single" w:sz="8" w:color="0000FF"/>
            </w:tcBorders>
            <w:gridSpan w:val="5"/>
          </w:tcPr>
          <w:p>
            <w:pPr>
              <w:spacing w:after="0" w:line="205" w:lineRule="exact"/>
              <w:rPr>
                <w:rFonts w:ascii="Arial" w:cs="Arial" w:eastAsia="Arial" w:hAnsi="Arial"/>
                <w:sz w:val="18"/>
                <w:szCs w:val="18"/>
                <w:color w:val="0000FF"/>
                <w:w w:val="91"/>
              </w:rPr>
            </w:pPr>
            <w:hyperlink w:anchor="page40">
              <w:r>
                <w:rPr>
                  <w:rFonts w:ascii="Arial" w:cs="Arial" w:eastAsia="Arial" w:hAnsi="Arial"/>
                  <w:sz w:val="18"/>
                  <w:szCs w:val="18"/>
                  <w:color w:val="0000FF"/>
                  <w:w w:val="91"/>
                </w:rPr>
                <w:t>Note 8 — Equity</w:t>
              </w:r>
            </w:hyperlink>
          </w:p>
        </w:tc>
        <w:tc>
          <w:tcPr>
            <w:tcW w:w="8020" w:type="dxa"/>
            <w:vAlign w:val="bottom"/>
            <w:gridSpan w:val="18"/>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39</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40" w:type="dxa"/>
            <w:vAlign w:val="bottom"/>
            <w:tcBorders>
              <w:bottom w:val="single" w:sz="8" w:color="0000FF"/>
            </w:tcBorders>
            <w:gridSpan w:val="14"/>
          </w:tcPr>
          <w:p>
            <w:pPr>
              <w:spacing w:after="0" w:line="205" w:lineRule="exact"/>
              <w:rPr>
                <w:rFonts w:ascii="Arial" w:cs="Arial" w:eastAsia="Arial" w:hAnsi="Arial"/>
                <w:sz w:val="18"/>
                <w:szCs w:val="18"/>
                <w:color w:val="0000FF"/>
                <w:w w:val="87"/>
              </w:rPr>
            </w:pPr>
            <w:hyperlink w:anchor="page43">
              <w:r>
                <w:rPr>
                  <w:rFonts w:ascii="Arial" w:cs="Arial" w:eastAsia="Arial" w:hAnsi="Arial"/>
                  <w:sz w:val="18"/>
                  <w:szCs w:val="18"/>
                  <w:color w:val="0000FF"/>
                  <w:w w:val="87"/>
                </w:rPr>
                <w:t>Note 9 — Other Revenues and Other Expenses</w:t>
              </w:r>
            </w:hyperlink>
          </w:p>
        </w:tc>
        <w:tc>
          <w:tcPr>
            <w:tcW w:w="590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43">
              <w:r>
                <w:rPr>
                  <w:rFonts w:ascii="Arial" w:cs="Arial" w:eastAsia="Arial" w:hAnsi="Arial"/>
                  <w:sz w:val="17"/>
                  <w:szCs w:val="17"/>
                  <w:color w:val="0000FF"/>
                  <w:w w:val="73"/>
                </w:rPr>
                <w:t>42</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tcBorders>
              <w:bottom w:val="single" w:sz="8" w:color="0000FF"/>
            </w:tcBorders>
            <w:gridSpan w:val="12"/>
          </w:tcPr>
          <w:p>
            <w:pPr>
              <w:spacing w:after="0" w:line="205" w:lineRule="exact"/>
              <w:rPr>
                <w:rFonts w:ascii="Arial" w:cs="Arial" w:eastAsia="Arial" w:hAnsi="Arial"/>
                <w:sz w:val="18"/>
                <w:szCs w:val="18"/>
                <w:color w:val="0000FF"/>
                <w:w w:val="88"/>
              </w:rPr>
            </w:pPr>
            <w:hyperlink w:anchor="page44">
              <w:r>
                <w:rPr>
                  <w:rFonts w:ascii="Arial" w:cs="Arial" w:eastAsia="Arial" w:hAnsi="Arial"/>
                  <w:sz w:val="18"/>
                  <w:szCs w:val="18"/>
                  <w:color w:val="0000FF"/>
                  <w:w w:val="88"/>
                </w:rPr>
                <w:t>Note 10 — Earnings Per Common Share</w:t>
              </w:r>
            </w:hyperlink>
          </w:p>
        </w:tc>
        <w:tc>
          <w:tcPr>
            <w:tcW w:w="6340" w:type="dxa"/>
            <w:vAlign w:val="bottom"/>
            <w:gridSpan w:val="11"/>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44">
              <w:r>
                <w:rPr>
                  <w:rFonts w:ascii="Arial" w:cs="Arial" w:eastAsia="Arial" w:hAnsi="Arial"/>
                  <w:sz w:val="17"/>
                  <w:szCs w:val="17"/>
                  <w:color w:val="0000FF"/>
                  <w:w w:val="73"/>
                </w:rPr>
                <w:t>43</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40" w:type="dxa"/>
            <w:vAlign w:val="bottom"/>
            <w:gridSpan w:val="23"/>
          </w:tcPr>
          <w:p>
            <w:pPr>
              <w:spacing w:after="0" w:line="205" w:lineRule="exact"/>
              <w:rPr>
                <w:rFonts w:ascii="Arial" w:cs="Arial" w:eastAsia="Arial" w:hAnsi="Arial"/>
                <w:sz w:val="18"/>
                <w:szCs w:val="18"/>
                <w:color w:val="0000FF"/>
              </w:rPr>
            </w:pPr>
            <w:hyperlink w:anchor="page44">
              <w:r>
                <w:rPr>
                  <w:rFonts w:ascii="Arial" w:cs="Arial" w:eastAsia="Arial" w:hAnsi="Arial"/>
                  <w:sz w:val="18"/>
                  <w:szCs w:val="18"/>
                  <w:color w:val="0000FF"/>
                </w:rPr>
                <w:t>Note 11 — Contingencies, Commitments and Guarantees</w:t>
              </w:r>
            </w:hyperlink>
          </w:p>
        </w:tc>
        <w:tc>
          <w:tcPr>
            <w:tcW w:w="360" w:type="dxa"/>
            <w:vAlign w:val="bottom"/>
            <w:gridSpan w:val="2"/>
          </w:tcPr>
          <w:p>
            <w:pPr>
              <w:jc w:val="center"/>
              <w:ind w:left="92"/>
              <w:spacing w:after="0" w:line="205"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44</w:t>
              </w:r>
            </w:hyperlink>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Item 2.</w:t>
            </w:r>
          </w:p>
        </w:tc>
        <w:tc>
          <w:tcPr>
            <w:tcW w:w="6700" w:type="dxa"/>
            <w:vAlign w:val="bottom"/>
            <w:tcBorders>
              <w:bottom w:val="single" w:sz="8" w:color="0000FF"/>
            </w:tcBorders>
            <w:gridSpan w:val="22"/>
          </w:tcPr>
          <w:p>
            <w:pPr>
              <w:spacing w:after="0" w:line="205" w:lineRule="exact"/>
              <w:rPr>
                <w:rFonts w:ascii="Arial" w:cs="Arial" w:eastAsia="Arial" w:hAnsi="Arial"/>
                <w:sz w:val="18"/>
                <w:szCs w:val="18"/>
                <w:b w:val="1"/>
                <w:bCs w:val="1"/>
                <w:color w:val="0000FF"/>
                <w:w w:val="87"/>
              </w:rPr>
            </w:pPr>
            <w:hyperlink w:anchor="page47">
              <w:r>
                <w:rPr>
                  <w:rFonts w:ascii="Arial" w:cs="Arial" w:eastAsia="Arial" w:hAnsi="Arial"/>
                  <w:sz w:val="18"/>
                  <w:szCs w:val="18"/>
                  <w:b w:val="1"/>
                  <w:bCs w:val="1"/>
                  <w:color w:val="0000FF"/>
                  <w:w w:val="87"/>
                </w:rPr>
                <w:t>Management’s Discussion and Analysis of Financial Condition and Results of Operations</w:t>
              </w:r>
            </w:hyperlink>
          </w:p>
        </w:tc>
        <w:tc>
          <w:tcPr>
            <w:tcW w:w="284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47">
              <w:r>
                <w:rPr>
                  <w:rFonts w:ascii="Arial" w:cs="Arial" w:eastAsia="Arial" w:hAnsi="Arial"/>
                  <w:sz w:val="17"/>
                  <w:szCs w:val="17"/>
                  <w:color w:val="0000FF"/>
                  <w:w w:val="73"/>
                </w:rPr>
                <w:t>47</w:t>
              </w:r>
            </w:hyperlink>
          </w:p>
        </w:tc>
        <w:tc>
          <w:tcPr>
            <w:tcW w:w="22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1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Item 3.</w:t>
            </w:r>
          </w:p>
        </w:tc>
        <w:tc>
          <w:tcPr>
            <w:tcW w:w="9540" w:type="dxa"/>
            <w:vAlign w:val="bottom"/>
            <w:gridSpan w:val="25"/>
          </w:tcPr>
          <w:p>
            <w:pPr>
              <w:spacing w:after="0" w:line="205" w:lineRule="exact"/>
              <w:rPr>
                <w:rFonts w:ascii="Arial" w:cs="Arial" w:eastAsia="Arial" w:hAnsi="Arial"/>
                <w:sz w:val="18"/>
                <w:szCs w:val="18"/>
                <w:b w:val="1"/>
                <w:bCs w:val="1"/>
                <w:color w:val="0000FF"/>
              </w:rPr>
            </w:pPr>
            <w:hyperlink w:anchor="page89">
              <w:r>
                <w:rPr>
                  <w:rFonts w:ascii="Arial" w:cs="Arial" w:eastAsia="Arial" w:hAnsi="Arial"/>
                  <w:sz w:val="18"/>
                  <w:szCs w:val="18"/>
                  <w:b w:val="1"/>
                  <w:bCs w:val="1"/>
                  <w:color w:val="0000FF"/>
                </w:rPr>
                <w:t>Quantitative and Qualitative Disclosures About Market Risk</w:t>
              </w:r>
            </w:hyperlink>
          </w:p>
        </w:tc>
        <w:tc>
          <w:tcPr>
            <w:tcW w:w="360" w:type="dxa"/>
            <w:vAlign w:val="bottom"/>
            <w:gridSpan w:val="2"/>
          </w:tcPr>
          <w:p>
            <w:pPr>
              <w:jc w:val="center"/>
              <w:ind w:left="92"/>
              <w:spacing w:after="0" w:line="205"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88</w:t>
              </w:r>
            </w:hyperlink>
          </w:p>
        </w:tc>
        <w:tc>
          <w:tcPr>
            <w:tcW w:w="220" w:type="dxa"/>
            <w:vAlign w:val="bottom"/>
          </w:tcPr>
          <w:p>
            <w:pPr>
              <w:spacing w:after="0"/>
              <w:rPr>
                <w:sz w:val="19"/>
                <w:szCs w:val="19"/>
                <w:color w:val="auto"/>
              </w:rPr>
            </w:pPr>
          </w:p>
        </w:tc>
      </w:tr>
      <w:tr>
        <w:trPr>
          <w:trHeight w:val="185"/>
        </w:trPr>
        <w:tc>
          <w:tcPr>
            <w:tcW w:w="20" w:type="dxa"/>
            <w:vAlign w:val="bottom"/>
          </w:tcPr>
          <w:p>
            <w:pPr>
              <w:spacing w:after="0"/>
              <w:rPr>
                <w:sz w:val="16"/>
                <w:szCs w:val="16"/>
                <w:color w:val="auto"/>
              </w:rPr>
            </w:pPr>
          </w:p>
        </w:tc>
        <w:tc>
          <w:tcPr>
            <w:tcW w:w="1100" w:type="dxa"/>
            <w:vAlign w:val="bottom"/>
            <w:gridSpan w:val="2"/>
          </w:tcPr>
          <w:p>
            <w:pPr>
              <w:ind w:left="100"/>
              <w:spacing w:after="0" w:line="185" w:lineRule="exact"/>
              <w:rPr>
                <w:sz w:val="20"/>
                <w:szCs w:val="20"/>
                <w:color w:val="auto"/>
              </w:rPr>
            </w:pPr>
            <w:r>
              <w:rPr>
                <w:rFonts w:ascii="Arial" w:cs="Arial" w:eastAsia="Arial" w:hAnsi="Arial"/>
                <w:sz w:val="18"/>
                <w:szCs w:val="18"/>
                <w:b w:val="1"/>
                <w:bCs w:val="1"/>
                <w:color w:val="auto"/>
              </w:rPr>
              <w:t>Item 4.</w:t>
            </w:r>
          </w:p>
        </w:tc>
        <w:tc>
          <w:tcPr>
            <w:tcW w:w="4560" w:type="dxa"/>
            <w:vAlign w:val="bottom"/>
            <w:tcBorders>
              <w:top w:val="single" w:sz="8" w:color="0000FF"/>
            </w:tcBorders>
            <w:gridSpan w:val="20"/>
          </w:tcPr>
          <w:p>
            <w:pPr>
              <w:spacing w:after="0" w:line="185" w:lineRule="exact"/>
              <w:rPr>
                <w:rFonts w:ascii="Arial" w:cs="Arial" w:eastAsia="Arial" w:hAnsi="Arial"/>
                <w:sz w:val="18"/>
                <w:szCs w:val="18"/>
                <w:b w:val="1"/>
                <w:bCs w:val="1"/>
                <w:color w:val="0000FF"/>
              </w:rPr>
            </w:pPr>
            <w:hyperlink w:anchor="page89">
              <w:r>
                <w:rPr>
                  <w:rFonts w:ascii="Arial" w:cs="Arial" w:eastAsia="Arial" w:hAnsi="Arial"/>
                  <w:sz w:val="18"/>
                  <w:szCs w:val="18"/>
                  <w:b w:val="1"/>
                  <w:bCs w:val="1"/>
                  <w:color w:val="0000FF"/>
                </w:rPr>
                <w:t>Controls and Procedures</w:t>
              </w:r>
            </w:hyperlink>
          </w:p>
        </w:tc>
        <w:tc>
          <w:tcPr>
            <w:tcW w:w="4980" w:type="dxa"/>
            <w:vAlign w:val="bottom"/>
            <w:gridSpan w:val="5"/>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0000FF"/>
            </w:tcBorders>
          </w:tcPr>
          <w:p>
            <w:pPr>
              <w:jc w:val="center"/>
              <w:spacing w:after="0" w:line="185" w:lineRule="exact"/>
              <w:rPr>
                <w:rFonts w:ascii="Arial" w:cs="Arial" w:eastAsia="Arial" w:hAnsi="Arial"/>
                <w:sz w:val="17"/>
                <w:szCs w:val="17"/>
                <w:color w:val="0000FF"/>
                <w:w w:val="73"/>
              </w:rPr>
            </w:pPr>
            <w:hyperlink w:anchor="page89">
              <w:r>
                <w:rPr>
                  <w:rFonts w:ascii="Arial" w:cs="Arial" w:eastAsia="Arial" w:hAnsi="Arial"/>
                  <w:sz w:val="17"/>
                  <w:szCs w:val="17"/>
                  <w:color w:val="0000FF"/>
                  <w:w w:val="73"/>
                </w:rPr>
                <w:t>89</w:t>
              </w:r>
            </w:hyperlink>
          </w:p>
        </w:tc>
        <w:tc>
          <w:tcPr>
            <w:tcW w:w="2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620" w:type="dxa"/>
            <w:vAlign w:val="bottom"/>
            <w:gridSpan w:val="9"/>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0640" w:type="dxa"/>
            <w:vAlign w:val="bottom"/>
            <w:gridSpan w:val="27"/>
          </w:tcPr>
          <w:p>
            <w:pPr>
              <w:spacing w:after="0"/>
              <w:rPr>
                <w:rFonts w:ascii="Arial" w:cs="Arial" w:eastAsia="Arial" w:hAnsi="Arial"/>
                <w:sz w:val="18"/>
                <w:szCs w:val="18"/>
                <w:b w:val="1"/>
                <w:bCs w:val="1"/>
                <w:color w:val="0000FF"/>
              </w:rPr>
            </w:pPr>
            <w:hyperlink w:anchor="page90">
              <w:r>
                <w:rPr>
                  <w:rFonts w:ascii="Arial" w:cs="Arial" w:eastAsia="Arial" w:hAnsi="Arial"/>
                  <w:sz w:val="18"/>
                  <w:szCs w:val="18"/>
                  <w:b w:val="1"/>
                  <w:bCs w:val="1"/>
                  <w:color w:val="0000FF"/>
                </w:rPr>
                <w:t>Part II — Other Information</w:t>
              </w:r>
            </w:hyperlink>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20" w:type="dxa"/>
            <w:vAlign w:val="bottom"/>
            <w:gridSpan w:val="13"/>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1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Item 1.</w:t>
            </w:r>
          </w:p>
        </w:tc>
        <w:tc>
          <w:tcPr>
            <w:tcW w:w="9540" w:type="dxa"/>
            <w:vAlign w:val="bottom"/>
            <w:gridSpan w:val="25"/>
          </w:tcPr>
          <w:p>
            <w:pPr>
              <w:spacing w:after="0" w:line="205" w:lineRule="exact"/>
              <w:rPr>
                <w:rFonts w:ascii="Arial" w:cs="Arial" w:eastAsia="Arial" w:hAnsi="Arial"/>
                <w:sz w:val="18"/>
                <w:szCs w:val="18"/>
                <w:b w:val="1"/>
                <w:bCs w:val="1"/>
                <w:color w:val="0000FF"/>
              </w:rPr>
            </w:pPr>
            <w:hyperlink w:anchor="page91">
              <w:r>
                <w:rPr>
                  <w:rFonts w:ascii="Arial" w:cs="Arial" w:eastAsia="Arial" w:hAnsi="Arial"/>
                  <w:sz w:val="18"/>
                  <w:szCs w:val="18"/>
                  <w:b w:val="1"/>
                  <w:bCs w:val="1"/>
                  <w:color w:val="0000FF"/>
                </w:rPr>
                <w:t>Legal Proceedings</w:t>
              </w:r>
            </w:hyperlink>
          </w:p>
        </w:tc>
        <w:tc>
          <w:tcPr>
            <w:tcW w:w="360" w:type="dxa"/>
            <w:vAlign w:val="bottom"/>
            <w:gridSpan w:val="2"/>
          </w:tcPr>
          <w:p>
            <w:pPr>
              <w:jc w:val="center"/>
              <w:ind w:left="92"/>
              <w:spacing w:after="0" w:line="205" w:lineRule="exact"/>
              <w:rPr>
                <w:rFonts w:ascii="Arial" w:cs="Arial" w:eastAsia="Arial" w:hAnsi="Arial"/>
                <w:sz w:val="18"/>
                <w:szCs w:val="18"/>
                <w:color w:val="0000FF"/>
                <w:w w:val="89"/>
              </w:rPr>
            </w:pPr>
            <w:hyperlink w:anchor="page91">
              <w:r>
                <w:rPr>
                  <w:rFonts w:ascii="Arial" w:cs="Arial" w:eastAsia="Arial" w:hAnsi="Arial"/>
                  <w:sz w:val="18"/>
                  <w:szCs w:val="18"/>
                  <w:color w:val="0000FF"/>
                  <w:w w:val="89"/>
                </w:rPr>
                <w:t>90</w:t>
              </w:r>
            </w:hyperlink>
          </w:p>
        </w:tc>
        <w:tc>
          <w:tcPr>
            <w:tcW w:w="220" w:type="dxa"/>
            <w:vAlign w:val="bottom"/>
          </w:tcPr>
          <w:p>
            <w:pPr>
              <w:spacing w:after="0"/>
              <w:rPr>
                <w:sz w:val="19"/>
                <w:szCs w:val="19"/>
                <w:color w:val="auto"/>
              </w:rPr>
            </w:pPr>
          </w:p>
        </w:tc>
      </w:tr>
      <w:tr>
        <w:trPr>
          <w:trHeight w:val="185"/>
        </w:trPr>
        <w:tc>
          <w:tcPr>
            <w:tcW w:w="20" w:type="dxa"/>
            <w:vAlign w:val="bottom"/>
          </w:tcPr>
          <w:p>
            <w:pPr>
              <w:spacing w:after="0"/>
              <w:rPr>
                <w:sz w:val="16"/>
                <w:szCs w:val="16"/>
                <w:color w:val="auto"/>
              </w:rPr>
            </w:pPr>
          </w:p>
        </w:tc>
        <w:tc>
          <w:tcPr>
            <w:tcW w:w="1100" w:type="dxa"/>
            <w:vAlign w:val="bottom"/>
            <w:gridSpan w:val="2"/>
          </w:tcPr>
          <w:p>
            <w:pPr>
              <w:ind w:left="100"/>
              <w:spacing w:after="0" w:line="185" w:lineRule="exact"/>
              <w:rPr>
                <w:sz w:val="20"/>
                <w:szCs w:val="20"/>
                <w:color w:val="auto"/>
              </w:rPr>
            </w:pPr>
            <w:r>
              <w:rPr>
                <w:rFonts w:ascii="Arial" w:cs="Arial" w:eastAsia="Arial" w:hAnsi="Arial"/>
                <w:sz w:val="18"/>
                <w:szCs w:val="18"/>
                <w:b w:val="1"/>
                <w:bCs w:val="1"/>
                <w:color w:val="auto"/>
              </w:rPr>
              <w:t>Item 1A.</w:t>
            </w:r>
          </w:p>
        </w:tc>
        <w:tc>
          <w:tcPr>
            <w:tcW w:w="1360" w:type="dxa"/>
            <w:vAlign w:val="bottom"/>
            <w:tcBorders>
              <w:top w:val="single" w:sz="8" w:color="0000FF"/>
            </w:tcBorders>
            <w:gridSpan w:val="6"/>
          </w:tcPr>
          <w:p>
            <w:pPr>
              <w:spacing w:after="0" w:line="185" w:lineRule="exact"/>
              <w:rPr>
                <w:rFonts w:ascii="Arial" w:cs="Arial" w:eastAsia="Arial" w:hAnsi="Arial"/>
                <w:sz w:val="18"/>
                <w:szCs w:val="18"/>
                <w:b w:val="1"/>
                <w:bCs w:val="1"/>
                <w:color w:val="0000FF"/>
              </w:rPr>
            </w:pPr>
            <w:hyperlink w:anchor="page91">
              <w:r>
                <w:rPr>
                  <w:rFonts w:ascii="Arial" w:cs="Arial" w:eastAsia="Arial" w:hAnsi="Arial"/>
                  <w:sz w:val="18"/>
                  <w:szCs w:val="18"/>
                  <w:b w:val="1"/>
                  <w:bCs w:val="1"/>
                  <w:color w:val="0000FF"/>
                </w:rPr>
                <w:t>Risk Factors</w:t>
              </w:r>
            </w:hyperlink>
          </w:p>
        </w:tc>
        <w:tc>
          <w:tcPr>
            <w:tcW w:w="8180" w:type="dxa"/>
            <w:vAlign w:val="bottom"/>
            <w:gridSpan w:val="19"/>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0000FF"/>
            </w:tcBorders>
          </w:tcPr>
          <w:p>
            <w:pPr>
              <w:jc w:val="center"/>
              <w:spacing w:after="0" w:line="185" w:lineRule="exact"/>
              <w:rPr>
                <w:rFonts w:ascii="Arial" w:cs="Arial" w:eastAsia="Arial" w:hAnsi="Arial"/>
                <w:sz w:val="17"/>
                <w:szCs w:val="17"/>
                <w:color w:val="0000FF"/>
                <w:w w:val="73"/>
              </w:rPr>
            </w:pPr>
            <w:hyperlink w:anchor="page91">
              <w:r>
                <w:rPr>
                  <w:rFonts w:ascii="Arial" w:cs="Arial" w:eastAsia="Arial" w:hAnsi="Arial"/>
                  <w:sz w:val="17"/>
                  <w:szCs w:val="17"/>
                  <w:color w:val="0000FF"/>
                  <w:w w:val="73"/>
                </w:rPr>
                <w:t>90</w:t>
              </w:r>
            </w:hyperlink>
          </w:p>
        </w:tc>
        <w:tc>
          <w:tcPr>
            <w:tcW w:w="2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540" w:type="dxa"/>
            <w:vAlign w:val="bottom"/>
            <w:gridSpan w:val="15"/>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Item 2.</w:t>
            </w:r>
          </w:p>
        </w:tc>
        <w:tc>
          <w:tcPr>
            <w:tcW w:w="4480" w:type="dxa"/>
            <w:vAlign w:val="bottom"/>
            <w:tcBorders>
              <w:bottom w:val="single" w:sz="8" w:color="0000FF"/>
            </w:tcBorders>
            <w:gridSpan w:val="19"/>
          </w:tcPr>
          <w:p>
            <w:pPr>
              <w:spacing w:after="0" w:line="205" w:lineRule="exact"/>
              <w:rPr>
                <w:rFonts w:ascii="Arial" w:cs="Arial" w:eastAsia="Arial" w:hAnsi="Arial"/>
                <w:sz w:val="18"/>
                <w:szCs w:val="18"/>
                <w:b w:val="1"/>
                <w:bCs w:val="1"/>
                <w:color w:val="0000FF"/>
                <w:w w:val="85"/>
              </w:rPr>
            </w:pPr>
            <w:hyperlink w:anchor="page91">
              <w:r>
                <w:rPr>
                  <w:rFonts w:ascii="Arial" w:cs="Arial" w:eastAsia="Arial" w:hAnsi="Arial"/>
                  <w:sz w:val="18"/>
                  <w:szCs w:val="18"/>
                  <w:b w:val="1"/>
                  <w:bCs w:val="1"/>
                  <w:color w:val="0000FF"/>
                  <w:w w:val="85"/>
                </w:rPr>
                <w:t>Unregistered Sales of Equity Securities and Use of Proceeds</w:t>
              </w:r>
            </w:hyperlink>
          </w:p>
        </w:tc>
        <w:tc>
          <w:tcPr>
            <w:tcW w:w="506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91">
              <w:r>
                <w:rPr>
                  <w:rFonts w:ascii="Arial" w:cs="Arial" w:eastAsia="Arial" w:hAnsi="Arial"/>
                  <w:sz w:val="17"/>
                  <w:szCs w:val="17"/>
                  <w:color w:val="0000FF"/>
                  <w:w w:val="73"/>
                </w:rPr>
                <w:t>90</w:t>
              </w:r>
            </w:hyperlink>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Item 6.</w:t>
            </w:r>
          </w:p>
        </w:tc>
        <w:tc>
          <w:tcPr>
            <w:tcW w:w="620" w:type="dxa"/>
            <w:vAlign w:val="bottom"/>
            <w:tcBorders>
              <w:bottom w:val="single" w:sz="8" w:color="0000FF"/>
            </w:tcBorders>
            <w:gridSpan w:val="3"/>
          </w:tcPr>
          <w:p>
            <w:pPr>
              <w:spacing w:after="0" w:line="205" w:lineRule="exact"/>
              <w:rPr>
                <w:rFonts w:ascii="Arial" w:cs="Arial" w:eastAsia="Arial" w:hAnsi="Arial"/>
                <w:sz w:val="18"/>
                <w:szCs w:val="18"/>
                <w:b w:val="1"/>
                <w:bCs w:val="1"/>
                <w:color w:val="0000FF"/>
                <w:w w:val="85"/>
              </w:rPr>
            </w:pPr>
            <w:hyperlink w:anchor="page91">
              <w:r>
                <w:rPr>
                  <w:rFonts w:ascii="Arial" w:cs="Arial" w:eastAsia="Arial" w:hAnsi="Arial"/>
                  <w:sz w:val="18"/>
                  <w:szCs w:val="18"/>
                  <w:b w:val="1"/>
                  <w:bCs w:val="1"/>
                  <w:color w:val="0000FF"/>
                  <w:w w:val="85"/>
                </w:rPr>
                <w:t>Exhibits</w:t>
              </w:r>
            </w:hyperlink>
          </w:p>
        </w:tc>
        <w:tc>
          <w:tcPr>
            <w:tcW w:w="8920" w:type="dxa"/>
            <w:vAlign w:val="bottom"/>
            <w:gridSpan w:val="22"/>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91">
              <w:r>
                <w:rPr>
                  <w:rFonts w:ascii="Arial" w:cs="Arial" w:eastAsia="Arial" w:hAnsi="Arial"/>
                  <w:sz w:val="17"/>
                  <w:szCs w:val="17"/>
                  <w:color w:val="0000FF"/>
                  <w:w w:val="73"/>
                </w:rPr>
                <w:t>91</w:t>
              </w:r>
            </w:hyperlink>
          </w:p>
        </w:tc>
        <w:tc>
          <w:tcPr>
            <w:tcW w:w="220" w:type="dxa"/>
            <w:vAlign w:val="bottom"/>
          </w:tcPr>
          <w:p>
            <w:pPr>
              <w:spacing w:after="0"/>
              <w:rPr>
                <w:sz w:val="17"/>
                <w:szCs w:val="17"/>
                <w:color w:val="auto"/>
              </w:rPr>
            </w:pPr>
          </w:p>
        </w:tc>
      </w:tr>
      <w:tr>
        <w:trPr>
          <w:trHeight w:val="258"/>
        </w:trPr>
        <w:tc>
          <w:tcPr>
            <w:tcW w:w="20" w:type="dxa"/>
            <w:vAlign w:val="bottom"/>
          </w:tcPr>
          <w:p>
            <w:pPr>
              <w:spacing w:after="0"/>
              <w:rPr>
                <w:sz w:val="22"/>
                <w:szCs w:val="22"/>
                <w:color w:val="auto"/>
              </w:rPr>
            </w:pPr>
          </w:p>
        </w:tc>
        <w:tc>
          <w:tcPr>
            <w:tcW w:w="1100" w:type="dxa"/>
            <w:vAlign w:val="bottom"/>
            <w:gridSpan w:val="2"/>
          </w:tcPr>
          <w:p>
            <w:pPr>
              <w:spacing w:after="0"/>
              <w:rPr>
                <w:rFonts w:ascii="Arial" w:cs="Arial" w:eastAsia="Arial" w:hAnsi="Arial"/>
                <w:sz w:val="18"/>
                <w:szCs w:val="18"/>
                <w:b w:val="1"/>
                <w:bCs w:val="1"/>
                <w:color w:val="0000FF"/>
              </w:rPr>
            </w:pPr>
            <w:hyperlink w:anchor="page92">
              <w:r>
                <w:rPr>
                  <w:rFonts w:ascii="Arial" w:cs="Arial" w:eastAsia="Arial" w:hAnsi="Arial"/>
                  <w:sz w:val="18"/>
                  <w:szCs w:val="18"/>
                  <w:b w:val="1"/>
                  <w:bCs w:val="1"/>
                  <w:color w:val="0000FF"/>
                </w:rPr>
                <w:t>Signature</w:t>
              </w:r>
            </w:hyperlink>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360" w:type="dxa"/>
            <w:vAlign w:val="bottom"/>
            <w:gridSpan w:val="2"/>
          </w:tcPr>
          <w:p>
            <w:pPr>
              <w:jc w:val="center"/>
              <w:ind w:left="92"/>
              <w:spacing w:after="0"/>
              <w:rPr>
                <w:rFonts w:ascii="Arial" w:cs="Arial" w:eastAsia="Arial" w:hAnsi="Arial"/>
                <w:sz w:val="18"/>
                <w:szCs w:val="18"/>
                <w:color w:val="0000FF"/>
                <w:w w:val="89"/>
              </w:rPr>
            </w:pPr>
            <w:hyperlink w:anchor="page92">
              <w:r>
                <w:rPr>
                  <w:rFonts w:ascii="Arial" w:cs="Arial" w:eastAsia="Arial" w:hAnsi="Arial"/>
                  <w:sz w:val="18"/>
                  <w:szCs w:val="18"/>
                  <w:color w:val="0000FF"/>
                  <w:w w:val="89"/>
                </w:rPr>
                <w:t>92</w:t>
              </w:r>
            </w:hyperlink>
          </w:p>
        </w:tc>
        <w:tc>
          <w:tcPr>
            <w:tcW w:w="220" w:type="dxa"/>
            <w:vAlign w:val="bottom"/>
          </w:tcPr>
          <w:p>
            <w:pPr>
              <w:spacing w:after="0"/>
              <w:rPr>
                <w:sz w:val="22"/>
                <w:szCs w:val="22"/>
                <w:color w:val="auto"/>
              </w:rPr>
            </w:pPr>
          </w:p>
        </w:tc>
      </w:tr>
      <w:tr>
        <w:trPr>
          <w:trHeight w:val="1166"/>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 w:name="page3"/>
    <w:bookmarkEnd w:id="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6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Interim Condensed 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 (Unaudited) and December 31, 2021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5"/>
                <w:szCs w:val="15"/>
                <w:color w:val="auto"/>
              </w:rPr>
            </w:pPr>
          </w:p>
        </w:tc>
        <w:tc>
          <w:tcPr>
            <w:tcW w:w="1520" w:type="dxa"/>
            <w:vAlign w:val="bottom"/>
          </w:tcPr>
          <w:p>
            <w:pPr>
              <w:jc w:val="right"/>
              <w:ind w:right="209"/>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24"/>
        </w:trPr>
        <w:tc>
          <w:tcPr>
            <w:tcW w:w="7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7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3"/>
              </w:rPr>
              <w:t>Fixed maturity securities available-for-sale, at estimated fair value (amortized cost: $83,613 and $79,246, respectively; allowance for</w:t>
            </w:r>
          </w:p>
        </w:tc>
        <w:tc>
          <w:tcPr>
            <w:tcW w:w="26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78,606</w:t>
            </w:r>
          </w:p>
        </w:tc>
        <w:tc>
          <w:tcPr>
            <w:tcW w:w="1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87,582</w:t>
            </w:r>
          </w:p>
        </w:tc>
        <w:tc>
          <w:tcPr>
            <w:tcW w:w="0" w:type="dxa"/>
            <w:vAlign w:val="bottom"/>
          </w:tcPr>
          <w:p>
            <w:pPr>
              <w:spacing w:after="0"/>
              <w:rPr>
                <w:sz w:val="1"/>
                <w:szCs w:val="1"/>
                <w:color w:val="auto"/>
              </w:rPr>
            </w:pPr>
          </w:p>
        </w:tc>
      </w:tr>
      <w:tr>
        <w:trPr>
          <w:trHeight w:val="186"/>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credit losses of $4 and $11, respectively)</w:t>
            </w:r>
          </w:p>
        </w:tc>
        <w:tc>
          <w:tcPr>
            <w:tcW w:w="260" w:type="dxa"/>
            <w:vAlign w:val="bottom"/>
            <w:vMerge w:val="continue"/>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color w:val="auto"/>
              </w:rPr>
              <w:t>Equity securities, at estimated fair value</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Mortgage loans (net of allowance for credit losses of $103 and $123, respectively)</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21,508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19,850</w:t>
            </w: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color w:val="auto"/>
              </w:rPr>
              <w:t>Policy loans</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1,277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1,264</w:t>
            </w:r>
          </w:p>
        </w:tc>
        <w:tc>
          <w:tcPr>
            <w:tcW w:w="0" w:type="dxa"/>
            <w:vAlign w:val="bottom"/>
          </w:tcPr>
          <w:p>
            <w:pPr>
              <w:spacing w:after="0"/>
              <w:rPr>
                <w:sz w:val="1"/>
                <w:szCs w:val="1"/>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Limited partnerships and limited liability companies</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4,271</w:t>
            </w: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color w:val="auto"/>
              </w:rPr>
              <w:t>Short-term investments, principally at estimated fair value</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920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1,841</w:t>
            </w:r>
          </w:p>
        </w:tc>
        <w:tc>
          <w:tcPr>
            <w:tcW w:w="0" w:type="dxa"/>
            <w:vAlign w:val="bottom"/>
          </w:tcPr>
          <w:p>
            <w:pPr>
              <w:spacing w:after="0"/>
              <w:rPr>
                <w:sz w:val="1"/>
                <w:szCs w:val="1"/>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invested assets, principally at estimated fair value (net of allowance for credit losses of $13 and $13, respectively)</w:t>
            </w:r>
          </w:p>
        </w:tc>
        <w:tc>
          <w:tcPr>
            <w:tcW w:w="2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3,345</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3,316</w:t>
            </w:r>
          </w:p>
        </w:tc>
        <w:tc>
          <w:tcPr>
            <w:tcW w:w="0" w:type="dxa"/>
            <w:vAlign w:val="bottom"/>
          </w:tcPr>
          <w:p>
            <w:pPr>
              <w:spacing w:after="0"/>
              <w:rPr>
                <w:sz w:val="1"/>
                <w:szCs w:val="1"/>
                <w:color w:val="auto"/>
              </w:rPr>
            </w:pPr>
          </w:p>
        </w:tc>
      </w:tr>
      <w:tr>
        <w:trPr>
          <w:trHeight w:val="176"/>
        </w:trPr>
        <w:tc>
          <w:tcPr>
            <w:tcW w:w="7720" w:type="dxa"/>
            <w:vAlign w:val="bottom"/>
          </w:tcPr>
          <w:p>
            <w:pPr>
              <w:ind w:left="180"/>
              <w:spacing w:after="0"/>
              <w:rPr>
                <w:sz w:val="20"/>
                <w:szCs w:val="20"/>
                <w:color w:val="auto"/>
              </w:rPr>
            </w:pPr>
            <w:r>
              <w:rPr>
                <w:rFonts w:ascii="Arial" w:cs="Arial" w:eastAsia="Arial" w:hAnsi="Arial"/>
                <w:sz w:val="14"/>
                <w:szCs w:val="14"/>
                <w:color w:val="auto"/>
              </w:rPr>
              <w:t>Total investments</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110,435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118,225</w:t>
            </w:r>
          </w:p>
        </w:tc>
        <w:tc>
          <w:tcPr>
            <w:tcW w:w="0" w:type="dxa"/>
            <w:vAlign w:val="bottom"/>
          </w:tcPr>
          <w:p>
            <w:pPr>
              <w:spacing w:after="0"/>
              <w:rPr>
                <w:sz w:val="1"/>
                <w:szCs w:val="1"/>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4,474</w:t>
            </w: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color w:val="auto"/>
              </w:rPr>
              <w:t>Accrued investment income</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852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Premiums, reinsurance and other receivables (net of allowance for credit losses of $10 and $10, respectively)</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16,094</w:t>
            </w: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color w:val="auto"/>
              </w:rPr>
              <w:t>Deferred policy acquisition costs and value of business acquired</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5,434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5,377</w:t>
            </w:r>
          </w:p>
        </w:tc>
        <w:tc>
          <w:tcPr>
            <w:tcW w:w="0" w:type="dxa"/>
            <w:vAlign w:val="bottom"/>
          </w:tcPr>
          <w:p>
            <w:pPr>
              <w:spacing w:after="0"/>
              <w:rPr>
                <w:sz w:val="1"/>
                <w:szCs w:val="1"/>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income tax recoverable</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color w:val="auto"/>
              </w:rPr>
              <w:t>Deferred income tax asset</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Separate account assets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88,843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114,464</w:t>
            </w:r>
          </w:p>
        </w:tc>
        <w:tc>
          <w:tcPr>
            <w:tcW w:w="0" w:type="dxa"/>
            <w:vAlign w:val="bottom"/>
          </w:tcPr>
          <w:p>
            <w:pPr>
              <w:spacing w:after="0"/>
              <w:rPr>
                <w:sz w:val="1"/>
                <w:szCs w:val="1"/>
                <w:color w:val="auto"/>
              </w:rPr>
            </w:pPr>
          </w:p>
        </w:tc>
      </w:tr>
      <w:tr>
        <w:trPr>
          <w:trHeight w:val="207"/>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228,211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259,840</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7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color w:val="auto"/>
              </w:rPr>
              <w:t>Future policy benefits</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41,142</w:t>
            </w:r>
          </w:p>
        </w:tc>
        <w:tc>
          <w:tcPr>
            <w:tcW w:w="12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43,807</w:t>
            </w:r>
          </w:p>
        </w:tc>
        <w:tc>
          <w:tcPr>
            <w:tcW w:w="0" w:type="dxa"/>
            <w:vAlign w:val="bottom"/>
          </w:tcPr>
          <w:p>
            <w:pPr>
              <w:spacing w:after="0"/>
              <w:rPr>
                <w:sz w:val="1"/>
                <w:szCs w:val="1"/>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Policyholder account balances</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68,293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66,851</w:t>
            </w: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color w:val="auto"/>
              </w:rPr>
              <w:t>Other policy-related balances</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3,273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3,457</w:t>
            </w:r>
          </w:p>
        </w:tc>
        <w:tc>
          <w:tcPr>
            <w:tcW w:w="0" w:type="dxa"/>
            <w:vAlign w:val="bottom"/>
          </w:tcPr>
          <w:p>
            <w:pPr>
              <w:spacing w:after="0"/>
              <w:rPr>
                <w:sz w:val="1"/>
                <w:szCs w:val="1"/>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Payables for collateral under securities loaned and other transactions</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6,269</w:t>
            </w: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3,157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3,157</w:t>
            </w:r>
          </w:p>
        </w:tc>
        <w:tc>
          <w:tcPr>
            <w:tcW w:w="0" w:type="dxa"/>
            <w:vAlign w:val="bottom"/>
          </w:tcPr>
          <w:p>
            <w:pPr>
              <w:spacing w:after="0"/>
              <w:rPr>
                <w:sz w:val="1"/>
                <w:szCs w:val="1"/>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income tax payable</w:t>
            </w:r>
          </w:p>
        </w:tc>
        <w:tc>
          <w:tcPr>
            <w:tcW w:w="26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color w:val="auto"/>
              </w:rPr>
              <w:t>Deferred income tax liability</w:t>
            </w:r>
          </w:p>
        </w:tc>
        <w:tc>
          <w:tcPr>
            <w:tcW w:w="260" w:type="dxa"/>
            <w:vAlign w:val="bottom"/>
          </w:tcPr>
          <w:p>
            <w:pPr>
              <w:spacing w:after="0"/>
              <w:rPr>
                <w:sz w:val="15"/>
                <w:szCs w:val="15"/>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1,062</w:t>
            </w:r>
          </w:p>
        </w:tc>
        <w:tc>
          <w:tcPr>
            <w:tcW w:w="0" w:type="dxa"/>
            <w:vAlign w:val="bottom"/>
          </w:tcPr>
          <w:p>
            <w:pPr>
              <w:spacing w:after="0"/>
              <w:rPr>
                <w:sz w:val="1"/>
                <w:szCs w:val="1"/>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4,504</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Separate account liabilities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88,843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114,464</w:t>
            </w:r>
          </w:p>
        </w:tc>
        <w:tc>
          <w:tcPr>
            <w:tcW w:w="0" w:type="dxa"/>
            <w:vAlign w:val="bottom"/>
          </w:tcPr>
          <w:p>
            <w:pPr>
              <w:spacing w:after="0"/>
              <w:rPr>
                <w:sz w:val="1"/>
                <w:szCs w:val="1"/>
                <w:color w:val="auto"/>
              </w:rPr>
            </w:pPr>
          </w:p>
        </w:tc>
      </w:tr>
      <w:tr>
        <w:trPr>
          <w:trHeight w:val="182"/>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217,955</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243,633</w:t>
            </w:r>
          </w:p>
        </w:tc>
        <w:tc>
          <w:tcPr>
            <w:tcW w:w="0" w:type="dxa"/>
            <w:vAlign w:val="bottom"/>
          </w:tcPr>
          <w:p>
            <w:pPr>
              <w:spacing w:after="0"/>
              <w:rPr>
                <w:sz w:val="1"/>
                <w:szCs w:val="1"/>
                <w:color w:val="auto"/>
              </w:rPr>
            </w:pPr>
          </w:p>
        </w:tc>
      </w:tr>
      <w:tr>
        <w:trPr>
          <w:trHeight w:val="165"/>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Contingencies, Commitments and Guarantees (Note 11)</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color w:val="auto"/>
              </w:rPr>
              <w:t>Brighthouse Financial, Inc.’s stockholders’ equity:</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par value $0.01 per share; $1,753 aggregate liquidation preference</w:t>
            </w:r>
          </w:p>
        </w:tc>
        <w:tc>
          <w:tcPr>
            <w:tcW w:w="26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7720" w:type="dxa"/>
            <w:vAlign w:val="bottom"/>
          </w:tcPr>
          <w:p>
            <w:pPr>
              <w:ind w:left="20"/>
              <w:spacing w:after="0" w:line="133" w:lineRule="exact"/>
              <w:rPr>
                <w:sz w:val="20"/>
                <w:szCs w:val="20"/>
                <w:color w:val="auto"/>
              </w:rPr>
            </w:pPr>
            <w:r>
              <w:rPr>
                <w:rFonts w:ascii="Arial" w:cs="Arial" w:eastAsia="Arial" w:hAnsi="Arial"/>
                <w:sz w:val="14"/>
                <w:szCs w:val="14"/>
                <w:color w:val="auto"/>
              </w:rPr>
              <w:t>Common stock, par value $0.01 per share; 1,000,000,000 shares authorized; 122,095,823 and 121,513,442 shares issued,</w:t>
            </w:r>
          </w:p>
        </w:tc>
        <w:tc>
          <w:tcPr>
            <w:tcW w:w="260" w:type="dxa"/>
            <w:vAlign w:val="bottom"/>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7720" w:type="dxa"/>
            <w:vAlign w:val="bottom"/>
          </w:tcPr>
          <w:p>
            <w:pPr>
              <w:ind w:left="180"/>
              <w:spacing w:after="0"/>
              <w:rPr>
                <w:sz w:val="20"/>
                <w:szCs w:val="20"/>
                <w:color w:val="auto"/>
              </w:rPr>
            </w:pPr>
            <w:r>
              <w:rPr>
                <w:rFonts w:ascii="Arial" w:cs="Arial" w:eastAsia="Arial" w:hAnsi="Arial"/>
                <w:sz w:val="14"/>
                <w:szCs w:val="14"/>
                <w:color w:val="auto"/>
              </w:rPr>
              <w:t>respectively; 73,072,766 and 77,870,072 shares outstanding, respectively</w:t>
            </w:r>
          </w:p>
        </w:tc>
        <w:tc>
          <w:tcPr>
            <w:tcW w:w="26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14,154</w:t>
            </w: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color w:val="auto"/>
              </w:rPr>
              <w:t>Retained earnings (deficit)</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981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at cost; 49,023,057 and 43,643,370 shares, respectively</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(3,091)</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4,172</w:t>
            </w:r>
          </w:p>
        </w:tc>
        <w:tc>
          <w:tcPr>
            <w:tcW w:w="0" w:type="dxa"/>
            <w:vAlign w:val="bottom"/>
          </w:tcPr>
          <w:p>
            <w:pPr>
              <w:spacing w:after="0"/>
              <w:rPr>
                <w:sz w:val="1"/>
                <w:szCs w:val="1"/>
                <w:color w:val="auto"/>
              </w:rPr>
            </w:pPr>
          </w:p>
        </w:tc>
      </w:tr>
      <w:tr>
        <w:trPr>
          <w:trHeight w:val="182"/>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Brighthouse Financial, Inc.’s stockholders’ equity</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16,142</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79"/>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equity</w:t>
            </w:r>
          </w:p>
        </w:tc>
        <w:tc>
          <w:tcPr>
            <w:tcW w:w="2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10,256</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16,207</w:t>
            </w:r>
          </w:p>
        </w:tc>
        <w:tc>
          <w:tcPr>
            <w:tcW w:w="0" w:type="dxa"/>
            <w:vAlign w:val="bottom"/>
          </w:tcPr>
          <w:p>
            <w:pPr>
              <w:spacing w:after="0"/>
              <w:rPr>
                <w:sz w:val="1"/>
                <w:szCs w:val="1"/>
                <w:color w:val="auto"/>
              </w:rPr>
            </w:pPr>
          </w:p>
        </w:tc>
      </w:tr>
      <w:tr>
        <w:trPr>
          <w:trHeight w:val="182"/>
        </w:trPr>
        <w:tc>
          <w:tcPr>
            <w:tcW w:w="7720" w:type="dxa"/>
            <w:vAlign w:val="bottom"/>
          </w:tcPr>
          <w:p>
            <w:pPr>
              <w:ind w:left="180"/>
              <w:spacing w:after="0"/>
              <w:rPr>
                <w:sz w:val="20"/>
                <w:szCs w:val="20"/>
                <w:color w:val="auto"/>
              </w:rPr>
            </w:pPr>
            <w:r>
              <w:rPr>
                <w:rFonts w:ascii="Arial" w:cs="Arial" w:eastAsia="Arial" w:hAnsi="Arial"/>
                <w:sz w:val="14"/>
                <w:szCs w:val="14"/>
                <w:color w:val="auto"/>
              </w:rPr>
              <w:t>Total liabilities and equity</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228,211</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259,840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Interim Condensed Consolidated Statements of Operations and Comprehensive Income (Loss)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and Six Months Ended June 30, 2022 and 2021 (Unaudited)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40" w:type="dxa"/>
            <w:vAlign w:val="bottom"/>
            <w:gridSpan w:val="4"/>
          </w:tcPr>
          <w:p>
            <w:pPr>
              <w:jc w:val="right"/>
              <w:ind w:right="28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7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8"/>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Premiums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Universal life and investment-type product policy fees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0" w:type="dxa"/>
            <w:vAlign w:val="bottom"/>
          </w:tcPr>
          <w:p>
            <w:pPr>
              <w:spacing w:after="0"/>
              <w:rPr>
                <w:sz w:val="1"/>
                <w:szCs w:val="1"/>
                <w:color w:val="auto"/>
              </w:rPr>
            </w:pPr>
          </w:p>
        </w:tc>
      </w:tr>
      <w:tr>
        <w:trPr>
          <w:trHeight w:val="209"/>
        </w:trPr>
        <w:tc>
          <w:tcPr>
            <w:tcW w:w="748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2,212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2,399</w:t>
            </w:r>
          </w:p>
        </w:tc>
        <w:tc>
          <w:tcPr>
            <w:tcW w:w="0" w:type="dxa"/>
            <w:vAlign w:val="bottom"/>
          </w:tcPr>
          <w:p>
            <w:pPr>
              <w:spacing w:after="0"/>
              <w:rPr>
                <w:sz w:val="1"/>
                <w:szCs w:val="1"/>
                <w:color w:val="auto"/>
              </w:rPr>
            </w:pP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2,246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(2,188)</w:t>
            </w:r>
          </w:p>
        </w:tc>
        <w:tc>
          <w:tcPr>
            <w:tcW w:w="0" w:type="dxa"/>
            <w:vAlign w:val="bottom"/>
          </w:tcPr>
          <w:p>
            <w:pPr>
              <w:spacing w:after="0"/>
              <w:rPr>
                <w:sz w:val="1"/>
                <w:szCs w:val="1"/>
                <w:color w:val="auto"/>
              </w:rPr>
            </w:pPr>
          </w:p>
        </w:tc>
      </w:tr>
      <w:tr>
        <w:trPr>
          <w:trHeight w:val="203"/>
        </w:trPr>
        <w:tc>
          <w:tcPr>
            <w:tcW w:w="74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6,537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2,614</w:t>
            </w:r>
          </w:p>
        </w:tc>
        <w:tc>
          <w:tcPr>
            <w:tcW w:w="0" w:type="dxa"/>
            <w:vAlign w:val="bottom"/>
          </w:tcPr>
          <w:p>
            <w:pPr>
              <w:spacing w:after="0"/>
              <w:rPr>
                <w:sz w:val="1"/>
                <w:szCs w:val="1"/>
                <w:color w:val="auto"/>
              </w:rPr>
            </w:pPr>
          </w:p>
        </w:tc>
      </w:tr>
      <w:tr>
        <w:trPr>
          <w:trHeight w:val="19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Policyholder benefits and claims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1,508</w:t>
            </w:r>
          </w:p>
        </w:tc>
        <w:tc>
          <w:tcPr>
            <w:tcW w:w="0" w:type="dxa"/>
            <w:vAlign w:val="bottom"/>
          </w:tcPr>
          <w:p>
            <w:pPr>
              <w:spacing w:after="0"/>
              <w:rPr>
                <w:sz w:val="1"/>
                <w:szCs w:val="1"/>
                <w:color w:val="auto"/>
              </w:rPr>
            </w:pP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credited to policyholder account balances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Amortization of deferred policy acquisition costs and value of business acquired</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1,101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0" w:type="dxa"/>
            <w:vAlign w:val="bottom"/>
          </w:tcPr>
          <w:p>
            <w:pPr>
              <w:spacing w:after="0"/>
              <w:rPr>
                <w:sz w:val="1"/>
                <w:szCs w:val="1"/>
                <w:color w:val="auto"/>
              </w:rPr>
            </w:pPr>
          </w:p>
        </w:tc>
      </w:tr>
      <w:tr>
        <w:trPr>
          <w:trHeight w:val="203"/>
        </w:trPr>
        <w:tc>
          <w:tcPr>
            <w:tcW w:w="74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4,517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3,361</w:t>
            </w:r>
          </w:p>
        </w:tc>
        <w:tc>
          <w:tcPr>
            <w:tcW w:w="0" w:type="dxa"/>
            <w:vAlign w:val="bottom"/>
          </w:tcPr>
          <w:p>
            <w:pPr>
              <w:spacing w:after="0"/>
              <w:rPr>
                <w:sz w:val="1"/>
                <w:szCs w:val="1"/>
                <w:color w:val="auto"/>
              </w:rPr>
            </w:pPr>
          </w:p>
        </w:tc>
      </w:tr>
      <w:tr>
        <w:trPr>
          <w:trHeight w:val="208"/>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provision for income tax</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0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8"/>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8"/>
        </w:trPr>
        <w:tc>
          <w:tcPr>
            <w:tcW w:w="7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Brighthouse Financial, Inc.</w:t>
            </w: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1,623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0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Preferred stock dividends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3"/>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1,570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Comprehensive income (loss)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vMerge w:val="continue"/>
          </w:tcPr>
          <w:p>
            <w:pPr>
              <w:spacing w:after="0"/>
              <w:rPr>
                <w:sz w:val="15"/>
                <w:szCs w:val="15"/>
                <w:color w:val="auto"/>
              </w:rPr>
            </w:pPr>
          </w:p>
        </w:tc>
        <w:tc>
          <w:tcPr>
            <w:tcW w:w="180" w:type="dxa"/>
            <w:vAlign w:val="bottom"/>
          </w:tcPr>
          <w:p>
            <w:pPr>
              <w:jc w:val="right"/>
              <w:ind w:right="1"/>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(2,471)</w:t>
            </w:r>
          </w:p>
        </w:tc>
        <w:tc>
          <w:tcPr>
            <w:tcW w:w="100" w:type="dxa"/>
            <w:vAlign w:val="bottom"/>
          </w:tcPr>
          <w:p>
            <w:pPr>
              <w:spacing w:after="0"/>
              <w:rPr>
                <w:sz w:val="15"/>
                <w:szCs w:val="15"/>
                <w:color w:val="auto"/>
              </w:rPr>
            </w:pPr>
          </w:p>
        </w:tc>
        <w:tc>
          <w:tcPr>
            <w:tcW w:w="240" w:type="dxa"/>
            <w:vAlign w:val="bottom"/>
          </w:tcPr>
          <w:p>
            <w:pPr>
              <w:jc w:val="right"/>
              <w:ind w:right="61"/>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1,238</w:t>
            </w:r>
          </w:p>
        </w:tc>
        <w:tc>
          <w:tcPr>
            <w:tcW w:w="120" w:type="dxa"/>
            <w:vAlign w:val="bottom"/>
          </w:tcPr>
          <w:p>
            <w:pPr>
              <w:spacing w:after="0"/>
              <w:rPr>
                <w:sz w:val="15"/>
                <w:szCs w:val="15"/>
                <w:color w:val="auto"/>
              </w:rPr>
            </w:pPr>
          </w:p>
        </w:tc>
        <w:tc>
          <w:tcPr>
            <w:tcW w:w="180" w:type="dxa"/>
            <w:vAlign w:val="bottom"/>
          </w:tcPr>
          <w:p>
            <w:pPr>
              <w:jc w:val="right"/>
              <w:ind w:right="1"/>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(5,638)</w:t>
            </w:r>
          </w:p>
        </w:tc>
        <w:tc>
          <w:tcPr>
            <w:tcW w:w="100" w:type="dxa"/>
            <w:vAlign w:val="bottom"/>
          </w:tcPr>
          <w:p>
            <w:pPr>
              <w:spacing w:after="0"/>
              <w:rPr>
                <w:sz w:val="15"/>
                <w:szCs w:val="15"/>
                <w:color w:val="auto"/>
              </w:rPr>
            </w:pPr>
          </w:p>
        </w:tc>
        <w:tc>
          <w:tcPr>
            <w:tcW w:w="240" w:type="dxa"/>
            <w:vAlign w:val="bottom"/>
          </w:tcPr>
          <w:p>
            <w:pPr>
              <w:jc w:val="right"/>
              <w:ind w:right="61"/>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(1,672)</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8"/>
        </w:trPr>
        <w:tc>
          <w:tcPr>
            <w:tcW w:w="7480" w:type="dxa"/>
            <w:vAlign w:val="bottom"/>
          </w:tcPr>
          <w:p>
            <w:pPr>
              <w:ind w:left="180"/>
              <w:spacing w:after="0"/>
              <w:rPr>
                <w:sz w:val="20"/>
                <w:szCs w:val="20"/>
                <w:color w:val="auto"/>
              </w:rPr>
            </w:pPr>
            <w:r>
              <w:rPr>
                <w:rFonts w:ascii="Arial" w:cs="Arial" w:eastAsia="Arial" w:hAnsi="Arial"/>
                <w:sz w:val="16"/>
                <w:szCs w:val="16"/>
                <w:color w:val="auto"/>
              </w:rPr>
              <w:t>Comprehensive income (loss) attributable to Brighthouse Financial, Inc.</w:t>
            </w: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1,238</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(5,640)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(1,674)</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7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80" w:type="dxa"/>
            <w:vAlign w:val="bottom"/>
          </w:tcPr>
          <w:p>
            <w:pPr>
              <w:ind w:left="2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20.62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Interim Condensed Consolidated Statements of Equity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and Six Months Ended June 30, 2022 and 2021 (Unaudited)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restart"/>
          </w:tcPr>
          <w:p>
            <w:pPr>
              <w:jc w:val="center"/>
              <w:ind w:right="220"/>
              <w:spacing w:after="0"/>
              <w:rPr>
                <w:sz w:val="20"/>
                <w:szCs w:val="20"/>
                <w:color w:val="auto"/>
              </w:rPr>
            </w:pPr>
            <w:r>
              <w:rPr>
                <w:rFonts w:ascii="Arial" w:cs="Arial" w:eastAsia="Arial" w:hAnsi="Arial"/>
                <w:sz w:val="12"/>
                <w:szCs w:val="12"/>
                <w:b w:val="1"/>
                <w:bCs w:val="1"/>
                <w:color w:val="auto"/>
                <w:w w:val="94"/>
              </w:rPr>
              <w:t>Retained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3"/>
              </w:rPr>
              <w:t>Brighthouse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center"/>
              <w:ind w:right="220"/>
              <w:spacing w:after="0"/>
              <w:rPr>
                <w:sz w:val="20"/>
                <w:szCs w:val="20"/>
                <w:color w:val="auto"/>
              </w:rPr>
            </w:pPr>
            <w:r>
              <w:rPr>
                <w:rFonts w:ascii="Arial" w:cs="Arial" w:eastAsia="Arial" w:hAnsi="Arial"/>
                <w:sz w:val="12"/>
                <w:szCs w:val="12"/>
                <w:b w:val="1"/>
                <w:bCs w:val="1"/>
                <w:color w:val="auto"/>
                <w:w w:val="97"/>
              </w:rPr>
              <w:t>Preferred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jc w:val="center"/>
              <w:ind w:right="200"/>
              <w:spacing w:after="0"/>
              <w:rPr>
                <w:sz w:val="20"/>
                <w:szCs w:val="20"/>
                <w:color w:val="auto"/>
              </w:rPr>
            </w:pPr>
            <w:r>
              <w:rPr>
                <w:rFonts w:ascii="Arial" w:cs="Arial" w:eastAsia="Arial" w:hAnsi="Arial"/>
                <w:sz w:val="12"/>
                <w:szCs w:val="12"/>
                <w:b w:val="1"/>
                <w:bCs w:val="1"/>
                <w:color w:val="auto"/>
                <w:w w:val="92"/>
              </w:rPr>
              <w:t>Common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Additional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Treasury</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220"/>
              <w:spacing w:after="0" w:line="120" w:lineRule="exact"/>
              <w:rPr>
                <w:sz w:val="20"/>
                <w:szCs w:val="20"/>
                <w:color w:val="auto"/>
              </w:rPr>
            </w:pPr>
            <w:r>
              <w:rPr>
                <w:rFonts w:ascii="Arial" w:cs="Arial" w:eastAsia="Arial" w:hAnsi="Arial"/>
                <w:sz w:val="12"/>
                <w:szCs w:val="12"/>
                <w:b w:val="1"/>
                <w:bCs w:val="1"/>
                <w:color w:val="auto"/>
                <w:w w:val="99"/>
              </w:rPr>
              <w:t>Other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tcPr>
          <w:p>
            <w:pPr>
              <w:jc w:val="center"/>
              <w:ind w:right="200"/>
              <w:spacing w:after="0" w:line="120" w:lineRule="exact"/>
              <w:rPr>
                <w:sz w:val="20"/>
                <w:szCs w:val="20"/>
                <w:color w:val="auto"/>
              </w:rPr>
            </w:pPr>
            <w:r>
              <w:rPr>
                <w:rFonts w:ascii="Arial" w:cs="Arial" w:eastAsia="Arial" w:hAnsi="Arial"/>
                <w:sz w:val="12"/>
                <w:szCs w:val="12"/>
                <w:b w:val="1"/>
                <w:bCs w:val="1"/>
                <w:color w:val="auto"/>
                <w:w w:val="96"/>
              </w:rPr>
              <w:t>Financial, Inc.’s</w:t>
            </w:r>
          </w:p>
        </w:tc>
        <w:tc>
          <w:tcPr>
            <w:tcW w:w="120" w:type="dxa"/>
            <w:vAlign w:val="bottom"/>
          </w:tcPr>
          <w:p>
            <w:pPr>
              <w:spacing w:after="0"/>
              <w:rPr>
                <w:sz w:val="10"/>
                <w:szCs w:val="10"/>
                <w:color w:val="auto"/>
              </w:rPr>
            </w:pPr>
          </w:p>
        </w:tc>
        <w:tc>
          <w:tcPr>
            <w:tcW w:w="1120" w:type="dxa"/>
            <w:vAlign w:val="bottom"/>
            <w:gridSpan w:val="3"/>
            <w:vMerge w:val="restart"/>
          </w:tcPr>
          <w:p>
            <w:pPr>
              <w:jc w:val="center"/>
              <w:ind w:right="240"/>
              <w:spacing w:after="0"/>
              <w:rPr>
                <w:sz w:val="20"/>
                <w:szCs w:val="20"/>
                <w:color w:val="auto"/>
              </w:rPr>
            </w:pPr>
            <w:r>
              <w:rPr>
                <w:rFonts w:ascii="Arial" w:cs="Arial" w:eastAsia="Arial" w:hAnsi="Arial"/>
                <w:sz w:val="12"/>
                <w:szCs w:val="12"/>
                <w:b w:val="1"/>
                <w:bCs w:val="1"/>
                <w:color w:val="auto"/>
                <w:w w:val="93"/>
              </w:rPr>
              <w:t>Noncontrolling</w:t>
            </w:r>
          </w:p>
        </w:tc>
        <w:tc>
          <w:tcPr>
            <w:tcW w:w="100" w:type="dxa"/>
            <w:vAlign w:val="bottom"/>
          </w:tcPr>
          <w:p>
            <w:pPr>
              <w:spacing w:after="0"/>
              <w:rPr>
                <w:sz w:val="10"/>
                <w:szCs w:val="10"/>
                <w:color w:val="auto"/>
              </w:rPr>
            </w:pPr>
          </w:p>
        </w:tc>
        <w:tc>
          <w:tcPr>
            <w:tcW w:w="5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center"/>
              <w:ind w:right="220"/>
              <w:spacing w:after="0" w:line="120" w:lineRule="exact"/>
              <w:rPr>
                <w:sz w:val="20"/>
                <w:szCs w:val="20"/>
                <w:color w:val="auto"/>
              </w:rPr>
            </w:pPr>
            <w:r>
              <w:rPr>
                <w:rFonts w:ascii="Arial" w:cs="Arial" w:eastAsia="Arial" w:hAnsi="Arial"/>
                <w:sz w:val="12"/>
                <w:szCs w:val="12"/>
                <w:b w:val="1"/>
                <w:bCs w:val="1"/>
                <w:color w:val="auto"/>
                <w:w w:val="93"/>
              </w:rPr>
              <w:t>Earnings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24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tcPr>
          <w:p>
            <w:pPr>
              <w:jc w:val="center"/>
              <w:ind w:right="200"/>
              <w:spacing w:after="0" w:line="120" w:lineRule="exact"/>
              <w:rPr>
                <w:sz w:val="20"/>
                <w:szCs w:val="20"/>
                <w:color w:val="auto"/>
              </w:rPr>
            </w:pPr>
            <w:r>
              <w:rPr>
                <w:rFonts w:ascii="Arial" w:cs="Arial" w:eastAsia="Arial" w:hAnsi="Arial"/>
                <w:sz w:val="12"/>
                <w:szCs w:val="12"/>
                <w:b w:val="1"/>
                <w:bCs w:val="1"/>
                <w:color w:val="auto"/>
                <w:w w:val="93"/>
              </w:rPr>
              <w:t>Stockholders’</w:t>
            </w:r>
          </w:p>
        </w:tc>
        <w:tc>
          <w:tcPr>
            <w:tcW w:w="12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85"/>
              </w:rPr>
              <w:t>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1"/>
              </w:rPr>
              <w:t>Stock</w:t>
            </w:r>
          </w:p>
        </w:tc>
        <w:tc>
          <w:tcPr>
            <w:tcW w:w="960" w:type="dxa"/>
            <w:vAlign w:val="bottom"/>
            <w:gridSpan w:val="4"/>
          </w:tcPr>
          <w:p>
            <w:pPr>
              <w:ind w:left="20"/>
              <w:spacing w:after="0"/>
              <w:rPr>
                <w:sz w:val="20"/>
                <w:szCs w:val="20"/>
                <w:color w:val="auto"/>
              </w:rPr>
            </w:pPr>
            <w:r>
              <w:rPr>
                <w:rFonts w:ascii="Arial" w:cs="Arial" w:eastAsia="Arial" w:hAnsi="Arial"/>
                <w:sz w:val="12"/>
                <w:szCs w:val="12"/>
                <w:b w:val="1"/>
                <w:bCs w:val="1"/>
                <w:color w:val="auto"/>
              </w:rPr>
              <w:t>Paid-in Capital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8"/>
              </w:rPr>
              <w:t>(Deficit)</w:t>
            </w:r>
          </w:p>
        </w:tc>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Stock at Cost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0"/>
              </w:rPr>
              <w:t>Income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2"/>
              </w:rPr>
              <w:t>Equity</w:t>
            </w:r>
          </w:p>
        </w:tc>
        <w:tc>
          <w:tcPr>
            <w:tcW w:w="12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1"/>
              </w:rPr>
              <w:t>Interests</w:t>
            </w:r>
          </w:p>
        </w:tc>
        <w:tc>
          <w:tcPr>
            <w:tcW w:w="100" w:type="dxa"/>
            <w:vAlign w:val="bottom"/>
          </w:tcPr>
          <w:p>
            <w:pPr>
              <w:spacing w:after="0"/>
              <w:rPr>
                <w:sz w:val="14"/>
                <w:szCs w:val="14"/>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72"/>
        </w:trPr>
        <w:tc>
          <w:tcPr>
            <w:tcW w:w="20" w:type="dxa"/>
            <w:vAlign w:val="bottom"/>
            <w:tcBorders>
              <w:top w:val="single" w:sz="8" w:color="CCEEFF"/>
            </w:tcBorders>
            <w:shd w:val="clear" w:color="auto" w:fill="CCEEFF"/>
          </w:tcPr>
          <w:p>
            <w:pPr>
              <w:spacing w:after="0"/>
              <w:rPr>
                <w:sz w:val="14"/>
                <w:szCs w:val="14"/>
                <w:color w:val="auto"/>
              </w:rPr>
            </w:pPr>
          </w:p>
        </w:tc>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December 31, 2021</w:t>
            </w: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14,154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(642)</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4,172</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16,142</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16,207</w:t>
            </w: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line="120" w:lineRule="exact"/>
              <w:rPr>
                <w:sz w:val="20"/>
                <w:szCs w:val="20"/>
                <w:color w:val="auto"/>
              </w:rPr>
            </w:pPr>
            <w:r>
              <w:rPr>
                <w:rFonts w:ascii="Arial" w:cs="Arial" w:eastAsia="Arial" w:hAnsi="Arial"/>
                <w:sz w:val="12"/>
                <w:szCs w:val="12"/>
                <w:color w:val="auto"/>
                <w:w w:val="97"/>
              </w:rPr>
              <w:t>Treasury stock acquired in connection with share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(127)</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(127)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ind w:left="160"/>
              <w:spacing w:after="0"/>
              <w:rPr>
                <w:sz w:val="20"/>
                <w:szCs w:val="20"/>
                <w:color w:val="auto"/>
              </w:rPr>
            </w:pPr>
            <w:r>
              <w:rPr>
                <w:rFonts w:ascii="Arial" w:cs="Arial" w:eastAsia="Arial" w:hAnsi="Arial"/>
                <w:sz w:val="12"/>
                <w:szCs w:val="12"/>
                <w:color w:val="auto"/>
              </w:rPr>
              <w:t>repurchases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2"/>
                <w:szCs w:val="12"/>
                <w:color w:val="auto"/>
              </w:rPr>
              <w:t>Dividends on preferred 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Change in noncontrolling interests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2"/>
                <w:szCs w:val="12"/>
                <w:color w:val="auto"/>
              </w:rPr>
              <w:t>Net income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640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640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Other comprehensive income (loss), net of</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(3,809)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(3,809)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(3,809)</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income tax</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60" w:type="dxa"/>
            <w:vAlign w:val="bottom"/>
          </w:tcPr>
          <w:p>
            <w:pPr>
              <w:spacing w:after="0"/>
              <w:rPr>
                <w:sz w:val="20"/>
                <w:szCs w:val="20"/>
                <w:color w:val="auto"/>
              </w:rPr>
            </w:pPr>
            <w:r>
              <w:rPr>
                <w:rFonts w:ascii="Arial" w:cs="Arial" w:eastAsia="Arial" w:hAnsi="Arial"/>
                <w:sz w:val="12"/>
                <w:szCs w:val="12"/>
                <w:color w:val="auto"/>
              </w:rPr>
              <w:t>Balance at March 31, 2022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ind w:left="4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14,133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(1,681)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363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12,814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12,879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w w:val="97"/>
              </w:rPr>
              <w:t>Treasury stock acquired in connection with share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(132)</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repurchases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2"/>
                <w:szCs w:val="12"/>
                <w:color w:val="auto"/>
              </w:rPr>
              <w:t>Share-based compensation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Dividends on preferred stock</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2"/>
                <w:szCs w:val="12"/>
                <w:color w:val="auto"/>
              </w:rPr>
              <w:t>Change in noncontrolling interests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line="120" w:lineRule="exact"/>
              <w:rPr>
                <w:sz w:val="20"/>
                <w:szCs w:val="20"/>
                <w:color w:val="auto"/>
              </w:rPr>
            </w:pPr>
            <w:r>
              <w:rPr>
                <w:rFonts w:ascii="Arial" w:cs="Arial" w:eastAsia="Arial" w:hAnsi="Arial"/>
                <w:sz w:val="12"/>
                <w:szCs w:val="12"/>
                <w:color w:val="auto"/>
              </w:rPr>
              <w:t>Other comprehensive income (loss), net of</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(3,454)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(3,454)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(3,454)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tcPr>
          <w:p>
            <w:pPr>
              <w:spacing w:after="0"/>
              <w:rPr>
                <w:sz w:val="14"/>
                <w:szCs w:val="14"/>
                <w:color w:val="auto"/>
              </w:rPr>
            </w:pPr>
          </w:p>
        </w:tc>
        <w:tc>
          <w:tcPr>
            <w:tcW w:w="256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income tax</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shd w:val="clear" w:color="auto" w:fill="CCEEFF"/>
          </w:tcPr>
          <w:p>
            <w:pPr>
              <w:spacing w:after="0"/>
              <w:rPr>
                <w:sz w:val="16"/>
                <w:szCs w:val="16"/>
                <w:color w:val="auto"/>
              </w:rPr>
            </w:pPr>
          </w:p>
        </w:tc>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June 30, 2022</w:t>
            </w: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14,113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981</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(1,813)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(3,091)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10,191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10,256</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8"/>
              </w:rPr>
              <w:t>Additional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vMerge w:val="restart"/>
          </w:tcPr>
          <w:p>
            <w:pPr>
              <w:jc w:val="center"/>
              <w:ind w:right="180"/>
              <w:spacing w:after="0"/>
              <w:rPr>
                <w:sz w:val="20"/>
                <w:szCs w:val="20"/>
                <w:color w:val="auto"/>
              </w:rPr>
            </w:pPr>
            <w:r>
              <w:rPr>
                <w:rFonts w:ascii="Arial" w:cs="Arial" w:eastAsia="Arial" w:hAnsi="Arial"/>
                <w:sz w:val="12"/>
                <w:szCs w:val="12"/>
                <w:b w:val="1"/>
                <w:bCs w:val="1"/>
                <w:color w:val="auto"/>
                <w:w w:val="94"/>
              </w:rPr>
              <w:t>Retained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2"/>
              </w:rPr>
              <w:t>Accumulated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3"/>
              </w:rPr>
              <w:t>Brighthouse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center"/>
              <w:ind w:right="200"/>
              <w:spacing w:after="0"/>
              <w:rPr>
                <w:sz w:val="20"/>
                <w:szCs w:val="20"/>
                <w:color w:val="auto"/>
              </w:rPr>
            </w:pPr>
            <w:r>
              <w:rPr>
                <w:rFonts w:ascii="Arial" w:cs="Arial" w:eastAsia="Arial" w:hAnsi="Arial"/>
                <w:sz w:val="12"/>
                <w:szCs w:val="12"/>
                <w:b w:val="1"/>
                <w:bCs w:val="1"/>
                <w:color w:val="auto"/>
                <w:w w:val="93"/>
              </w:rPr>
              <w:t>Preferred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jc w:val="center"/>
              <w:ind w:right="160"/>
              <w:spacing w:after="0"/>
              <w:rPr>
                <w:sz w:val="20"/>
                <w:szCs w:val="20"/>
                <w:color w:val="auto"/>
              </w:rPr>
            </w:pPr>
            <w:r>
              <w:rPr>
                <w:rFonts w:ascii="Arial" w:cs="Arial" w:eastAsia="Arial" w:hAnsi="Arial"/>
                <w:sz w:val="12"/>
                <w:szCs w:val="12"/>
                <w:b w:val="1"/>
                <w:bCs w:val="1"/>
                <w:color w:val="auto"/>
                <w:w w:val="92"/>
              </w:rPr>
              <w:t>Common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Treasury</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220"/>
              <w:spacing w:after="0" w:line="120" w:lineRule="exact"/>
              <w:rPr>
                <w:sz w:val="20"/>
                <w:szCs w:val="20"/>
                <w:color w:val="auto"/>
              </w:rPr>
            </w:pPr>
            <w:r>
              <w:rPr>
                <w:rFonts w:ascii="Arial" w:cs="Arial" w:eastAsia="Arial" w:hAnsi="Arial"/>
                <w:sz w:val="12"/>
                <w:szCs w:val="12"/>
                <w:b w:val="1"/>
                <w:bCs w:val="1"/>
                <w:color w:val="auto"/>
                <w:w w:val="99"/>
              </w:rPr>
              <w:t>Other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tcPr>
          <w:p>
            <w:pPr>
              <w:jc w:val="center"/>
              <w:ind w:right="200"/>
              <w:spacing w:after="0" w:line="120" w:lineRule="exact"/>
              <w:rPr>
                <w:sz w:val="20"/>
                <w:szCs w:val="20"/>
                <w:color w:val="auto"/>
              </w:rPr>
            </w:pPr>
            <w:r>
              <w:rPr>
                <w:rFonts w:ascii="Arial" w:cs="Arial" w:eastAsia="Arial" w:hAnsi="Arial"/>
                <w:sz w:val="12"/>
                <w:szCs w:val="12"/>
                <w:b w:val="1"/>
                <w:bCs w:val="1"/>
                <w:color w:val="auto"/>
                <w:w w:val="96"/>
              </w:rPr>
              <w:t>Financial, Inc.’s</w:t>
            </w:r>
          </w:p>
        </w:tc>
        <w:tc>
          <w:tcPr>
            <w:tcW w:w="120" w:type="dxa"/>
            <w:vAlign w:val="bottom"/>
          </w:tcPr>
          <w:p>
            <w:pPr>
              <w:spacing w:after="0"/>
              <w:rPr>
                <w:sz w:val="10"/>
                <w:szCs w:val="10"/>
                <w:color w:val="auto"/>
              </w:rPr>
            </w:pPr>
          </w:p>
        </w:tc>
        <w:tc>
          <w:tcPr>
            <w:tcW w:w="1120" w:type="dxa"/>
            <w:vAlign w:val="bottom"/>
            <w:gridSpan w:val="3"/>
            <w:vMerge w:val="restart"/>
          </w:tcPr>
          <w:p>
            <w:pPr>
              <w:jc w:val="center"/>
              <w:ind w:right="260"/>
              <w:spacing w:after="0"/>
              <w:rPr>
                <w:sz w:val="20"/>
                <w:szCs w:val="20"/>
                <w:color w:val="auto"/>
              </w:rPr>
            </w:pPr>
            <w:r>
              <w:rPr>
                <w:rFonts w:ascii="Arial" w:cs="Arial" w:eastAsia="Arial" w:hAnsi="Arial"/>
                <w:sz w:val="12"/>
                <w:szCs w:val="12"/>
                <w:b w:val="1"/>
                <w:bCs w:val="1"/>
                <w:color w:val="auto"/>
                <w:w w:val="91"/>
              </w:rPr>
              <w:t>Noncontrolling</w:t>
            </w:r>
          </w:p>
        </w:tc>
        <w:tc>
          <w:tcPr>
            <w:tcW w:w="100" w:type="dxa"/>
            <w:vAlign w:val="bottom"/>
          </w:tcPr>
          <w:p>
            <w:pPr>
              <w:spacing w:after="0"/>
              <w:rPr>
                <w:sz w:val="10"/>
                <w:szCs w:val="10"/>
                <w:color w:val="auto"/>
              </w:rPr>
            </w:pPr>
          </w:p>
        </w:tc>
        <w:tc>
          <w:tcPr>
            <w:tcW w:w="54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4"/>
              </w:rPr>
              <w:t>Paid-in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center"/>
              <w:ind w:right="180"/>
              <w:spacing w:after="0" w:line="120" w:lineRule="exact"/>
              <w:rPr>
                <w:sz w:val="20"/>
                <w:szCs w:val="20"/>
                <w:color w:val="auto"/>
              </w:rPr>
            </w:pPr>
            <w:r>
              <w:rPr>
                <w:rFonts w:ascii="Arial" w:cs="Arial" w:eastAsia="Arial" w:hAnsi="Arial"/>
                <w:sz w:val="12"/>
                <w:szCs w:val="12"/>
                <w:b w:val="1"/>
                <w:bCs w:val="1"/>
                <w:color w:val="auto"/>
                <w:w w:val="93"/>
              </w:rPr>
              <w:t>Earnings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20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tcPr>
          <w:p>
            <w:pPr>
              <w:jc w:val="center"/>
              <w:ind w:right="200"/>
              <w:spacing w:after="0" w:line="120" w:lineRule="exact"/>
              <w:rPr>
                <w:sz w:val="20"/>
                <w:szCs w:val="20"/>
                <w:color w:val="auto"/>
              </w:rPr>
            </w:pPr>
            <w:r>
              <w:rPr>
                <w:rFonts w:ascii="Arial" w:cs="Arial" w:eastAsia="Arial" w:hAnsi="Arial"/>
                <w:sz w:val="12"/>
                <w:szCs w:val="12"/>
                <w:b w:val="1"/>
                <w:bCs w:val="1"/>
                <w:color w:val="auto"/>
                <w:w w:val="93"/>
              </w:rPr>
              <w:t>Stockholders’</w:t>
            </w:r>
          </w:p>
        </w:tc>
        <w:tc>
          <w:tcPr>
            <w:tcW w:w="12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1"/>
              </w:rPr>
              <w:t>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1"/>
              </w:rPr>
              <w:t>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8"/>
              </w:rPr>
              <w:t>(Deficit)</w:t>
            </w:r>
          </w:p>
        </w:tc>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Stock at Cost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0"/>
              </w:rPr>
              <w:t>Income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2"/>
              </w:rPr>
              <w:t>Equity</w:t>
            </w:r>
          </w:p>
        </w:tc>
        <w:tc>
          <w:tcPr>
            <w:tcW w:w="12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91"/>
              </w:rPr>
              <w:t>Interests</w:t>
            </w:r>
          </w:p>
        </w:tc>
        <w:tc>
          <w:tcPr>
            <w:tcW w:w="10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December 31, 2020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13,878</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(534)</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(1,038)</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5,716</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18,023</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ind w:left="20"/>
              <w:spacing w:after="0" w:line="120" w:lineRule="exact"/>
              <w:rPr>
                <w:sz w:val="20"/>
                <w:szCs w:val="20"/>
                <w:color w:val="auto"/>
              </w:rPr>
            </w:pPr>
            <w:r>
              <w:rPr>
                <w:rFonts w:ascii="Arial" w:cs="Arial" w:eastAsia="Arial" w:hAnsi="Arial"/>
                <w:sz w:val="12"/>
                <w:szCs w:val="12"/>
                <w:color w:val="auto"/>
                <w:w w:val="96"/>
              </w:rPr>
              <w:t>Treasury stock acquired in connection with share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(68)</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(68)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(68)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ind w:left="180"/>
              <w:spacing w:after="0"/>
              <w:rPr>
                <w:sz w:val="20"/>
                <w:szCs w:val="20"/>
                <w:color w:val="auto"/>
              </w:rPr>
            </w:pPr>
            <w:r>
              <w:rPr>
                <w:rFonts w:ascii="Arial" w:cs="Arial" w:eastAsia="Arial" w:hAnsi="Arial"/>
                <w:sz w:val="12"/>
                <w:szCs w:val="12"/>
                <w:color w:val="auto"/>
              </w:rPr>
              <w:t>repurchases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Share-based compensation</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ind w:left="20"/>
              <w:spacing w:after="0"/>
              <w:rPr>
                <w:sz w:val="20"/>
                <w:szCs w:val="20"/>
                <w:color w:val="auto"/>
              </w:rPr>
            </w:pPr>
            <w:r>
              <w:rPr>
                <w:rFonts w:ascii="Arial" w:cs="Arial" w:eastAsia="Arial" w:hAnsi="Arial"/>
                <w:sz w:val="12"/>
                <w:szCs w:val="12"/>
                <w:color w:val="auto"/>
              </w:rPr>
              <w:t>Dividends on preferred 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noncontrolling interests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(585)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6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Other comprehensive income (loss), net of</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(2,327)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(2,327)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 tax</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60" w:type="dxa"/>
            <w:vAlign w:val="bottom"/>
          </w:tcPr>
          <w:p>
            <w:pPr>
              <w:ind w:left="20"/>
              <w:spacing w:after="0"/>
              <w:rPr>
                <w:sz w:val="20"/>
                <w:szCs w:val="20"/>
                <w:color w:val="auto"/>
              </w:rPr>
            </w:pPr>
            <w:r>
              <w:rPr>
                <w:rFonts w:ascii="Arial" w:cs="Arial" w:eastAsia="Arial" w:hAnsi="Arial"/>
                <w:sz w:val="12"/>
                <w:szCs w:val="12"/>
                <w:color w:val="auto"/>
              </w:rPr>
              <w:t>Balance at March 31, 2021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13,858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(1,112)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3,389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15,017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15,082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6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w w:val="96"/>
              </w:rPr>
              <w:t>Treasury stock acquired in connection with share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repurchases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ind w:left="20"/>
              <w:spacing w:after="0"/>
              <w:rPr>
                <w:sz w:val="20"/>
                <w:szCs w:val="20"/>
                <w:color w:val="auto"/>
              </w:rPr>
            </w:pPr>
            <w:r>
              <w:rPr>
                <w:rFonts w:ascii="Arial" w:cs="Arial" w:eastAsia="Arial" w:hAnsi="Arial"/>
                <w:sz w:val="12"/>
                <w:szCs w:val="12"/>
                <w:color w:val="auto"/>
              </w:rPr>
              <w:t>Share-based compensation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Dividends on preferred stock</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ind w:left="20"/>
              <w:spacing w:after="0"/>
              <w:rPr>
                <w:sz w:val="20"/>
                <w:szCs w:val="20"/>
                <w:color w:val="auto"/>
              </w:rPr>
            </w:pPr>
            <w:r>
              <w:rPr>
                <w:rFonts w:ascii="Arial" w:cs="Arial" w:eastAsia="Arial" w:hAnsi="Arial"/>
                <w:sz w:val="12"/>
                <w:szCs w:val="12"/>
                <w:color w:val="auto"/>
              </w:rPr>
              <w:t>Change in noncontrolling interests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ind w:left="20"/>
              <w:spacing w:after="0" w:line="120" w:lineRule="exact"/>
              <w:rPr>
                <w:sz w:val="20"/>
                <w:szCs w:val="20"/>
                <w:color w:val="auto"/>
              </w:rPr>
            </w:pPr>
            <w:r>
              <w:rPr>
                <w:rFonts w:ascii="Arial" w:cs="Arial" w:eastAsia="Arial" w:hAnsi="Arial"/>
                <w:sz w:val="12"/>
                <w:szCs w:val="12"/>
                <w:color w:val="auto"/>
              </w:rPr>
              <w:t>Other comprehensive income (loss), net of</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1,207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1,207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1,207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income tax</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6"/>
                <w:szCs w:val="16"/>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June 30, 2021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13,842</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(1,088)</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(1,236)</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4,596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16,115</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6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Interim Condensed Consolidated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2022 and 2021 (Unaudited)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7"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Six Months Ended</w:t>
      </w:r>
    </w:p>
    <w:p>
      <w:pPr>
        <w:spacing w:after="0" w:line="14"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660" w:type="dxa"/>
            <w:vAlign w:val="bottom"/>
          </w:tcPr>
          <w:p>
            <w:pPr>
              <w:spacing w:after="0"/>
              <w:rPr>
                <w:sz w:val="17"/>
                <w:szCs w:val="17"/>
                <w:color w:val="auto"/>
              </w:rPr>
            </w:pPr>
          </w:p>
        </w:tc>
        <w:tc>
          <w:tcPr>
            <w:tcW w:w="11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2021</w:t>
            </w:r>
          </w:p>
        </w:tc>
      </w:tr>
      <w:tr>
        <w:trPr>
          <w:trHeight w:val="24"/>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9"/>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120" w:type="dxa"/>
            <w:vAlign w:val="bottom"/>
            <w:tcBorders>
              <w:bottom w:val="single" w:sz="8" w:color="auto"/>
            </w:tcBorders>
            <w:shd w:val="clear" w:color="auto" w:fill="CCEEFF"/>
          </w:tcPr>
          <w:p>
            <w:pPr>
              <w:jc w:val="right"/>
              <w:ind w:right="94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165"/>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6"/>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maturities and repayments of:</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3"/>
        </w:trPr>
        <w:tc>
          <w:tcPr>
            <w:tcW w:w="7660" w:type="dxa"/>
            <w:vAlign w:val="bottom"/>
          </w:tcPr>
          <w:p>
            <w:pPr>
              <w:ind w:left="140"/>
              <w:spacing w:after="0"/>
              <w:rPr>
                <w:sz w:val="20"/>
                <w:szCs w:val="20"/>
                <w:color w:val="auto"/>
              </w:rPr>
            </w:pPr>
            <w:r>
              <w:rPr>
                <w:rFonts w:ascii="Arial" w:cs="Arial" w:eastAsia="Arial" w:hAnsi="Arial"/>
                <w:sz w:val="14"/>
                <w:szCs w:val="14"/>
                <w:color w:val="auto"/>
              </w:rPr>
              <w:t>Fixed maturity securities</w:t>
            </w: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6,250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5,238</w:t>
            </w:r>
          </w:p>
        </w:tc>
      </w:tr>
      <w:tr>
        <w:trPr>
          <w:trHeight w:val="188"/>
        </w:trPr>
        <w:tc>
          <w:tcPr>
            <w:tcW w:w="7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83"/>
        </w:trPr>
        <w:tc>
          <w:tcPr>
            <w:tcW w:w="7660" w:type="dxa"/>
            <w:vAlign w:val="bottom"/>
          </w:tcPr>
          <w:p>
            <w:pPr>
              <w:ind w:left="140"/>
              <w:spacing w:after="0"/>
              <w:rPr>
                <w:sz w:val="20"/>
                <w:szCs w:val="20"/>
                <w:color w:val="auto"/>
              </w:rPr>
            </w:pPr>
            <w:r>
              <w:rPr>
                <w:rFonts w:ascii="Arial" w:cs="Arial" w:eastAsia="Arial" w:hAnsi="Arial"/>
                <w:sz w:val="14"/>
                <w:szCs w:val="14"/>
                <w:color w:val="auto"/>
              </w:rPr>
              <w:t>Mortgage loans</w:t>
            </w: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1,382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1,384</w:t>
            </w:r>
          </w:p>
        </w:tc>
      </w:tr>
      <w:tr>
        <w:trPr>
          <w:trHeight w:val="188"/>
        </w:trPr>
        <w:tc>
          <w:tcPr>
            <w:tcW w:w="7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Limited partnerships and limited liability companies</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183"/>
        </w:trPr>
        <w:tc>
          <w:tcPr>
            <w:tcW w:w="7660" w:type="dxa"/>
            <w:vAlign w:val="bottom"/>
          </w:tcPr>
          <w:p>
            <w:pPr>
              <w:ind w:left="20"/>
              <w:spacing w:after="0"/>
              <w:rPr>
                <w:sz w:val="20"/>
                <w:szCs w:val="20"/>
                <w:color w:val="auto"/>
              </w:rPr>
            </w:pPr>
            <w:r>
              <w:rPr>
                <w:rFonts w:ascii="Arial" w:cs="Arial" w:eastAsia="Arial" w:hAnsi="Arial"/>
                <w:sz w:val="14"/>
                <w:szCs w:val="14"/>
                <w:color w:val="auto"/>
              </w:rPr>
              <w:t>Purchases of:</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8"/>
        </w:trPr>
        <w:tc>
          <w:tcPr>
            <w:tcW w:w="7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maturity securities</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(9,833)</w:t>
            </w:r>
          </w:p>
        </w:tc>
      </w:tr>
      <w:tr>
        <w:trPr>
          <w:trHeight w:val="183"/>
        </w:trPr>
        <w:tc>
          <w:tcPr>
            <w:tcW w:w="7660" w:type="dxa"/>
            <w:vAlign w:val="bottom"/>
          </w:tcPr>
          <w:p>
            <w:pPr>
              <w:ind w:left="140"/>
              <w:spacing w:after="0"/>
              <w:rPr>
                <w:sz w:val="20"/>
                <w:szCs w:val="20"/>
                <w:color w:val="auto"/>
              </w:rPr>
            </w:pPr>
            <w:r>
              <w:rPr>
                <w:rFonts w:ascii="Arial" w:cs="Arial" w:eastAsia="Arial" w:hAnsi="Arial"/>
                <w:sz w:val="14"/>
                <w:szCs w:val="14"/>
                <w:color w:val="auto"/>
              </w:rPr>
              <w:t>Equity securities</w:t>
            </w: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88"/>
        </w:trPr>
        <w:tc>
          <w:tcPr>
            <w:tcW w:w="7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Mortgage loans</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(2,247)</w:t>
            </w:r>
          </w:p>
        </w:tc>
      </w:tr>
      <w:tr>
        <w:trPr>
          <w:trHeight w:val="183"/>
        </w:trPr>
        <w:tc>
          <w:tcPr>
            <w:tcW w:w="7660" w:type="dxa"/>
            <w:vAlign w:val="bottom"/>
          </w:tcPr>
          <w:p>
            <w:pPr>
              <w:ind w:left="140"/>
              <w:spacing w:after="0"/>
              <w:rPr>
                <w:sz w:val="20"/>
                <w:szCs w:val="20"/>
                <w:color w:val="auto"/>
              </w:rPr>
            </w:pPr>
            <w:r>
              <w:rPr>
                <w:rFonts w:ascii="Arial" w:cs="Arial" w:eastAsia="Arial" w:hAnsi="Arial"/>
                <w:sz w:val="14"/>
                <w:szCs w:val="14"/>
                <w:color w:val="auto"/>
              </w:rPr>
              <w:t>Limited partnerships and limited liability companies</w:t>
            </w: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(379)</w:t>
            </w:r>
          </w:p>
        </w:tc>
      </w:tr>
      <w:tr>
        <w:trPr>
          <w:trHeight w:val="188"/>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received in connection with freestanding derivatives</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2,140</w:t>
            </w:r>
          </w:p>
        </w:tc>
      </w:tr>
      <w:tr>
        <w:trPr>
          <w:trHeight w:val="183"/>
        </w:trPr>
        <w:tc>
          <w:tcPr>
            <w:tcW w:w="7660" w:type="dxa"/>
            <w:vAlign w:val="bottom"/>
          </w:tcPr>
          <w:p>
            <w:pPr>
              <w:ind w:left="20"/>
              <w:spacing w:after="0"/>
              <w:rPr>
                <w:sz w:val="20"/>
                <w:szCs w:val="20"/>
                <w:color w:val="auto"/>
              </w:rPr>
            </w:pPr>
            <w:r>
              <w:rPr>
                <w:rFonts w:ascii="Arial" w:cs="Arial" w:eastAsia="Arial" w:hAnsi="Arial"/>
                <w:sz w:val="14"/>
                <w:szCs w:val="14"/>
                <w:color w:val="auto"/>
              </w:rPr>
              <w:t>Cash paid in connection with freestanding derivatives</w:t>
            </w: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(2,220)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(2,893)</w:t>
            </w:r>
          </w:p>
        </w:tc>
      </w:tr>
      <w:tr>
        <w:trPr>
          <w:trHeight w:val="188"/>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policy loans</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183"/>
        </w:trPr>
        <w:tc>
          <w:tcPr>
            <w:tcW w:w="7660" w:type="dxa"/>
            <w:vAlign w:val="bottom"/>
          </w:tcPr>
          <w:p>
            <w:pPr>
              <w:ind w:left="20"/>
              <w:spacing w:after="0"/>
              <w:rPr>
                <w:sz w:val="20"/>
                <w:szCs w:val="20"/>
                <w:color w:val="auto"/>
              </w:rPr>
            </w:pPr>
            <w:r>
              <w:rPr>
                <w:rFonts w:ascii="Arial" w:cs="Arial" w:eastAsia="Arial" w:hAnsi="Arial"/>
                <w:sz w:val="14"/>
                <w:szCs w:val="14"/>
                <w:color w:val="auto"/>
              </w:rPr>
              <w:t>Net change in short-term investments</w:t>
            </w: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1,949</w:t>
            </w:r>
          </w:p>
        </w:tc>
      </w:tr>
      <w:tr>
        <w:trPr>
          <w:trHeight w:val="188"/>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other invested assets</w:t>
            </w:r>
          </w:p>
        </w:tc>
        <w:tc>
          <w:tcPr>
            <w:tcW w:w="1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76"/>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(5,019)</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(4,412)</w:t>
            </w:r>
          </w:p>
        </w:tc>
      </w:tr>
      <w:tr>
        <w:trPr>
          <w:trHeight w:val="168"/>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83"/>
        </w:trPr>
        <w:tc>
          <w:tcPr>
            <w:tcW w:w="7660" w:type="dxa"/>
            <w:vAlign w:val="bottom"/>
          </w:tcPr>
          <w:p>
            <w:pPr>
              <w:ind w:left="20"/>
              <w:spacing w:after="0"/>
              <w:rPr>
                <w:sz w:val="20"/>
                <w:szCs w:val="20"/>
                <w:color w:val="auto"/>
              </w:rPr>
            </w:pPr>
            <w:r>
              <w:rPr>
                <w:rFonts w:ascii="Arial" w:cs="Arial" w:eastAsia="Arial" w:hAnsi="Arial"/>
                <w:sz w:val="14"/>
                <w:szCs w:val="14"/>
                <w:color w:val="auto"/>
              </w:rPr>
              <w:t>Policyholder account balances:</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8"/>
        </w:trPr>
        <w:tc>
          <w:tcPr>
            <w:tcW w:w="7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6,886</w:t>
            </w:r>
          </w:p>
        </w:tc>
      </w:tr>
      <w:tr>
        <w:trPr>
          <w:trHeight w:val="183"/>
        </w:trPr>
        <w:tc>
          <w:tcPr>
            <w:tcW w:w="7660" w:type="dxa"/>
            <w:vAlign w:val="bottom"/>
          </w:tcPr>
          <w:p>
            <w:pPr>
              <w:ind w:left="140"/>
              <w:spacing w:after="0"/>
              <w:rPr>
                <w:sz w:val="20"/>
                <w:szCs w:val="20"/>
                <w:color w:val="auto"/>
              </w:rPr>
            </w:pPr>
            <w:r>
              <w:rPr>
                <w:rFonts w:ascii="Arial" w:cs="Arial" w:eastAsia="Arial" w:hAnsi="Arial"/>
                <w:sz w:val="14"/>
                <w:szCs w:val="14"/>
                <w:color w:val="auto"/>
              </w:rPr>
              <w:t>Withdrawals</w:t>
            </w: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(8,477)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(1,295)</w:t>
            </w:r>
          </w:p>
        </w:tc>
      </w:tr>
      <w:tr>
        <w:trPr>
          <w:trHeight w:val="188"/>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payables for collateral under securities loaned and other transactions</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183"/>
        </w:trPr>
        <w:tc>
          <w:tcPr>
            <w:tcW w:w="7660" w:type="dxa"/>
            <w:vAlign w:val="bottom"/>
          </w:tcPr>
          <w:p>
            <w:pPr>
              <w:ind w:left="20"/>
              <w:spacing w:after="0"/>
              <w:rPr>
                <w:sz w:val="20"/>
                <w:szCs w:val="20"/>
                <w:color w:val="auto"/>
              </w:rPr>
            </w:pPr>
            <w:r>
              <w:rPr>
                <w:rFonts w:ascii="Arial" w:cs="Arial" w:eastAsia="Arial" w:hAnsi="Arial"/>
                <w:sz w:val="14"/>
                <w:szCs w:val="14"/>
                <w:color w:val="auto"/>
              </w:rPr>
              <w:t>Long-term debt repaid</w:t>
            </w: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8"/>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on preferred stock</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83"/>
        </w:trPr>
        <w:tc>
          <w:tcPr>
            <w:tcW w:w="7660" w:type="dxa"/>
            <w:vAlign w:val="bottom"/>
          </w:tcPr>
          <w:p>
            <w:pPr>
              <w:ind w:left="20"/>
              <w:spacing w:after="0"/>
              <w:rPr>
                <w:sz w:val="20"/>
                <w:szCs w:val="20"/>
                <w:color w:val="auto"/>
              </w:rPr>
            </w:pPr>
            <w:r>
              <w:rPr>
                <w:rFonts w:ascii="Arial" w:cs="Arial" w:eastAsia="Arial" w:hAnsi="Arial"/>
                <w:sz w:val="14"/>
                <w:szCs w:val="14"/>
                <w:color w:val="auto"/>
              </w:rPr>
              <w:t>Treasury stock acquired in connection with share repurchases</w:t>
            </w: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188"/>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element on certain derivative instruments and other derivative related transactions, net</w:t>
            </w: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183"/>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net</w:t>
            </w:r>
          </w:p>
        </w:tc>
        <w:tc>
          <w:tcPr>
            <w:tcW w:w="1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182"/>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5,598</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5,117</w:t>
            </w:r>
          </w:p>
        </w:tc>
      </w:tr>
      <w:tr>
        <w:trPr>
          <w:trHeight w:val="176"/>
        </w:trPr>
        <w:tc>
          <w:tcPr>
            <w:tcW w:w="7660" w:type="dxa"/>
            <w:vAlign w:val="bottom"/>
          </w:tcPr>
          <w:p>
            <w:pPr>
              <w:ind w:left="20"/>
              <w:spacing w:after="0"/>
              <w:rPr>
                <w:sz w:val="20"/>
                <w:szCs w:val="20"/>
                <w:color w:val="auto"/>
              </w:rPr>
            </w:pPr>
            <w:r>
              <w:rPr>
                <w:rFonts w:ascii="Arial" w:cs="Arial" w:eastAsia="Arial" w:hAnsi="Arial"/>
                <w:sz w:val="14"/>
                <w:szCs w:val="14"/>
                <w:color w:val="auto"/>
              </w:rPr>
              <w:t>Change in cash, cash equivalents and restricted cash</w:t>
            </w:r>
          </w:p>
        </w:tc>
        <w:tc>
          <w:tcPr>
            <w:tcW w:w="1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774</w:t>
            </w:r>
          </w:p>
        </w:tc>
      </w:tr>
      <w:tr>
        <w:trPr>
          <w:trHeight w:val="185"/>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4,474</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4,108</w:t>
            </w:r>
          </w:p>
        </w:tc>
      </w:tr>
      <w:tr>
        <w:trPr>
          <w:trHeight w:val="182"/>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1120" w:type="dxa"/>
            <w:vAlign w:val="bottom"/>
            <w:tcBorders>
              <w:bottom w:val="single" w:sz="8" w:color="auto"/>
            </w:tcBorders>
          </w:tcPr>
          <w:p>
            <w:pPr>
              <w:jc w:val="right"/>
              <w:ind w:right="94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5,071</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4,882</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52"/>
        </w:trPr>
        <w:tc>
          <w:tcPr>
            <w:tcW w:w="766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83"/>
        </w:trPr>
        <w:tc>
          <w:tcPr>
            <w:tcW w:w="7660" w:type="dxa"/>
            <w:vAlign w:val="bottom"/>
          </w:tcPr>
          <w:p>
            <w:pPr>
              <w:ind w:left="20"/>
              <w:spacing w:after="0"/>
              <w:rPr>
                <w:sz w:val="20"/>
                <w:szCs w:val="20"/>
                <w:color w:val="auto"/>
              </w:rPr>
            </w:pPr>
            <w:r>
              <w:rPr>
                <w:rFonts w:ascii="Arial" w:cs="Arial" w:eastAsia="Arial" w:hAnsi="Arial"/>
                <w:sz w:val="14"/>
                <w:szCs w:val="14"/>
                <w:color w:val="auto"/>
              </w:rPr>
              <w:t>Net cash paid (received) for:</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13"/>
        </w:trPr>
        <w:tc>
          <w:tcPr>
            <w:tcW w:w="7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w:t>
            </w:r>
          </w:p>
        </w:tc>
        <w:tc>
          <w:tcPr>
            <w:tcW w:w="1120" w:type="dxa"/>
            <w:vAlign w:val="bottom"/>
            <w:tcBorders>
              <w:bottom w:val="single" w:sz="8" w:color="auto"/>
            </w:tcBorders>
            <w:shd w:val="clear" w:color="auto" w:fill="CCEEFF"/>
          </w:tcPr>
          <w:p>
            <w:pPr>
              <w:jc w:val="right"/>
              <w:ind w:right="94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660" w:type="dxa"/>
            <w:vAlign w:val="bottom"/>
          </w:tcPr>
          <w:p>
            <w:pPr>
              <w:ind w:left="140"/>
              <w:spacing w:after="0" w:line="159" w:lineRule="exact"/>
              <w:rPr>
                <w:sz w:val="20"/>
                <w:szCs w:val="20"/>
                <w:color w:val="auto"/>
              </w:rPr>
            </w:pPr>
            <w:r>
              <w:rPr>
                <w:rFonts w:ascii="Arial" w:cs="Arial" w:eastAsia="Arial" w:hAnsi="Arial"/>
                <w:sz w:val="14"/>
                <w:szCs w:val="14"/>
                <w:color w:val="auto"/>
              </w:rPr>
              <w:t>Income tax</w:t>
            </w:r>
          </w:p>
        </w:tc>
        <w:tc>
          <w:tcPr>
            <w:tcW w:w="1120" w:type="dxa"/>
            <w:vAlign w:val="bottom"/>
            <w:tcBorders>
              <w:bottom w:val="single" w:sz="8" w:color="auto"/>
            </w:tcBorders>
          </w:tcPr>
          <w:p>
            <w:pPr>
              <w:jc w:val="right"/>
              <w:ind w:right="949"/>
              <w:spacing w:after="0" w:line="15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106</w:t>
            </w:r>
          </w:p>
        </w:tc>
        <w:tc>
          <w:tcPr>
            <w:tcW w:w="100" w:type="dxa"/>
            <w:vAlign w:val="bottom"/>
          </w:tcPr>
          <w:p>
            <w:pPr>
              <w:spacing w:after="0"/>
              <w:rPr>
                <w:sz w:val="13"/>
                <w:szCs w:val="13"/>
                <w:color w:val="auto"/>
              </w:rPr>
            </w:pPr>
          </w:p>
        </w:tc>
        <w:tc>
          <w:tcPr>
            <w:tcW w:w="420" w:type="dxa"/>
            <w:vAlign w:val="bottom"/>
            <w:tcBorders>
              <w:bottom w:val="single" w:sz="8" w:color="auto"/>
            </w:tcBorders>
          </w:tcPr>
          <w:p>
            <w:pPr>
              <w:jc w:val="right"/>
              <w:ind w:right="249"/>
              <w:spacing w:after="0" w:line="159"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w:t>
            </w:r>
          </w:p>
        </w:tc>
      </w:tr>
      <w:tr>
        <w:trPr>
          <w:trHeight w:val="20"/>
        </w:trPr>
        <w:tc>
          <w:tcPr>
            <w:tcW w:w="7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60"/>
        <w:spacing w:after="0" w:line="372" w:lineRule="auto"/>
        <w:rPr>
          <w:sz w:val="20"/>
          <w:szCs w:val="20"/>
          <w:color w:val="auto"/>
        </w:rPr>
      </w:pPr>
      <w:r>
        <w:rPr>
          <w:rFonts w:ascii="Arial" w:cs="Arial" w:eastAsia="Arial" w:hAnsi="Arial"/>
          <w:sz w:val="18"/>
          <w:szCs w:val="18"/>
          <w:b w:val="1"/>
          <w:bCs w:val="1"/>
          <w:color w:val="auto"/>
        </w:rPr>
        <w:t xml:space="preserve">1. Business, Basis of Presentation and Summary of Significant Accounting Policies </w:t>
      </w:r>
      <w:r>
        <w:rPr>
          <w:rFonts w:ascii="Arial" w:cs="Arial" w:eastAsia="Arial" w:hAnsi="Arial"/>
          <w:sz w:val="18"/>
          <w:szCs w:val="18"/>
          <w:b w:val="1"/>
          <w:bCs w:val="1"/>
          <w:i w:val="1"/>
          <w:iCs w:val="1"/>
          <w:color w:val="auto"/>
        </w:rPr>
        <w:t>Business</w:t>
      </w:r>
    </w:p>
    <w:p>
      <w:pPr>
        <w:jc w:val="both"/>
        <w:ind w:firstLine="318"/>
        <w:spacing w:after="0" w:line="268" w:lineRule="auto"/>
        <w:rPr>
          <w:sz w:val="20"/>
          <w:szCs w:val="20"/>
          <w:color w:val="auto"/>
        </w:rPr>
      </w:pPr>
      <w:r>
        <w:rPr>
          <w:rFonts w:ascii="Arial" w:cs="Arial" w:eastAsia="Arial" w:hAnsi="Arial"/>
          <w:sz w:val="17"/>
          <w:szCs w:val="17"/>
          <w:color w:val="auto"/>
        </w:rPr>
        <w:t>Brighthouse Financial, Inc. (“BHF” and together with its subsidiaries, “Brighthouse Financial” or the “Company”) is a holding company formed in 2016 to own the legal entities that historically operated a substantial portion of MetLife, Inc.’s former retail segment until becoming a separate, publicly-traded company in August 2017. Brighthouse Financial is one of the largest providers of annuity and life insurance products in the U.S. through multiple independent distribution channels and marketing arrangements with a diverse network of distribution partners. The Company is organized into three segments: Annuities; Life; and Run-off. In addition, the Company reports certain of its results of operations in Corporate &amp; Other.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Consolidation</w:t>
      </w:r>
    </w:p>
    <w:p>
      <w:pPr>
        <w:spacing w:after="0" w:line="111"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The accompanying interim condensed consolidated financial statements include the accounts of Brighthouse Financial, as well as partnerships and limited liability companies (“LLC”) that the Company controls. Intercompany accounts and transactions have been eliminated.</w:t>
      </w:r>
    </w:p>
    <w:p>
      <w:pPr>
        <w:spacing w:after="0" w:line="51"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40" w:lineRule="exact"/>
        <w:rPr>
          <w:sz w:val="20"/>
          <w:szCs w:val="20"/>
          <w:color w:val="auto"/>
        </w:rPr>
      </w:pPr>
    </w:p>
    <w:p>
      <w:pPr>
        <w:jc w:val="both"/>
        <w:ind w:left="160" w:firstLine="318"/>
        <w:spacing w:after="0" w:line="267" w:lineRule="auto"/>
        <w:rPr>
          <w:sz w:val="20"/>
          <w:szCs w:val="20"/>
          <w:color w:val="auto"/>
        </w:rPr>
      </w:pPr>
      <w:r>
        <w:rPr>
          <w:rFonts w:ascii="Arial" w:cs="Arial" w:eastAsia="Arial" w:hAnsi="Arial"/>
          <w:sz w:val="17"/>
          <w:szCs w:val="17"/>
          <w:color w:val="auto"/>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2021 consolidated balance sheet data was derived from audited consolidated financial statements included in Brighthouse Financial, Inc.’s Annual Report on Form 10-K for the year ended December 31, 2021 (the “2021 Annual Report”), which include all disclosures required by GAAP. Therefore, these interim condensed consolidated financial statements should be read in conjunction with the consolidated financial statements of the Company included in the 2021 Annual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Changes to GAAP are established by the Financial Accounting Standards Board (“FASB”) in the form of accounting standards updates (“ASU”) to the FASB Accounting Standards Codification. The Company considers the applicability and impact of all ASUs. There were no significant ASUs adopted during the period ended June 30, 2022.</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Adoption of New Accounting Pronouncements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August 2018, the FASB issued new guidance on long-duration contracts (ASU 2018-12, Financial Services-Insurance (Topic 944): Targeted Improvements to the Accounting for Long-Duration Contracts). This new guidance is effective for fiscal years beginning after January 1, 2023. The amendments to Topic 944 will result in significant changes to the measurement, presentation and disclosure requirements for long-duration insurance contracts. A summary of the most significant changes is provided below:</w:t>
      </w:r>
    </w:p>
    <w:p>
      <w:pPr>
        <w:spacing w:after="0" w:line="85" w:lineRule="exact"/>
        <w:rPr>
          <w:sz w:val="20"/>
          <w:szCs w:val="20"/>
          <w:color w:val="auto"/>
        </w:rPr>
      </w:pPr>
    </w:p>
    <w:p>
      <w:pPr>
        <w:jc w:val="both"/>
        <w:ind w:firstLine="324"/>
        <w:spacing w:after="0" w:line="330" w:lineRule="auto"/>
        <w:tabs>
          <w:tab w:leader="none" w:pos="568" w:val="left"/>
        </w:tabs>
        <w:numPr>
          <w:ilvl w:val="0"/>
          <w:numId w:val="3"/>
        </w:numPr>
        <w:rPr>
          <w:rFonts w:ascii="Arial" w:cs="Arial" w:eastAsia="Arial" w:hAnsi="Arial"/>
          <w:sz w:val="15"/>
          <w:szCs w:val="15"/>
          <w:color w:val="auto"/>
        </w:rPr>
      </w:pPr>
      <w:r>
        <w:rPr>
          <w:rFonts w:ascii="Arial" w:cs="Arial" w:eastAsia="Arial" w:hAnsi="Arial"/>
          <w:sz w:val="15"/>
          <w:szCs w:val="15"/>
          <w:color w:val="auto"/>
        </w:rPr>
        <w:t>Guaranteed benefits associated with variable annuity and certain fixed annuity contracts will be classified and presented separately on the consolidated balance sheets as market risk benefits (“MRB”). MRBs will be measured at fair value through net income and reported separately on the consolidated statements of operations, except for instrument-specific credit risk changes, which will be recognized in other comprehensive income (loss) (“OCI”).</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ind w:left="180" w:hanging="174"/>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Basis of Presentation and Summary of Significant Accounting Policies (continued)</w:t>
      </w:r>
    </w:p>
    <w:p>
      <w:pPr>
        <w:spacing w:after="0" w:line="200" w:lineRule="exact"/>
        <w:rPr>
          <w:rFonts w:ascii="Arial" w:cs="Arial" w:eastAsia="Arial" w:hAnsi="Arial"/>
          <w:sz w:val="18"/>
          <w:szCs w:val="18"/>
          <w:b w:val="1"/>
          <w:bCs w:val="1"/>
          <w:color w:val="auto"/>
        </w:rPr>
      </w:pPr>
    </w:p>
    <w:p>
      <w:pPr>
        <w:spacing w:after="0" w:line="367" w:lineRule="exact"/>
        <w:rPr>
          <w:rFonts w:ascii="Arial" w:cs="Arial" w:eastAsia="Arial" w:hAnsi="Arial"/>
          <w:sz w:val="18"/>
          <w:szCs w:val="18"/>
          <w:b w:val="1"/>
          <w:bCs w:val="1"/>
          <w:color w:val="auto"/>
        </w:rPr>
      </w:pPr>
    </w:p>
    <w:p>
      <w:pPr>
        <w:jc w:val="both"/>
        <w:ind w:firstLine="324"/>
        <w:spacing w:after="0" w:line="252" w:lineRule="auto"/>
        <w:tabs>
          <w:tab w:leader="none" w:pos="603" w:val="left"/>
        </w:tabs>
        <w:numPr>
          <w:ilvl w:val="1"/>
          <w:numId w:val="4"/>
        </w:numPr>
        <w:rPr>
          <w:rFonts w:ascii="Arial" w:cs="Arial" w:eastAsia="Arial" w:hAnsi="Arial"/>
          <w:sz w:val="18"/>
          <w:szCs w:val="18"/>
          <w:color w:val="auto"/>
        </w:rPr>
      </w:pPr>
      <w:r>
        <w:rPr>
          <w:rFonts w:ascii="Arial" w:cs="Arial" w:eastAsia="Arial" w:hAnsi="Arial"/>
          <w:sz w:val="18"/>
          <w:szCs w:val="18"/>
          <w:color w:val="auto"/>
        </w:rPr>
        <w:t>Cash flow assumptions used to measure the liability for future policy benefits on traditional long-duration contracts (including term and non-participating whole life insurance and immediate annuities) will be updated on an annual basis using a retrospective method. The resulting remeasurement gain or loss will be reported separately on the consolidated statements of operations along with the remeasurement gain or loss on universal life-type contract liabilities.</w:t>
      </w:r>
    </w:p>
    <w:p>
      <w:pPr>
        <w:spacing w:after="0" w:line="84" w:lineRule="exact"/>
        <w:rPr>
          <w:rFonts w:ascii="Arial" w:cs="Arial" w:eastAsia="Arial" w:hAnsi="Arial"/>
          <w:sz w:val="18"/>
          <w:szCs w:val="18"/>
          <w:color w:val="auto"/>
        </w:rPr>
      </w:pPr>
    </w:p>
    <w:p>
      <w:pPr>
        <w:ind w:firstLine="324"/>
        <w:spacing w:after="0" w:line="264" w:lineRule="auto"/>
        <w:tabs>
          <w:tab w:leader="none" w:pos="593"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discount rate assumption used to measure the liability for traditional long-duration contracts will be based on an upper-medium grade fixed income yield, updated quarterly, with changes recognized in OCI.</w:t>
      </w:r>
    </w:p>
    <w:p>
      <w:pPr>
        <w:spacing w:after="0" w:line="74" w:lineRule="exact"/>
        <w:rPr>
          <w:rFonts w:ascii="Arial" w:cs="Arial" w:eastAsia="Arial" w:hAnsi="Arial"/>
          <w:sz w:val="18"/>
          <w:szCs w:val="18"/>
          <w:color w:val="auto"/>
        </w:rPr>
      </w:pPr>
    </w:p>
    <w:p>
      <w:pPr>
        <w:jc w:val="both"/>
        <w:ind w:firstLine="324"/>
        <w:spacing w:after="0" w:line="255" w:lineRule="auto"/>
        <w:tabs>
          <w:tab w:leader="none" w:pos="574" w:val="left"/>
        </w:tabs>
        <w:numPr>
          <w:ilvl w:val="1"/>
          <w:numId w:val="4"/>
        </w:numPr>
        <w:rPr>
          <w:rFonts w:ascii="Arial" w:cs="Arial" w:eastAsia="Arial" w:hAnsi="Arial"/>
          <w:sz w:val="18"/>
          <w:szCs w:val="18"/>
          <w:color w:val="auto"/>
        </w:rPr>
      </w:pPr>
      <w:r>
        <w:rPr>
          <w:rFonts w:ascii="Arial" w:cs="Arial" w:eastAsia="Arial" w:hAnsi="Arial"/>
          <w:sz w:val="18"/>
          <w:szCs w:val="18"/>
          <w:color w:val="auto"/>
        </w:rPr>
        <w:t>Deferred policy acquisition costs (“DAC”) for all insurance products are required to be amortized on a constant-level basis over the expected term of the contracts, using amortization methods that are not a function of revenue or profit emergence. Changes in assumptions used to amortize DAC will be recognized as a revision to future amortization amounts.</w:t>
      </w:r>
    </w:p>
    <w:p>
      <w:pPr>
        <w:spacing w:after="0" w:line="82" w:lineRule="exact"/>
        <w:rPr>
          <w:rFonts w:ascii="Arial" w:cs="Arial" w:eastAsia="Arial" w:hAnsi="Arial"/>
          <w:sz w:val="18"/>
          <w:szCs w:val="18"/>
          <w:color w:val="auto"/>
        </w:rPr>
      </w:pPr>
    </w:p>
    <w:p>
      <w:pPr>
        <w:ind w:firstLine="324"/>
        <w:spacing w:after="0" w:line="365" w:lineRule="auto"/>
        <w:tabs>
          <w:tab w:leader="none" w:pos="616" w:val="left"/>
        </w:tabs>
        <w:numPr>
          <w:ilvl w:val="1"/>
          <w:numId w:val="4"/>
        </w:numPr>
        <w:rPr>
          <w:rFonts w:ascii="Arial" w:cs="Arial" w:eastAsia="Arial" w:hAnsi="Arial"/>
          <w:sz w:val="15"/>
          <w:szCs w:val="15"/>
          <w:color w:val="auto"/>
        </w:rPr>
      </w:pPr>
      <w:r>
        <w:rPr>
          <w:rFonts w:ascii="Arial" w:cs="Arial" w:eastAsia="Arial" w:hAnsi="Arial"/>
          <w:sz w:val="15"/>
          <w:szCs w:val="15"/>
          <w:color w:val="auto"/>
        </w:rPr>
        <w:t>There will be a significant increase in required disclosures, including disaggregated rollforwards of insurance contract assets and liabilities supplemented by qualitative and quantitative information regarding the cash flows, assumptions, methods and judgements used to measure those balances.</w:t>
      </w:r>
    </w:p>
    <w:p>
      <w:pPr>
        <w:spacing w:after="0" w:line="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amendments to Topic 944 will be applied to the earliest period presented in the financial statements, making the transition date January 1, 2021. The MRB guidance is required to be applied on a retrospective basis, while the guidance for insurance liability assumption updates and DAC amortization will be applied to existing carrying amounts on the transition date.</w:t>
      </w:r>
    </w:p>
    <w:p>
      <w:pPr>
        <w:spacing w:after="0" w:line="8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new guidance will have a significant impact on the Company’s financial statements upon adoption, and will change the pattern and market sensitivity of the Company’s earnings after the transition date. The most significant impact will be the requirement that all variable annuity guarantees be considered MRBs and measured at fair value, because a significant amount of variable annuity guarantees are classified as insurance liabilities under current guidance. The impacts to the financial statements at adoption are highly dependent on market conditions, especially interest rates. The Company is, therefore, unable to currently estimate the ultimate impact of the new guidance on the financial statements; however, at prevailing interest rate levels at December 31, 2021, the Company expects the new guidance, upon adoption, would likely result in a material decrease in stockholders’ equity. Based on prevailing interest rate levels at June 30, 2022, while still anticipated to be material, the impact is expected to be less significant compared to prevailing interest rates at December 31, 2021.</w:t>
      </w:r>
    </w:p>
    <w:p>
      <w:pPr>
        <w:spacing w:after="0" w:line="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has made significant progress toward adopting the new guidance, including updating systems, validating computations, establishing proper controls, finalizing accounting policies and developing disclosures.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is organized into three segments: Annuities; Life; and Run-off. In addition, the Company reports certain of its results of operations in Corporate &amp; Other.</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Annuities</w:t>
      </w:r>
    </w:p>
    <w:p>
      <w:pPr>
        <w:spacing w:after="0" w:line="111" w:lineRule="exact"/>
        <w:rPr>
          <w:sz w:val="20"/>
          <w:szCs w:val="20"/>
          <w:color w:val="auto"/>
        </w:rPr>
      </w:pPr>
    </w:p>
    <w:p>
      <w:pPr>
        <w:ind w:left="160" w:right="20" w:firstLine="318"/>
        <w:spacing w:after="0" w:line="264" w:lineRule="auto"/>
        <w:rPr>
          <w:sz w:val="20"/>
          <w:szCs w:val="20"/>
          <w:color w:val="auto"/>
        </w:rPr>
      </w:pPr>
      <w:r>
        <w:rPr>
          <w:rFonts w:ascii="Arial" w:cs="Arial" w:eastAsia="Arial" w:hAnsi="Arial"/>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Life</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The Life segment consists of insurance products and services, including term, universal, whole and variable life products designed to address policyholders’ needs for financial security and protected wealth transfer, which may be on a tax-advantaged basis.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Run-off</w:t>
      </w:r>
    </w:p>
    <w:p>
      <w:pPr>
        <w:spacing w:after="0" w:line="111" w:lineRule="exact"/>
        <w:rPr>
          <w:sz w:val="20"/>
          <w:szCs w:val="20"/>
          <w:color w:val="auto"/>
        </w:rPr>
      </w:pPr>
    </w:p>
    <w:p>
      <w:pPr>
        <w:ind w:left="160" w:firstLine="318"/>
        <w:spacing w:after="0" w:line="294" w:lineRule="auto"/>
        <w:rPr>
          <w:sz w:val="20"/>
          <w:szCs w:val="20"/>
          <w:color w:val="auto"/>
        </w:rPr>
      </w:pPr>
      <w:r>
        <w:rPr>
          <w:rFonts w:ascii="Arial" w:cs="Arial" w:eastAsia="Arial" w:hAnsi="Arial"/>
          <w:sz w:val="17"/>
          <w:szCs w:val="17"/>
          <w:color w:val="auto"/>
        </w:rPr>
        <w:t>The Run-off segment consists of products that are no longer actively sold and are separately managed, including universal life with secondary guarantees, structured settlements, pension risk transfer contracts, certain company-owned life insurance policies and certain funding agreements.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8" w:name="page9"/>
    <w:bookmarkEnd w:id="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Corporate &amp; Other</w:t>
      </w:r>
    </w:p>
    <w:p>
      <w:pPr>
        <w:spacing w:after="0" w:line="111"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Corporate &amp; Other contains the excess capital not allocated to the segments and interest expense related to the Company’s outstanding debt, as well as expenses associated with certain legal proceedings and income tax audit issues. Corporate &amp; Other also includes long-term care and workers’ compensation business reinsured through 100% quota share reinsurance agreements, activities related to funding agreements associated with the Company’s institutional spread margin business, as well as direct-to-consumer life insurance that is no longer actively sold.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Measures and Segment Accounting Policies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Adjusted earnings is a financial measure used by management to evaluate performance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Adjusted earnings, which may be positive or negative, focuses on the Company’s primary businesses by excluding the impact of market volatility, which could distort trends.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are significant items excluded from total revenues in calculating adjusted earnings:</w:t>
      </w:r>
    </w:p>
    <w:p>
      <w:pPr>
        <w:spacing w:after="0" w:line="111"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derivative gains (losses) except earned income and amortization of premium on derivatives that are hedges of investments or that are used to replicate certain investments, but do not qualify for hedge accounting treatment; and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variable annuity guaranteed minimum income benefits (“GMIB”) fees (“GMIB Fees”).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are significant items excluded from total expenses in calculating adjusted earnings:</w:t>
      </w:r>
    </w:p>
    <w:p>
      <w:pPr>
        <w:spacing w:after="0" w:line="111" w:lineRule="exact"/>
        <w:rPr>
          <w:sz w:val="20"/>
          <w:szCs w:val="20"/>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associated with benefits related to GMIBs (“GMIB Costs”);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Amounts associated with periodic crediting rate adjustments based on the total return of a contractually referenced pool of assets; and</w:t>
      </w:r>
    </w:p>
    <w:p>
      <w:pPr>
        <w:spacing w:after="0" w:line="122"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Amortization of DAC and value of business acquired (“VOBA”) related to (i) net investment gains (losses), (ii) net derivative gains (losses) and (iii) GMIB Fees and GMIB Costs.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tax impact of the adjustments discussed above is calculated net of the statutory tax rate, which could differ from the Company’s effective tax rate.</w:t>
      </w:r>
    </w:p>
    <w:p>
      <w:pPr>
        <w:spacing w:after="0" w:line="14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segment accounting policies are the same as those used to prepare the Company’s interim condensed consolidated financial statements, except for the adjustments to calculate adjusted earnings described above. In addition, segment accounting policies include the methods of capital allocation described below.</w:t>
      </w:r>
    </w:p>
    <w:p>
      <w:pPr>
        <w:spacing w:after="0" w:line="8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Assets in excess of those allocated to the segments, if any, are held in Corporate &amp; Other. Segment net investment income reflects the performance of each segment’s respective invested assets.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9" w:name="page10"/>
    <w:bookmarkEnd w:id="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Operating results by segment, as well as Corporate &amp; Other,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1"/>
              </w:rPr>
              <w:t>Three Months Ended June 30, 2022</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center"/>
              <w:ind w:left="482"/>
              <w:spacing w:after="0"/>
              <w:rPr>
                <w:sz w:val="20"/>
                <w:szCs w:val="20"/>
                <w:color w:val="auto"/>
              </w:rPr>
            </w:pPr>
            <w:r>
              <w:rPr>
                <w:rFonts w:ascii="Arial" w:cs="Arial" w:eastAsia="Arial" w:hAnsi="Arial"/>
                <w:sz w:val="16"/>
                <w:szCs w:val="16"/>
                <w:color w:val="auto"/>
                <w:w w:val="91"/>
              </w:rPr>
              <w:t>(38)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482"/>
              <w:spacing w:after="0"/>
              <w:rPr>
                <w:sz w:val="20"/>
                <w:szCs w:val="20"/>
                <w:color w:val="auto"/>
              </w:rPr>
            </w:pPr>
            <w:r>
              <w:rPr>
                <w:rFonts w:ascii="Arial" w:cs="Arial" w:eastAsia="Arial" w:hAnsi="Arial"/>
                <w:sz w:val="16"/>
                <w:szCs w:val="16"/>
                <w:color w:val="auto"/>
                <w:w w:val="91"/>
              </w:rPr>
              <w:t>(25)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482"/>
              <w:spacing w:after="0"/>
              <w:rPr>
                <w:sz w:val="20"/>
                <w:szCs w:val="20"/>
                <w:color w:val="auto"/>
              </w:rPr>
            </w:pPr>
            <w:r>
              <w:rPr>
                <w:rFonts w:ascii="Arial" w:cs="Arial" w:eastAsia="Arial" w:hAnsi="Arial"/>
                <w:sz w:val="16"/>
                <w:szCs w:val="16"/>
                <w:color w:val="auto"/>
                <w:w w:val="91"/>
              </w:rPr>
              <w:t>(13)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center"/>
              <w:ind w:left="382"/>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502"/>
              <w:spacing w:after="0"/>
              <w:rPr>
                <w:sz w:val="20"/>
                <w:szCs w:val="20"/>
                <w:color w:val="auto"/>
              </w:rPr>
            </w:pPr>
            <w:r>
              <w:rPr>
                <w:rFonts w:ascii="Arial" w:cs="Arial" w:eastAsia="Arial" w:hAnsi="Arial"/>
                <w:sz w:val="16"/>
                <w:szCs w:val="16"/>
                <w:color w:val="auto"/>
                <w:w w:val="89"/>
              </w:rPr>
              <w:t>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center"/>
              <w:ind w:left="482"/>
              <w:spacing w:after="0"/>
              <w:rPr>
                <w:sz w:val="20"/>
                <w:szCs w:val="20"/>
                <w:color w:val="auto"/>
              </w:rPr>
            </w:pPr>
            <w:r>
              <w:rPr>
                <w:rFonts w:ascii="Arial" w:cs="Arial" w:eastAsia="Arial" w:hAnsi="Arial"/>
                <w:sz w:val="16"/>
                <w:szCs w:val="16"/>
                <w:color w:val="auto"/>
                <w:w w:val="91"/>
              </w:rPr>
              <w:t>(39)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8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Adjustments for:</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Other adjustments to net income (loss)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w w:val="97"/>
              </w:rPr>
              <w:t>Net income (loss) available to Brighthouse Financial, Inc.’s common shareholders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5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center"/>
              <w:ind w:left="502"/>
              <w:spacing w:after="0"/>
              <w:rPr>
                <w:sz w:val="20"/>
                <w:szCs w:val="20"/>
                <w:color w:val="auto"/>
              </w:rPr>
            </w:pPr>
            <w:r>
              <w:rPr>
                <w:rFonts w:ascii="Arial" w:cs="Arial" w:eastAsia="Arial" w:hAnsi="Arial"/>
                <w:sz w:val="16"/>
                <w:szCs w:val="16"/>
                <w:color w:val="auto"/>
                <w:w w:val="89"/>
              </w:rPr>
              <w:t>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center"/>
              <w:ind w:left="502"/>
              <w:spacing w:after="0"/>
              <w:rPr>
                <w:sz w:val="20"/>
                <w:szCs w:val="20"/>
                <w:color w:val="auto"/>
              </w:rPr>
            </w:pPr>
            <w:r>
              <w:rPr>
                <w:rFonts w:ascii="Arial" w:cs="Arial" w:eastAsia="Arial" w:hAnsi="Arial"/>
                <w:sz w:val="16"/>
                <w:szCs w:val="16"/>
                <w:color w:val="auto"/>
                <w:w w:val="89"/>
              </w:rPr>
              <w:t>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11"/>
        </w:trPr>
        <w:tc>
          <w:tcPr>
            <w:tcW w:w="5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1"/>
              </w:rPr>
              <w:t>Three Months Ended June 30, 2021</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center"/>
              <w:ind w:left="482"/>
              <w:spacing w:after="0"/>
              <w:rPr>
                <w:sz w:val="20"/>
                <w:szCs w:val="20"/>
                <w:color w:val="auto"/>
              </w:rPr>
            </w:pPr>
            <w:r>
              <w:rPr>
                <w:rFonts w:ascii="Arial" w:cs="Arial" w:eastAsia="Arial" w:hAnsi="Arial"/>
                <w:sz w:val="16"/>
                <w:szCs w:val="16"/>
                <w:color w:val="auto"/>
                <w:w w:val="91"/>
              </w:rPr>
              <w:t>(82)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482"/>
              <w:spacing w:after="0"/>
              <w:rPr>
                <w:sz w:val="20"/>
                <w:szCs w:val="20"/>
                <w:color w:val="auto"/>
              </w:rPr>
            </w:pPr>
            <w:r>
              <w:rPr>
                <w:rFonts w:ascii="Arial" w:cs="Arial" w:eastAsia="Arial" w:hAnsi="Arial"/>
                <w:sz w:val="16"/>
                <w:szCs w:val="16"/>
                <w:color w:val="auto"/>
                <w:w w:val="91"/>
              </w:rPr>
              <w:t>(10)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482"/>
              <w:spacing w:after="0"/>
              <w:rPr>
                <w:sz w:val="20"/>
                <w:szCs w:val="20"/>
                <w:color w:val="auto"/>
              </w:rPr>
            </w:pPr>
            <w:r>
              <w:rPr>
                <w:rFonts w:ascii="Arial" w:cs="Arial" w:eastAsia="Arial" w:hAnsi="Arial"/>
                <w:sz w:val="16"/>
                <w:szCs w:val="16"/>
                <w:color w:val="auto"/>
                <w:w w:val="91"/>
              </w:rPr>
              <w:t>(72)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center"/>
              <w:ind w:left="382"/>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502"/>
              <w:spacing w:after="0"/>
              <w:rPr>
                <w:sz w:val="20"/>
                <w:szCs w:val="20"/>
                <w:color w:val="auto"/>
              </w:rPr>
            </w:pPr>
            <w:r>
              <w:rPr>
                <w:rFonts w:ascii="Arial" w:cs="Arial" w:eastAsia="Arial" w:hAnsi="Arial"/>
                <w:sz w:val="16"/>
                <w:szCs w:val="16"/>
                <w:color w:val="auto"/>
                <w:w w:val="89"/>
              </w:rPr>
              <w:t>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center"/>
              <w:ind w:left="482"/>
              <w:spacing w:after="0"/>
              <w:rPr>
                <w:sz w:val="20"/>
                <w:szCs w:val="20"/>
                <w:color w:val="auto"/>
              </w:rPr>
            </w:pPr>
            <w:r>
              <w:rPr>
                <w:rFonts w:ascii="Arial" w:cs="Arial" w:eastAsia="Arial" w:hAnsi="Arial"/>
                <w:sz w:val="16"/>
                <w:szCs w:val="16"/>
                <w:color w:val="auto"/>
                <w:w w:val="91"/>
              </w:rPr>
              <w:t>(93)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Adjustments for:</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Other adjustments to net income (loss)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w w:val="97"/>
              </w:rPr>
              <w:t>Net income (loss) available to Brighthouse Financial, Inc.’s common shareholders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5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center"/>
              <w:ind w:left="502"/>
              <w:spacing w:after="0"/>
              <w:rPr>
                <w:sz w:val="20"/>
                <w:szCs w:val="20"/>
                <w:color w:val="auto"/>
              </w:rPr>
            </w:pPr>
            <w:r>
              <w:rPr>
                <w:rFonts w:ascii="Arial" w:cs="Arial" w:eastAsia="Arial" w:hAnsi="Arial"/>
                <w:sz w:val="16"/>
                <w:szCs w:val="16"/>
                <w:color w:val="auto"/>
                <w:w w:val="89"/>
              </w:rPr>
              <w:t>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center"/>
              <w:ind w:left="502"/>
              <w:spacing w:after="0"/>
              <w:rPr>
                <w:sz w:val="20"/>
                <w:szCs w:val="20"/>
                <w:color w:val="auto"/>
              </w:rPr>
            </w:pPr>
            <w:r>
              <w:rPr>
                <w:rFonts w:ascii="Arial" w:cs="Arial" w:eastAsia="Arial" w:hAnsi="Arial"/>
                <w:sz w:val="16"/>
                <w:szCs w:val="16"/>
                <w:color w:val="auto"/>
                <w:w w:val="89"/>
              </w:rPr>
              <w:t>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0"/>
              </w:rPr>
              <w:t>Six Months Ended June 30, 2022</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Adjustments for:</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2,246</w:t>
            </w: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Other adjustments to net income (loss)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w w:val="97"/>
              </w:rPr>
              <w:t>Net income (loss) available to Brighthouse Financial, Inc.’s common shareholders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5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11"/>
        </w:trPr>
        <w:tc>
          <w:tcPr>
            <w:tcW w:w="5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0"/>
              </w:rPr>
              <w:t>Six Months Ended June 30, 2021</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8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Adjustments for:</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Other adjustments to net income (loss)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w w:val="97"/>
              </w:rPr>
              <w:t>Net income (loss) available to Brighthouse Financial, Inc.’s common shareholders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5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revenues by segment, as well as Corporate &amp; Other,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40" w:type="dxa"/>
            <w:vAlign w:val="bottom"/>
            <w:gridSpan w:val="4"/>
          </w:tcPr>
          <w:p>
            <w:pPr>
              <w:jc w:val="right"/>
              <w:ind w:right="282"/>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7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r>
      <w:tr>
        <w:trPr>
          <w:trHeight w:val="179"/>
        </w:trPr>
        <w:tc>
          <w:tcPr>
            <w:tcW w:w="7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2021</w:t>
            </w:r>
          </w:p>
        </w:tc>
      </w:tr>
      <w:tr>
        <w:trPr>
          <w:trHeight w:val="179"/>
        </w:trPr>
        <w:tc>
          <w:tcPr>
            <w:tcW w:w="7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Annuities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2,555</w:t>
            </w: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Life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793</w:t>
            </w: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Run-off</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w:t>
            </w:r>
          </w:p>
        </w:tc>
      </w:tr>
      <w:tr>
        <w:trPr>
          <w:trHeight w:val="209"/>
        </w:trPr>
        <w:tc>
          <w:tcPr>
            <w:tcW w:w="7480" w:type="dxa"/>
            <w:vAlign w:val="bottom"/>
          </w:tcPr>
          <w:p>
            <w:pPr>
              <w:ind w:left="20"/>
              <w:spacing w:after="0"/>
              <w:rPr>
                <w:sz w:val="20"/>
                <w:szCs w:val="20"/>
                <w:color w:val="auto"/>
              </w:rPr>
            </w:pPr>
            <w:r>
              <w:rPr>
                <w:rFonts w:ascii="Arial" w:cs="Arial" w:eastAsia="Arial" w:hAnsi="Arial"/>
                <w:sz w:val="16"/>
                <w:szCs w:val="16"/>
                <w:color w:val="auto"/>
              </w:rPr>
              <w:t>Corporate &amp; Other</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2,218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(2,095)</w:t>
            </w:r>
          </w:p>
        </w:tc>
      </w:tr>
      <w:tr>
        <w:trPr>
          <w:trHeight w:val="208"/>
        </w:trPr>
        <w:tc>
          <w:tcPr>
            <w:tcW w:w="7480" w:type="dxa"/>
            <w:vAlign w:val="bottom"/>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6,537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2,614</w:t>
            </w:r>
          </w:p>
        </w:tc>
      </w:tr>
      <w:tr>
        <w:trPr>
          <w:trHeight w:val="20"/>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assets by segment, as well as Corporate &amp; Other,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June 30, 2022</w:t>
            </w: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88"/>
              </w:rPr>
              <w:t>December 31, 2021</w:t>
            </w:r>
          </w:p>
        </w:tc>
      </w:tr>
      <w:tr>
        <w:trPr>
          <w:trHeight w:val="183"/>
        </w:trPr>
        <w:tc>
          <w:tcPr>
            <w:tcW w:w="7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60" w:type="dxa"/>
            <w:vAlign w:val="bottom"/>
          </w:tcPr>
          <w:p>
            <w:pPr>
              <w:spacing w:after="0"/>
              <w:rPr>
                <w:sz w:val="15"/>
                <w:szCs w:val="15"/>
                <w:color w:val="auto"/>
              </w:rPr>
            </w:pPr>
          </w:p>
        </w:tc>
      </w:tr>
      <w:tr>
        <w:trPr>
          <w:trHeight w:val="21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Annuities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178,700</w:t>
            </w:r>
          </w:p>
        </w:tc>
      </w:tr>
      <w:tr>
        <w:trPr>
          <w:trHeight w:val="210"/>
        </w:trPr>
        <w:tc>
          <w:tcPr>
            <w:tcW w:w="7560" w:type="dxa"/>
            <w:vAlign w:val="bottom"/>
          </w:tcPr>
          <w:p>
            <w:pPr>
              <w:ind w:left="20"/>
              <w:spacing w:after="0"/>
              <w:rPr>
                <w:sz w:val="20"/>
                <w:szCs w:val="20"/>
                <w:color w:val="auto"/>
              </w:rPr>
            </w:pPr>
            <w:r>
              <w:rPr>
                <w:rFonts w:ascii="Arial" w:cs="Arial" w:eastAsia="Arial" w:hAnsi="Arial"/>
                <w:sz w:val="16"/>
                <w:szCs w:val="16"/>
                <w:color w:val="auto"/>
              </w:rPr>
              <w:t>Life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21,854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24,514</w:t>
            </w:r>
          </w:p>
        </w:tc>
      </w:tr>
      <w:tr>
        <w:trPr>
          <w:trHeight w:val="214"/>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Run-off</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30,888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37,055</w:t>
            </w:r>
          </w:p>
        </w:tc>
      </w:tr>
      <w:tr>
        <w:trPr>
          <w:trHeight w:val="21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&amp; Other</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22,283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19,571</w:t>
            </w:r>
          </w:p>
        </w:tc>
      </w:tr>
      <w:tr>
        <w:trPr>
          <w:trHeight w:val="233"/>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228,211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259,840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discussed in Notes 1 and 3 of the Notes to the Consolidated Financial Statements included in the 2021 Annual Report, the Company issues variable annuity contracts with guaranteed minimum benefits. Guaranteed minimum death benefits, the life contingent portion of guaranteed minimum withdrawal benefits (“GMWB”) and certain portions of GMIBs are accounted for as insurance liabilities in future policyholder benefits, while other guarantees are accounted for in whole or in part as embedded derivatives in policyholder account balances and are further discussed in Note 5.</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also has secondary guarantees on universal and variable life insurance contracts accounted for as insurance liabilities.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the Company’s guarantee exposure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10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4"/>
                <w:szCs w:val="14"/>
                <w:b w:val="1"/>
                <w:bCs w:val="1"/>
                <w:color w:val="auto"/>
              </w:rPr>
              <w:t>December 31, 2021</w:t>
            </w:r>
          </w:p>
        </w:tc>
        <w:tc>
          <w:tcPr>
            <w:tcW w:w="380" w:type="dxa"/>
            <w:vAlign w:val="bottom"/>
          </w:tcPr>
          <w:p>
            <w:pPr>
              <w:spacing w:after="0"/>
              <w:rPr>
                <w:sz w:val="16"/>
                <w:szCs w:val="16"/>
                <w:color w:val="auto"/>
              </w:rPr>
            </w:pPr>
          </w:p>
        </w:tc>
      </w:tr>
      <w:tr>
        <w:trPr>
          <w:trHeight w:val="131"/>
        </w:trPr>
        <w:tc>
          <w:tcPr>
            <w:tcW w:w="4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144"/>
              <w:spacing w:after="0" w:line="131" w:lineRule="exact"/>
              <w:rPr>
                <w:sz w:val="20"/>
                <w:szCs w:val="20"/>
                <w:color w:val="auto"/>
              </w:rPr>
            </w:pPr>
            <w:r>
              <w:rPr>
                <w:rFonts w:ascii="Arial" w:cs="Arial" w:eastAsia="Arial" w:hAnsi="Arial"/>
                <w:sz w:val="14"/>
                <w:szCs w:val="14"/>
                <w:b w:val="1"/>
                <w:bCs w:val="1"/>
                <w:color w:val="auto"/>
                <w:w w:val="96"/>
              </w:rPr>
              <w:t>In the</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right"/>
              <w:ind w:right="484"/>
              <w:spacing w:after="0" w:line="131" w:lineRule="exact"/>
              <w:rPr>
                <w:sz w:val="20"/>
                <w:szCs w:val="20"/>
                <w:color w:val="auto"/>
              </w:rPr>
            </w:pPr>
            <w:r>
              <w:rPr>
                <w:rFonts w:ascii="Arial" w:cs="Arial" w:eastAsia="Arial" w:hAnsi="Arial"/>
                <w:sz w:val="14"/>
                <w:szCs w:val="14"/>
                <w:b w:val="1"/>
                <w:bCs w:val="1"/>
                <w:color w:val="auto"/>
              </w:rPr>
              <w:t>At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right"/>
              <w:ind w:right="524"/>
              <w:spacing w:after="0" w:line="131" w:lineRule="exact"/>
              <w:rPr>
                <w:sz w:val="20"/>
                <w:szCs w:val="20"/>
                <w:color w:val="auto"/>
              </w:rPr>
            </w:pPr>
            <w:r>
              <w:rPr>
                <w:rFonts w:ascii="Arial" w:cs="Arial" w:eastAsia="Arial" w:hAnsi="Arial"/>
                <w:sz w:val="14"/>
                <w:szCs w:val="14"/>
                <w:b w:val="1"/>
                <w:bCs w:val="1"/>
                <w:color w:val="auto"/>
              </w:rPr>
              <w:t>In the</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right"/>
              <w:ind w:right="483"/>
              <w:spacing w:after="0" w:line="131" w:lineRule="exact"/>
              <w:rPr>
                <w:sz w:val="20"/>
                <w:szCs w:val="20"/>
                <w:color w:val="auto"/>
              </w:rPr>
            </w:pPr>
            <w:r>
              <w:rPr>
                <w:rFonts w:ascii="Arial" w:cs="Arial" w:eastAsia="Arial" w:hAnsi="Arial"/>
                <w:sz w:val="14"/>
                <w:szCs w:val="14"/>
                <w:b w:val="1"/>
                <w:bCs w:val="1"/>
                <w:color w:val="auto"/>
              </w:rPr>
              <w:t>At</w:t>
            </w:r>
          </w:p>
        </w:tc>
        <w:tc>
          <w:tcPr>
            <w:tcW w:w="380" w:type="dxa"/>
            <w:vAlign w:val="bottom"/>
          </w:tcPr>
          <w:p>
            <w:pPr>
              <w:spacing w:after="0"/>
              <w:rPr>
                <w:sz w:val="11"/>
                <w:szCs w:val="11"/>
                <w:color w:val="auto"/>
              </w:rPr>
            </w:pPr>
          </w:p>
        </w:tc>
      </w:tr>
      <w:tr>
        <w:trPr>
          <w:trHeight w:val="185"/>
        </w:trPr>
        <w:tc>
          <w:tcPr>
            <w:tcW w:w="4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1"/>
              </w:rPr>
              <w:t>Event of Death</w:t>
            </w: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w w:val="92"/>
              </w:rPr>
              <w:t>Annuitization</w:t>
            </w: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w w:val="95"/>
              </w:rPr>
              <w:t>Event of Death</w:t>
            </w: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9"/>
              </w:rPr>
              <w:t>Annuitization</w:t>
            </w:r>
          </w:p>
        </w:tc>
        <w:tc>
          <w:tcPr>
            <w:tcW w:w="380" w:type="dxa"/>
            <w:vAlign w:val="bottom"/>
          </w:tcPr>
          <w:p>
            <w:pPr>
              <w:spacing w:after="0"/>
              <w:rPr>
                <w:sz w:val="16"/>
                <w:szCs w:val="16"/>
                <w:color w:val="auto"/>
              </w:rPr>
            </w:pPr>
          </w:p>
        </w:tc>
      </w:tr>
      <w:tr>
        <w:trPr>
          <w:trHeight w:val="179"/>
        </w:trPr>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gridSpan w:val="4"/>
          </w:tcPr>
          <w:p>
            <w:pPr>
              <w:jc w:val="right"/>
              <w:ind w:right="944"/>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13"/>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Annuity Contracts (1), (2)</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Variable Annuity Guarantees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4"/>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account value (3)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center"/>
              <w:ind w:left="464"/>
              <w:spacing w:after="0"/>
              <w:rPr>
                <w:sz w:val="20"/>
                <w:szCs w:val="20"/>
                <w:color w:val="auto"/>
              </w:rPr>
            </w:pPr>
            <w:r>
              <w:rPr>
                <w:rFonts w:ascii="Arial" w:cs="Arial" w:eastAsia="Arial" w:hAnsi="Arial"/>
                <w:sz w:val="16"/>
                <w:szCs w:val="16"/>
                <w:color w:val="auto"/>
                <w:w w:val="89"/>
              </w:rPr>
              <w:t>86,438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46,478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109,968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59,735</w:t>
            </w:r>
          </w:p>
        </w:tc>
        <w:tc>
          <w:tcPr>
            <w:tcW w:w="380" w:type="dxa"/>
            <w:vAlign w:val="bottom"/>
            <w:shd w:val="clear" w:color="auto" w:fill="CCEEFF"/>
          </w:tcPr>
          <w:p>
            <w:pPr>
              <w:spacing w:after="0"/>
              <w:rPr>
                <w:sz w:val="18"/>
                <w:szCs w:val="18"/>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6"/>
                <w:szCs w:val="16"/>
                <w:color w:val="auto"/>
              </w:rPr>
              <w:t>Separate account value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center"/>
              <w:ind w:left="464"/>
              <w:spacing w:after="0"/>
              <w:rPr>
                <w:sz w:val="20"/>
                <w:szCs w:val="20"/>
                <w:color w:val="auto"/>
              </w:rPr>
            </w:pPr>
            <w:r>
              <w:rPr>
                <w:rFonts w:ascii="Arial" w:cs="Arial" w:eastAsia="Arial" w:hAnsi="Arial"/>
                <w:sz w:val="16"/>
                <w:szCs w:val="16"/>
                <w:color w:val="auto"/>
                <w:w w:val="89"/>
              </w:rPr>
              <w:t>81,487</w:t>
            </w:r>
          </w:p>
        </w:tc>
        <w:tc>
          <w:tcPr>
            <w:tcW w:w="30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45,291</w:t>
            </w:r>
          </w:p>
        </w:tc>
        <w:tc>
          <w:tcPr>
            <w:tcW w:w="3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64"/>
              <w:spacing w:after="0"/>
              <w:rPr>
                <w:sz w:val="20"/>
                <w:szCs w:val="20"/>
                <w:color w:val="auto"/>
              </w:rPr>
            </w:pPr>
            <w:r>
              <w:rPr>
                <w:rFonts w:ascii="Arial" w:cs="Arial" w:eastAsia="Arial" w:hAnsi="Arial"/>
                <w:sz w:val="16"/>
                <w:szCs w:val="16"/>
                <w:color w:val="auto"/>
              </w:rPr>
              <w:t>105,023</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58,555</w:t>
            </w:r>
          </w:p>
        </w:tc>
        <w:tc>
          <w:tcPr>
            <w:tcW w:w="380" w:type="dxa"/>
            <w:vAlign w:val="bottom"/>
          </w:tcPr>
          <w:p>
            <w:pPr>
              <w:spacing w:after="0"/>
              <w:rPr>
                <w:sz w:val="18"/>
                <w:szCs w:val="18"/>
                <w:color w:val="auto"/>
              </w:rPr>
            </w:pPr>
          </w:p>
        </w:tc>
      </w:tr>
      <w:tr>
        <w:trPr>
          <w:trHeight w:val="215"/>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amount at risk</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center"/>
              <w:ind w:left="464"/>
              <w:spacing w:after="0"/>
              <w:rPr>
                <w:sz w:val="20"/>
                <w:szCs w:val="20"/>
                <w:color w:val="auto"/>
              </w:rPr>
            </w:pPr>
            <w:r>
              <w:rPr>
                <w:rFonts w:ascii="Arial" w:cs="Arial" w:eastAsia="Arial" w:hAnsi="Arial"/>
                <w:sz w:val="16"/>
                <w:szCs w:val="16"/>
                <w:color w:val="auto"/>
                <w:w w:val="89"/>
              </w:rPr>
              <w:t>15,537</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6,361</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7"/>
        </w:trPr>
        <w:tc>
          <w:tcPr>
            <w:tcW w:w="4460" w:type="dxa"/>
            <w:vAlign w:val="bottom"/>
          </w:tcPr>
          <w:p>
            <w:pPr>
              <w:ind w:left="20"/>
              <w:spacing w:after="0"/>
              <w:rPr>
                <w:sz w:val="20"/>
                <w:szCs w:val="20"/>
                <w:color w:val="auto"/>
              </w:rPr>
            </w:pPr>
            <w:r>
              <w:rPr>
                <w:rFonts w:ascii="Arial" w:cs="Arial" w:eastAsia="Arial" w:hAnsi="Arial"/>
                <w:sz w:val="16"/>
                <w:szCs w:val="16"/>
                <w:color w:val="auto"/>
              </w:rPr>
              <w:t>Average attained age of contract holders</w:t>
            </w:r>
          </w:p>
        </w:tc>
        <w:tc>
          <w:tcPr>
            <w:tcW w:w="160" w:type="dxa"/>
            <w:vAlign w:val="bottom"/>
          </w:tcPr>
          <w:p>
            <w:pPr>
              <w:spacing w:after="0"/>
              <w:rPr>
                <w:sz w:val="18"/>
                <w:szCs w:val="18"/>
                <w:color w:val="auto"/>
              </w:rPr>
            </w:pPr>
          </w:p>
        </w:tc>
        <w:tc>
          <w:tcPr>
            <w:tcW w:w="1260" w:type="dxa"/>
            <w:vAlign w:val="bottom"/>
          </w:tcPr>
          <w:p>
            <w:pPr>
              <w:jc w:val="center"/>
              <w:ind w:left="484"/>
              <w:spacing w:after="0"/>
              <w:rPr>
                <w:sz w:val="20"/>
                <w:szCs w:val="20"/>
                <w:color w:val="auto"/>
              </w:rPr>
            </w:pPr>
            <w:r>
              <w:rPr>
                <w:rFonts w:ascii="Arial" w:cs="Arial" w:eastAsia="Arial" w:hAnsi="Arial"/>
                <w:sz w:val="16"/>
                <w:szCs w:val="16"/>
                <w:color w:val="auto"/>
                <w:w w:val="87"/>
              </w:rPr>
              <w:t>71 years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 years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24"/>
              <w:spacing w:after="0"/>
              <w:rPr>
                <w:sz w:val="20"/>
                <w:szCs w:val="20"/>
                <w:color w:val="auto"/>
              </w:rPr>
            </w:pPr>
            <w:r>
              <w:rPr>
                <w:rFonts w:ascii="Arial" w:cs="Arial" w:eastAsia="Arial" w:hAnsi="Arial"/>
                <w:sz w:val="16"/>
                <w:szCs w:val="16"/>
                <w:color w:val="auto"/>
              </w:rPr>
              <w:t>71 years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 years</w:t>
            </w:r>
          </w:p>
        </w:tc>
        <w:tc>
          <w:tcPr>
            <w:tcW w:w="3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June 30, 2022</w:t>
            </w: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December 31, 2021</w:t>
            </w:r>
          </w:p>
        </w:tc>
      </w:tr>
      <w:tr>
        <w:trPr>
          <w:trHeight w:val="183"/>
        </w:trPr>
        <w:tc>
          <w:tcPr>
            <w:tcW w:w="7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Secondary Guarantees</w:t>
            </w:r>
          </w:p>
        </w:tc>
      </w:tr>
      <w:tr>
        <w:trPr>
          <w:trHeight w:val="179"/>
        </w:trPr>
        <w:tc>
          <w:tcPr>
            <w:tcW w:w="7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740" w:type="dxa"/>
            <w:vAlign w:val="bottom"/>
            <w:gridSpan w:val="3"/>
          </w:tcPr>
          <w:p>
            <w:pPr>
              <w:jc w:val="right"/>
              <w:ind w:right="1342"/>
              <w:spacing w:after="0"/>
              <w:rPr>
                <w:sz w:val="20"/>
                <w:szCs w:val="20"/>
                <w:color w:val="auto"/>
              </w:rPr>
            </w:pPr>
            <w:r>
              <w:rPr>
                <w:rFonts w:ascii="Arial" w:cs="Arial" w:eastAsia="Arial" w:hAnsi="Arial"/>
                <w:sz w:val="14"/>
                <w:szCs w:val="14"/>
                <w:b w:val="1"/>
                <w:bCs w:val="1"/>
                <w:color w:val="auto"/>
              </w:rPr>
              <w:t>(Dollars in millions)</w:t>
            </w:r>
          </w:p>
        </w:tc>
      </w:tr>
      <w:tr>
        <w:trPr>
          <w:trHeight w:val="213"/>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Universal Life Contracts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0"/>
        </w:trPr>
        <w:tc>
          <w:tcPr>
            <w:tcW w:w="7180" w:type="dxa"/>
            <w:vAlign w:val="bottom"/>
          </w:tcPr>
          <w:p>
            <w:pPr>
              <w:ind w:left="20"/>
              <w:spacing w:after="0"/>
              <w:rPr>
                <w:sz w:val="20"/>
                <w:szCs w:val="20"/>
                <w:color w:val="auto"/>
              </w:rPr>
            </w:pPr>
            <w:r>
              <w:rPr>
                <w:rFonts w:ascii="Arial" w:cs="Arial" w:eastAsia="Arial" w:hAnsi="Arial"/>
                <w:sz w:val="16"/>
                <w:szCs w:val="16"/>
                <w:color w:val="auto"/>
              </w:rPr>
              <w:t>Total account value (3)</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43"/>
              <w:spacing w:after="0"/>
              <w:rPr>
                <w:sz w:val="20"/>
                <w:szCs w:val="20"/>
                <w:color w:val="auto"/>
              </w:rPr>
            </w:pPr>
            <w:r>
              <w:rPr>
                <w:rFonts w:ascii="Arial" w:cs="Arial" w:eastAsia="Arial" w:hAnsi="Arial"/>
                <w:sz w:val="16"/>
                <w:szCs w:val="16"/>
                <w:color w:val="auto"/>
              </w:rPr>
              <w:t>5,391</w:t>
            </w:r>
          </w:p>
        </w:tc>
        <w:tc>
          <w:tcPr>
            <w:tcW w:w="3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5,518</w:t>
            </w:r>
          </w:p>
        </w:tc>
      </w:tr>
      <w:tr>
        <w:trPr>
          <w:trHeight w:val="214"/>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amount at risk (6)</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66,379</w:t>
            </w: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67,248</w:t>
            </w:r>
          </w:p>
        </w:tc>
      </w:tr>
      <w:tr>
        <w:trPr>
          <w:trHeight w:val="210"/>
        </w:trPr>
        <w:tc>
          <w:tcPr>
            <w:tcW w:w="7180" w:type="dxa"/>
            <w:vAlign w:val="bottom"/>
          </w:tcPr>
          <w:p>
            <w:pPr>
              <w:ind w:left="20"/>
              <w:spacing w:after="0"/>
              <w:rPr>
                <w:sz w:val="20"/>
                <w:szCs w:val="20"/>
                <w:color w:val="auto"/>
              </w:rPr>
            </w:pPr>
            <w:r>
              <w:rPr>
                <w:rFonts w:ascii="Arial" w:cs="Arial" w:eastAsia="Arial" w:hAnsi="Arial"/>
                <w:sz w:val="16"/>
                <w:szCs w:val="16"/>
                <w:color w:val="auto"/>
              </w:rPr>
              <w:t>Average attained age of policyholders</w:t>
            </w:r>
          </w:p>
        </w:tc>
        <w:tc>
          <w:tcPr>
            <w:tcW w:w="320" w:type="dxa"/>
            <w:vAlign w:val="bottom"/>
          </w:tcPr>
          <w:p>
            <w:pPr>
              <w:spacing w:after="0"/>
              <w:rPr>
                <w:sz w:val="18"/>
                <w:szCs w:val="18"/>
                <w:color w:val="auto"/>
              </w:rPr>
            </w:pPr>
          </w:p>
        </w:tc>
        <w:tc>
          <w:tcPr>
            <w:tcW w:w="1640" w:type="dxa"/>
            <w:vAlign w:val="bottom"/>
          </w:tcPr>
          <w:p>
            <w:pPr>
              <w:ind w:left="1040"/>
              <w:spacing w:after="0"/>
              <w:rPr>
                <w:sz w:val="20"/>
                <w:szCs w:val="20"/>
                <w:color w:val="auto"/>
              </w:rPr>
            </w:pPr>
            <w:r>
              <w:rPr>
                <w:rFonts w:ascii="Arial" w:cs="Arial" w:eastAsia="Arial" w:hAnsi="Arial"/>
                <w:sz w:val="16"/>
                <w:szCs w:val="16"/>
                <w:color w:val="auto"/>
                <w:w w:val="94"/>
              </w:rPr>
              <w:t>68 years</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68 years</w:t>
            </w:r>
          </w:p>
        </w:tc>
      </w:tr>
      <w:tr>
        <w:trPr>
          <w:trHeight w:val="254"/>
        </w:trPr>
        <w:tc>
          <w:tcPr>
            <w:tcW w:w="7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r>
      <w:tr>
        <w:trPr>
          <w:trHeight w:val="210"/>
        </w:trPr>
        <w:tc>
          <w:tcPr>
            <w:tcW w:w="71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Variable Life Contracts</w:t>
            </w: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4"/>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account value (3)</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3,864</w:t>
            </w: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4,785</w:t>
            </w:r>
          </w:p>
        </w:tc>
      </w:tr>
      <w:tr>
        <w:trPr>
          <w:trHeight w:val="209"/>
        </w:trPr>
        <w:tc>
          <w:tcPr>
            <w:tcW w:w="7180" w:type="dxa"/>
            <w:vAlign w:val="bottom"/>
          </w:tcPr>
          <w:p>
            <w:pPr>
              <w:ind w:left="20"/>
              <w:spacing w:after="0"/>
              <w:rPr>
                <w:sz w:val="20"/>
                <w:szCs w:val="20"/>
                <w:color w:val="auto"/>
              </w:rPr>
            </w:pPr>
            <w:r>
              <w:rPr>
                <w:rFonts w:ascii="Arial" w:cs="Arial" w:eastAsia="Arial" w:hAnsi="Arial"/>
                <w:sz w:val="16"/>
                <w:szCs w:val="16"/>
                <w:color w:val="auto"/>
              </w:rPr>
              <w:t>Net amount at risk (6)</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43"/>
              <w:spacing w:after="0"/>
              <w:rPr>
                <w:sz w:val="20"/>
                <w:szCs w:val="20"/>
                <w:color w:val="auto"/>
              </w:rPr>
            </w:pPr>
            <w:r>
              <w:rPr>
                <w:rFonts w:ascii="Arial" w:cs="Arial" w:eastAsia="Arial" w:hAnsi="Arial"/>
                <w:sz w:val="16"/>
                <w:szCs w:val="16"/>
                <w:color w:val="auto"/>
              </w:rPr>
              <w:t>18,609</w:t>
            </w:r>
          </w:p>
        </w:tc>
        <w:tc>
          <w:tcPr>
            <w:tcW w:w="3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18,857</w:t>
            </w:r>
          </w:p>
        </w:tc>
      </w:tr>
      <w:tr>
        <w:trPr>
          <w:trHeight w:val="215"/>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attained age of policyholders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ind w:left="1040"/>
              <w:spacing w:after="0"/>
              <w:rPr>
                <w:sz w:val="20"/>
                <w:szCs w:val="20"/>
                <w:color w:val="auto"/>
              </w:rPr>
            </w:pPr>
            <w:r>
              <w:rPr>
                <w:rFonts w:ascii="Arial" w:cs="Arial" w:eastAsia="Arial" w:hAnsi="Arial"/>
                <w:sz w:val="16"/>
                <w:szCs w:val="16"/>
                <w:color w:val="auto"/>
                <w:w w:val="94"/>
              </w:rPr>
              <w:t>52 years</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years</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right="20" w:hanging="314"/>
        <w:spacing w:after="0" w:line="264" w:lineRule="auto"/>
        <w:tabs>
          <w:tab w:leader="none" w:pos="31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annuity contracts with guarantees may offer more than one type of guarantee in each contract. Therefore, the amounts listed above may not be mutually exclusive.</w:t>
      </w:r>
    </w:p>
    <w:p>
      <w:pPr>
        <w:spacing w:after="0" w:line="74" w:lineRule="exact"/>
        <w:rPr>
          <w:rFonts w:ascii="Arial" w:cs="Arial" w:eastAsia="Arial" w:hAnsi="Arial"/>
          <w:sz w:val="18"/>
          <w:szCs w:val="18"/>
          <w:color w:val="auto"/>
        </w:rPr>
      </w:pPr>
    </w:p>
    <w:p>
      <w:pPr>
        <w:jc w:val="both"/>
        <w:ind w:left="320" w:hanging="314"/>
        <w:spacing w:after="0" w:line="252" w:lineRule="auto"/>
        <w:tabs>
          <w:tab w:leader="none" w:pos="31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direct business, but excludes offsets from hedging or reinsurance, if any. Therefore, the net amount at risk presented reflects the economic exposures of living and death benefit guarantees associated with variable annuities, but not necessarily their impact on the Company. See Note 5 of the Notes to the Consolidated Financial Statements included in the 2021 Annual Report for a discussion of guaranteed minimum benefits which have been reinsured.</w:t>
      </w:r>
    </w:p>
    <w:p>
      <w:pPr>
        <w:spacing w:after="0" w:line="84" w:lineRule="exact"/>
        <w:rPr>
          <w:rFonts w:ascii="Arial" w:cs="Arial" w:eastAsia="Arial" w:hAnsi="Arial"/>
          <w:sz w:val="18"/>
          <w:szCs w:val="18"/>
          <w:color w:val="auto"/>
        </w:rPr>
      </w:pPr>
    </w:p>
    <w:p>
      <w:pPr>
        <w:ind w:left="320" w:hanging="314"/>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contract holder’s investments in the general account and separate account, if applicable.</w:t>
      </w:r>
    </w:p>
    <w:p>
      <w:pPr>
        <w:spacing w:after="0" w:line="111" w:lineRule="exact"/>
        <w:rPr>
          <w:rFonts w:ascii="Arial" w:cs="Arial" w:eastAsia="Arial" w:hAnsi="Arial"/>
          <w:sz w:val="18"/>
          <w:szCs w:val="18"/>
          <w:color w:val="auto"/>
        </w:rPr>
      </w:pPr>
    </w:p>
    <w:p>
      <w:pPr>
        <w:jc w:val="both"/>
        <w:ind w:left="320" w:hanging="314"/>
        <w:spacing w:after="0" w:line="255" w:lineRule="auto"/>
        <w:tabs>
          <w:tab w:leader="none" w:pos="314"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Defined as the death benefit less the total account value, as of the balance sheet date. It represents the amount of the claim that the Company would incur if death claims were filed on all contracts on the balance sheet date and includes any additional contractual claims associated with riders purchased to assist with covering income taxes payable upon death.</w:t>
      </w:r>
    </w:p>
    <w:p>
      <w:pPr>
        <w:spacing w:after="0" w:line="82" w:lineRule="exact"/>
        <w:rPr>
          <w:rFonts w:ascii="Arial" w:cs="Arial" w:eastAsia="Arial" w:hAnsi="Arial"/>
          <w:sz w:val="18"/>
          <w:szCs w:val="18"/>
          <w:color w:val="auto"/>
        </w:rPr>
      </w:pPr>
    </w:p>
    <w:p>
      <w:pPr>
        <w:jc w:val="both"/>
        <w:ind w:left="320" w:hanging="314"/>
        <w:spacing w:after="0" w:line="318" w:lineRule="auto"/>
        <w:tabs>
          <w:tab w:leader="none" w:pos="314" w:val="left"/>
        </w:tabs>
        <w:numPr>
          <w:ilvl w:val="0"/>
          <w:numId w:val="7"/>
        </w:numPr>
        <w:rPr>
          <w:rFonts w:ascii="Arial" w:cs="Arial" w:eastAsia="Arial" w:hAnsi="Arial"/>
          <w:sz w:val="15"/>
          <w:szCs w:val="15"/>
          <w:color w:val="auto"/>
        </w:rPr>
      </w:pPr>
      <w:r>
        <w:rPr>
          <w:rFonts w:ascii="Arial" w:cs="Arial" w:eastAsia="Arial" w:hAnsi="Arial"/>
          <w:sz w:val="15"/>
          <w:szCs w:val="15"/>
          <w:color w:val="auto"/>
        </w:rPr>
        <w:t>Defined as the amount (if any) that would be required to be added to the total account value to purchase a lifetime income stream, based on current annuity rates, equal to the minimum amount provided under the guaranteed benefit. This amount represents the Company’s potential economic exposure to such guarantees in the event all contract holders were to annuitize on the balance sheet date, even though the contracts contain terms that allow annuitization of the guaranteed amount only after the 10th anniversary of the contract, which not all contract holders have achieved.</w:t>
      </w:r>
    </w:p>
    <w:p>
      <w:pPr>
        <w:spacing w:after="0" w:line="39" w:lineRule="exact"/>
        <w:rPr>
          <w:rFonts w:ascii="Arial" w:cs="Arial" w:eastAsia="Arial" w:hAnsi="Arial"/>
          <w:sz w:val="15"/>
          <w:szCs w:val="15"/>
          <w:color w:val="auto"/>
        </w:rPr>
      </w:pPr>
    </w:p>
    <w:p>
      <w:pPr>
        <w:ind w:left="320" w:hanging="314"/>
        <w:spacing w:after="0" w:line="264" w:lineRule="auto"/>
        <w:tabs>
          <w:tab w:leader="none" w:pos="314"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Defined as the guarantee amount less the account value, as of the balance sheet date. It represents the amount of the claim that the Company would incur if death claims were filed on all contracts on the balance sheet date.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1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See Notes 1 and 8 of the Notes to the Consolidated Financial Statements included in the 2021 Annual Report for a description of the Company’s accounting policies for investments and the fair value hierarchy for investments and the related valuation methodologies.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Fixed Maturity Securities by Sector</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Fixed maturity securities by sector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spacing w:after="0"/>
              <w:rPr>
                <w:sz w:val="20"/>
                <w:szCs w:val="20"/>
                <w:color w:val="auto"/>
              </w:rPr>
            </w:pPr>
            <w:r>
              <w:rPr>
                <w:rFonts w:ascii="Arial" w:cs="Arial" w:eastAsia="Arial" w:hAnsi="Arial"/>
                <w:sz w:val="12"/>
                <w:szCs w:val="12"/>
                <w:b w:val="1"/>
                <w:bCs w:val="1"/>
                <w:color w:val="auto"/>
              </w:rPr>
              <w:t>June 30, 2022</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580"/>
              <w:spacing w:after="0"/>
              <w:rPr>
                <w:sz w:val="20"/>
                <w:szCs w:val="20"/>
                <w:color w:val="auto"/>
              </w:rPr>
            </w:pPr>
            <w:r>
              <w:rPr>
                <w:rFonts w:ascii="Arial" w:cs="Arial" w:eastAsia="Arial" w:hAnsi="Arial"/>
                <w:sz w:val="12"/>
                <w:szCs w:val="12"/>
                <w:b w:val="1"/>
                <w:bCs w:val="1"/>
                <w:color w:val="auto"/>
              </w:rPr>
              <w:t>December 31, 2021</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85"/>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5"/>
          </w:tcPr>
          <w:p>
            <w:pPr>
              <w:ind w:left="120"/>
              <w:spacing w:after="0"/>
              <w:rPr>
                <w:sz w:val="20"/>
                <w:szCs w:val="20"/>
                <w:color w:val="auto"/>
              </w:rPr>
            </w:pPr>
            <w:r>
              <w:rPr>
                <w:rFonts w:ascii="Arial" w:cs="Arial" w:eastAsia="Arial" w:hAnsi="Arial"/>
                <w:sz w:val="12"/>
                <w:szCs w:val="12"/>
                <w:b w:val="1"/>
                <w:bCs w:val="1"/>
                <w:color w:val="auto"/>
              </w:rPr>
              <w:t>Gross Unrealized</w:t>
            </w: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Estimated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5"/>
          </w:tcPr>
          <w:p>
            <w:pPr>
              <w:ind w:left="120"/>
              <w:spacing w:after="0"/>
              <w:rPr>
                <w:sz w:val="20"/>
                <w:szCs w:val="20"/>
                <w:color w:val="auto"/>
              </w:rPr>
            </w:pPr>
            <w:r>
              <w:rPr>
                <w:rFonts w:ascii="Arial" w:cs="Arial" w:eastAsia="Arial" w:hAnsi="Arial"/>
                <w:sz w:val="12"/>
                <w:szCs w:val="12"/>
                <w:b w:val="1"/>
                <w:bCs w:val="1"/>
                <w:color w:val="auto"/>
              </w:rPr>
              <w:t>Gross Unrealized</w:t>
            </w:r>
          </w:p>
        </w:tc>
        <w:tc>
          <w:tcPr>
            <w:tcW w:w="100" w:type="dxa"/>
            <w:vAlign w:val="bottom"/>
          </w:tcPr>
          <w:p>
            <w:pPr>
              <w:spacing w:after="0"/>
              <w:rPr>
                <w:sz w:val="16"/>
                <w:szCs w:val="16"/>
                <w:color w:val="auto"/>
              </w:rPr>
            </w:pPr>
          </w:p>
        </w:tc>
        <w:tc>
          <w:tcPr>
            <w:tcW w:w="700" w:type="dxa"/>
            <w:vAlign w:val="bottom"/>
          </w:tcPr>
          <w:p>
            <w:pPr>
              <w:jc w:val="center"/>
              <w:ind w:right="34"/>
              <w:spacing w:after="0"/>
              <w:rPr>
                <w:sz w:val="20"/>
                <w:szCs w:val="20"/>
                <w:color w:val="auto"/>
              </w:rPr>
            </w:pPr>
            <w:r>
              <w:rPr>
                <w:rFonts w:ascii="Arial" w:cs="Arial" w:eastAsia="Arial" w:hAnsi="Arial"/>
                <w:sz w:val="12"/>
                <w:szCs w:val="12"/>
                <w:b w:val="1"/>
                <w:bCs w:val="1"/>
                <w:color w:val="auto"/>
                <w:w w:val="90"/>
              </w:rPr>
              <w:t>Estimated</w:t>
            </w:r>
          </w:p>
        </w:tc>
      </w:tr>
      <w:tr>
        <w:trPr>
          <w:trHeight w:val="53"/>
        </w:trPr>
        <w:tc>
          <w:tcPr>
            <w:tcW w:w="2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tcPr>
          <w:p>
            <w:pPr>
              <w:jc w:val="center"/>
              <w:ind w:right="220"/>
              <w:spacing w:after="0" w:line="53" w:lineRule="exact"/>
              <w:rPr>
                <w:sz w:val="20"/>
                <w:szCs w:val="20"/>
                <w:color w:val="auto"/>
              </w:rPr>
            </w:pPr>
            <w:r>
              <w:rPr>
                <w:rFonts w:ascii="Arial" w:cs="Arial" w:eastAsia="Arial" w:hAnsi="Arial"/>
                <w:sz w:val="6"/>
                <w:szCs w:val="6"/>
                <w:b w:val="1"/>
                <w:bCs w:val="1"/>
                <w:color w:val="auto"/>
              </w:rPr>
              <w:t>Amortized</w:t>
            </w:r>
          </w:p>
        </w:tc>
        <w:tc>
          <w:tcPr>
            <w:tcW w:w="860" w:type="dxa"/>
            <w:vAlign w:val="bottom"/>
            <w:gridSpan w:val="2"/>
          </w:tcPr>
          <w:p>
            <w:pPr>
              <w:jc w:val="right"/>
              <w:spacing w:after="0" w:line="53" w:lineRule="exact"/>
              <w:rPr>
                <w:sz w:val="20"/>
                <w:szCs w:val="20"/>
                <w:color w:val="auto"/>
              </w:rPr>
            </w:pPr>
            <w:r>
              <w:rPr>
                <w:rFonts w:ascii="Arial" w:cs="Arial" w:eastAsia="Arial" w:hAnsi="Arial"/>
                <w:sz w:val="6"/>
                <w:szCs w:val="6"/>
                <w:b w:val="1"/>
                <w:bCs w:val="1"/>
                <w:color w:val="auto"/>
              </w:rPr>
              <w:t>Allowance for</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tcPr>
          <w:p>
            <w:pPr>
              <w:jc w:val="center"/>
              <w:ind w:right="220"/>
              <w:spacing w:after="0" w:line="53" w:lineRule="exact"/>
              <w:rPr>
                <w:sz w:val="20"/>
                <w:szCs w:val="20"/>
                <w:color w:val="auto"/>
              </w:rPr>
            </w:pPr>
            <w:r>
              <w:rPr>
                <w:rFonts w:ascii="Arial" w:cs="Arial" w:eastAsia="Arial" w:hAnsi="Arial"/>
                <w:sz w:val="6"/>
                <w:szCs w:val="6"/>
                <w:b w:val="1"/>
                <w:bCs w:val="1"/>
                <w:color w:val="auto"/>
              </w:rPr>
              <w:t>Fair</w:t>
            </w:r>
          </w:p>
        </w:tc>
        <w:tc>
          <w:tcPr>
            <w:tcW w:w="140" w:type="dxa"/>
            <w:vAlign w:val="bottom"/>
          </w:tcPr>
          <w:p>
            <w:pPr>
              <w:spacing w:after="0"/>
              <w:rPr>
                <w:sz w:val="4"/>
                <w:szCs w:val="4"/>
                <w:color w:val="auto"/>
              </w:rPr>
            </w:pPr>
          </w:p>
        </w:tc>
        <w:tc>
          <w:tcPr>
            <w:tcW w:w="880" w:type="dxa"/>
            <w:vAlign w:val="bottom"/>
            <w:gridSpan w:val="2"/>
          </w:tcPr>
          <w:p>
            <w:pPr>
              <w:jc w:val="center"/>
              <w:ind w:right="200"/>
              <w:spacing w:after="0" w:line="53" w:lineRule="exact"/>
              <w:rPr>
                <w:sz w:val="20"/>
                <w:szCs w:val="20"/>
                <w:color w:val="auto"/>
              </w:rPr>
            </w:pPr>
            <w:r>
              <w:rPr>
                <w:rFonts w:ascii="Arial" w:cs="Arial" w:eastAsia="Arial" w:hAnsi="Arial"/>
                <w:sz w:val="6"/>
                <w:szCs w:val="6"/>
                <w:b w:val="1"/>
                <w:bCs w:val="1"/>
                <w:color w:val="auto"/>
              </w:rPr>
              <w:t>Amortized</w:t>
            </w:r>
          </w:p>
        </w:tc>
        <w:tc>
          <w:tcPr>
            <w:tcW w:w="100" w:type="dxa"/>
            <w:vAlign w:val="bottom"/>
          </w:tcPr>
          <w:p>
            <w:pPr>
              <w:spacing w:after="0"/>
              <w:rPr>
                <w:sz w:val="4"/>
                <w:szCs w:val="4"/>
                <w:color w:val="auto"/>
              </w:rPr>
            </w:pPr>
          </w:p>
        </w:tc>
        <w:tc>
          <w:tcPr>
            <w:tcW w:w="920" w:type="dxa"/>
            <w:vAlign w:val="bottom"/>
            <w:gridSpan w:val="2"/>
          </w:tcPr>
          <w:p>
            <w:pPr>
              <w:spacing w:after="0" w:line="53" w:lineRule="exact"/>
              <w:rPr>
                <w:sz w:val="20"/>
                <w:szCs w:val="20"/>
                <w:color w:val="auto"/>
              </w:rPr>
            </w:pPr>
            <w:r>
              <w:rPr>
                <w:rFonts w:ascii="Arial" w:cs="Arial" w:eastAsia="Arial" w:hAnsi="Arial"/>
                <w:sz w:val="6"/>
                <w:szCs w:val="6"/>
                <w:b w:val="1"/>
                <w:bCs w:val="1"/>
                <w:color w:val="auto"/>
              </w:rPr>
              <w:t>Allowance for</w:t>
            </w: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jc w:val="center"/>
              <w:ind w:right="34"/>
              <w:spacing w:after="0" w:line="53" w:lineRule="exact"/>
              <w:rPr>
                <w:sz w:val="20"/>
                <w:szCs w:val="20"/>
                <w:color w:val="auto"/>
              </w:rPr>
            </w:pPr>
            <w:r>
              <w:rPr>
                <w:rFonts w:ascii="Arial" w:cs="Arial" w:eastAsia="Arial" w:hAnsi="Arial"/>
                <w:sz w:val="6"/>
                <w:szCs w:val="6"/>
                <w:b w:val="1"/>
                <w:bCs w:val="1"/>
                <w:color w:val="auto"/>
              </w:rPr>
              <w:t>Fair</w:t>
            </w:r>
          </w:p>
        </w:tc>
      </w:tr>
      <w:tr>
        <w:trPr>
          <w:trHeight w:val="186"/>
        </w:trPr>
        <w:tc>
          <w:tcPr>
            <w:tcW w:w="2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89"/>
              </w:rPr>
              <w:t>Cost</w:t>
            </w: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8"/>
              </w:rPr>
              <w:t>Credit Losses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Gains</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Losses</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87"/>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9"/>
              </w:rPr>
              <w:t>Cost</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Credit Losses</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Gains</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Losses</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54"/>
              <w:spacing w:after="0"/>
              <w:rPr>
                <w:sz w:val="20"/>
                <w:szCs w:val="20"/>
                <w:color w:val="auto"/>
              </w:rPr>
            </w:pPr>
            <w:r>
              <w:rPr>
                <w:rFonts w:ascii="Arial" w:cs="Arial" w:eastAsia="Arial" w:hAnsi="Arial"/>
                <w:sz w:val="12"/>
                <w:szCs w:val="12"/>
                <w:b w:val="1"/>
                <w:bCs w:val="1"/>
                <w:color w:val="auto"/>
                <w:w w:val="93"/>
              </w:rPr>
              <w:t>Value</w:t>
            </w:r>
          </w:p>
        </w:tc>
      </w:tr>
      <w:tr>
        <w:trPr>
          <w:trHeight w:val="166"/>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ind w:left="460"/>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36,384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33,472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35,326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39,081</w:t>
            </w:r>
          </w:p>
        </w:tc>
      </w:tr>
      <w:tr>
        <w:trPr>
          <w:trHeight w:val="183"/>
        </w:trPr>
        <w:tc>
          <w:tcPr>
            <w:tcW w:w="232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11,922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10,547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11,706</w:t>
            </w:r>
          </w:p>
        </w:tc>
      </w:tr>
      <w:tr>
        <w:trPr>
          <w:trHeight w:val="18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9,307</w:t>
            </w:r>
          </w:p>
        </w:tc>
      </w:tr>
      <w:tr>
        <w:trPr>
          <w:trHeight w:val="183"/>
        </w:trPr>
        <w:tc>
          <w:tcPr>
            <w:tcW w:w="2320" w:type="dxa"/>
            <w:vAlign w:val="bottom"/>
          </w:tcPr>
          <w:p>
            <w:pPr>
              <w:ind w:left="20"/>
              <w:spacing w:after="0"/>
              <w:rPr>
                <w:sz w:val="20"/>
                <w:szCs w:val="20"/>
                <w:color w:val="auto"/>
              </w:rPr>
            </w:pPr>
            <w:r>
              <w:rPr>
                <w:rFonts w:ascii="Arial" w:cs="Arial" w:eastAsia="Arial" w:hAnsi="Arial"/>
                <w:sz w:val="14"/>
                <w:szCs w:val="14"/>
                <w:color w:val="auto"/>
              </w:rPr>
              <w:t>RMBS</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8,791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8,343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8,878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9,259</w:t>
            </w:r>
          </w:p>
        </w:tc>
      </w:tr>
      <w:tr>
        <w:trPr>
          <w:trHeight w:val="18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7,282</w:t>
            </w:r>
          </w:p>
        </w:tc>
      </w:tr>
      <w:tr>
        <w:trPr>
          <w:trHeight w:val="183"/>
        </w:trPr>
        <w:tc>
          <w:tcPr>
            <w:tcW w:w="2320" w:type="dxa"/>
            <w:vAlign w:val="bottom"/>
          </w:tcPr>
          <w:p>
            <w:pPr>
              <w:ind w:left="20"/>
              <w:spacing w:after="0"/>
              <w:rPr>
                <w:sz w:val="20"/>
                <w:szCs w:val="20"/>
                <w:color w:val="auto"/>
              </w:rPr>
            </w:pPr>
            <w:r>
              <w:rPr>
                <w:rFonts w:ascii="Arial" w:cs="Arial" w:eastAsia="Arial" w:hAnsi="Arial"/>
                <w:sz w:val="14"/>
                <w:szCs w:val="14"/>
                <w:color w:val="auto"/>
              </w:rPr>
              <w:t>State and political subdivision</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4,037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4,049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4,835</w:t>
            </w:r>
          </w:p>
        </w:tc>
      </w:tr>
      <w:tr>
        <w:trPr>
          <w:trHeight w:val="18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4,280</w:t>
            </w:r>
          </w:p>
        </w:tc>
      </w:tr>
      <w:tr>
        <w:trPr>
          <w:trHeight w:val="183"/>
        </w:trPr>
        <w:tc>
          <w:tcPr>
            <w:tcW w:w="232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1,832</w:t>
            </w:r>
          </w:p>
        </w:tc>
      </w:tr>
      <w:tr>
        <w:trPr>
          <w:trHeight w:val="207"/>
        </w:trPr>
        <w:tc>
          <w:tcPr>
            <w:tcW w:w="2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fixed maturity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87,582</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The Company held non-income producing fixed maturity securities with an estimated fair value of $20 million and $3 million at June 30, 2022 and December 31, 2021, respectively.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Maturities of Fixed Maturity Securities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amortized cost and estimated fair value of fixed maturity securities, by contractual maturity date, were as follows at June 30, 2022: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auto"/>
              </w:rPr>
              <w:t>Due in One</w:t>
            </w:r>
          </w:p>
        </w:tc>
        <w:tc>
          <w:tcPr>
            <w:tcW w:w="240" w:type="dxa"/>
            <w:vAlign w:val="bottom"/>
          </w:tcPr>
          <w:p>
            <w:pPr>
              <w:spacing w:after="0"/>
              <w:rPr>
                <w:sz w:val="14"/>
                <w:szCs w:val="14"/>
                <w:color w:val="auto"/>
              </w:rPr>
            </w:pPr>
          </w:p>
        </w:tc>
        <w:tc>
          <w:tcPr>
            <w:tcW w:w="1180" w:type="dxa"/>
            <w:vAlign w:val="bottom"/>
          </w:tcPr>
          <w:p>
            <w:pPr>
              <w:jc w:val="center"/>
              <w:ind w:right="106"/>
              <w:spacing w:after="0"/>
              <w:rPr>
                <w:sz w:val="20"/>
                <w:szCs w:val="20"/>
                <w:color w:val="auto"/>
              </w:rPr>
            </w:pPr>
            <w:r>
              <w:rPr>
                <w:rFonts w:ascii="Arial" w:cs="Arial" w:eastAsia="Arial" w:hAnsi="Arial"/>
                <w:sz w:val="14"/>
                <w:szCs w:val="14"/>
                <w:b w:val="1"/>
                <w:bCs w:val="1"/>
                <w:color w:val="auto"/>
                <w:w w:val="93"/>
              </w:rPr>
              <w:t>Due After One</w:t>
            </w:r>
          </w:p>
        </w:tc>
        <w:tc>
          <w:tcPr>
            <w:tcW w:w="240" w:type="dxa"/>
            <w:vAlign w:val="bottom"/>
          </w:tcPr>
          <w:p>
            <w:pPr>
              <w:spacing w:after="0"/>
              <w:rPr>
                <w:sz w:val="14"/>
                <w:szCs w:val="14"/>
                <w:color w:val="auto"/>
              </w:rPr>
            </w:pPr>
          </w:p>
        </w:tc>
        <w:tc>
          <w:tcPr>
            <w:tcW w:w="1180" w:type="dxa"/>
            <w:vAlign w:val="bottom"/>
          </w:tcPr>
          <w:p>
            <w:pPr>
              <w:jc w:val="center"/>
              <w:ind w:right="106"/>
              <w:spacing w:after="0"/>
              <w:rPr>
                <w:sz w:val="20"/>
                <w:szCs w:val="20"/>
                <w:color w:val="auto"/>
              </w:rPr>
            </w:pPr>
            <w:r>
              <w:rPr>
                <w:rFonts w:ascii="Arial" w:cs="Arial" w:eastAsia="Arial" w:hAnsi="Arial"/>
                <w:sz w:val="14"/>
                <w:szCs w:val="14"/>
                <w:b w:val="1"/>
                <w:bCs w:val="1"/>
                <w:color w:val="auto"/>
                <w:w w:val="92"/>
              </w:rPr>
              <w:t>Due After Five</w:t>
            </w:r>
          </w:p>
        </w:tc>
        <w:tc>
          <w:tcPr>
            <w:tcW w:w="240" w:type="dxa"/>
            <w:vAlign w:val="bottom"/>
          </w:tcPr>
          <w:p>
            <w:pPr>
              <w:spacing w:after="0"/>
              <w:rPr>
                <w:sz w:val="14"/>
                <w:szCs w:val="14"/>
                <w:color w:val="auto"/>
              </w:rPr>
            </w:pPr>
          </w:p>
        </w:tc>
        <w:tc>
          <w:tcPr>
            <w:tcW w:w="118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auto"/>
                <w:w w:val="98"/>
              </w:rPr>
              <w:t>Due After Ten</w:t>
            </w:r>
          </w:p>
        </w:tc>
        <w:tc>
          <w:tcPr>
            <w:tcW w:w="260" w:type="dxa"/>
            <w:vAlign w:val="bottom"/>
          </w:tcPr>
          <w:p>
            <w:pPr>
              <w:spacing w:after="0"/>
              <w:rPr>
                <w:sz w:val="14"/>
                <w:szCs w:val="14"/>
                <w:color w:val="auto"/>
              </w:rPr>
            </w:pPr>
          </w:p>
        </w:tc>
        <w:tc>
          <w:tcPr>
            <w:tcW w:w="118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auto"/>
              </w:rPr>
              <w:t>Structured</w:t>
            </w:r>
          </w:p>
        </w:tc>
        <w:tc>
          <w:tcPr>
            <w:tcW w:w="300" w:type="dxa"/>
            <w:vAlign w:val="bottom"/>
          </w:tcPr>
          <w:p>
            <w:pPr>
              <w:spacing w:after="0"/>
              <w:rPr>
                <w:sz w:val="14"/>
                <w:szCs w:val="14"/>
                <w:color w:val="auto"/>
              </w:rPr>
            </w:pPr>
          </w:p>
        </w:tc>
        <w:tc>
          <w:tcPr>
            <w:tcW w:w="1120" w:type="dxa"/>
            <w:vAlign w:val="bottom"/>
          </w:tcPr>
          <w:p>
            <w:pPr>
              <w:jc w:val="center"/>
              <w:ind w:right="126"/>
              <w:spacing w:after="0"/>
              <w:rPr>
                <w:sz w:val="20"/>
                <w:szCs w:val="20"/>
                <w:color w:val="auto"/>
              </w:rPr>
            </w:pPr>
            <w:r>
              <w:rPr>
                <w:rFonts w:ascii="Arial" w:cs="Arial" w:eastAsia="Arial" w:hAnsi="Arial"/>
                <w:sz w:val="14"/>
                <w:szCs w:val="14"/>
                <w:b w:val="1"/>
                <w:bCs w:val="1"/>
                <w:color w:val="auto"/>
                <w:w w:val="91"/>
              </w:rPr>
              <w:t>Total Fixed</w:t>
            </w: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06"/>
              <w:spacing w:after="0" w:line="133" w:lineRule="exact"/>
              <w:rPr>
                <w:sz w:val="20"/>
                <w:szCs w:val="20"/>
                <w:color w:val="auto"/>
              </w:rPr>
            </w:pPr>
            <w:r>
              <w:rPr>
                <w:rFonts w:ascii="Arial" w:cs="Arial" w:eastAsia="Arial" w:hAnsi="Arial"/>
                <w:sz w:val="14"/>
                <w:szCs w:val="14"/>
                <w:b w:val="1"/>
                <w:bCs w:val="1"/>
                <w:color w:val="auto"/>
                <w:w w:val="92"/>
              </w:rPr>
              <w:t>Year Through</w:t>
            </w:r>
          </w:p>
        </w:tc>
        <w:tc>
          <w:tcPr>
            <w:tcW w:w="240" w:type="dxa"/>
            <w:vAlign w:val="bottom"/>
          </w:tcPr>
          <w:p>
            <w:pPr>
              <w:spacing w:after="0"/>
              <w:rPr>
                <w:sz w:val="11"/>
                <w:szCs w:val="11"/>
                <w:color w:val="auto"/>
              </w:rPr>
            </w:pPr>
          </w:p>
        </w:tc>
        <w:tc>
          <w:tcPr>
            <w:tcW w:w="1180" w:type="dxa"/>
            <w:vAlign w:val="bottom"/>
          </w:tcPr>
          <w:p>
            <w:pPr>
              <w:jc w:val="center"/>
              <w:ind w:right="106"/>
              <w:spacing w:after="0" w:line="133" w:lineRule="exact"/>
              <w:rPr>
                <w:sz w:val="20"/>
                <w:szCs w:val="20"/>
                <w:color w:val="auto"/>
              </w:rPr>
            </w:pPr>
            <w:r>
              <w:rPr>
                <w:rFonts w:ascii="Arial" w:cs="Arial" w:eastAsia="Arial" w:hAnsi="Arial"/>
                <w:sz w:val="14"/>
                <w:szCs w:val="14"/>
                <w:b w:val="1"/>
                <w:bCs w:val="1"/>
                <w:color w:val="auto"/>
                <w:w w:val="93"/>
              </w:rPr>
              <w:t>Years Through</w:t>
            </w:r>
          </w:p>
        </w:tc>
        <w:tc>
          <w:tcPr>
            <w:tcW w:w="2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jc w:val="center"/>
              <w:ind w:right="146"/>
              <w:spacing w:after="0" w:line="133" w:lineRule="exact"/>
              <w:rPr>
                <w:sz w:val="20"/>
                <w:szCs w:val="20"/>
                <w:color w:val="auto"/>
              </w:rPr>
            </w:pPr>
            <w:r>
              <w:rPr>
                <w:rFonts w:ascii="Arial" w:cs="Arial" w:eastAsia="Arial" w:hAnsi="Arial"/>
                <w:sz w:val="14"/>
                <w:szCs w:val="14"/>
                <w:b w:val="1"/>
                <w:bCs w:val="1"/>
                <w:color w:val="auto"/>
                <w:w w:val="99"/>
              </w:rPr>
              <w:t>Maturity</w:t>
            </w: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w w:val="97"/>
              </w:rPr>
              <w:t>Year or Less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91"/>
              </w:rPr>
              <w:t>Five Years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89"/>
              </w:rPr>
              <w:t>Ten Years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Years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w w:val="97"/>
              </w:rPr>
              <w:t>Securities (1)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179"/>
        </w:trPr>
        <w:tc>
          <w:tcPr>
            <w:tcW w:w="2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3"/>
          </w:tcPr>
          <w:p>
            <w:pPr>
              <w:jc w:val="right"/>
              <w:ind w:right="925"/>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Amortized cost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1,025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13,020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17,522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31,206</w:t>
            </w: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20,840</w:t>
            </w:r>
          </w:p>
        </w:tc>
        <w:tc>
          <w:tcPr>
            <w:tcW w:w="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83,613</w:t>
            </w:r>
          </w:p>
        </w:tc>
        <w:tc>
          <w:tcPr>
            <w:tcW w:w="0" w:type="dxa"/>
            <w:vAlign w:val="bottom"/>
          </w:tcPr>
          <w:p>
            <w:pPr>
              <w:spacing w:after="0"/>
              <w:rPr>
                <w:sz w:val="1"/>
                <w:szCs w:val="1"/>
                <w:color w:val="auto"/>
              </w:rPr>
            </w:pPr>
          </w:p>
        </w:tc>
      </w:tr>
      <w:tr>
        <w:trPr>
          <w:trHeight w:val="207"/>
        </w:trPr>
        <w:tc>
          <w:tcPr>
            <w:tcW w:w="2780" w:type="dxa"/>
            <w:vAlign w:val="bottom"/>
          </w:tcPr>
          <w:p>
            <w:pPr>
              <w:ind w:left="20"/>
              <w:spacing w:after="0"/>
              <w:rPr>
                <w:sz w:val="20"/>
                <w:szCs w:val="20"/>
                <w:color w:val="auto"/>
              </w:rPr>
            </w:pPr>
            <w:r>
              <w:rPr>
                <w:rFonts w:ascii="Arial" w:cs="Arial" w:eastAsia="Arial" w:hAnsi="Arial"/>
                <w:sz w:val="16"/>
                <w:szCs w:val="16"/>
                <w:color w:val="auto"/>
              </w:rPr>
              <w:t>Estimated fair value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5"/>
              <w:spacing w:after="0"/>
              <w:rPr>
                <w:sz w:val="20"/>
                <w:szCs w:val="20"/>
                <w:color w:val="auto"/>
              </w:rPr>
            </w:pPr>
            <w:r>
              <w:rPr>
                <w:rFonts w:ascii="Arial" w:cs="Arial" w:eastAsia="Arial" w:hAnsi="Arial"/>
                <w:sz w:val="16"/>
                <w:szCs w:val="16"/>
                <w:color w:val="auto"/>
              </w:rPr>
              <w:t>1,018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
              <w:spacing w:after="0"/>
              <w:rPr>
                <w:sz w:val="20"/>
                <w:szCs w:val="20"/>
                <w:color w:val="auto"/>
              </w:rPr>
            </w:pPr>
            <w:r>
              <w:rPr>
                <w:rFonts w:ascii="Arial" w:cs="Arial" w:eastAsia="Arial" w:hAnsi="Arial"/>
                <w:sz w:val="16"/>
                <w:szCs w:val="16"/>
                <w:color w:val="auto"/>
              </w:rPr>
              <w:t>12,583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6"/>
              <w:spacing w:after="0"/>
              <w:rPr>
                <w:sz w:val="20"/>
                <w:szCs w:val="20"/>
                <w:color w:val="auto"/>
              </w:rPr>
            </w:pPr>
            <w:r>
              <w:rPr>
                <w:rFonts w:ascii="Arial" w:cs="Arial" w:eastAsia="Arial" w:hAnsi="Arial"/>
                <w:sz w:val="16"/>
                <w:szCs w:val="16"/>
                <w:color w:val="auto"/>
              </w:rPr>
              <w:t>15,976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5"/>
              <w:spacing w:after="0"/>
              <w:rPr>
                <w:sz w:val="20"/>
                <w:szCs w:val="20"/>
                <w:color w:val="auto"/>
              </w:rPr>
            </w:pPr>
            <w:r>
              <w:rPr>
                <w:rFonts w:ascii="Arial" w:cs="Arial" w:eastAsia="Arial" w:hAnsi="Arial"/>
                <w:sz w:val="16"/>
                <w:szCs w:val="16"/>
                <w:color w:val="auto"/>
              </w:rPr>
              <w:t>29,288</w:t>
            </w:r>
          </w:p>
        </w:tc>
        <w:tc>
          <w:tcPr>
            <w:tcW w:w="2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19,741</w:t>
            </w:r>
          </w:p>
        </w:tc>
        <w:tc>
          <w:tcPr>
            <w:tcW w:w="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78,606</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Structured securities include residential mortgage-backed securities (“RMBS”), commercial mortgage-backed securities (“CMBS”) and asset-backed securities (“ABS”) (collectively, “Structured Securities”).</w:t>
      </w:r>
    </w:p>
    <w:p>
      <w:pPr>
        <w:spacing w:after="0" w:line="75"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Continuous Gross Unrealized Losses for Fixed Maturity Securities by Sector</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The estimated fair value and gross unrealized losses of fixed maturity securities in an unrealized loss position, by sector and by length of time that the securities have been in a continuous unrealized loss position, were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489"/>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329"/>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5"/>
          </w:tcPr>
          <w:p>
            <w:pPr>
              <w:ind w:left="260"/>
              <w:spacing w:after="0"/>
              <w:rPr>
                <w:sz w:val="20"/>
                <w:szCs w:val="20"/>
                <w:color w:val="auto"/>
              </w:rPr>
            </w:pPr>
            <w:r>
              <w:rPr>
                <w:rFonts w:ascii="Arial" w:cs="Arial" w:eastAsia="Arial" w:hAnsi="Arial"/>
                <w:sz w:val="14"/>
                <w:szCs w:val="14"/>
                <w:b w:val="1"/>
                <w:bCs w:val="1"/>
                <w:color w:val="auto"/>
              </w:rPr>
              <w:t>Less than 12 Months</w:t>
            </w:r>
          </w:p>
        </w:tc>
        <w:tc>
          <w:tcPr>
            <w:tcW w:w="140" w:type="dxa"/>
            <w:vAlign w:val="bottom"/>
          </w:tcPr>
          <w:p>
            <w:pPr>
              <w:spacing w:after="0"/>
              <w:rPr>
                <w:sz w:val="15"/>
                <w:szCs w:val="15"/>
                <w:color w:val="auto"/>
              </w:rPr>
            </w:pPr>
          </w:p>
        </w:tc>
        <w:tc>
          <w:tcPr>
            <w:tcW w:w="1900" w:type="dxa"/>
            <w:vAlign w:val="bottom"/>
            <w:gridSpan w:val="4"/>
          </w:tcPr>
          <w:p>
            <w:pPr>
              <w:jc w:val="right"/>
              <w:ind w:right="289"/>
              <w:spacing w:after="0"/>
              <w:rPr>
                <w:sz w:val="20"/>
                <w:szCs w:val="20"/>
                <w:color w:val="auto"/>
              </w:rPr>
            </w:pPr>
            <w:r>
              <w:rPr>
                <w:rFonts w:ascii="Arial" w:cs="Arial" w:eastAsia="Arial" w:hAnsi="Arial"/>
                <w:sz w:val="14"/>
                <w:szCs w:val="14"/>
                <w:b w:val="1"/>
                <w:bCs w:val="1"/>
                <w:color w:val="auto"/>
              </w:rPr>
              <w:t>12 Months or Greater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5"/>
          </w:tcPr>
          <w:p>
            <w:pPr>
              <w:ind w:left="260"/>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5"/>
                <w:szCs w:val="15"/>
                <w:color w:val="auto"/>
              </w:rPr>
            </w:pPr>
          </w:p>
        </w:tc>
        <w:tc>
          <w:tcPr>
            <w:tcW w:w="1920" w:type="dxa"/>
            <w:vAlign w:val="bottom"/>
            <w:gridSpan w:val="4"/>
          </w:tcPr>
          <w:p>
            <w:pPr>
              <w:jc w:val="right"/>
              <w:ind w:right="289"/>
              <w:spacing w:after="0"/>
              <w:rPr>
                <w:sz w:val="20"/>
                <w:szCs w:val="20"/>
                <w:color w:val="auto"/>
              </w:rPr>
            </w:pPr>
            <w:r>
              <w:rPr>
                <w:rFonts w:ascii="Arial" w:cs="Arial" w:eastAsia="Arial" w:hAnsi="Arial"/>
                <w:sz w:val="14"/>
                <w:szCs w:val="14"/>
                <w:b w:val="1"/>
                <w:bCs w:val="1"/>
                <w:color w:val="auto"/>
              </w:rPr>
              <w:t>12 Months or Greater</w:t>
            </w:r>
          </w:p>
        </w:tc>
        <w:tc>
          <w:tcPr>
            <w:tcW w:w="0" w:type="dxa"/>
            <w:vAlign w:val="bottom"/>
          </w:tcPr>
          <w:p>
            <w:pPr>
              <w:spacing w:after="0"/>
              <w:rPr>
                <w:sz w:val="1"/>
                <w:szCs w:val="1"/>
                <w:color w:val="auto"/>
              </w:rPr>
            </w:pPr>
          </w:p>
        </w:tc>
      </w:tr>
      <w:tr>
        <w:trPr>
          <w:trHeight w:val="127"/>
        </w:trPr>
        <w:tc>
          <w:tcPr>
            <w:tcW w:w="28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49"/>
              <w:spacing w:after="0" w:line="127" w:lineRule="exact"/>
              <w:rPr>
                <w:sz w:val="20"/>
                <w:szCs w:val="20"/>
                <w:color w:val="auto"/>
              </w:rPr>
            </w:pPr>
            <w:r>
              <w:rPr>
                <w:rFonts w:ascii="Arial" w:cs="Arial" w:eastAsia="Arial" w:hAnsi="Arial"/>
                <w:sz w:val="14"/>
                <w:szCs w:val="14"/>
                <w:b w:val="1"/>
                <w:bCs w:val="1"/>
                <w:color w:val="auto"/>
                <w:w w:val="89"/>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27"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49"/>
              <w:spacing w:after="0" w:line="127" w:lineRule="exact"/>
              <w:rPr>
                <w:sz w:val="20"/>
                <w:szCs w:val="20"/>
                <w:color w:val="auto"/>
              </w:rPr>
            </w:pPr>
            <w:r>
              <w:rPr>
                <w:rFonts w:ascii="Arial" w:cs="Arial" w:eastAsia="Arial" w:hAnsi="Arial"/>
                <w:sz w:val="14"/>
                <w:szCs w:val="14"/>
                <w:b w:val="1"/>
                <w:bCs w:val="1"/>
                <w:color w:val="auto"/>
                <w:w w:val="89"/>
              </w:rPr>
              <w:t>Estimated</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27"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29"/>
              <w:spacing w:after="0" w:line="127" w:lineRule="exact"/>
              <w:rPr>
                <w:sz w:val="20"/>
                <w:szCs w:val="20"/>
                <w:color w:val="auto"/>
              </w:rPr>
            </w:pPr>
            <w:r>
              <w:rPr>
                <w:rFonts w:ascii="Arial" w:cs="Arial" w:eastAsia="Arial" w:hAnsi="Arial"/>
                <w:sz w:val="14"/>
                <w:szCs w:val="14"/>
                <w:b w:val="1"/>
                <w:bCs w:val="1"/>
                <w:color w:val="auto"/>
                <w:w w:val="92"/>
              </w:rPr>
              <w:t>Estimated</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27"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49"/>
              <w:spacing w:after="0" w:line="127" w:lineRule="exact"/>
              <w:rPr>
                <w:sz w:val="20"/>
                <w:szCs w:val="20"/>
                <w:color w:val="auto"/>
              </w:rPr>
            </w:pPr>
            <w:r>
              <w:rPr>
                <w:rFonts w:ascii="Arial" w:cs="Arial" w:eastAsia="Arial" w:hAnsi="Arial"/>
                <w:sz w:val="14"/>
                <w:szCs w:val="14"/>
                <w:b w:val="1"/>
                <w:bCs w:val="1"/>
                <w:color w:val="auto"/>
                <w:w w:val="92"/>
              </w:rPr>
              <w:t>Estimated</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27" w:lineRule="exact"/>
              <w:rPr>
                <w:sz w:val="20"/>
                <w:szCs w:val="20"/>
                <w:color w:val="auto"/>
              </w:rPr>
            </w:pPr>
            <w:r>
              <w:rPr>
                <w:rFonts w:ascii="Arial" w:cs="Arial" w:eastAsia="Arial" w:hAnsi="Arial"/>
                <w:sz w:val="14"/>
                <w:szCs w:val="14"/>
                <w:b w:val="1"/>
                <w:bCs w:val="1"/>
                <w:color w:val="auto"/>
                <w:w w:val="83"/>
              </w:rPr>
              <w:t>Gross</w:t>
            </w: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69"/>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800" w:type="dxa"/>
            <w:vAlign w:val="bottom"/>
          </w:tcPr>
          <w:p>
            <w:pPr>
              <w:jc w:val="center"/>
              <w:ind w:right="69"/>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800" w:type="dxa"/>
            <w:vAlign w:val="bottom"/>
          </w:tcPr>
          <w:p>
            <w:pPr>
              <w:jc w:val="center"/>
              <w:ind w:right="29"/>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820" w:type="dxa"/>
            <w:vAlign w:val="bottom"/>
          </w:tcPr>
          <w:p>
            <w:pPr>
              <w:jc w:val="center"/>
              <w:ind w:right="49"/>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49"/>
              <w:spacing w:after="0" w:line="13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5"/>
        </w:trPr>
        <w:tc>
          <w:tcPr>
            <w:tcW w:w="2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78"/>
              </w:rPr>
              <w:t>Losses</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79"/>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4"/>
          </w:tcPr>
          <w:p>
            <w:pPr>
              <w:jc w:val="right"/>
              <w:ind w:right="289"/>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3"/>
        </w:trPr>
        <w:tc>
          <w:tcPr>
            <w:tcW w:w="284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2,044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8"/>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3"/>
        </w:trPr>
        <w:tc>
          <w:tcPr>
            <w:tcW w:w="2840" w:type="dxa"/>
            <w:vAlign w:val="bottom"/>
          </w:tcPr>
          <w:p>
            <w:pPr>
              <w:ind w:left="20"/>
              <w:spacing w:after="0"/>
              <w:rPr>
                <w:sz w:val="20"/>
                <w:szCs w:val="20"/>
                <w:color w:val="auto"/>
              </w:rPr>
            </w:pPr>
            <w:r>
              <w:rPr>
                <w:rFonts w:ascii="Arial" w:cs="Arial" w:eastAsia="Arial" w:hAnsi="Arial"/>
                <w:sz w:val="14"/>
                <w:szCs w:val="14"/>
                <w:color w:val="auto"/>
              </w:rPr>
              <w:t>RMBS</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3,488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2840" w:type="dxa"/>
            <w:vAlign w:val="bottom"/>
          </w:tcPr>
          <w:p>
            <w:pPr>
              <w:ind w:left="20"/>
              <w:spacing w:after="0"/>
              <w:rPr>
                <w:sz w:val="20"/>
                <w:szCs w:val="20"/>
                <w:color w:val="auto"/>
              </w:rPr>
            </w:pPr>
            <w:r>
              <w:rPr>
                <w:rFonts w:ascii="Arial" w:cs="Arial" w:eastAsia="Arial" w:hAnsi="Arial"/>
                <w:sz w:val="14"/>
                <w:szCs w:val="14"/>
                <w:color w:val="auto"/>
              </w:rPr>
              <w:t>State and political subdivision</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284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2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fixed maturity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16,873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vMerge w:val="restart"/>
          </w:tcPr>
          <w:p>
            <w:pPr>
              <w:ind w:left="180"/>
              <w:spacing w:after="0" w:line="119" w:lineRule="exact"/>
              <w:rPr>
                <w:sz w:val="20"/>
                <w:szCs w:val="20"/>
                <w:color w:val="auto"/>
              </w:rPr>
            </w:pPr>
            <w:r>
              <w:rPr>
                <w:rFonts w:ascii="Arial" w:cs="Arial" w:eastAsia="Arial" w:hAnsi="Arial"/>
                <w:sz w:val="13"/>
                <w:szCs w:val="13"/>
                <w:color w:val="auto"/>
              </w:rPr>
              <w:t>Total number of securities in an unrealized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7,569</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781</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2,454</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840" w:type="dxa"/>
            <w:vAlign w:val="bottom"/>
          </w:tcPr>
          <w:p>
            <w:pPr>
              <w:ind w:left="340"/>
              <w:spacing w:after="0" w:line="159" w:lineRule="exact"/>
              <w:rPr>
                <w:sz w:val="20"/>
                <w:szCs w:val="20"/>
                <w:color w:val="auto"/>
              </w:rPr>
            </w:pPr>
            <w:r>
              <w:rPr>
                <w:rFonts w:ascii="Arial" w:cs="Arial" w:eastAsia="Arial" w:hAnsi="Arial"/>
                <w:sz w:val="14"/>
                <w:szCs w:val="14"/>
                <w:color w:val="auto"/>
              </w:rPr>
              <w:t>loss position</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Allowance for Credit Losses for Fixed Maturity Securities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1" w:lineRule="exact"/>
        <w:rPr>
          <w:sz w:val="20"/>
          <w:szCs w:val="20"/>
          <w:color w:val="auto"/>
        </w:rPr>
      </w:pPr>
    </w:p>
    <w:p>
      <w:pPr>
        <w:jc w:val="both"/>
        <w:ind w:left="320" w:firstLine="318"/>
        <w:spacing w:after="0" w:line="301" w:lineRule="auto"/>
        <w:rPr>
          <w:sz w:val="20"/>
          <w:szCs w:val="20"/>
          <w:color w:val="auto"/>
        </w:rPr>
      </w:pPr>
      <w:r>
        <w:rPr>
          <w:rFonts w:ascii="Arial" w:cs="Arial" w:eastAsia="Arial" w:hAnsi="Arial"/>
          <w:sz w:val="15"/>
          <w:szCs w:val="15"/>
          <w:color w:val="auto"/>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 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OCI.</w:t>
      </w:r>
    </w:p>
    <w:p>
      <w:pPr>
        <w:spacing w:after="0" w:line="266"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82"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82"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$557 million and $534 million at June 30, 2022 and December 31, 2021, respectively, and is included in accrued investment income.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jc w:val="both"/>
        <w:ind w:left="320" w:firstLine="318"/>
        <w:spacing w:after="0" w:line="305" w:lineRule="auto"/>
        <w:rPr>
          <w:sz w:val="20"/>
          <w:szCs w:val="20"/>
          <w:color w:val="auto"/>
        </w:rPr>
      </w:pPr>
      <w:r>
        <w:rPr>
          <w:rFonts w:ascii="Arial" w:cs="Arial" w:eastAsia="Arial" w:hAnsi="Arial"/>
          <w:sz w:val="15"/>
          <w:szCs w:val="15"/>
          <w:color w:val="auto"/>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Current Period Evaluation</w:t>
      </w:r>
    </w:p>
    <w:p>
      <w:pPr>
        <w:spacing w:after="0" w:line="111" w:lineRule="exact"/>
        <w:rPr>
          <w:sz w:val="20"/>
          <w:szCs w:val="20"/>
          <w:color w:val="auto"/>
        </w:rPr>
      </w:pPr>
    </w:p>
    <w:p>
      <w:pPr>
        <w:jc w:val="both"/>
        <w:ind w:left="320" w:firstLine="318"/>
        <w:spacing w:after="0" w:line="306" w:lineRule="auto"/>
        <w:rPr>
          <w:sz w:val="20"/>
          <w:szCs w:val="20"/>
          <w:color w:val="auto"/>
        </w:rPr>
      </w:pPr>
      <w:r>
        <w:rPr>
          <w:rFonts w:ascii="Arial" w:cs="Arial" w:eastAsia="Arial" w:hAnsi="Arial"/>
          <w:sz w:val="15"/>
          <w:szCs w:val="15"/>
          <w:color w:val="auto"/>
        </w:rPr>
        <w:t>Based on the Company’s current evaluation of its fixed maturity securities in an unrealized loss position and the current intent or requirement to sell, the Company recorded an allowance for credit losses of $4 million, relating to five securities at June 30, 2022.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Allowance for Credit Losses for Fixed Maturity Securities</w:t>
      </w:r>
    </w:p>
    <w:p>
      <w:pPr>
        <w:spacing w:after="0" w:line="11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allowance for credit losses for fixed maturity securities was $4 million and $11 million at June 30, 2022 and December 31, 2021, respectively. For both the six months ended June 30, 2022 and 2021, the change in the allowance for fixed maturity securities by sector was immaterial. The Company recorded total write-offs of $10 million for the six months ended June 30, 2022. The Company did not record any write-offs for the six months ended June 30, 2021.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Mortgage Loans by Portfolio Segment</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Mortgage loans are summarized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4"/>
              </w:rPr>
              <w:t>June 30, 2022</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683"/>
              <w:spacing w:after="0"/>
              <w:rPr>
                <w:sz w:val="20"/>
                <w:szCs w:val="20"/>
                <w:color w:val="auto"/>
              </w:rPr>
            </w:pPr>
            <w:r>
              <w:rPr>
                <w:rFonts w:ascii="Arial" w:cs="Arial" w:eastAsia="Arial" w:hAnsi="Arial"/>
                <w:sz w:val="14"/>
                <w:szCs w:val="14"/>
                <w:b w:val="1"/>
                <w:bCs w:val="1"/>
                <w:color w:val="auto"/>
              </w:rPr>
              <w:t>December 31, 2021</w:t>
            </w:r>
          </w:p>
        </w:tc>
      </w:tr>
      <w:tr>
        <w:trPr>
          <w:trHeight w:val="131"/>
        </w:trPr>
        <w:tc>
          <w:tcPr>
            <w:tcW w:w="5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3"/>
          </w:tcPr>
          <w:p>
            <w:pPr>
              <w:jc w:val="center"/>
              <w:ind w:right="740"/>
              <w:spacing w:after="0" w:line="131" w:lineRule="exact"/>
              <w:rPr>
                <w:sz w:val="20"/>
                <w:szCs w:val="20"/>
                <w:color w:val="auto"/>
              </w:rPr>
            </w:pPr>
            <w:r>
              <w:rPr>
                <w:rFonts w:ascii="Arial" w:cs="Arial" w:eastAsia="Arial" w:hAnsi="Arial"/>
                <w:sz w:val="14"/>
                <w:szCs w:val="14"/>
                <w:b w:val="1"/>
                <w:bCs w:val="1"/>
                <w:color w:val="auto"/>
                <w:w w:val="97"/>
              </w:rPr>
              <w:t>Carrying</w:t>
            </w:r>
          </w:p>
        </w:tc>
        <w:tc>
          <w:tcPr>
            <w:tcW w:w="860" w:type="dxa"/>
            <w:vAlign w:val="bottom"/>
          </w:tcPr>
          <w:p>
            <w:pPr>
              <w:ind w:left="80"/>
              <w:spacing w:after="0" w:line="131"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97"/>
              </w:rPr>
              <w:t>Carrying</w:t>
            </w:r>
          </w:p>
        </w:tc>
        <w:tc>
          <w:tcPr>
            <w:tcW w:w="1240" w:type="dxa"/>
            <w:vAlign w:val="bottom"/>
          </w:tcPr>
          <w:p>
            <w:pPr>
              <w:jc w:val="right"/>
              <w:ind w:right="423"/>
              <w:spacing w:after="0" w:line="131" w:lineRule="exact"/>
              <w:rPr>
                <w:sz w:val="20"/>
                <w:szCs w:val="20"/>
                <w:color w:val="auto"/>
              </w:rPr>
            </w:pPr>
            <w:r>
              <w:rPr>
                <w:rFonts w:ascii="Arial" w:cs="Arial" w:eastAsia="Arial" w:hAnsi="Arial"/>
                <w:sz w:val="14"/>
                <w:szCs w:val="14"/>
                <w:b w:val="1"/>
                <w:bCs w:val="1"/>
                <w:color w:val="auto"/>
              </w:rPr>
              <w:t>% of</w:t>
            </w:r>
          </w:p>
        </w:tc>
      </w:tr>
      <w:tr>
        <w:trPr>
          <w:trHeight w:val="185"/>
        </w:trPr>
        <w:tc>
          <w:tcPr>
            <w:tcW w:w="5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720"/>
              <w:spacing w:after="0"/>
              <w:rPr>
                <w:sz w:val="20"/>
                <w:szCs w:val="20"/>
                <w:color w:val="auto"/>
              </w:rPr>
            </w:pPr>
            <w:r>
              <w:rPr>
                <w:rFonts w:ascii="Arial" w:cs="Arial" w:eastAsia="Arial" w:hAnsi="Arial"/>
                <w:sz w:val="14"/>
                <w:szCs w:val="14"/>
                <w:b w:val="1"/>
                <w:bCs w:val="1"/>
                <w:color w:val="auto"/>
                <w:w w:val="90"/>
              </w:rPr>
              <w:t>Value</w:t>
            </w: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Total</w:t>
            </w:r>
          </w:p>
        </w:tc>
      </w:tr>
      <w:tr>
        <w:trPr>
          <w:trHeight w:val="179"/>
        </w:trPr>
        <w:tc>
          <w:tcPr>
            <w:tcW w:w="5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80" w:type="dxa"/>
            <w:vAlign w:val="bottom"/>
            <w:gridSpan w:val="5"/>
          </w:tcPr>
          <w:p>
            <w:pPr>
              <w:ind w:left="300"/>
              <w:spacing w:after="0"/>
              <w:rPr>
                <w:sz w:val="20"/>
                <w:szCs w:val="20"/>
                <w:color w:val="auto"/>
              </w:rPr>
            </w:pPr>
            <w:r>
              <w:rPr>
                <w:rFonts w:ascii="Arial" w:cs="Arial" w:eastAsia="Arial" w:hAnsi="Arial"/>
                <w:sz w:val="14"/>
                <w:szCs w:val="14"/>
                <w:b w:val="1"/>
                <w:bCs w:val="1"/>
                <w:color w:val="auto"/>
              </w:rPr>
              <w:t>(Dollars in millions)</w:t>
            </w:r>
          </w:p>
        </w:tc>
        <w:tc>
          <w:tcPr>
            <w:tcW w:w="1240" w:type="dxa"/>
            <w:vAlign w:val="bottom"/>
          </w:tcPr>
          <w:p>
            <w:pPr>
              <w:spacing w:after="0"/>
              <w:rPr>
                <w:sz w:val="15"/>
                <w:szCs w:val="15"/>
                <w:color w:val="auto"/>
              </w:rPr>
            </w:pPr>
          </w:p>
        </w:tc>
      </w:tr>
      <w:tr>
        <w:trPr>
          <w:trHeight w:val="21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12,187</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61.4 %</w:t>
            </w: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4,163</w:t>
            </w:r>
          </w:p>
        </w:tc>
        <w:tc>
          <w:tcPr>
            <w:tcW w:w="100" w:type="dxa"/>
            <w:vAlign w:val="bottom"/>
          </w:tcPr>
          <w:p>
            <w:pPr>
              <w:spacing w:after="0"/>
              <w:rPr>
                <w:sz w:val="18"/>
                <w:szCs w:val="18"/>
                <w:color w:val="auto"/>
              </w:rPr>
            </w:pP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21.0</w:t>
            </w: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3,623</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18.2</w:t>
            </w:r>
          </w:p>
        </w:tc>
      </w:tr>
      <w:tr>
        <w:trPr>
          <w:trHeight w:val="203"/>
        </w:trPr>
        <w:tc>
          <w:tcPr>
            <w:tcW w:w="5800" w:type="dxa"/>
            <w:vAlign w:val="bottom"/>
          </w:tcPr>
          <w:p>
            <w:pPr>
              <w:ind w:left="180"/>
              <w:spacing w:after="0"/>
              <w:rPr>
                <w:sz w:val="20"/>
                <w:szCs w:val="20"/>
                <w:color w:val="auto"/>
              </w:rPr>
            </w:pPr>
            <w:r>
              <w:rPr>
                <w:rFonts w:ascii="Arial" w:cs="Arial" w:eastAsia="Arial" w:hAnsi="Arial"/>
                <w:sz w:val="16"/>
                <w:szCs w:val="16"/>
                <w:color w:val="auto"/>
              </w:rPr>
              <w:t>Total mortgage loans (1)</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21,611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100.5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19,973</w:t>
            </w:r>
          </w:p>
        </w:tc>
        <w:tc>
          <w:tcPr>
            <w:tcW w:w="100" w:type="dxa"/>
            <w:vAlign w:val="bottom"/>
          </w:tcPr>
          <w:p>
            <w:pPr>
              <w:spacing w:after="0"/>
              <w:rPr>
                <w:sz w:val="17"/>
                <w:szCs w:val="17"/>
                <w:color w:val="auto"/>
              </w:rPr>
            </w:pP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100.6</w:t>
            </w: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credit losses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(0.6)</w:t>
            </w: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rPr>
              <w:t>Total mortgage loans, net</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21,508</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19,850</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Purchases of mortgage loans from third parties were $415 million and $1.3 billion for the three months and six months ended June 30, 2022, respectively, and $621 million and $799 million for the three months and six months ended June 30, 2021, respectively, and were primarily comprised of residential mortgage loans.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ind w:left="180" w:hanging="174"/>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200" w:lineRule="exact"/>
        <w:rPr>
          <w:rFonts w:ascii="Arial" w:cs="Arial" w:eastAsia="Arial" w:hAnsi="Arial"/>
          <w:sz w:val="18"/>
          <w:szCs w:val="18"/>
          <w:b w:val="1"/>
          <w:bCs w:val="1"/>
          <w:color w:val="auto"/>
        </w:rPr>
      </w:pPr>
    </w:p>
    <w:p>
      <w:pPr>
        <w:spacing w:after="0" w:line="367" w:lineRule="exact"/>
        <w:rPr>
          <w:rFonts w:ascii="Arial" w:cs="Arial" w:eastAsia="Arial" w:hAnsi="Arial"/>
          <w:sz w:val="18"/>
          <w:szCs w:val="18"/>
          <w:b w:val="1"/>
          <w:bCs w:val="1"/>
          <w:color w:val="auto"/>
        </w:rPr>
      </w:pPr>
    </w:p>
    <w:p>
      <w:pPr>
        <w:ind w:left="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Allowance for Credit Losses for Mortgage Loans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w:t>
      </w:r>
    </w:p>
    <w:p>
      <w:pPr>
        <w:spacing w:after="0" w:line="82" w:lineRule="exact"/>
        <w:rPr>
          <w:sz w:val="20"/>
          <w:szCs w:val="20"/>
          <w:color w:val="auto"/>
        </w:rPr>
      </w:pPr>
    </w:p>
    <w:p>
      <w:pPr>
        <w:jc w:val="both"/>
        <w:ind w:left="320" w:firstLine="318"/>
        <w:spacing w:after="0" w:line="248" w:lineRule="auto"/>
        <w:rPr>
          <w:sz w:val="20"/>
          <w:szCs w:val="20"/>
          <w:color w:val="auto"/>
        </w:rPr>
      </w:pPr>
      <w:r>
        <w:rPr>
          <w:rFonts w:ascii="Arial" w:cs="Arial" w:eastAsia="Arial" w:hAnsi="Arial"/>
          <w:sz w:val="18"/>
          <w:szCs w:val="18"/>
          <w:color w:val="auto"/>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For mortgage loans that are granted payment deferrals due to the COVID-19 pandemic, interest continues to be accrued during the deferral period if the loan was less than 30 days past due at December 31, 2019 and performing at the onset of the pandemic. Accrued interest on COVID-19 pandemic impacted loans was not significant at both June 30, 2022 and December 31, 2021. The accrued interest receivable on mortgage loans is included in accrued investment income and totaled $99 million and $95 million at June 30, 2022 and December 31, 2021, respectively.</w:t>
      </w:r>
    </w:p>
    <w:p>
      <w:pPr>
        <w:spacing w:after="0" w:line="93"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two-years is used with an input reversion period of one-year.</w:t>
      </w:r>
    </w:p>
    <w:p>
      <w:pPr>
        <w:spacing w:after="0" w:line="85"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expected troubled debt restructurings (“TDR”), foreclosure probable loans, and loans with dissimilar risk characteristics.</w:t>
      </w:r>
    </w:p>
    <w:p>
      <w:pPr>
        <w:spacing w:after="0" w:line="90"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7"/>
          <w:szCs w:val="17"/>
          <w:color w:val="auto"/>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 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jc w:val="right"/>
        <w:ind w:left="320" w:right="4580"/>
        <w:spacing w:after="0" w:line="513" w:lineRule="auto"/>
        <w:rPr>
          <w:sz w:val="20"/>
          <w:szCs w:val="20"/>
          <w:color w:val="auto"/>
        </w:rPr>
      </w:pPr>
      <w:r>
        <w:rPr>
          <w:rFonts w:ascii="Arial" w:cs="Arial" w:eastAsia="Arial" w:hAnsi="Arial"/>
          <w:sz w:val="15"/>
          <w:szCs w:val="15"/>
          <w:i w:val="1"/>
          <w:iCs w:val="1"/>
          <w:u w:val="single" w:color="auto"/>
          <w:color w:val="auto"/>
        </w:rPr>
        <w:t xml:space="preserve">Rollforward of the Allowance for Credit Losses for Mortgage Loans by Portfolio Segment </w:t>
      </w:r>
      <w:r>
        <w:rPr>
          <w:rFonts w:ascii="Arial" w:cs="Arial" w:eastAsia="Arial" w:hAnsi="Arial"/>
          <w:sz w:val="15"/>
          <w:szCs w:val="15"/>
          <w:color w:val="auto"/>
        </w:rPr>
        <w:t>The changes in the allowance for credit losses by portfolio segment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Agricultural</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Residential</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6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2022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4"/>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provision</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Arial" w:cs="Arial" w:eastAsia="Arial" w:hAnsi="Arial"/>
                <w:sz w:val="16"/>
                <w:szCs w:val="16"/>
                <w:color w:val="auto"/>
              </w:rPr>
              <w:t>Charge-offs, net of recoveries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3"/>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Six Months Ended June 30, 2021</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period provision</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3"/>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Credit Quality of Mortgage Loans by Portfolio Segment</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amortized cost of mortgage loans by year of origination and credit quality indicator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Total</w:t>
            </w:r>
          </w:p>
        </w:tc>
      </w:tr>
      <w:tr>
        <w:trPr>
          <w:trHeight w:val="183"/>
        </w:trPr>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1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Commercial mortgage loans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Loan-to-value ratios: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Less than 65%</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1,021</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2,634</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1,437</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974</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3,855</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10,296</w:t>
            </w:r>
          </w:p>
        </w:tc>
      </w:tr>
      <w:tr>
        <w:trPr>
          <w:trHeight w:val="21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65% to 75%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w:t>
            </w: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76% to 80%</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Greater than 80%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03"/>
        </w:trPr>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commercial mortgage loans</w:t>
            </w: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1,448</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3,265</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1,875</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1,437</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4,555</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13,046</w:t>
            </w:r>
          </w:p>
        </w:tc>
      </w:tr>
      <w:tr>
        <w:trPr>
          <w:trHeight w:val="19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Agricultural mortgage loans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Loan-to-value ratios: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than 65%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3,831</w:t>
            </w:r>
          </w:p>
        </w:tc>
      </w:tr>
      <w:tr>
        <w:trPr>
          <w:trHeight w:val="209"/>
        </w:trPr>
        <w:tc>
          <w:tcPr>
            <w:tcW w:w="3640" w:type="dxa"/>
            <w:vAlign w:val="bottom"/>
          </w:tcPr>
          <w:p>
            <w:pPr>
              <w:ind w:left="20"/>
              <w:spacing w:after="0"/>
              <w:rPr>
                <w:sz w:val="20"/>
                <w:szCs w:val="20"/>
                <w:color w:val="auto"/>
              </w:rPr>
            </w:pPr>
            <w:r>
              <w:rPr>
                <w:rFonts w:ascii="Arial" w:cs="Arial" w:eastAsia="Arial" w:hAnsi="Arial"/>
                <w:sz w:val="16"/>
                <w:szCs w:val="16"/>
                <w:color w:val="auto"/>
              </w:rPr>
              <w:t>65% to 75%</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312</w:t>
            </w: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Greater than 80%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3"/>
        </w:trPr>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agricultural mortgage loans</w:t>
            </w: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1,255</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654</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826</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4,144</w:t>
            </w:r>
          </w:p>
        </w:tc>
      </w:tr>
      <w:tr>
        <w:trPr>
          <w:trHeight w:val="19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Residential mortgage loans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9"/>
        </w:trPr>
        <w:tc>
          <w:tcPr>
            <w:tcW w:w="3640" w:type="dxa"/>
            <w:vAlign w:val="bottom"/>
          </w:tcPr>
          <w:p>
            <w:pPr>
              <w:ind w:left="20"/>
              <w:spacing w:after="0"/>
              <w:rPr>
                <w:sz w:val="20"/>
                <w:szCs w:val="20"/>
                <w:color w:val="auto"/>
              </w:rPr>
            </w:pPr>
            <w:r>
              <w:rPr>
                <w:rFonts w:ascii="Arial" w:cs="Arial" w:eastAsia="Arial" w:hAnsi="Arial"/>
                <w:sz w:val="16"/>
                <w:szCs w:val="16"/>
                <w:color w:val="auto"/>
              </w:rPr>
              <w:t>Performing</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4,363</w:t>
            </w: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Nonperforming</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03"/>
        </w:trPr>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residential mortgage loans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4,421</w:t>
            </w:r>
          </w:p>
        </w:tc>
      </w:tr>
      <w:tr>
        <w:trPr>
          <w:trHeight w:val="233"/>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2,356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21,611</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Total</w:t>
            </w:r>
          </w:p>
        </w:tc>
      </w:tr>
      <w:tr>
        <w:trPr>
          <w:trHeight w:val="183"/>
        </w:trPr>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1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Commercial mortgage loans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Loan-to-value ratios: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Less than 65%</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2,771</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1,539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986</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554</w:t>
            </w:r>
          </w:p>
        </w:tc>
        <w:tc>
          <w:tcPr>
            <w:tcW w:w="8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3,303</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9,590</w:t>
            </w:r>
          </w:p>
        </w:tc>
      </w:tr>
      <w:tr>
        <w:trPr>
          <w:trHeight w:val="21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65% to 75%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2,123</w:t>
            </w: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76% to 80%</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174</w:t>
            </w:r>
          </w:p>
        </w:tc>
      </w:tr>
      <w:tr>
        <w:trPr>
          <w:trHeight w:val="21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Greater than 80%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300</w:t>
            </w:r>
          </w:p>
        </w:tc>
      </w:tr>
      <w:tr>
        <w:trPr>
          <w:trHeight w:val="203"/>
        </w:trPr>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commercial mortgage loans</w:t>
            </w: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3,404</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1,977</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1,451</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741</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4,085</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12,187</w:t>
            </w:r>
          </w:p>
        </w:tc>
      </w:tr>
      <w:tr>
        <w:trPr>
          <w:trHeight w:val="19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Agricultural mortgage loans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Loan-to-value ratios: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than 65%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3,800</w:t>
            </w:r>
          </w:p>
        </w:tc>
      </w:tr>
      <w:tr>
        <w:trPr>
          <w:trHeight w:val="209"/>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65% to 75%</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363</w:t>
            </w:r>
          </w:p>
        </w:tc>
      </w:tr>
      <w:tr>
        <w:trPr>
          <w:trHeight w:val="208"/>
        </w:trPr>
        <w:tc>
          <w:tcPr>
            <w:tcW w:w="3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agricultural mortgage loans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1,264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4,163</w:t>
            </w:r>
          </w:p>
        </w:tc>
      </w:tr>
      <w:tr>
        <w:trPr>
          <w:trHeight w:val="190"/>
        </w:trPr>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Residential mortgage loans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Performing</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3,564</w:t>
            </w:r>
          </w:p>
        </w:tc>
      </w:tr>
      <w:tr>
        <w:trPr>
          <w:trHeight w:val="209"/>
        </w:trPr>
        <w:tc>
          <w:tcPr>
            <w:tcW w:w="3640" w:type="dxa"/>
            <w:vAlign w:val="bottom"/>
          </w:tcPr>
          <w:p>
            <w:pPr>
              <w:ind w:left="20"/>
              <w:spacing w:after="0"/>
              <w:rPr>
                <w:sz w:val="20"/>
                <w:szCs w:val="20"/>
                <w:color w:val="auto"/>
              </w:rPr>
            </w:pPr>
            <w:r>
              <w:rPr>
                <w:rFonts w:ascii="Arial" w:cs="Arial" w:eastAsia="Arial" w:hAnsi="Arial"/>
                <w:sz w:val="16"/>
                <w:szCs w:val="16"/>
                <w:color w:val="auto"/>
              </w:rPr>
              <w:t>Nonperforming</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59</w:t>
            </w:r>
          </w:p>
        </w:tc>
      </w:tr>
      <w:tr>
        <w:trPr>
          <w:trHeight w:val="205"/>
        </w:trPr>
        <w:tc>
          <w:tcPr>
            <w:tcW w:w="3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residential mortgage loans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1,125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133</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3,623</w:t>
            </w:r>
          </w:p>
        </w:tc>
      </w:tr>
      <w:tr>
        <w:trPr>
          <w:trHeight w:val="208"/>
        </w:trPr>
        <w:tc>
          <w:tcPr>
            <w:tcW w:w="3640" w:type="dxa"/>
            <w:vAlign w:val="bottom"/>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5,793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2,821</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1,199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19,973</w:t>
            </w:r>
          </w:p>
        </w:tc>
      </w:tr>
      <w:tr>
        <w:trPr>
          <w:trHeight w:val="20"/>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amortized cost of commercial mortgage loans by debt-service coverage ratio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4"/>
              </w:rPr>
              <w:t>June 30, 2022</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743"/>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900" w:type="dxa"/>
            <w:vAlign w:val="bottom"/>
          </w:tcPr>
          <w:p>
            <w:pPr>
              <w:ind w:left="60"/>
              <w:spacing w:after="0" w:line="131"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380" w:type="dxa"/>
            <w:vAlign w:val="bottom"/>
          </w:tcPr>
          <w:p>
            <w:pPr>
              <w:jc w:val="right"/>
              <w:ind w:right="463"/>
              <w:spacing w:after="0" w:line="131"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5"/>
        </w:trPr>
        <w:tc>
          <w:tcPr>
            <w:tcW w:w="5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vMerge w:val="continue"/>
          </w:tcPr>
          <w:p>
            <w:pPr>
              <w:spacing w:after="0"/>
              <w:rPr>
                <w:sz w:val="16"/>
                <w:szCs w:val="16"/>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38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0" w:type="dxa"/>
            <w:vAlign w:val="bottom"/>
            <w:gridSpan w:val="5"/>
          </w:tcPr>
          <w:p>
            <w:pPr>
              <w:ind w:left="360"/>
              <w:spacing w:after="0"/>
              <w:rPr>
                <w:sz w:val="20"/>
                <w:szCs w:val="20"/>
                <w:color w:val="auto"/>
              </w:rPr>
            </w:pPr>
            <w:r>
              <w:rPr>
                <w:rFonts w:ascii="Arial" w:cs="Arial" w:eastAsia="Arial" w:hAnsi="Arial"/>
                <w:sz w:val="14"/>
                <w:szCs w:val="14"/>
                <w:b w:val="1"/>
                <w:bCs w:val="1"/>
                <w:color w:val="auto"/>
              </w:rPr>
              <w:t>(Dollars in millions)</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Debt-service coverage ratios: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ind w:left="20"/>
              <w:spacing w:after="0"/>
              <w:rPr>
                <w:sz w:val="20"/>
                <w:szCs w:val="20"/>
                <w:color w:val="auto"/>
              </w:rPr>
            </w:pPr>
            <w:r>
              <w:rPr>
                <w:rFonts w:ascii="Arial" w:cs="Arial" w:eastAsia="Arial" w:hAnsi="Arial"/>
                <w:sz w:val="16"/>
                <w:szCs w:val="16"/>
                <w:color w:val="auto"/>
              </w:rPr>
              <w:t>Greater than 1.20x</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11,502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88.1 %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10,289</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84.4 %</w:t>
            </w:r>
          </w:p>
        </w:tc>
        <w:tc>
          <w:tcPr>
            <w:tcW w:w="0" w:type="dxa"/>
            <w:vAlign w:val="bottom"/>
          </w:tcPr>
          <w:p>
            <w:pPr>
              <w:spacing w:after="0"/>
              <w:rPr>
                <w:sz w:val="1"/>
                <w:szCs w:val="1"/>
                <w:color w:val="auto"/>
              </w:rPr>
            </w:pPr>
          </w:p>
        </w:tc>
      </w:tr>
      <w:tr>
        <w:trPr>
          <w:trHeight w:val="215"/>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1.00x - 1.20x</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than 1.00x</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3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13,046</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12,187</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Past Due Mortgage Loans by Portfolio Segment</w:t>
      </w:r>
    </w:p>
    <w:p>
      <w:pPr>
        <w:spacing w:after="0" w:line="111" w:lineRule="exact"/>
        <w:rPr>
          <w:sz w:val="20"/>
          <w:szCs w:val="20"/>
          <w:color w:val="auto"/>
        </w:rPr>
      </w:pPr>
    </w:p>
    <w:p>
      <w:pPr>
        <w:jc w:val="both"/>
        <w:ind w:left="160" w:firstLine="318"/>
        <w:spacing w:after="0" w:line="267" w:lineRule="auto"/>
        <w:rPr>
          <w:sz w:val="20"/>
          <w:szCs w:val="20"/>
          <w:color w:val="auto"/>
        </w:rPr>
      </w:pPr>
      <w:r>
        <w:rPr>
          <w:rFonts w:ascii="Arial" w:cs="Arial" w:eastAsia="Arial" w:hAnsi="Arial"/>
          <w:sz w:val="17"/>
          <w:szCs w:val="17"/>
          <w:color w:val="auto"/>
        </w:rPr>
        <w:t>The Company has a high-quality, well-performing mortgage loan portfolio, with over 99% of all mortgage loans classified as performing at both June 30, 2022 and December 31, 2021. Delinquency is defined consistent with industry practice, when mortgage loans are past due as follows: commercial and residential mortgage loans — 60 days; and agricultural mortgage loans — 90 days. To the extent a payment deferral is agreed to with a borrower, in response to the COVID-19 pandemic, the past due status of the impacted loans during the forbearance period is locked-in as of March 1, 2020, which reflects the date on which the COVID-19 pandemic began to affect the borrower’s ability to make payments. At June 30, 2022 and December 31, 2021, $26 million and $30 million, respectively, of the COVID-19 pandemic modified loans were classified as delinquent.</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aging of the amortized cost of past due mortgage loans by portfolio segment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83"/>
        </w:trPr>
        <w:tc>
          <w:tcPr>
            <w:tcW w:w="2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Agricultural</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Residential</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Agricultural</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Total</w:t>
            </w:r>
          </w:p>
        </w:tc>
      </w:tr>
      <w:tr>
        <w:trPr>
          <w:trHeight w:val="179"/>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5"/>
          </w:tcPr>
          <w:p>
            <w:pPr>
              <w:ind w:left="3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3"/>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13,046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21,476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19,900</w:t>
            </w:r>
          </w:p>
        </w:tc>
      </w:tr>
      <w:tr>
        <w:trPr>
          <w:trHeight w:val="210"/>
        </w:trPr>
        <w:tc>
          <w:tcPr>
            <w:tcW w:w="2240" w:type="dxa"/>
            <w:vAlign w:val="bottom"/>
          </w:tcPr>
          <w:p>
            <w:pPr>
              <w:ind w:left="20"/>
              <w:spacing w:after="0"/>
              <w:rPr>
                <w:sz w:val="20"/>
                <w:szCs w:val="20"/>
                <w:color w:val="auto"/>
              </w:rPr>
            </w:pPr>
            <w:r>
              <w:rPr>
                <w:rFonts w:ascii="Arial" w:cs="Arial" w:eastAsia="Arial" w:hAnsi="Arial"/>
                <w:sz w:val="16"/>
                <w:szCs w:val="16"/>
                <w:color w:val="auto"/>
              </w:rPr>
              <w:t>30-59 days past due</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4"/>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60-89 days past due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2240" w:type="dxa"/>
            <w:vAlign w:val="bottom"/>
          </w:tcPr>
          <w:p>
            <w:pPr>
              <w:ind w:left="20"/>
              <w:spacing w:after="0"/>
              <w:rPr>
                <w:sz w:val="20"/>
                <w:szCs w:val="20"/>
                <w:color w:val="auto"/>
              </w:rPr>
            </w:pPr>
            <w:r>
              <w:rPr>
                <w:rFonts w:ascii="Arial" w:cs="Arial" w:eastAsia="Arial" w:hAnsi="Arial"/>
                <w:sz w:val="16"/>
                <w:szCs w:val="16"/>
                <w:color w:val="auto"/>
              </w:rPr>
              <w:t>90-179 days past due</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180+ days past due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380"/>
        </w:trPr>
        <w:tc>
          <w:tcPr>
            <w:tcW w:w="2240" w:type="dxa"/>
            <w:vAlign w:val="bottom"/>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13,046</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4,144</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4,421</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21,611</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12,187</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4,163</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3,623</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19,973</w:t>
            </w:r>
          </w:p>
        </w:tc>
      </w:tr>
      <w:tr>
        <w:trPr>
          <w:trHeight w:val="20"/>
        </w:trPr>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Mortgage Loans in Nonaccrual Status by Portfolio Segment</w:t>
      </w:r>
    </w:p>
    <w:p>
      <w:pPr>
        <w:spacing w:after="0" w:line="111" w:lineRule="exact"/>
        <w:rPr>
          <w:sz w:val="20"/>
          <w:szCs w:val="20"/>
          <w:color w:val="auto"/>
        </w:rPr>
      </w:pPr>
    </w:p>
    <w:p>
      <w:pPr>
        <w:jc w:val="both"/>
        <w:ind w:left="160" w:firstLine="318"/>
        <w:spacing w:after="0" w:line="309" w:lineRule="auto"/>
        <w:rPr>
          <w:sz w:val="20"/>
          <w:szCs w:val="20"/>
          <w:color w:val="auto"/>
        </w:rPr>
      </w:pPr>
      <w:r>
        <w:rPr>
          <w:rFonts w:ascii="Arial" w:cs="Arial" w:eastAsia="Arial" w:hAnsi="Arial"/>
          <w:sz w:val="15"/>
          <w:szCs w:val="15"/>
          <w:color w:val="auto"/>
        </w:rPr>
        <w:t>Mortgage loans are placed in a nonaccrual status if there are concerns regarding collectability of future payments or the loan is past due, unless the past due loan is well collateralized. To the extent a payment deferral is agreed to with a borrower, in response to the COVID-19 pandemic, the impacted loans generally will not be reported as in a nonaccrual status during the period of deferral. A COVID-19 pandemic modified loan is only reported as a nonaccrual asset in the event a borrower declares bankruptcy, the borrower experiences significant credit deterioration such that the Company does not expect to collect all principal and interest due, or the loan was 90 days past due at the onset of the pandemic. At June 30, 2022 and December 31, 2021, $26 million and $30 million, respectively, of the COVID-19 pandemic modified loans were in nonaccrual status.</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amortized cost of mortgage loans in a nonaccrual status by portfolio segment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Commercial</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Agricultural</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w w:val="90"/>
              </w:rPr>
              <w:t>Residential</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Total</w:t>
            </w:r>
          </w:p>
        </w:tc>
      </w:tr>
      <w:tr>
        <w:trPr>
          <w:trHeight w:val="183"/>
        </w:trPr>
        <w:tc>
          <w:tcPr>
            <w:tcW w:w="5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2"/>
          </w:tcPr>
          <w:p>
            <w:pPr>
              <w:ind w:left="920"/>
              <w:spacing w:after="0"/>
              <w:rPr>
                <w:sz w:val="20"/>
                <w:szCs w:val="20"/>
                <w:color w:val="auto"/>
              </w:rPr>
            </w:pPr>
            <w:r>
              <w:rPr>
                <w:rFonts w:ascii="Arial" w:cs="Arial" w:eastAsia="Arial" w:hAnsi="Arial"/>
                <w:sz w:val="14"/>
                <w:szCs w:val="14"/>
                <w:b w:val="1"/>
                <w:bCs w:val="1"/>
                <w:color w:val="auto"/>
                <w:w w:val="96"/>
              </w:rPr>
              <w:t>(In millions)</w:t>
            </w: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30, 2022</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23</w:t>
            </w:r>
          </w:p>
        </w:tc>
        <w:tc>
          <w:tcPr>
            <w:tcW w:w="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58</w:t>
            </w:r>
          </w:p>
        </w:tc>
        <w:tc>
          <w:tcPr>
            <w:tcW w:w="4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07"/>
        </w:trPr>
        <w:tc>
          <w:tcPr>
            <w:tcW w:w="5100" w:type="dxa"/>
            <w:vAlign w:val="bottom"/>
          </w:tcPr>
          <w:p>
            <w:pPr>
              <w:ind w:left="20"/>
              <w:spacing w:after="0"/>
              <w:rPr>
                <w:sz w:val="20"/>
                <w:szCs w:val="20"/>
                <w:color w:val="auto"/>
              </w:rPr>
            </w:pPr>
            <w:r>
              <w:rPr>
                <w:rFonts w:ascii="Arial" w:cs="Arial" w:eastAsia="Arial" w:hAnsi="Arial"/>
                <w:sz w:val="16"/>
                <w:szCs w:val="16"/>
                <w:color w:val="auto"/>
              </w:rPr>
              <w:t>December 31, 2021</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60" w:type="dxa"/>
            <w:vAlign w:val="bottom"/>
          </w:tcPr>
          <w:p>
            <w:pPr>
              <w:ind w:left="100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59</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59</w:t>
            </w:r>
          </w:p>
        </w:tc>
      </w:tr>
    </w:tbl>
    <w:p>
      <w:pPr>
        <w:spacing w:after="0" w:line="178"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Company had $23 million and $0 of loans in nonaccrual status for which there was no related allowance for credit losses at June 30, 2022 and December 31, 2021, respectively. The $23 million of mortgage loans for which there was no related allowance for credit losses pertains to collateral dependent loans where the collateral value exceeds amortized cost.</w:t>
      </w:r>
    </w:p>
    <w:p>
      <w:pPr>
        <w:spacing w:after="0" w:line="82" w:lineRule="exact"/>
        <w:rPr>
          <w:sz w:val="20"/>
          <w:szCs w:val="20"/>
          <w:color w:val="auto"/>
        </w:rPr>
      </w:pPr>
    </w:p>
    <w:p>
      <w:pPr>
        <w:jc w:val="both"/>
        <w:ind w:left="160" w:right="20" w:firstLine="318"/>
        <w:spacing w:after="0" w:line="264" w:lineRule="auto"/>
        <w:rPr>
          <w:sz w:val="20"/>
          <w:szCs w:val="20"/>
          <w:color w:val="auto"/>
        </w:rPr>
      </w:pPr>
      <w:r>
        <w:rPr>
          <w:rFonts w:ascii="Arial" w:cs="Arial" w:eastAsia="Arial" w:hAnsi="Arial"/>
          <w:sz w:val="18"/>
          <w:szCs w:val="18"/>
          <w:color w:val="auto"/>
        </w:rPr>
        <w:t>Current period investment income on mortgage loans in nonaccrual status was less than $1 million for both the six months ended June 30, 2022 and 2021.</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Modified Mortgage Loans by Portfolio Segment</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Under certain circumstances, modifications are granted to nonperforming mortgage loans. Each modification is evaluated to determine if a TDR has occurred. A modification is a TDR when the borrower is in financial difficulty and the creditor makes concessions. Generally, the types of concessions may include reducing the amount of debt owed, reducing the contractual interest rate, extending the maturity date at an interest rate lower than current market interest rates and/or reducing accrued interest. The Company did not have a significant amount of mortgage loans modified in a TDR during both the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Short-term modifications made on a good faith basis to borrowers who were not more than 30 days past due at December 31, 2019 and in response to the COVID-19 pandemic are not considered TDRs.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Over 90% of other invested assets is comprised of freestanding derivatives with positive estimated fair values. See Note 5 for information about freestanding derivatives with positive estimated fair values. Other invested assets also includes Federal Home Loan Bank (“FHLB”) stock, tax credit and renewable energy partnerships and leveraged leases.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Investment Gains (Losses)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Unrealized investment gains (losses) on fixed maturity securities and the effect on DAC, VOBA, deferred sales inducements (“DSI”) and future policy benefits, that would result from the realization of the unrealized gains (losses), are included in net unrealized investment gains (losses) in accumulated other comprehensive income (loss) (“AOCI”).</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net unrealized investment gains (losses), included in AOCI,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3"/>
              </w:rPr>
              <w:t>December 31, 2021</w:t>
            </w:r>
          </w:p>
        </w:tc>
      </w:tr>
      <w:tr>
        <w:trPr>
          <w:trHeight w:val="183"/>
        </w:trPr>
        <w:tc>
          <w:tcPr>
            <w:tcW w:w="7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80" w:type="dxa"/>
            <w:vAlign w:val="bottom"/>
            <w:gridSpan w:val="4"/>
          </w:tcPr>
          <w:p>
            <w:pPr>
              <w:jc w:val="right"/>
              <w:ind w:right="1221"/>
              <w:spacing w:after="0"/>
              <w:rPr>
                <w:sz w:val="20"/>
                <w:szCs w:val="20"/>
                <w:color w:val="auto"/>
              </w:rPr>
            </w:pPr>
            <w:r>
              <w:rPr>
                <w:rFonts w:ascii="Arial" w:cs="Arial" w:eastAsia="Arial" w:hAnsi="Arial"/>
                <w:sz w:val="14"/>
                <w:szCs w:val="14"/>
                <w:b w:val="1"/>
                <w:bCs w:val="1"/>
                <w:color w:val="auto"/>
              </w:rPr>
              <w:t>(In millions)</w:t>
            </w:r>
          </w:p>
        </w:tc>
      </w:tr>
      <w:tr>
        <w:trPr>
          <w:trHeight w:val="213"/>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8,347</w:t>
            </w:r>
          </w:p>
        </w:tc>
      </w:tr>
      <w:tr>
        <w:trPr>
          <w:trHeight w:val="210"/>
        </w:trPr>
        <w:tc>
          <w:tcPr>
            <w:tcW w:w="792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14"/>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3"/>
        </w:trPr>
        <w:tc>
          <w:tcPr>
            <w:tcW w:w="79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Subtotal</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8,647</w:t>
            </w:r>
          </w:p>
        </w:tc>
      </w:tr>
      <w:tr>
        <w:trPr>
          <w:trHeight w:val="194"/>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allocated from:</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0"/>
        </w:trPr>
        <w:tc>
          <w:tcPr>
            <w:tcW w:w="792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(2,903)</w:t>
            </w:r>
          </w:p>
        </w:tc>
      </w:tr>
      <w:tr>
        <w:trPr>
          <w:trHeight w:val="215"/>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DAC, VOBA and DSI</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r>
      <w:tr>
        <w:trPr>
          <w:trHeight w:val="203"/>
        </w:trPr>
        <w:tc>
          <w:tcPr>
            <w:tcW w:w="7920" w:type="dxa"/>
            <w:vAlign w:val="bottom"/>
          </w:tcPr>
          <w:p>
            <w:pPr>
              <w:ind w:left="180"/>
              <w:spacing w:after="0"/>
              <w:rPr>
                <w:sz w:val="20"/>
                <w:szCs w:val="20"/>
                <w:color w:val="auto"/>
              </w:rPr>
            </w:pPr>
            <w:r>
              <w:rPr>
                <w:rFonts w:ascii="Arial" w:cs="Arial" w:eastAsia="Arial" w:hAnsi="Arial"/>
                <w:sz w:val="16"/>
                <w:szCs w:val="16"/>
                <w:color w:val="auto"/>
              </w:rPr>
              <w:t>Subtotal</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(3,306)</w:t>
            </w:r>
          </w:p>
        </w:tc>
      </w:tr>
      <w:tr>
        <w:trPr>
          <w:trHeight w:val="212"/>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benefit (expense)</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r>
      <w:tr>
        <w:trPr>
          <w:trHeight w:val="208"/>
        </w:trPr>
        <w:tc>
          <w:tcPr>
            <w:tcW w:w="7920" w:type="dxa"/>
            <w:vAlign w:val="bottom"/>
          </w:tcPr>
          <w:p>
            <w:pPr>
              <w:ind w:left="180"/>
              <w:spacing w:after="0"/>
              <w:rPr>
                <w:sz w:val="20"/>
                <w:szCs w:val="20"/>
                <w:color w:val="auto"/>
              </w:rPr>
            </w:pPr>
            <w:r>
              <w:rPr>
                <w:rFonts w:ascii="Arial" w:cs="Arial" w:eastAsia="Arial" w:hAnsi="Arial"/>
                <w:sz w:val="16"/>
                <w:szCs w:val="16"/>
                <w:color w:val="auto"/>
              </w:rPr>
              <w:t>Net unrealized investment gains (losses)</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4,220</w:t>
            </w:r>
          </w:p>
        </w:tc>
      </w:tr>
      <w:tr>
        <w:trPr>
          <w:trHeight w:val="20"/>
        </w:trPr>
        <w:tc>
          <w:tcPr>
            <w:tcW w:w="7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changes in net unrealized investment gains (losses)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ind w:right="43"/>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85"/>
        </w:trPr>
        <w:tc>
          <w:tcPr>
            <w:tcW w:w="9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2022</w:t>
            </w:r>
          </w:p>
        </w:tc>
      </w:tr>
      <w:tr>
        <w:trPr>
          <w:trHeight w:val="179"/>
        </w:trPr>
        <w:tc>
          <w:tcPr>
            <w:tcW w:w="9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ind w:right="23"/>
              <w:spacing w:after="0"/>
              <w:rPr>
                <w:sz w:val="20"/>
                <w:szCs w:val="20"/>
                <w:color w:val="auto"/>
              </w:rPr>
            </w:pPr>
            <w:r>
              <w:rPr>
                <w:rFonts w:ascii="Arial" w:cs="Arial" w:eastAsia="Arial" w:hAnsi="Arial"/>
                <w:sz w:val="14"/>
                <w:szCs w:val="14"/>
                <w:b w:val="1"/>
                <w:bCs w:val="1"/>
                <w:color w:val="auto"/>
                <w:w w:val="94"/>
              </w:rPr>
              <w:t>(In millions)</w:t>
            </w:r>
          </w:p>
        </w:tc>
      </w:tr>
      <w:tr>
        <w:trPr>
          <w:trHeight w:val="213"/>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4,220</w:t>
            </w:r>
          </w:p>
        </w:tc>
      </w:tr>
      <w:tr>
        <w:trPr>
          <w:trHeight w:val="210"/>
        </w:trPr>
        <w:tc>
          <w:tcPr>
            <w:tcW w:w="9320" w:type="dxa"/>
            <w:vAlign w:val="bottom"/>
          </w:tcPr>
          <w:p>
            <w:pPr>
              <w:ind w:left="20"/>
              <w:spacing w:after="0"/>
              <w:rPr>
                <w:sz w:val="20"/>
                <w:szCs w:val="20"/>
                <w:color w:val="auto"/>
              </w:rPr>
            </w:pPr>
            <w:r>
              <w:rPr>
                <w:rFonts w:ascii="Arial" w:cs="Arial" w:eastAsia="Arial" w:hAnsi="Arial"/>
                <w:sz w:val="16"/>
                <w:szCs w:val="16"/>
                <w:color w:val="auto"/>
              </w:rPr>
              <w:t>Unrealized investment gains (losses) during the period</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(13,060)</w:t>
            </w:r>
          </w:p>
        </w:tc>
      </w:tr>
      <w:tr>
        <w:trPr>
          <w:trHeight w:val="214"/>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investment gains (losses) relating to:</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0"/>
        </w:trPr>
        <w:tc>
          <w:tcPr>
            <w:tcW w:w="932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3,274</w:t>
            </w:r>
          </w:p>
        </w:tc>
      </w:tr>
      <w:tr>
        <w:trPr>
          <w:trHeight w:val="215"/>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DAC, VOBA and DSI</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r>
      <w:tr>
        <w:trPr>
          <w:trHeight w:val="210"/>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income tax benefit (expense)</w:t>
            </w: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w:t>
            </w:r>
          </w:p>
        </w:tc>
      </w:tr>
      <w:tr>
        <w:trPr>
          <w:trHeight w:val="233"/>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(3,017)</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9320" w:type="dxa"/>
            <w:vAlign w:val="bottom"/>
          </w:tcPr>
          <w:p>
            <w:pPr>
              <w:ind w:left="20"/>
              <w:spacing w:after="0"/>
              <w:rPr>
                <w:sz w:val="20"/>
                <w:szCs w:val="20"/>
                <w:color w:val="auto"/>
              </w:rPr>
            </w:pPr>
            <w:r>
              <w:rPr>
                <w:rFonts w:ascii="Arial" w:cs="Arial" w:eastAsia="Arial" w:hAnsi="Arial"/>
                <w:sz w:val="16"/>
                <w:szCs w:val="16"/>
                <w:color w:val="auto"/>
              </w:rPr>
              <w:t>Change in net unrealized investment gains (losses)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(7,237)</w:t>
            </w:r>
          </w:p>
        </w:tc>
      </w:tr>
      <w:tr>
        <w:trPr>
          <w:trHeight w:val="20"/>
        </w:trPr>
        <w:tc>
          <w:tcPr>
            <w:tcW w:w="9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were no investments in any counterparty that were greater than 10% of the Company’s equity, other than the U.S. government and its agencies, at both June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Elements of the securities lending program are presented below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0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5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w w:val="91"/>
              </w:rPr>
              <w:t>December 31, 2021</w:t>
            </w:r>
          </w:p>
        </w:tc>
      </w:tr>
      <w:tr>
        <w:trPr>
          <w:trHeight w:val="183"/>
        </w:trPr>
        <w:tc>
          <w:tcPr>
            <w:tcW w:w="7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15"/>
                <w:szCs w:val="15"/>
                <w:color w:val="auto"/>
              </w:rPr>
            </w:pPr>
          </w:p>
        </w:tc>
      </w:tr>
      <w:tr>
        <w:trPr>
          <w:trHeight w:val="21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on loan: (1)</w:t>
            </w:r>
          </w:p>
        </w:tc>
        <w:tc>
          <w:tcPr>
            <w:tcW w:w="1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0"/>
        </w:trPr>
        <w:tc>
          <w:tcPr>
            <w:tcW w:w="7300" w:type="dxa"/>
            <w:vAlign w:val="bottom"/>
          </w:tcPr>
          <w:p>
            <w:pPr>
              <w:ind w:left="180"/>
              <w:spacing w:after="0"/>
              <w:rPr>
                <w:sz w:val="20"/>
                <w:szCs w:val="20"/>
                <w:color w:val="auto"/>
              </w:rPr>
            </w:pPr>
            <w:r>
              <w:rPr>
                <w:rFonts w:ascii="Arial" w:cs="Arial" w:eastAsia="Arial" w:hAnsi="Arial"/>
                <w:sz w:val="16"/>
                <w:szCs w:val="16"/>
                <w:color w:val="auto"/>
              </w:rPr>
              <w:t>Amortized cost</w:t>
            </w:r>
          </w:p>
        </w:tc>
        <w:tc>
          <w:tcPr>
            <w:tcW w:w="1420" w:type="dxa"/>
            <w:vAlign w:val="bottom"/>
          </w:tcPr>
          <w:p>
            <w:pPr>
              <w:jc w:val="right"/>
              <w:ind w:right="124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2"/>
              <w:spacing w:after="0"/>
              <w:rPr>
                <w:sz w:val="20"/>
                <w:szCs w:val="20"/>
                <w:color w:val="auto"/>
              </w:rPr>
            </w:pPr>
            <w:r>
              <w:rPr>
                <w:rFonts w:ascii="Arial" w:cs="Arial" w:eastAsia="Arial" w:hAnsi="Arial"/>
                <w:sz w:val="16"/>
                <w:szCs w:val="16"/>
                <w:color w:val="auto"/>
                <w:w w:val="99"/>
              </w:rPr>
              <w:t>5,243</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3,573</w:t>
            </w:r>
          </w:p>
        </w:tc>
      </w:tr>
      <w:tr>
        <w:trPr>
          <w:trHeight w:val="214"/>
        </w:trPr>
        <w:tc>
          <w:tcPr>
            <w:tcW w:w="7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Estimated fair value</w:t>
            </w:r>
          </w:p>
        </w:tc>
        <w:tc>
          <w:tcPr>
            <w:tcW w:w="1420" w:type="dxa"/>
            <w:vAlign w:val="bottom"/>
            <w:shd w:val="clear" w:color="auto" w:fill="CCEEFF"/>
          </w:tcPr>
          <w:p>
            <w:pPr>
              <w:jc w:val="right"/>
              <w:ind w:right="12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99"/>
              </w:rPr>
              <w:t>5,320</w:t>
            </w:r>
          </w:p>
        </w:tc>
        <w:tc>
          <w:tcPr>
            <w:tcW w:w="4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w:t>
            </w:r>
          </w:p>
        </w:tc>
      </w:tr>
      <w:tr>
        <w:trPr>
          <w:trHeight w:val="209"/>
        </w:trPr>
        <w:tc>
          <w:tcPr>
            <w:tcW w:w="7300" w:type="dxa"/>
            <w:vAlign w:val="bottom"/>
          </w:tcPr>
          <w:p>
            <w:pPr>
              <w:ind w:left="20"/>
              <w:spacing w:after="0"/>
              <w:rPr>
                <w:sz w:val="20"/>
                <w:szCs w:val="20"/>
                <w:color w:val="auto"/>
              </w:rPr>
            </w:pPr>
            <w:r>
              <w:rPr>
                <w:rFonts w:ascii="Arial" w:cs="Arial" w:eastAsia="Arial" w:hAnsi="Arial"/>
                <w:sz w:val="16"/>
                <w:szCs w:val="16"/>
                <w:color w:val="auto"/>
              </w:rPr>
              <w:t>Cash collateral received from counterparties (2)</w:t>
            </w:r>
          </w:p>
        </w:tc>
        <w:tc>
          <w:tcPr>
            <w:tcW w:w="1420" w:type="dxa"/>
            <w:vAlign w:val="bottom"/>
          </w:tcPr>
          <w:p>
            <w:pPr>
              <w:jc w:val="right"/>
              <w:ind w:right="124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2"/>
              <w:spacing w:after="0"/>
              <w:rPr>
                <w:sz w:val="20"/>
                <w:szCs w:val="20"/>
                <w:color w:val="auto"/>
              </w:rPr>
            </w:pPr>
            <w:r>
              <w:rPr>
                <w:rFonts w:ascii="Arial" w:cs="Arial" w:eastAsia="Arial" w:hAnsi="Arial"/>
                <w:sz w:val="16"/>
                <w:szCs w:val="16"/>
                <w:color w:val="auto"/>
                <w:w w:val="99"/>
              </w:rPr>
              <w:t>5,391</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4,611</w:t>
            </w:r>
          </w:p>
        </w:tc>
      </w:tr>
      <w:tr>
        <w:trPr>
          <w:trHeight w:val="215"/>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collateral received from counterparties (3)</w:t>
            </w:r>
          </w:p>
        </w:tc>
        <w:tc>
          <w:tcPr>
            <w:tcW w:w="1420" w:type="dxa"/>
            <w:vAlign w:val="bottom"/>
            <w:shd w:val="clear" w:color="auto" w:fill="CCEEFF"/>
          </w:tcPr>
          <w:p>
            <w:pPr>
              <w:jc w:val="right"/>
              <w:ind w:right="12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7300" w:type="dxa"/>
            <w:vAlign w:val="bottom"/>
          </w:tcPr>
          <w:p>
            <w:pPr>
              <w:ind w:left="20"/>
              <w:spacing w:after="0"/>
              <w:rPr>
                <w:sz w:val="20"/>
                <w:szCs w:val="20"/>
                <w:color w:val="auto"/>
              </w:rPr>
            </w:pPr>
            <w:r>
              <w:rPr>
                <w:rFonts w:ascii="Arial" w:cs="Arial" w:eastAsia="Arial" w:hAnsi="Arial"/>
                <w:sz w:val="16"/>
                <w:szCs w:val="16"/>
                <w:color w:val="auto"/>
              </w:rPr>
              <w:t>Reinvestment portfolio — estimated fair value</w:t>
            </w:r>
          </w:p>
        </w:tc>
        <w:tc>
          <w:tcPr>
            <w:tcW w:w="1420" w:type="dxa"/>
            <w:vAlign w:val="bottom"/>
          </w:tcPr>
          <w:p>
            <w:pPr>
              <w:jc w:val="right"/>
              <w:ind w:right="124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2"/>
              <w:spacing w:after="0"/>
              <w:rPr>
                <w:sz w:val="20"/>
                <w:szCs w:val="20"/>
                <w:color w:val="auto"/>
              </w:rPr>
            </w:pPr>
            <w:r>
              <w:rPr>
                <w:rFonts w:ascii="Arial" w:cs="Arial" w:eastAsia="Arial" w:hAnsi="Arial"/>
                <w:sz w:val="16"/>
                <w:szCs w:val="16"/>
                <w:color w:val="auto"/>
                <w:w w:val="99"/>
              </w:rPr>
              <w:t>5,304</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4,730</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within fixed maturity securities.</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within payables for collateral under securities loaned and other transactions.</w:t>
      </w:r>
    </w:p>
    <w:p>
      <w:pPr>
        <w:spacing w:after="0" w:line="111"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Securities collateral received from counterparties may not be sold or re-pledged, unless the counterparty is in default, and is not reported on the interim condensed consolidated financial statements.</w:t>
      </w:r>
    </w:p>
    <w:p>
      <w:pPr>
        <w:spacing w:after="0" w:line="74"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The cash collateral liability by loaned security type and remaining tenor of the agreements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6"/>
              </w:rPr>
              <w:t>June 30, 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Open (1)</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4"/>
              </w:rPr>
              <w:t>1 Month or</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 to 6 Months</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Open (1)</w:t>
            </w:r>
          </w:p>
        </w:tc>
        <w:tc>
          <w:tcPr>
            <w:tcW w:w="100" w:type="dxa"/>
            <w:vAlign w:val="bottom"/>
          </w:tcPr>
          <w:p>
            <w:pPr>
              <w:spacing w:after="0"/>
              <w:rPr>
                <w:sz w:val="11"/>
                <w:szCs w:val="11"/>
                <w:color w:val="auto"/>
              </w:rPr>
            </w:pPr>
          </w:p>
        </w:tc>
        <w:tc>
          <w:tcPr>
            <w:tcW w:w="90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1 Month or</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 to 6 Months</w:t>
            </w:r>
          </w:p>
        </w:tc>
        <w:tc>
          <w:tcPr>
            <w:tcW w:w="180" w:type="dxa"/>
            <w:vAlign w:val="bottom"/>
          </w:tcPr>
          <w:p>
            <w:pPr>
              <w:spacing w:after="0"/>
              <w:rPr>
                <w:sz w:val="11"/>
                <w:szCs w:val="11"/>
                <w:color w:val="auto"/>
              </w:rPr>
            </w:pPr>
          </w:p>
        </w:tc>
        <w:tc>
          <w:tcPr>
            <w:tcW w:w="6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1"/>
              </w:rPr>
              <w:t>Less</w:t>
            </w:r>
          </w:p>
        </w:tc>
        <w:tc>
          <w:tcPr>
            <w:tcW w:w="98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Less</w:t>
            </w:r>
          </w:p>
        </w:tc>
        <w:tc>
          <w:tcPr>
            <w:tcW w:w="98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and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9"/>
              </w:rPr>
              <w:t>1,080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4,610</w:t>
            </w: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4"/>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corporate</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Foreign government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3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2,882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9"/>
              </w:rPr>
              <w:t>1,080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4,611</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related loaned security could be returned to the Company on the next business day which would require the Company to immediately return the cash collateral.</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June 30, 2022 was $1.4 billion, primarily comprised of U.S. government and agency securities which, if put back to the Company, could be immediately sold to satisfy the cash requirement.</w:t>
      </w:r>
    </w:p>
    <w:p>
      <w:pPr>
        <w:spacing w:after="0" w:line="8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reinvestment portfolio acquired with the cash collateral consisted principally of fixed maturity securities (including U.S. government and agency securities, agency RMBS, ABS, U.S. and foreign corporate securities and CMBS) with 58% invested in U.S. government and agency securities, agency RMBS and cash and cash equivalents at June 30, 2022.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Invested Assets on Deposit, Held in Trust and Pledged as Collateral</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Invested assets on deposit, held in trust and pledged as collateral at estimated fair value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0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w w:val="91"/>
              </w:rPr>
              <w:t>December 31, 2021</w:t>
            </w:r>
          </w:p>
        </w:tc>
      </w:tr>
      <w:tr>
        <w:trPr>
          <w:trHeight w:val="183"/>
        </w:trPr>
        <w:tc>
          <w:tcPr>
            <w:tcW w:w="7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15"/>
                <w:szCs w:val="15"/>
                <w:color w:val="auto"/>
              </w:rPr>
            </w:pPr>
          </w:p>
        </w:tc>
      </w:tr>
      <w:tr>
        <w:trPr>
          <w:trHeight w:val="21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Invested assets on deposit (regulatory deposits) (1)</w:t>
            </w:r>
          </w:p>
        </w:tc>
        <w:tc>
          <w:tcPr>
            <w:tcW w:w="1380" w:type="dxa"/>
            <w:vAlign w:val="bottom"/>
            <w:shd w:val="clear" w:color="auto" w:fill="CCEEFF"/>
          </w:tcPr>
          <w:p>
            <w:pPr>
              <w:jc w:val="right"/>
              <w:ind w:right="120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10"/>
        </w:trPr>
        <w:tc>
          <w:tcPr>
            <w:tcW w:w="7300" w:type="dxa"/>
            <w:vAlign w:val="bottom"/>
          </w:tcPr>
          <w:p>
            <w:pPr>
              <w:ind w:left="20"/>
              <w:spacing w:after="0"/>
              <w:rPr>
                <w:sz w:val="20"/>
                <w:szCs w:val="20"/>
                <w:color w:val="auto"/>
              </w:rPr>
            </w:pPr>
            <w:r>
              <w:rPr>
                <w:rFonts w:ascii="Arial" w:cs="Arial" w:eastAsia="Arial" w:hAnsi="Arial"/>
                <w:sz w:val="16"/>
                <w:szCs w:val="16"/>
                <w:color w:val="auto"/>
              </w:rPr>
              <w:t>Invested assets held in trust (reinsurance agreements) (2)</w:t>
            </w:r>
          </w:p>
        </w:tc>
        <w:tc>
          <w:tcPr>
            <w:tcW w:w="1380" w:type="dxa"/>
            <w:vAlign w:val="bottom"/>
          </w:tcPr>
          <w:p>
            <w:pPr>
              <w:spacing w:after="0"/>
              <w:rPr>
                <w:sz w:val="18"/>
                <w:szCs w:val="18"/>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5,494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6,029</w:t>
            </w:r>
          </w:p>
        </w:tc>
      </w:tr>
      <w:tr>
        <w:trPr>
          <w:trHeight w:val="212"/>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Invested assets pledged as collateral (3)</w:t>
            </w:r>
          </w:p>
        </w:tc>
        <w:tc>
          <w:tcPr>
            <w:tcW w:w="13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8,779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5,116</w:t>
            </w:r>
          </w:p>
        </w:tc>
      </w:tr>
      <w:tr>
        <w:trPr>
          <w:trHeight w:val="208"/>
        </w:trPr>
        <w:tc>
          <w:tcPr>
            <w:tcW w:w="7300" w:type="dxa"/>
            <w:vAlign w:val="bottom"/>
          </w:tcPr>
          <w:p>
            <w:pPr>
              <w:ind w:left="180"/>
              <w:spacing w:after="0"/>
              <w:rPr>
                <w:sz w:val="20"/>
                <w:szCs w:val="20"/>
                <w:color w:val="auto"/>
              </w:rPr>
            </w:pPr>
            <w:r>
              <w:rPr>
                <w:rFonts w:ascii="Arial" w:cs="Arial" w:eastAsia="Arial" w:hAnsi="Arial"/>
                <w:sz w:val="16"/>
                <w:szCs w:val="16"/>
                <w:color w:val="auto"/>
              </w:rPr>
              <w:t>Total invested assets on deposit, held in trust and pledged as collateral</w:t>
            </w:r>
          </w:p>
        </w:tc>
        <w:tc>
          <w:tcPr>
            <w:tcW w:w="1380" w:type="dxa"/>
            <w:vAlign w:val="bottom"/>
            <w:tcBorders>
              <w:bottom w:val="single" w:sz="8" w:color="auto"/>
            </w:tcBorders>
          </w:tcPr>
          <w:p>
            <w:pPr>
              <w:jc w:val="right"/>
              <w:ind w:right="120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22,651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21,145</w:t>
            </w:r>
          </w:p>
        </w:tc>
      </w:tr>
      <w:tr>
        <w:trPr>
          <w:trHeight w:val="20"/>
        </w:trPr>
        <w:tc>
          <w:tcPr>
            <w:tcW w:w="7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365" w:lineRule="auto"/>
        <w:tabs>
          <w:tab w:leader="none" w:pos="314"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Company has assets, primarily fixed maturity securities, on deposit with governmental authorities relating to certain policyholder liabilities, of which $42 million and $25 million of the assets on deposit represents restricted cash and cash equivalents at June 30, 2022 and December 31, 2021, respectively.</w:t>
      </w:r>
    </w:p>
    <w:p>
      <w:pPr>
        <w:spacing w:after="0" w:line="5" w:lineRule="exact"/>
        <w:rPr>
          <w:rFonts w:ascii="Arial" w:cs="Arial" w:eastAsia="Arial" w:hAnsi="Arial"/>
          <w:sz w:val="15"/>
          <w:szCs w:val="15"/>
          <w:color w:val="auto"/>
        </w:rPr>
      </w:pPr>
    </w:p>
    <w:p>
      <w:pPr>
        <w:ind w:left="320" w:right="20" w:hanging="314"/>
        <w:spacing w:after="0" w:line="365" w:lineRule="auto"/>
        <w:tabs>
          <w:tab w:leader="none" w:pos="314"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Company has assets, primarily fixed maturity securities, held in trust relating to certain reinsurance transactions, of which $131 million and $119 million of the assets held in trust balance represents restricted cash and cash equivalents at June 30, 2022 and December 31, 2021, respectively.</w:t>
      </w:r>
    </w:p>
    <w:p>
      <w:pPr>
        <w:spacing w:after="0" w:line="5" w:lineRule="exact"/>
        <w:rPr>
          <w:rFonts w:ascii="Arial" w:cs="Arial" w:eastAsia="Arial" w:hAnsi="Arial"/>
          <w:sz w:val="15"/>
          <w:szCs w:val="15"/>
          <w:color w:val="auto"/>
        </w:rPr>
      </w:pPr>
    </w:p>
    <w:p>
      <w:pPr>
        <w:ind w:left="320" w:hanging="314"/>
        <w:spacing w:after="0" w:line="294" w:lineRule="auto"/>
        <w:tabs>
          <w:tab w:leader="none" w:pos="31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has pledged invested assets in connection with various agreements and transactions, including funding agreements (see Note 3 of the Notes to the Consolidated Financial Statements included in the 2021 Annual Report) and derivative transactions (see Note 5).</w:t>
      </w:r>
    </w:p>
    <w:p>
      <w:pPr>
        <w:spacing w:after="0" w:line="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 Securities Lending” for information regarding securities on loan. In addition, the Company’s investment in FHLB common stock, which is considered restricted until redeemed by the issuer, was $144 million and $70 million at redemption value at June 30, 2022 and December 31, 2021,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w:t>
      </w:r>
    </w:p>
    <w:p>
      <w:pPr>
        <w:spacing w:after="0" w:line="8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enters into various arrangements with VIEs in the normal course of business and has invested in legal entities that are VIEs. VIEs are consolidated when it is determined that the Company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 In addition, the evaluation of whether a legal entity is a VIE and if the Company is a primary beneficiary includes a review of the capital structure of the VIE, the related contractual relationships and terms, the nature of the operations and purpose of the VIE, the nature of the VIE interests issued and the Company’s involvement with the entity.</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There were no material VIEs for which the Company has concluded that it is the primary beneficiary at either June 30, 2022 or December 31, 2021.</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carrying amount and maximum exposure to loss related to the VIEs for which the Company has concluded that it holds a variable interest, but is not the primary beneficiary, were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825"/>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Carrying</w:t>
            </w:r>
          </w:p>
        </w:tc>
        <w:tc>
          <w:tcPr>
            <w:tcW w:w="360" w:type="dxa"/>
            <w:vAlign w:val="bottom"/>
          </w:tcPr>
          <w:p>
            <w:pPr>
              <w:spacing w:after="0"/>
              <w:rPr>
                <w:sz w:val="11"/>
                <w:szCs w:val="11"/>
                <w:color w:val="auto"/>
              </w:rPr>
            </w:pPr>
          </w:p>
        </w:tc>
        <w:tc>
          <w:tcPr>
            <w:tcW w:w="1040" w:type="dxa"/>
            <w:vAlign w:val="bottom"/>
          </w:tcPr>
          <w:p>
            <w:pPr>
              <w:jc w:val="center"/>
              <w:ind w:right="306"/>
              <w:spacing w:after="0" w:line="131" w:lineRule="exact"/>
              <w:rPr>
                <w:sz w:val="20"/>
                <w:szCs w:val="20"/>
                <w:color w:val="auto"/>
              </w:rPr>
            </w:pPr>
            <w:r>
              <w:rPr>
                <w:rFonts w:ascii="Arial" w:cs="Arial" w:eastAsia="Arial" w:hAnsi="Arial"/>
                <w:sz w:val="14"/>
                <w:szCs w:val="14"/>
                <w:b w:val="1"/>
                <w:bCs w:val="1"/>
                <w:color w:val="auto"/>
                <w:w w:val="95"/>
              </w:rPr>
              <w:t>Maximum</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1"/>
                <w:szCs w:val="11"/>
                <w:color w:val="auto"/>
              </w:rPr>
            </w:pPr>
          </w:p>
        </w:tc>
        <w:tc>
          <w:tcPr>
            <w:tcW w:w="1180" w:type="dxa"/>
            <w:vAlign w:val="bottom"/>
          </w:tcPr>
          <w:p>
            <w:pPr>
              <w:jc w:val="center"/>
              <w:ind w:right="205"/>
              <w:spacing w:after="0" w:line="131" w:lineRule="exact"/>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0"/>
              </w:rPr>
              <w:t>Exposure</w:t>
            </w:r>
          </w:p>
        </w:tc>
        <w:tc>
          <w:tcPr>
            <w:tcW w:w="3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65"/>
              <w:spacing w:after="0" w:line="133" w:lineRule="exact"/>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4"/>
              </w:rPr>
              <w:t>to Loss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84"/>
              </w:rPr>
              <w:t>to Loss</w:t>
            </w:r>
          </w:p>
        </w:tc>
        <w:tc>
          <w:tcPr>
            <w:tcW w:w="0" w:type="dxa"/>
            <w:vAlign w:val="bottom"/>
          </w:tcPr>
          <w:p>
            <w:pPr>
              <w:spacing w:after="0"/>
              <w:rPr>
                <w:sz w:val="1"/>
                <w:szCs w:val="1"/>
                <w:color w:val="auto"/>
              </w:rPr>
            </w:pPr>
          </w:p>
        </w:tc>
      </w:tr>
      <w:tr>
        <w:trPr>
          <w:trHeight w:val="179"/>
        </w:trPr>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15,802</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Limited partnerships and LLCs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5,115</w:t>
            </w:r>
          </w:p>
        </w:tc>
        <w:tc>
          <w:tcPr>
            <w:tcW w:w="0" w:type="dxa"/>
            <w:vAlign w:val="bottom"/>
          </w:tcPr>
          <w:p>
            <w:pPr>
              <w:spacing w:after="0"/>
              <w:rPr>
                <w:sz w:val="1"/>
                <w:szCs w:val="1"/>
                <w:color w:val="auto"/>
              </w:rPr>
            </w:pPr>
          </w:p>
        </w:tc>
      </w:tr>
      <w:tr>
        <w:trPr>
          <w:trHeight w:val="233"/>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21,471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20,151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20,917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investments in unconsolidated VIEs are described below.</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Fixed Maturity Securities</w:t>
      </w:r>
    </w:p>
    <w:p>
      <w:pPr>
        <w:spacing w:after="0" w:line="111" w:lineRule="exact"/>
        <w:rPr>
          <w:sz w:val="20"/>
          <w:szCs w:val="20"/>
          <w:color w:val="auto"/>
        </w:rPr>
      </w:pPr>
    </w:p>
    <w:p>
      <w:pPr>
        <w:jc w:val="both"/>
        <w:ind w:left="160" w:firstLine="318"/>
        <w:spacing w:after="0" w:line="248" w:lineRule="auto"/>
        <w:rPr>
          <w:sz w:val="20"/>
          <w:szCs w:val="20"/>
          <w:color w:val="auto"/>
        </w:rPr>
      </w:pPr>
      <w:r>
        <w:rPr>
          <w:rFonts w:ascii="Arial" w:cs="Arial" w:eastAsia="Arial" w:hAnsi="Arial"/>
          <w:sz w:val="18"/>
          <w:szCs w:val="18"/>
          <w:color w:val="auto"/>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Limited Partnerships and LLCs</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Company holds investments in certain limited partnerships and LLCs which are VIEs. These ventures include limited partnerships, LLCs, private equity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net investment income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60" w:type="dxa"/>
            <w:vAlign w:val="bottom"/>
            <w:gridSpan w:val="4"/>
          </w:tcPr>
          <w:p>
            <w:pPr>
              <w:jc w:val="right"/>
              <w:ind w:right="281"/>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7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r>
      <w:tr>
        <w:trPr>
          <w:trHeight w:val="179"/>
        </w:trPr>
        <w:tc>
          <w:tcPr>
            <w:tcW w:w="7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6"/>
              </w:rPr>
              <w:t>2021</w:t>
            </w:r>
          </w:p>
        </w:tc>
      </w:tr>
      <w:tr>
        <w:trPr>
          <w:trHeight w:val="179"/>
        </w:trPr>
        <w:tc>
          <w:tcPr>
            <w:tcW w:w="7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0"/>
        </w:trPr>
        <w:tc>
          <w:tcPr>
            <w:tcW w:w="7420" w:type="dxa"/>
            <w:vAlign w:val="bottom"/>
          </w:tcPr>
          <w:p>
            <w:pPr>
              <w:ind w:left="20"/>
              <w:spacing w:after="0"/>
              <w:rPr>
                <w:sz w:val="20"/>
                <w:szCs w:val="20"/>
                <w:color w:val="auto"/>
              </w:rPr>
            </w:pPr>
            <w:r>
              <w:rPr>
                <w:rFonts w:ascii="Arial" w:cs="Arial" w:eastAsia="Arial" w:hAnsi="Arial"/>
                <w:sz w:val="16"/>
                <w:szCs w:val="16"/>
                <w:color w:val="auto"/>
              </w:rPr>
              <w:t>Fixed maturity securities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1,460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1,393</w:t>
            </w:r>
          </w:p>
        </w:tc>
      </w:tr>
      <w:tr>
        <w:trPr>
          <w:trHeight w:val="215"/>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742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15"/>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 loans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0"/>
        </w:trPr>
        <w:tc>
          <w:tcPr>
            <w:tcW w:w="7420" w:type="dxa"/>
            <w:vAlign w:val="bottom"/>
          </w:tcPr>
          <w:p>
            <w:pPr>
              <w:ind w:left="20"/>
              <w:spacing w:after="0"/>
              <w:rPr>
                <w:sz w:val="20"/>
                <w:szCs w:val="20"/>
                <w:color w:val="auto"/>
              </w:rPr>
            </w:pPr>
            <w:r>
              <w:rPr>
                <w:rFonts w:ascii="Arial" w:cs="Arial" w:eastAsia="Arial" w:hAnsi="Arial"/>
                <w:sz w:val="16"/>
                <w:szCs w:val="16"/>
                <w:color w:val="auto"/>
              </w:rPr>
              <w:t>Limited partnerships and LLCs (1)</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688</w:t>
            </w:r>
          </w:p>
        </w:tc>
      </w:tr>
      <w:tr>
        <w:trPr>
          <w:trHeight w:val="215"/>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short-term investments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08"/>
        </w:trPr>
        <w:tc>
          <w:tcPr>
            <w:tcW w:w="7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investment income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w:t>
            </w:r>
          </w:p>
        </w:tc>
      </w:tr>
      <w:tr>
        <w:trPr>
          <w:trHeight w:val="21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Investment expenses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33"/>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investment income</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2,399</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365" w:lineRule="auto"/>
        <w:tabs>
          <w:tab w:leader="none" w:pos="314"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net investment income pertaining to other limited partnership interests of $93 million and $305 million for the three months and six months ended June 30, 2022, respectively, and $339 million and $670 million for the three months and six months ended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Components of Net Investment Gains (Losses)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components of net investment gains (losses)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96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480" w:type="dxa"/>
            <w:vAlign w:val="bottom"/>
            <w:gridSpan w:val="4"/>
          </w:tcPr>
          <w:p>
            <w:pPr>
              <w:jc w:val="right"/>
              <w:ind w:right="242"/>
              <w:spacing w:after="0"/>
              <w:rPr>
                <w:sz w:val="20"/>
                <w:szCs w:val="20"/>
                <w:color w:val="auto"/>
              </w:rPr>
            </w:pPr>
            <w:r>
              <w:rPr>
                <w:rFonts w:ascii="Arial" w:cs="Arial" w:eastAsia="Arial" w:hAnsi="Arial"/>
                <w:sz w:val="14"/>
                <w:szCs w:val="14"/>
                <w:b w:val="1"/>
                <w:bCs w:val="1"/>
                <w:color w:val="auto"/>
                <w:w w:val="93"/>
              </w:rPr>
              <w:t>Six Months Ended</w:t>
            </w:r>
          </w:p>
        </w:tc>
      </w:tr>
      <w:tr>
        <w:trPr>
          <w:trHeight w:val="185"/>
        </w:trPr>
        <w:tc>
          <w:tcPr>
            <w:tcW w:w="74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r>
      <w:tr>
        <w:trPr>
          <w:trHeight w:val="179"/>
        </w:trPr>
        <w:tc>
          <w:tcPr>
            <w:tcW w:w="742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2021</w:t>
            </w:r>
          </w:p>
        </w:tc>
      </w:tr>
      <w:tr>
        <w:trPr>
          <w:trHeight w:val="179"/>
        </w:trPr>
        <w:tc>
          <w:tcPr>
            <w:tcW w:w="7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742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5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4"/>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loans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Limited partnerships and LLCs</w:t>
            </w:r>
          </w:p>
        </w:tc>
        <w:tc>
          <w:tcPr>
            <w:tcW w:w="5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3"/>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net investment gains (losses)</w:t>
            </w:r>
          </w:p>
        </w:tc>
        <w:tc>
          <w:tcPr>
            <w:tcW w:w="58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(66)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160" w:firstLine="318"/>
        <w:spacing w:after="0" w:line="365" w:lineRule="auto"/>
        <w:rPr>
          <w:sz w:val="20"/>
          <w:szCs w:val="20"/>
          <w:color w:val="auto"/>
        </w:rPr>
      </w:pPr>
      <w:r>
        <w:rPr>
          <w:rFonts w:ascii="Arial" w:cs="Arial" w:eastAsia="Arial" w:hAnsi="Arial"/>
          <w:sz w:val="15"/>
          <w:szCs w:val="15"/>
          <w:color w:val="auto"/>
        </w:rPr>
        <w:t>Gains (losses) from foreign currency transactions included within net investment gains (losses) were ($5) million and ($21) million for the three months and six months ended June 30, 2022, respectively, and $1 million and $0 for the three months and six months ended June 30, 2021, respectively.</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Sales or Disposals of Fixed Maturity Securities</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60" w:type="dxa"/>
            <w:vAlign w:val="bottom"/>
            <w:gridSpan w:val="4"/>
          </w:tcPr>
          <w:p>
            <w:pPr>
              <w:jc w:val="right"/>
              <w:ind w:right="28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7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79"/>
        </w:trPr>
        <w:tc>
          <w:tcPr>
            <w:tcW w:w="7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2,239</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investment gains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20" w:type="dxa"/>
            <w:vAlign w:val="bottom"/>
            <w:vMerge w:val="continue"/>
          </w:tcPr>
          <w:p>
            <w:pPr>
              <w:spacing w:after="0"/>
              <w:rPr>
                <w:sz w:val="15"/>
                <w:szCs w:val="15"/>
                <w:color w:val="auto"/>
              </w:rPr>
            </w:pPr>
          </w:p>
        </w:tc>
        <w:tc>
          <w:tcPr>
            <w:tcW w:w="200" w:type="dxa"/>
            <w:vAlign w:val="bottom"/>
          </w:tcPr>
          <w:p>
            <w:pPr>
              <w:jc w:val="right"/>
              <w:ind w:right="21"/>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2</w:t>
            </w:r>
          </w:p>
        </w:tc>
        <w:tc>
          <w:tcPr>
            <w:tcW w:w="100" w:type="dxa"/>
            <w:vAlign w:val="bottom"/>
          </w:tcPr>
          <w:p>
            <w:pPr>
              <w:spacing w:after="0"/>
              <w:rPr>
                <w:sz w:val="15"/>
                <w:szCs w:val="15"/>
                <w:color w:val="auto"/>
              </w:rPr>
            </w:pPr>
          </w:p>
        </w:tc>
        <w:tc>
          <w:tcPr>
            <w:tcW w:w="260" w:type="dxa"/>
            <w:vAlign w:val="bottom"/>
          </w:tcPr>
          <w:p>
            <w:pPr>
              <w:jc w:val="right"/>
              <w:ind w:right="81"/>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8</w:t>
            </w:r>
          </w:p>
        </w:tc>
        <w:tc>
          <w:tcPr>
            <w:tcW w:w="100" w:type="dxa"/>
            <w:vAlign w:val="bottom"/>
          </w:tcPr>
          <w:p>
            <w:pPr>
              <w:spacing w:after="0"/>
              <w:rPr>
                <w:sz w:val="15"/>
                <w:szCs w:val="15"/>
                <w:color w:val="auto"/>
              </w:rPr>
            </w:pPr>
          </w:p>
        </w:tc>
        <w:tc>
          <w:tcPr>
            <w:tcW w:w="200" w:type="dxa"/>
            <w:vAlign w:val="bottom"/>
          </w:tcPr>
          <w:p>
            <w:pPr>
              <w:jc w:val="right"/>
              <w:ind w:right="21"/>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46</w:t>
            </w:r>
          </w:p>
        </w:tc>
        <w:tc>
          <w:tcPr>
            <w:tcW w:w="100" w:type="dxa"/>
            <w:vAlign w:val="bottom"/>
          </w:tcPr>
          <w:p>
            <w:pPr>
              <w:spacing w:after="0"/>
              <w:rPr>
                <w:sz w:val="15"/>
                <w:szCs w:val="15"/>
                <w:color w:val="auto"/>
              </w:rPr>
            </w:pPr>
          </w:p>
        </w:tc>
        <w:tc>
          <w:tcPr>
            <w:tcW w:w="260" w:type="dxa"/>
            <w:vAlign w:val="bottom"/>
          </w:tcPr>
          <w:p>
            <w:pPr>
              <w:jc w:val="right"/>
              <w:ind w:right="81"/>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investment losses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8"/>
        </w:trPr>
        <w:tc>
          <w:tcPr>
            <w:tcW w:w="7420" w:type="dxa"/>
            <w:vAlign w:val="bottom"/>
          </w:tcPr>
          <w:p>
            <w:pPr>
              <w:ind w:left="180"/>
              <w:spacing w:after="0"/>
              <w:rPr>
                <w:sz w:val="20"/>
                <w:szCs w:val="20"/>
                <w:color w:val="auto"/>
              </w:rPr>
            </w:pPr>
            <w:r>
              <w:rPr>
                <w:rFonts w:ascii="Arial" w:cs="Arial" w:eastAsia="Arial" w:hAnsi="Arial"/>
                <w:sz w:val="16"/>
                <w:szCs w:val="16"/>
                <w:color w:val="auto"/>
              </w:rPr>
              <w:t>Net investment gains (losses)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Derivatives</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See Notes 1 and 8 of the Notes to the Consolidated Financial Statements included in the 2021 Annual Report for a description of the Company’s accounting policies for derivatives and the fair value hierarchy for derivatives.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Derivative Instruments and Derivative Strategies</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 maintains an overall risk management strategy that incorporates the use of derivative instruments to minimize its exposure to various market risks. Commonly used derivative instruments include, but are not necessarily limited to:</w:t>
      </w:r>
    </w:p>
    <w:p>
      <w:pPr>
        <w:spacing w:after="0" w:line="75"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rate derivatives: swaps, floors, caps, swaptions and forwards;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currency exchange rate derivatives: forwards and swaps;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Equity market derivatives: options, total return swaps and variance swaps;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Credit derivatives: single and index reference credit default swaps and swaptions.</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For detailed information on these contracts and the related strategies, see Note 7 of the Notes to the Consolidated Financial Statements included in the 2021 Annual Report.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Risks Managed by Derivatives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primary underlying risk exposure, gross notional amount and estimated fair value of derivatives held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2"/>
                <w:szCs w:val="12"/>
                <w:b w:val="1"/>
                <w:bCs w:val="1"/>
                <w:color w:val="auto"/>
                <w:w w:val="89"/>
              </w:rPr>
              <w:t>June 30, 2022</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2"/>
              </w:rPr>
              <w:t>December 31, 2021</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86"/>
        </w:trPr>
        <w:tc>
          <w:tcPr>
            <w:tcW w:w="28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Gross</w:t>
            </w:r>
          </w:p>
        </w:tc>
        <w:tc>
          <w:tcPr>
            <w:tcW w:w="160" w:type="dxa"/>
            <w:vAlign w:val="bottom"/>
          </w:tcPr>
          <w:p>
            <w:pPr>
              <w:spacing w:after="0"/>
              <w:rPr>
                <w:sz w:val="16"/>
                <w:szCs w:val="16"/>
                <w:color w:val="auto"/>
              </w:rPr>
            </w:pPr>
          </w:p>
        </w:tc>
        <w:tc>
          <w:tcPr>
            <w:tcW w:w="1800" w:type="dxa"/>
            <w:vAlign w:val="bottom"/>
            <w:gridSpan w:val="5"/>
          </w:tcPr>
          <w:p>
            <w:pPr>
              <w:ind w:left="200"/>
              <w:spacing w:after="0"/>
              <w:rPr>
                <w:sz w:val="20"/>
                <w:szCs w:val="20"/>
                <w:color w:val="auto"/>
              </w:rPr>
            </w:pPr>
            <w:r>
              <w:rPr>
                <w:rFonts w:ascii="Arial" w:cs="Arial" w:eastAsia="Arial" w:hAnsi="Arial"/>
                <w:sz w:val="12"/>
                <w:szCs w:val="12"/>
                <w:b w:val="1"/>
                <w:bCs w:val="1"/>
                <w:color w:val="auto"/>
              </w:rPr>
              <w:t>Estimated Fair Value</w:t>
            </w:r>
          </w:p>
        </w:tc>
        <w:tc>
          <w:tcPr>
            <w:tcW w:w="140" w:type="dxa"/>
            <w:vAlign w:val="bottom"/>
          </w:tcPr>
          <w:p>
            <w:pPr>
              <w:spacing w:after="0"/>
              <w:rPr>
                <w:sz w:val="16"/>
                <w:szCs w:val="16"/>
                <w:color w:val="auto"/>
              </w:rPr>
            </w:pPr>
          </w:p>
        </w:tc>
        <w:tc>
          <w:tcPr>
            <w:tcW w:w="740" w:type="dxa"/>
            <w:vAlign w:val="bottom"/>
          </w:tcPr>
          <w:p>
            <w:pPr>
              <w:jc w:val="center"/>
              <w:ind w:right="72"/>
              <w:spacing w:after="0"/>
              <w:rPr>
                <w:sz w:val="20"/>
                <w:szCs w:val="20"/>
                <w:color w:val="auto"/>
              </w:rPr>
            </w:pPr>
            <w:r>
              <w:rPr>
                <w:rFonts w:ascii="Arial" w:cs="Arial" w:eastAsia="Arial" w:hAnsi="Arial"/>
                <w:sz w:val="12"/>
                <w:szCs w:val="12"/>
                <w:b w:val="1"/>
                <w:bCs w:val="1"/>
                <w:color w:val="auto"/>
                <w:w w:val="92"/>
              </w:rPr>
              <w:t>Gross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4"/>
          </w:tcPr>
          <w:p>
            <w:pPr>
              <w:jc w:val="right"/>
              <w:ind w:right="290"/>
              <w:spacing w:after="0"/>
              <w:rPr>
                <w:sz w:val="20"/>
                <w:szCs w:val="20"/>
                <w:color w:val="auto"/>
              </w:rPr>
            </w:pPr>
            <w:r>
              <w:rPr>
                <w:rFonts w:ascii="Arial" w:cs="Arial" w:eastAsia="Arial" w:hAnsi="Arial"/>
                <w:sz w:val="12"/>
                <w:szCs w:val="12"/>
                <w:b w:val="1"/>
                <w:bCs w:val="1"/>
                <w:color w:val="auto"/>
              </w:rPr>
              <w:t>Estimated Fair Value</w:t>
            </w:r>
          </w:p>
        </w:tc>
      </w:tr>
      <w:tr>
        <w:trPr>
          <w:trHeight w:val="53"/>
        </w:trPr>
        <w:tc>
          <w:tcPr>
            <w:tcW w:w="28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tcPr>
          <w:p>
            <w:pPr>
              <w:jc w:val="center"/>
              <w:ind w:right="260"/>
              <w:spacing w:after="0" w:line="53" w:lineRule="exact"/>
              <w:rPr>
                <w:sz w:val="20"/>
                <w:szCs w:val="20"/>
                <w:color w:val="auto"/>
              </w:rPr>
            </w:pPr>
            <w:r>
              <w:rPr>
                <w:rFonts w:ascii="Arial" w:cs="Arial" w:eastAsia="Arial" w:hAnsi="Arial"/>
                <w:sz w:val="6"/>
                <w:szCs w:val="6"/>
                <w:b w:val="1"/>
                <w:bCs w:val="1"/>
                <w:color w:val="auto"/>
              </w:rPr>
              <w:t>Notional</w:t>
            </w: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jc w:val="center"/>
              <w:ind w:right="72"/>
              <w:spacing w:after="0" w:line="53" w:lineRule="exact"/>
              <w:rPr>
                <w:sz w:val="20"/>
                <w:szCs w:val="20"/>
                <w:color w:val="auto"/>
              </w:rPr>
            </w:pPr>
            <w:r>
              <w:rPr>
                <w:rFonts w:ascii="Arial" w:cs="Arial" w:eastAsia="Arial" w:hAnsi="Arial"/>
                <w:sz w:val="6"/>
                <w:szCs w:val="6"/>
                <w:b w:val="1"/>
                <w:bCs w:val="1"/>
                <w:color w:val="auto"/>
              </w:rPr>
              <w:t>Notional</w:t>
            </w: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186"/>
        </w:trPr>
        <w:tc>
          <w:tcPr>
            <w:tcW w:w="2820" w:type="dxa"/>
            <w:vAlign w:val="bottom"/>
          </w:tcPr>
          <w:p>
            <w:pPr>
              <w:spacing w:after="0"/>
              <w:rPr>
                <w:sz w:val="16"/>
                <w:szCs w:val="16"/>
                <w:color w:val="auto"/>
              </w:rPr>
            </w:pPr>
          </w:p>
        </w:tc>
        <w:tc>
          <w:tcPr>
            <w:tcW w:w="2640" w:type="dxa"/>
            <w:vAlign w:val="bottom"/>
            <w:gridSpan w:val="2"/>
          </w:tcPr>
          <w:p>
            <w:pPr>
              <w:ind w:left="320"/>
              <w:spacing w:after="0"/>
              <w:rPr>
                <w:sz w:val="20"/>
                <w:szCs w:val="20"/>
                <w:color w:val="auto"/>
              </w:rPr>
            </w:pPr>
            <w:r>
              <w:rPr>
                <w:rFonts w:ascii="Arial" w:cs="Arial" w:eastAsia="Arial" w:hAnsi="Arial"/>
                <w:sz w:val="12"/>
                <w:szCs w:val="12"/>
                <w:b w:val="1"/>
                <w:bCs w:val="1"/>
                <w:color w:val="auto"/>
              </w:rPr>
              <w:t>Primary Underlying Risk Exposure</w:t>
            </w:r>
          </w:p>
        </w:tc>
        <w:tc>
          <w:tcPr>
            <w:tcW w:w="14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Amount</w:t>
            </w:r>
          </w:p>
        </w:tc>
        <w:tc>
          <w:tcPr>
            <w:tcW w:w="160" w:type="dxa"/>
            <w:vAlign w:val="bottom"/>
          </w:tcPr>
          <w:p>
            <w:pPr>
              <w:spacing w:after="0"/>
              <w:rPr>
                <w:sz w:val="16"/>
                <w:szCs w:val="16"/>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1"/>
              </w:rPr>
              <w:t>Assets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Liabilities</w:t>
            </w:r>
          </w:p>
        </w:tc>
        <w:tc>
          <w:tcPr>
            <w:tcW w:w="140" w:type="dxa"/>
            <w:vAlign w:val="bottom"/>
          </w:tcPr>
          <w:p>
            <w:pPr>
              <w:spacing w:after="0"/>
              <w:rPr>
                <w:sz w:val="16"/>
                <w:szCs w:val="16"/>
                <w:color w:val="auto"/>
              </w:rPr>
            </w:pPr>
          </w:p>
        </w:tc>
        <w:tc>
          <w:tcPr>
            <w:tcW w:w="740" w:type="dxa"/>
            <w:vAlign w:val="bottom"/>
          </w:tcPr>
          <w:p>
            <w:pPr>
              <w:jc w:val="center"/>
              <w:ind w:right="72"/>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1"/>
              </w:rPr>
              <w:t>Assets</w:t>
            </w:r>
          </w:p>
        </w:tc>
        <w:tc>
          <w:tcPr>
            <w:tcW w:w="12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Arial" w:cs="Arial" w:eastAsia="Arial" w:hAnsi="Arial"/>
                <w:sz w:val="12"/>
                <w:szCs w:val="12"/>
                <w:b w:val="1"/>
                <w:bCs w:val="1"/>
                <w:color w:val="auto"/>
              </w:rPr>
              <w:t>Liabilities</w:t>
            </w:r>
          </w:p>
        </w:tc>
      </w:tr>
      <w:tr>
        <w:trPr>
          <w:trHeight w:val="166"/>
        </w:trPr>
        <w:tc>
          <w:tcPr>
            <w:tcW w:w="2820" w:type="dxa"/>
            <w:vAlign w:val="bottom"/>
          </w:tcPr>
          <w:p>
            <w:pPr>
              <w:spacing w:after="0"/>
              <w:rPr>
                <w:sz w:val="14"/>
                <w:szCs w:val="14"/>
                <w:color w:val="auto"/>
              </w:rPr>
            </w:pPr>
          </w:p>
        </w:tc>
        <w:tc>
          <w:tcPr>
            <w:tcW w:w="2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gridSpan w:val="4"/>
          </w:tcPr>
          <w:p>
            <w:pPr>
              <w:jc w:val="right"/>
              <w:ind w:right="532"/>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192"/>
        </w:trPr>
        <w:tc>
          <w:tcPr>
            <w:tcW w:w="54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3"/>
        </w:trPr>
        <w:tc>
          <w:tcPr>
            <w:tcW w:w="282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8"/>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forwards</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swaps</w:t>
            </w:r>
          </w:p>
        </w:tc>
        <w:tc>
          <w:tcPr>
            <w:tcW w:w="26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Foreign currency exchange rate</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r>
      <w:tr>
        <w:trPr>
          <w:trHeight w:val="182"/>
        </w:trPr>
        <w:tc>
          <w:tcPr>
            <w:tcW w:w="2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qualifying hedges</w:t>
            </w:r>
          </w:p>
        </w:tc>
        <w:tc>
          <w:tcPr>
            <w:tcW w:w="2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4,063</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65"/>
        </w:trPr>
        <w:tc>
          <w:tcPr>
            <w:tcW w:w="546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Derivatives Not Designated or Not Qualifying as Hedging Instruments:</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6"/>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3"/>
        </w:trPr>
        <w:tc>
          <w:tcPr>
            <w:tcW w:w="2820" w:type="dxa"/>
            <w:vAlign w:val="bottom"/>
          </w:tcPr>
          <w:p>
            <w:pPr>
              <w:ind w:left="20"/>
              <w:spacing w:after="0"/>
              <w:rPr>
                <w:sz w:val="20"/>
                <w:szCs w:val="20"/>
                <w:color w:val="auto"/>
              </w:rPr>
            </w:pPr>
            <w:r>
              <w:rPr>
                <w:rFonts w:ascii="Arial" w:cs="Arial" w:eastAsia="Arial" w:hAnsi="Arial"/>
                <w:sz w:val="14"/>
                <w:szCs w:val="14"/>
                <w:color w:val="auto"/>
              </w:rPr>
              <w:t>Interest rate floors</w:t>
            </w: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Interest rate</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2,250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caps</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3"/>
        </w:trPr>
        <w:tc>
          <w:tcPr>
            <w:tcW w:w="2820" w:type="dxa"/>
            <w:vAlign w:val="bottom"/>
          </w:tcPr>
          <w:p>
            <w:pPr>
              <w:ind w:left="20"/>
              <w:spacing w:after="0"/>
              <w:rPr>
                <w:sz w:val="20"/>
                <w:szCs w:val="20"/>
                <w:color w:val="auto"/>
              </w:rPr>
            </w:pPr>
            <w:r>
              <w:rPr>
                <w:rFonts w:ascii="Arial" w:cs="Arial" w:eastAsia="Arial" w:hAnsi="Arial"/>
                <w:sz w:val="14"/>
                <w:szCs w:val="14"/>
                <w:color w:val="auto"/>
              </w:rPr>
              <w:t>Interest rate options</w:t>
            </w: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Interest rate</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16,413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forwards</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183"/>
        </w:trPr>
        <w:tc>
          <w:tcPr>
            <w:tcW w:w="2820" w:type="dxa"/>
            <w:vAlign w:val="bottom"/>
          </w:tcPr>
          <w:p>
            <w:pPr>
              <w:ind w:left="20"/>
              <w:spacing w:after="0"/>
              <w:rPr>
                <w:sz w:val="20"/>
                <w:szCs w:val="20"/>
                <w:color w:val="auto"/>
              </w:rPr>
            </w:pPr>
            <w:r>
              <w:rPr>
                <w:rFonts w:ascii="Arial" w:cs="Arial" w:eastAsia="Arial" w:hAnsi="Arial"/>
                <w:sz w:val="14"/>
                <w:szCs w:val="14"/>
                <w:color w:val="auto"/>
              </w:rPr>
              <w:t>Foreign currency swaps</w:t>
            </w: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Foreign currency exchange rate</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88"/>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forwards</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currency exchange rate</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3"/>
        </w:trPr>
        <w:tc>
          <w:tcPr>
            <w:tcW w:w="2820" w:type="dxa"/>
            <w:vAlign w:val="bottom"/>
          </w:tcPr>
          <w:p>
            <w:pPr>
              <w:ind w:left="20"/>
              <w:spacing w:after="0"/>
              <w:rPr>
                <w:sz w:val="20"/>
                <w:szCs w:val="20"/>
                <w:color w:val="auto"/>
              </w:rPr>
            </w:pPr>
            <w:r>
              <w:rPr>
                <w:rFonts w:ascii="Arial" w:cs="Arial" w:eastAsia="Arial" w:hAnsi="Arial"/>
                <w:sz w:val="14"/>
                <w:szCs w:val="14"/>
                <w:color w:val="auto"/>
              </w:rPr>
              <w:t>Credit default swaps — written</w:t>
            </w: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Credit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1,923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8"/>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default swaptions</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Credit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2820" w:type="dxa"/>
            <w:vAlign w:val="bottom"/>
          </w:tcPr>
          <w:p>
            <w:pPr>
              <w:ind w:left="20"/>
              <w:spacing w:after="0"/>
              <w:rPr>
                <w:sz w:val="20"/>
                <w:szCs w:val="20"/>
                <w:color w:val="auto"/>
              </w:rPr>
            </w:pPr>
            <w:r>
              <w:rPr>
                <w:rFonts w:ascii="Arial" w:cs="Arial" w:eastAsia="Arial" w:hAnsi="Arial"/>
                <w:sz w:val="14"/>
                <w:szCs w:val="14"/>
                <w:color w:val="auto"/>
              </w:rPr>
              <w:t>Equity index options</w:t>
            </w: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Equity market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25,701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24,692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877</w:t>
            </w:r>
          </w:p>
        </w:tc>
      </w:tr>
      <w:tr>
        <w:trPr>
          <w:trHeight w:val="188"/>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variance swaps</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market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2820" w:type="dxa"/>
            <w:vAlign w:val="bottom"/>
          </w:tcPr>
          <w:p>
            <w:pPr>
              <w:ind w:left="20"/>
              <w:spacing w:after="0"/>
              <w:rPr>
                <w:sz w:val="20"/>
                <w:szCs w:val="20"/>
                <w:color w:val="auto"/>
              </w:rPr>
            </w:pPr>
            <w:r>
              <w:rPr>
                <w:rFonts w:ascii="Arial" w:cs="Arial" w:eastAsia="Arial" w:hAnsi="Arial"/>
                <w:sz w:val="14"/>
                <w:szCs w:val="14"/>
                <w:color w:val="auto"/>
              </w:rPr>
              <w:t>Equity total return swaps</w:t>
            </w: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Equity market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25,258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32,719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588</w:t>
            </w:r>
          </w:p>
        </w:tc>
      </w:tr>
      <w:tr>
        <w:trPr>
          <w:trHeight w:val="188"/>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Hybrid options</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market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5460" w:type="dxa"/>
            <w:vAlign w:val="bottom"/>
            <w:tcBorders>
              <w:bottom w:val="single" w:sz="8" w:color="CCEEFF"/>
            </w:tcBorders>
            <w:gridSpan w:val="3"/>
          </w:tcPr>
          <w:p>
            <w:pPr>
              <w:ind w:left="180"/>
              <w:spacing w:after="0"/>
              <w:rPr>
                <w:sz w:val="20"/>
                <w:szCs w:val="20"/>
                <w:color w:val="auto"/>
              </w:rPr>
            </w:pPr>
            <w:r>
              <w:rPr>
                <w:rFonts w:ascii="Arial" w:cs="Arial" w:eastAsia="Arial" w:hAnsi="Arial"/>
                <w:sz w:val="14"/>
                <w:szCs w:val="14"/>
                <w:color w:val="auto"/>
              </w:rPr>
              <w:t>Total non-designated or non-qualifying derivatives</w:t>
            </w:r>
          </w:p>
        </w:tc>
        <w:tc>
          <w:tcPr>
            <w:tcW w:w="1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94,814</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2,554</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3,417</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87,469</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2,867</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1,622</w:t>
            </w:r>
          </w:p>
        </w:tc>
      </w:tr>
      <w:tr>
        <w:trPr>
          <w:trHeight w:val="168"/>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Embedded derivatives:</w:t>
            </w:r>
          </w:p>
        </w:tc>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83"/>
        </w:trPr>
        <w:tc>
          <w:tcPr>
            <w:tcW w:w="2820" w:type="dxa"/>
            <w:vAlign w:val="bottom"/>
          </w:tcPr>
          <w:p>
            <w:pPr>
              <w:ind w:left="20"/>
              <w:spacing w:after="0"/>
              <w:rPr>
                <w:sz w:val="20"/>
                <w:szCs w:val="20"/>
                <w:color w:val="auto"/>
              </w:rPr>
            </w:pPr>
            <w:r>
              <w:rPr>
                <w:rFonts w:ascii="Arial" w:cs="Arial" w:eastAsia="Arial" w:hAnsi="Arial"/>
                <w:sz w:val="14"/>
                <w:szCs w:val="14"/>
                <w:color w:val="auto"/>
                <w:w w:val="99"/>
              </w:rPr>
              <w:t>Ceded guaranteed minimum income benefits</w:t>
            </w: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5"/>
                <w:szCs w:val="15"/>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 index-linked annuities</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6,211</w:t>
            </w:r>
          </w:p>
        </w:tc>
      </w:tr>
      <w:tr>
        <w:trPr>
          <w:trHeight w:val="183"/>
        </w:trPr>
        <w:tc>
          <w:tcPr>
            <w:tcW w:w="2820" w:type="dxa"/>
            <w:vAlign w:val="bottom"/>
          </w:tcPr>
          <w:p>
            <w:pPr>
              <w:ind w:left="20"/>
              <w:spacing w:after="0"/>
              <w:rPr>
                <w:sz w:val="20"/>
                <w:szCs w:val="20"/>
                <w:color w:val="auto"/>
              </w:rPr>
            </w:pPr>
            <w:r>
              <w:rPr>
                <w:rFonts w:ascii="Arial" w:cs="Arial" w:eastAsia="Arial" w:hAnsi="Arial"/>
                <w:sz w:val="14"/>
                <w:szCs w:val="14"/>
                <w:color w:val="auto"/>
              </w:rPr>
              <w:t>Direct guaranteed minimum benefits</w:t>
            </w: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5"/>
                <w:szCs w:val="15"/>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1,848</w:t>
            </w:r>
          </w:p>
        </w:tc>
      </w:tr>
      <w:tr>
        <w:trPr>
          <w:trHeight w:val="188"/>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Assumed index-linked annuities</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r>
      <w:tr>
        <w:trPr>
          <w:trHeight w:val="176"/>
        </w:trPr>
        <w:tc>
          <w:tcPr>
            <w:tcW w:w="28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embedded derivatives</w:t>
            </w:r>
          </w:p>
        </w:tc>
        <w:tc>
          <w:tcPr>
            <w:tcW w:w="25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N/A</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4,577</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8,496</w:t>
            </w:r>
          </w:p>
        </w:tc>
      </w:tr>
      <w:tr>
        <w:trPr>
          <w:trHeight w:val="207"/>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2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98,877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90,931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10,140</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Based on gross notional amounts, a substantial portion of the Company’s derivatives was not designated or did not qualify as part of a hedging relationship at both June 30, 2022 and December 31, 2021. The Company’s use of derivatives includes (i) derivatives that serve as macro hedges of the Company’s exposure to various risks and generally do not qualify for hedge accounting because they do not meet the criteria required under portfolio hedging rules; (ii) derivatives that economically hedge insurance liabilities and generally do not qualify for hedge accounting because they do not meet the criteria of being “highly effective” as outlined in Accounting Standards Codification 815 — Derivatives and Hedging; (iii) derivatives that economically hedge embedded derivatives that do not qualify for hedge accounting because the changes in estimated fair value of the embedded derivatives are already recorded in net income; and (iv) written credit default swaps that are used to create synthetic credit investments and that do not qualify for hedge accounting because they do not involve a hedging relationship.</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6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amount and location of gains (losses), including earned income, recognized for derivatives and gains (losses) pertaining to hedged items presented in net derivative gains (losses)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Net Derivative Gains</w:t>
            </w:r>
          </w:p>
        </w:tc>
        <w:tc>
          <w:tcPr>
            <w:tcW w:w="10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Net Derivative Gains</w:t>
            </w:r>
          </w:p>
        </w:tc>
        <w:tc>
          <w:tcPr>
            <w:tcW w:w="20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Net Investment</w:t>
            </w:r>
          </w:p>
        </w:tc>
        <w:tc>
          <w:tcPr>
            <w:tcW w:w="120" w:type="dxa"/>
            <w:vAlign w:val="bottom"/>
          </w:tcPr>
          <w:p>
            <w:pPr>
              <w:spacing w:after="0"/>
              <w:rPr>
                <w:sz w:val="14"/>
                <w:szCs w:val="14"/>
                <w:color w:val="auto"/>
              </w:rPr>
            </w:pPr>
          </w:p>
        </w:tc>
        <w:tc>
          <w:tcPr>
            <w:tcW w:w="1340" w:type="dxa"/>
            <w:vAlign w:val="bottom"/>
          </w:tcPr>
          <w:p>
            <w:pPr>
              <w:jc w:val="center"/>
              <w:ind w:right="22"/>
              <w:spacing w:after="0"/>
              <w:rPr>
                <w:sz w:val="20"/>
                <w:szCs w:val="20"/>
                <w:color w:val="auto"/>
              </w:rPr>
            </w:pPr>
            <w:r>
              <w:rPr>
                <w:rFonts w:ascii="Arial" w:cs="Arial" w:eastAsia="Arial" w:hAnsi="Arial"/>
                <w:sz w:val="14"/>
                <w:szCs w:val="14"/>
                <w:b w:val="1"/>
                <w:bCs w:val="1"/>
                <w:color w:val="auto"/>
                <w:w w:val="92"/>
              </w:rPr>
              <w:t>Amount of Gains</w:t>
            </w:r>
          </w:p>
        </w:tc>
        <w:tc>
          <w:tcPr>
            <w:tcW w:w="0" w:type="dxa"/>
            <w:vAlign w:val="bottom"/>
          </w:tcPr>
          <w:p>
            <w:pPr>
              <w:spacing w:after="0"/>
              <w:rPr>
                <w:sz w:val="1"/>
                <w:szCs w:val="1"/>
                <w:color w:val="auto"/>
              </w:rPr>
            </w:pPr>
          </w:p>
        </w:tc>
      </w:tr>
      <w:tr>
        <w:trPr>
          <w:trHeight w:val="133"/>
        </w:trPr>
        <w:tc>
          <w:tcPr>
            <w:tcW w:w="5100" w:type="dxa"/>
            <w:vAlign w:val="bottom"/>
          </w:tcPr>
          <w:p>
            <w:pPr>
              <w:spacing w:after="0"/>
              <w:rPr>
                <w:sz w:val="11"/>
                <w:szCs w:val="11"/>
                <w:color w:val="auto"/>
              </w:rPr>
            </w:pPr>
          </w:p>
        </w:tc>
        <w:tc>
          <w:tcPr>
            <w:tcW w:w="168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87"/>
              </w:rPr>
              <w:t>(Losses) Recognized for</w:t>
            </w:r>
          </w:p>
        </w:tc>
        <w:tc>
          <w:tcPr>
            <w:tcW w:w="100" w:type="dxa"/>
            <w:vAlign w:val="bottom"/>
          </w:tcPr>
          <w:p>
            <w:pPr>
              <w:spacing w:after="0"/>
              <w:rPr>
                <w:sz w:val="11"/>
                <w:szCs w:val="11"/>
                <w:color w:val="auto"/>
              </w:rPr>
            </w:pPr>
          </w:p>
        </w:tc>
        <w:tc>
          <w:tcPr>
            <w:tcW w:w="14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7"/>
              </w:rPr>
              <w:t>(Losses) Recognized</w:t>
            </w: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center"/>
              <w:ind w:right="42"/>
              <w:spacing w:after="0" w:line="133" w:lineRule="exact"/>
              <w:rPr>
                <w:sz w:val="20"/>
                <w:szCs w:val="20"/>
                <w:color w:val="auto"/>
              </w:rPr>
            </w:pPr>
            <w:r>
              <w:rPr>
                <w:rFonts w:ascii="Arial" w:cs="Arial" w:eastAsia="Arial" w:hAnsi="Arial"/>
                <w:sz w:val="14"/>
                <w:szCs w:val="14"/>
                <w:b w:val="1"/>
                <w:bCs w:val="1"/>
                <w:color w:val="auto"/>
                <w:w w:val="90"/>
              </w:rPr>
              <w:t>(Losses) Deferred in</w:t>
            </w:r>
          </w:p>
        </w:tc>
        <w:tc>
          <w:tcPr>
            <w:tcW w:w="0" w:type="dxa"/>
            <w:vAlign w:val="bottom"/>
          </w:tcPr>
          <w:p>
            <w:pPr>
              <w:spacing w:after="0"/>
              <w:rPr>
                <w:sz w:val="1"/>
                <w:szCs w:val="1"/>
                <w:color w:val="auto"/>
              </w:rPr>
            </w:pPr>
          </w:p>
        </w:tc>
      </w:tr>
      <w:tr>
        <w:trPr>
          <w:trHeight w:val="185"/>
        </w:trPr>
        <w:tc>
          <w:tcPr>
            <w:tcW w:w="5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Derivatives</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for Hedged Items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3"/>
          </w:tcPr>
          <w:p>
            <w:pPr>
              <w:ind w:left="920"/>
              <w:spacing w:after="0"/>
              <w:rPr>
                <w:sz w:val="20"/>
                <w:szCs w:val="20"/>
                <w:color w:val="auto"/>
              </w:rPr>
            </w:pPr>
            <w:r>
              <w:rPr>
                <w:rFonts w:ascii="Arial" w:cs="Arial" w:eastAsia="Arial" w:hAnsi="Arial"/>
                <w:sz w:val="14"/>
                <w:szCs w:val="14"/>
                <w:b w:val="1"/>
                <w:bCs w:val="1"/>
                <w:color w:val="auto"/>
                <w:w w:val="91"/>
              </w:rPr>
              <w:t>(In millions)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2022</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03"/>
        </w:trPr>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cash flow hedges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19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4"/>
              </w:rPr>
              <w:t>Derivatives Not Designated or Not Qualifying as Hedging Instruments:</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market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2,582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non-qualifying hedges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00" w:type="dxa"/>
            <w:vAlign w:val="bottom"/>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1,767</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Three Months Ended June 30, 2021</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3"/>
        </w:trPr>
        <w:tc>
          <w:tcPr>
            <w:tcW w:w="5100" w:type="dxa"/>
            <w:vAlign w:val="bottom"/>
          </w:tcPr>
          <w:p>
            <w:pPr>
              <w:ind w:left="180"/>
              <w:spacing w:after="0"/>
              <w:rPr>
                <w:sz w:val="20"/>
                <w:szCs w:val="20"/>
                <w:color w:val="auto"/>
              </w:rPr>
            </w:pPr>
            <w:r>
              <w:rPr>
                <w:rFonts w:ascii="Arial" w:cs="Arial" w:eastAsia="Arial" w:hAnsi="Arial"/>
                <w:sz w:val="16"/>
                <w:szCs w:val="16"/>
                <w:color w:val="auto"/>
              </w:rPr>
              <w:t>Total cash flow hedges</w:t>
            </w:r>
          </w:p>
        </w:tc>
        <w:tc>
          <w:tcPr>
            <w:tcW w:w="14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95"/>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4"/>
              </w:rPr>
              <w:t>Derivatives Not Designated or Not Qualifying as Hedging Instruments:</w:t>
            </w:r>
          </w:p>
        </w:tc>
        <w:tc>
          <w:tcPr>
            <w:tcW w:w="14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14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market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non-qualifying hedges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00" w:type="dxa"/>
            <w:vAlign w:val="bottom"/>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Net Derivative Gains</w:t>
            </w:r>
          </w:p>
        </w:tc>
        <w:tc>
          <w:tcPr>
            <w:tcW w:w="10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Net Derivative Gains</w:t>
            </w:r>
          </w:p>
        </w:tc>
        <w:tc>
          <w:tcPr>
            <w:tcW w:w="20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Net Investment</w:t>
            </w:r>
          </w:p>
        </w:tc>
        <w:tc>
          <w:tcPr>
            <w:tcW w:w="120" w:type="dxa"/>
            <w:vAlign w:val="bottom"/>
          </w:tcPr>
          <w:p>
            <w:pPr>
              <w:spacing w:after="0"/>
              <w:rPr>
                <w:sz w:val="14"/>
                <w:szCs w:val="14"/>
                <w:color w:val="auto"/>
              </w:rPr>
            </w:pPr>
          </w:p>
        </w:tc>
        <w:tc>
          <w:tcPr>
            <w:tcW w:w="1340" w:type="dxa"/>
            <w:vAlign w:val="bottom"/>
          </w:tcPr>
          <w:p>
            <w:pPr>
              <w:jc w:val="center"/>
              <w:ind w:right="22"/>
              <w:spacing w:after="0"/>
              <w:rPr>
                <w:sz w:val="20"/>
                <w:szCs w:val="20"/>
                <w:color w:val="auto"/>
              </w:rPr>
            </w:pPr>
            <w:r>
              <w:rPr>
                <w:rFonts w:ascii="Arial" w:cs="Arial" w:eastAsia="Arial" w:hAnsi="Arial"/>
                <w:sz w:val="14"/>
                <w:szCs w:val="14"/>
                <w:b w:val="1"/>
                <w:bCs w:val="1"/>
                <w:color w:val="auto"/>
                <w:w w:val="92"/>
              </w:rPr>
              <w:t>Amount of Gains</w:t>
            </w:r>
          </w:p>
        </w:tc>
        <w:tc>
          <w:tcPr>
            <w:tcW w:w="0" w:type="dxa"/>
            <w:vAlign w:val="bottom"/>
          </w:tcPr>
          <w:p>
            <w:pPr>
              <w:spacing w:after="0"/>
              <w:rPr>
                <w:sz w:val="1"/>
                <w:szCs w:val="1"/>
                <w:color w:val="auto"/>
              </w:rPr>
            </w:pPr>
          </w:p>
        </w:tc>
      </w:tr>
      <w:tr>
        <w:trPr>
          <w:trHeight w:val="133"/>
        </w:trPr>
        <w:tc>
          <w:tcPr>
            <w:tcW w:w="5100" w:type="dxa"/>
            <w:vAlign w:val="bottom"/>
          </w:tcPr>
          <w:p>
            <w:pPr>
              <w:spacing w:after="0"/>
              <w:rPr>
                <w:sz w:val="11"/>
                <w:szCs w:val="11"/>
                <w:color w:val="auto"/>
              </w:rPr>
            </w:pPr>
          </w:p>
        </w:tc>
        <w:tc>
          <w:tcPr>
            <w:tcW w:w="168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87"/>
              </w:rPr>
              <w:t>(Losses) Recognized for</w:t>
            </w:r>
          </w:p>
        </w:tc>
        <w:tc>
          <w:tcPr>
            <w:tcW w:w="100" w:type="dxa"/>
            <w:vAlign w:val="bottom"/>
          </w:tcPr>
          <w:p>
            <w:pPr>
              <w:spacing w:after="0"/>
              <w:rPr>
                <w:sz w:val="11"/>
                <w:szCs w:val="11"/>
                <w:color w:val="auto"/>
              </w:rPr>
            </w:pPr>
          </w:p>
        </w:tc>
        <w:tc>
          <w:tcPr>
            <w:tcW w:w="14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7"/>
              </w:rPr>
              <w:t>(Losses) Recognized</w:t>
            </w: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center"/>
              <w:ind w:right="42"/>
              <w:spacing w:after="0" w:line="133" w:lineRule="exact"/>
              <w:rPr>
                <w:sz w:val="20"/>
                <w:szCs w:val="20"/>
                <w:color w:val="auto"/>
              </w:rPr>
            </w:pPr>
            <w:r>
              <w:rPr>
                <w:rFonts w:ascii="Arial" w:cs="Arial" w:eastAsia="Arial" w:hAnsi="Arial"/>
                <w:sz w:val="14"/>
                <w:szCs w:val="14"/>
                <w:b w:val="1"/>
                <w:bCs w:val="1"/>
                <w:color w:val="auto"/>
                <w:w w:val="90"/>
              </w:rPr>
              <w:t>(Losses) Deferred in</w:t>
            </w:r>
          </w:p>
        </w:tc>
        <w:tc>
          <w:tcPr>
            <w:tcW w:w="0" w:type="dxa"/>
            <w:vAlign w:val="bottom"/>
          </w:tcPr>
          <w:p>
            <w:pPr>
              <w:spacing w:after="0"/>
              <w:rPr>
                <w:sz w:val="1"/>
                <w:szCs w:val="1"/>
                <w:color w:val="auto"/>
              </w:rPr>
            </w:pPr>
          </w:p>
        </w:tc>
      </w:tr>
      <w:tr>
        <w:trPr>
          <w:trHeight w:val="185"/>
        </w:trPr>
        <w:tc>
          <w:tcPr>
            <w:tcW w:w="5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Derivatives</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for Hedged Items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2022</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03"/>
        </w:trPr>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cash flow hedges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19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4"/>
              </w:rPr>
              <w:t>Derivatives Not Designated or Not Qualifying as Hedging Instruments:</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market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3,911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non-qualifying hedges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00" w:type="dxa"/>
            <w:vAlign w:val="bottom"/>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2,287</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Six Months Ended June 30, 2021</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3"/>
        </w:trPr>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cash flow hedges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40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4"/>
              </w:rPr>
              <w:t>Derivatives Not Designated or Not Qualifying as Hedging Instruments: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market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non-qualifying hedges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00" w:type="dxa"/>
            <w:vAlign w:val="bottom"/>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At June 30, 2022 and December 31, 2021, the maximum length of time over which the Company was hedging its exposure to variability in future cash flows for forecasted transactions was one year and two years, respectively.</w:t>
      </w:r>
    </w:p>
    <w:p>
      <w:pPr>
        <w:spacing w:after="0" w:line="128" w:lineRule="exact"/>
        <w:rPr>
          <w:sz w:val="20"/>
          <w:szCs w:val="20"/>
          <w:color w:val="auto"/>
        </w:rPr>
      </w:pPr>
    </w:p>
    <w:p>
      <w:pPr>
        <w:ind w:right="540" w:firstLine="318"/>
        <w:spacing w:after="0" w:line="368" w:lineRule="auto"/>
        <w:rPr>
          <w:sz w:val="20"/>
          <w:szCs w:val="20"/>
          <w:color w:val="auto"/>
        </w:rPr>
      </w:pPr>
      <w:r>
        <w:rPr>
          <w:rFonts w:ascii="Arial" w:cs="Arial" w:eastAsia="Arial" w:hAnsi="Arial"/>
          <w:sz w:val="18"/>
          <w:szCs w:val="18"/>
          <w:color w:val="auto"/>
        </w:rPr>
        <w:t xml:space="preserve">At June 30, 2022 and December 31, 2021, the balance in AOCI associated with cash flow hedges was $606 million and $329 million, respectively. </w:t>
      </w:r>
      <w:r>
        <w:rPr>
          <w:rFonts w:ascii="Arial" w:cs="Arial" w:eastAsia="Arial" w:hAnsi="Arial"/>
          <w:sz w:val="18"/>
          <w:szCs w:val="18"/>
          <w:b w:val="1"/>
          <w:bCs w:val="1"/>
          <w:i w:val="1"/>
          <w:iCs w:val="1"/>
          <w:color w:val="auto"/>
        </w:rPr>
        <w:t>Credit Derivatives</w:t>
      </w:r>
    </w:p>
    <w:p>
      <w:pPr>
        <w:spacing w:after="0" w:line="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estimated fair value, maximum amount of future payments and weighted average years to maturity of written credit default swaps were as follows at: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June 30, 2022</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w w:val="95"/>
              </w:rPr>
              <w:t>December 31, 2021</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1"/>
                <w:szCs w:val="11"/>
                <w:color w:val="auto"/>
              </w:rPr>
            </w:pPr>
          </w:p>
        </w:tc>
        <w:tc>
          <w:tcPr>
            <w:tcW w:w="1300" w:type="dxa"/>
            <w:vAlign w:val="bottom"/>
          </w:tcPr>
          <w:p>
            <w:pPr>
              <w:jc w:val="center"/>
              <w:ind w:right="86"/>
              <w:spacing w:after="0" w:line="131" w:lineRule="exact"/>
              <w:rPr>
                <w:sz w:val="20"/>
                <w:szCs w:val="20"/>
                <w:color w:val="auto"/>
              </w:rPr>
            </w:pPr>
            <w:r>
              <w:rPr>
                <w:rFonts w:ascii="Arial" w:cs="Arial" w:eastAsia="Arial" w:hAnsi="Arial"/>
                <w:sz w:val="14"/>
                <w:szCs w:val="14"/>
                <w:b w:val="1"/>
                <w:bCs w:val="1"/>
                <w:color w:val="auto"/>
                <w:w w:val="95"/>
              </w:rPr>
              <w:t>Maximum</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1"/>
                <w:szCs w:val="11"/>
                <w:color w:val="auto"/>
              </w:rPr>
            </w:pPr>
          </w:p>
        </w:tc>
        <w:tc>
          <w:tcPr>
            <w:tcW w:w="1300" w:type="dxa"/>
            <w:vAlign w:val="bottom"/>
          </w:tcPr>
          <w:p>
            <w:pPr>
              <w:jc w:val="center"/>
              <w:ind w:right="86"/>
              <w:spacing w:after="0" w:line="131" w:lineRule="exact"/>
              <w:rPr>
                <w:sz w:val="20"/>
                <w:szCs w:val="20"/>
                <w:color w:val="auto"/>
              </w:rPr>
            </w:pPr>
            <w:r>
              <w:rPr>
                <w:rFonts w:ascii="Arial" w:cs="Arial" w:eastAsia="Arial" w:hAnsi="Arial"/>
                <w:sz w:val="14"/>
                <w:szCs w:val="14"/>
                <w:b w:val="1"/>
                <w:bCs w:val="1"/>
                <w:color w:val="auto"/>
                <w:w w:val="95"/>
              </w:rPr>
              <w:t>Maximum</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06"/>
              <w:spacing w:after="0" w:line="133" w:lineRule="exact"/>
              <w:rPr>
                <w:sz w:val="20"/>
                <w:szCs w:val="20"/>
                <w:color w:val="auto"/>
              </w:rPr>
            </w:pPr>
            <w:r>
              <w:rPr>
                <w:rFonts w:ascii="Arial" w:cs="Arial" w:eastAsia="Arial" w:hAnsi="Arial"/>
                <w:sz w:val="14"/>
                <w:szCs w:val="14"/>
                <w:b w:val="1"/>
                <w:bCs w:val="1"/>
                <w:color w:val="auto"/>
                <w:w w:val="91"/>
              </w:rPr>
              <w:t>Amount of</w:t>
            </w: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86"/>
              <w:spacing w:after="0" w:line="133" w:lineRule="exact"/>
              <w:rPr>
                <w:sz w:val="20"/>
                <w:szCs w:val="20"/>
                <w:color w:val="auto"/>
              </w:rPr>
            </w:pPr>
            <w:r>
              <w:rPr>
                <w:rFonts w:ascii="Arial" w:cs="Arial" w:eastAsia="Arial" w:hAnsi="Arial"/>
                <w:sz w:val="14"/>
                <w:szCs w:val="14"/>
                <w:b w:val="1"/>
                <w:bCs w:val="1"/>
                <w:color w:val="auto"/>
                <w:w w:val="94"/>
              </w:rPr>
              <w:t>Amount of</w:t>
            </w:r>
          </w:p>
        </w:tc>
        <w:tc>
          <w:tcPr>
            <w:tcW w:w="1200" w:type="dxa"/>
            <w:vAlign w:val="bottom"/>
            <w:vMerge w:val="restart"/>
          </w:tcPr>
          <w:p>
            <w:pPr>
              <w:jc w:val="center"/>
              <w:ind w:left="44"/>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1"/>
                <w:szCs w:val="11"/>
                <w:color w:val="auto"/>
              </w:rPr>
            </w:pPr>
          </w:p>
        </w:tc>
        <w:tc>
          <w:tcPr>
            <w:tcW w:w="1300" w:type="dxa"/>
            <w:vAlign w:val="bottom"/>
          </w:tcPr>
          <w:p>
            <w:pPr>
              <w:jc w:val="center"/>
              <w:ind w:right="86"/>
              <w:spacing w:after="0" w:line="133" w:lineRule="exact"/>
              <w:rPr>
                <w:sz w:val="20"/>
                <w:szCs w:val="20"/>
                <w:color w:val="auto"/>
              </w:rPr>
            </w:pPr>
            <w:r>
              <w:rPr>
                <w:rFonts w:ascii="Arial" w:cs="Arial" w:eastAsia="Arial" w:hAnsi="Arial"/>
                <w:sz w:val="14"/>
                <w:szCs w:val="14"/>
                <w:b w:val="1"/>
                <w:bCs w:val="1"/>
                <w:color w:val="auto"/>
                <w:w w:val="96"/>
              </w:rPr>
              <w:t>Future</w:t>
            </w: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2"/>
              </w:rPr>
              <w:t>Fair Value</w:t>
            </w:r>
          </w:p>
        </w:tc>
        <w:tc>
          <w:tcPr>
            <w:tcW w:w="180" w:type="dxa"/>
            <w:vAlign w:val="bottom"/>
          </w:tcPr>
          <w:p>
            <w:pPr>
              <w:spacing w:after="0"/>
              <w:rPr>
                <w:sz w:val="11"/>
                <w:szCs w:val="11"/>
                <w:color w:val="auto"/>
              </w:rPr>
            </w:pPr>
          </w:p>
        </w:tc>
        <w:tc>
          <w:tcPr>
            <w:tcW w:w="1300" w:type="dxa"/>
            <w:vAlign w:val="bottom"/>
          </w:tcPr>
          <w:p>
            <w:pPr>
              <w:jc w:val="center"/>
              <w:ind w:right="86"/>
              <w:spacing w:after="0" w:line="133" w:lineRule="exact"/>
              <w:rPr>
                <w:sz w:val="20"/>
                <w:szCs w:val="20"/>
                <w:color w:val="auto"/>
              </w:rPr>
            </w:pPr>
            <w:r>
              <w:rPr>
                <w:rFonts w:ascii="Arial" w:cs="Arial" w:eastAsia="Arial" w:hAnsi="Arial"/>
                <w:sz w:val="14"/>
                <w:szCs w:val="14"/>
                <w:b w:val="1"/>
                <w:bCs w:val="1"/>
                <w:color w:val="auto"/>
                <w:w w:val="96"/>
              </w:rPr>
              <w:t>Future</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Rating Agency Designation of Referenced Credit</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of Credit</w:t>
            </w:r>
          </w:p>
        </w:tc>
        <w:tc>
          <w:tcPr>
            <w:tcW w:w="180" w:type="dxa"/>
            <w:vAlign w:val="bottom"/>
          </w:tcPr>
          <w:p>
            <w:pPr>
              <w:spacing w:after="0"/>
              <w:rPr>
                <w:sz w:val="11"/>
                <w:szCs w:val="11"/>
                <w:color w:val="auto"/>
              </w:rPr>
            </w:pPr>
          </w:p>
        </w:tc>
        <w:tc>
          <w:tcPr>
            <w:tcW w:w="1300" w:type="dxa"/>
            <w:vAlign w:val="bottom"/>
          </w:tcPr>
          <w:p>
            <w:pPr>
              <w:jc w:val="center"/>
              <w:ind w:right="86"/>
              <w:spacing w:after="0" w:line="133" w:lineRule="exact"/>
              <w:rPr>
                <w:sz w:val="20"/>
                <w:szCs w:val="20"/>
                <w:color w:val="auto"/>
              </w:rPr>
            </w:pPr>
            <w:r>
              <w:rPr>
                <w:rFonts w:ascii="Arial" w:cs="Arial" w:eastAsia="Arial" w:hAnsi="Arial"/>
                <w:sz w:val="14"/>
                <w:szCs w:val="14"/>
                <w:b w:val="1"/>
                <w:bCs w:val="1"/>
                <w:color w:val="auto"/>
                <w:w w:val="89"/>
              </w:rPr>
              <w:t>Payments under</w:t>
            </w:r>
          </w:p>
        </w:tc>
        <w:tc>
          <w:tcPr>
            <w:tcW w:w="13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of Credit</w:t>
            </w:r>
          </w:p>
        </w:tc>
        <w:tc>
          <w:tcPr>
            <w:tcW w:w="180" w:type="dxa"/>
            <w:vAlign w:val="bottom"/>
          </w:tcPr>
          <w:p>
            <w:pPr>
              <w:spacing w:after="0"/>
              <w:rPr>
                <w:sz w:val="11"/>
                <w:szCs w:val="11"/>
                <w:color w:val="auto"/>
              </w:rPr>
            </w:pPr>
          </w:p>
        </w:tc>
        <w:tc>
          <w:tcPr>
            <w:tcW w:w="1300" w:type="dxa"/>
            <w:vAlign w:val="bottom"/>
          </w:tcPr>
          <w:p>
            <w:pPr>
              <w:jc w:val="center"/>
              <w:ind w:right="86"/>
              <w:spacing w:after="0" w:line="133" w:lineRule="exact"/>
              <w:rPr>
                <w:sz w:val="20"/>
                <w:szCs w:val="20"/>
                <w:color w:val="auto"/>
              </w:rPr>
            </w:pPr>
            <w:r>
              <w:rPr>
                <w:rFonts w:ascii="Arial" w:cs="Arial" w:eastAsia="Arial" w:hAnsi="Arial"/>
                <w:sz w:val="14"/>
                <w:szCs w:val="14"/>
                <w:b w:val="1"/>
                <w:bCs w:val="1"/>
                <w:color w:val="auto"/>
                <w:w w:val="89"/>
              </w:rPr>
              <w:t>Payments under</w:t>
            </w:r>
          </w:p>
        </w:tc>
        <w:tc>
          <w:tcPr>
            <w:tcW w:w="1200" w:type="dxa"/>
            <w:vAlign w:val="bottom"/>
          </w:tcPr>
          <w:p>
            <w:pPr>
              <w:jc w:val="center"/>
              <w:ind w:left="44"/>
              <w:spacing w:after="0" w:line="13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3"/>
        </w:trPr>
        <w:tc>
          <w:tcPr>
            <w:tcW w:w="3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6"/>
              </w:rPr>
              <w:t>Default</w:t>
            </w:r>
          </w:p>
        </w:tc>
        <w:tc>
          <w:tcPr>
            <w:tcW w:w="180" w:type="dxa"/>
            <w:vAlign w:val="bottom"/>
          </w:tcPr>
          <w:p>
            <w:pPr>
              <w:spacing w:after="0"/>
              <w:rPr>
                <w:sz w:val="11"/>
                <w:szCs w:val="11"/>
                <w:color w:val="auto"/>
              </w:rPr>
            </w:pPr>
          </w:p>
        </w:tc>
        <w:tc>
          <w:tcPr>
            <w:tcW w:w="1300" w:type="dxa"/>
            <w:vAlign w:val="bottom"/>
          </w:tcPr>
          <w:p>
            <w:pPr>
              <w:jc w:val="center"/>
              <w:ind w:right="106"/>
              <w:spacing w:after="0" w:line="133" w:lineRule="exact"/>
              <w:rPr>
                <w:sz w:val="20"/>
                <w:szCs w:val="20"/>
                <w:color w:val="auto"/>
              </w:rPr>
            </w:pPr>
            <w:r>
              <w:rPr>
                <w:rFonts w:ascii="Arial" w:cs="Arial" w:eastAsia="Arial" w:hAnsi="Arial"/>
                <w:sz w:val="14"/>
                <w:szCs w:val="14"/>
                <w:b w:val="1"/>
                <w:bCs w:val="1"/>
                <w:color w:val="auto"/>
                <w:w w:val="95"/>
              </w:rPr>
              <w:t>Credit Default</w:t>
            </w:r>
          </w:p>
        </w:tc>
        <w:tc>
          <w:tcPr>
            <w:tcW w:w="13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Years to</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6"/>
              </w:rPr>
              <w:t>Default</w:t>
            </w:r>
          </w:p>
        </w:tc>
        <w:tc>
          <w:tcPr>
            <w:tcW w:w="180" w:type="dxa"/>
            <w:vAlign w:val="bottom"/>
          </w:tcPr>
          <w:p>
            <w:pPr>
              <w:spacing w:after="0"/>
              <w:rPr>
                <w:sz w:val="11"/>
                <w:szCs w:val="11"/>
                <w:color w:val="auto"/>
              </w:rPr>
            </w:pPr>
          </w:p>
        </w:tc>
        <w:tc>
          <w:tcPr>
            <w:tcW w:w="1300" w:type="dxa"/>
            <w:vAlign w:val="bottom"/>
          </w:tcPr>
          <w:p>
            <w:pPr>
              <w:jc w:val="center"/>
              <w:ind w:right="86"/>
              <w:spacing w:after="0" w:line="133" w:lineRule="exact"/>
              <w:rPr>
                <w:sz w:val="20"/>
                <w:szCs w:val="20"/>
                <w:color w:val="auto"/>
              </w:rPr>
            </w:pPr>
            <w:r>
              <w:rPr>
                <w:rFonts w:ascii="Arial" w:cs="Arial" w:eastAsia="Arial" w:hAnsi="Arial"/>
                <w:sz w:val="14"/>
                <w:szCs w:val="14"/>
                <w:b w:val="1"/>
                <w:bCs w:val="1"/>
                <w:color w:val="auto"/>
                <w:w w:val="93"/>
              </w:rPr>
              <w:t>Credit Default</w:t>
            </w:r>
          </w:p>
        </w:tc>
        <w:tc>
          <w:tcPr>
            <w:tcW w:w="1200" w:type="dxa"/>
            <w:vAlign w:val="bottom"/>
          </w:tcPr>
          <w:p>
            <w:pPr>
              <w:jc w:val="center"/>
              <w:ind w:left="44"/>
              <w:spacing w:after="0" w:line="133" w:lineRule="exact"/>
              <w:rPr>
                <w:sz w:val="20"/>
                <w:szCs w:val="20"/>
                <w:color w:val="auto"/>
              </w:rPr>
            </w:pPr>
            <w:r>
              <w:rPr>
                <w:rFonts w:ascii="Arial" w:cs="Arial" w:eastAsia="Arial" w:hAnsi="Arial"/>
                <w:sz w:val="14"/>
                <w:szCs w:val="14"/>
                <w:b w:val="1"/>
                <w:bCs w:val="1"/>
                <w:color w:val="auto"/>
                <w:w w:val="86"/>
              </w:rPr>
              <w:t>Years to</w:t>
            </w:r>
          </w:p>
        </w:tc>
        <w:tc>
          <w:tcPr>
            <w:tcW w:w="0" w:type="dxa"/>
            <w:vAlign w:val="bottom"/>
          </w:tcPr>
          <w:p>
            <w:pPr>
              <w:spacing w:after="0"/>
              <w:rPr>
                <w:sz w:val="1"/>
                <w:szCs w:val="1"/>
                <w:color w:val="auto"/>
              </w:rPr>
            </w:pPr>
          </w:p>
        </w:tc>
      </w:tr>
      <w:tr>
        <w:trPr>
          <w:trHeight w:val="185"/>
        </w:trPr>
        <w:tc>
          <w:tcPr>
            <w:tcW w:w="3700" w:type="dxa"/>
            <w:vAlign w:val="bottom"/>
            <w:gridSpan w:val="2"/>
          </w:tcPr>
          <w:p>
            <w:pPr>
              <w:ind w:left="20"/>
              <w:spacing w:after="0"/>
              <w:rPr>
                <w:sz w:val="20"/>
                <w:szCs w:val="20"/>
                <w:color w:val="auto"/>
              </w:rPr>
            </w:pPr>
            <w:r>
              <w:rPr>
                <w:rFonts w:ascii="Arial" w:cs="Arial" w:eastAsia="Arial" w:hAnsi="Arial"/>
                <w:sz w:val="14"/>
                <w:szCs w:val="14"/>
                <w:b w:val="1"/>
                <w:bCs w:val="1"/>
                <w:color w:val="auto"/>
              </w:rPr>
              <w:t>Obligations (1)</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Swaps</w:t>
            </w:r>
          </w:p>
        </w:tc>
        <w:tc>
          <w:tcPr>
            <w:tcW w:w="180" w:type="dxa"/>
            <w:vAlign w:val="bottom"/>
          </w:tcPr>
          <w:p>
            <w:pPr>
              <w:spacing w:after="0"/>
              <w:rPr>
                <w:sz w:val="16"/>
                <w:szCs w:val="16"/>
                <w:color w:val="auto"/>
              </w:rPr>
            </w:pPr>
          </w:p>
        </w:tc>
        <w:tc>
          <w:tcPr>
            <w:tcW w:w="1300" w:type="dxa"/>
            <w:vAlign w:val="bottom"/>
          </w:tcPr>
          <w:p>
            <w:pPr>
              <w:jc w:val="center"/>
              <w:ind w:right="86"/>
              <w:spacing w:after="0"/>
              <w:rPr>
                <w:sz w:val="20"/>
                <w:szCs w:val="20"/>
                <w:color w:val="auto"/>
              </w:rPr>
            </w:pPr>
            <w:r>
              <w:rPr>
                <w:rFonts w:ascii="Arial" w:cs="Arial" w:eastAsia="Arial" w:hAnsi="Arial"/>
                <w:sz w:val="14"/>
                <w:szCs w:val="14"/>
                <w:b w:val="1"/>
                <w:bCs w:val="1"/>
                <w:color w:val="auto"/>
                <w:w w:val="85"/>
              </w:rPr>
              <w:t>Swaps</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Maturity (2)</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Swaps</w:t>
            </w:r>
          </w:p>
        </w:tc>
        <w:tc>
          <w:tcPr>
            <w:tcW w:w="180" w:type="dxa"/>
            <w:vAlign w:val="bottom"/>
          </w:tcPr>
          <w:p>
            <w:pPr>
              <w:spacing w:after="0"/>
              <w:rPr>
                <w:sz w:val="16"/>
                <w:szCs w:val="16"/>
                <w:color w:val="auto"/>
              </w:rPr>
            </w:pPr>
          </w:p>
        </w:tc>
        <w:tc>
          <w:tcPr>
            <w:tcW w:w="1300" w:type="dxa"/>
            <w:vAlign w:val="bottom"/>
          </w:tcPr>
          <w:p>
            <w:pPr>
              <w:jc w:val="center"/>
              <w:ind w:right="86"/>
              <w:spacing w:after="0"/>
              <w:rPr>
                <w:sz w:val="20"/>
                <w:szCs w:val="20"/>
                <w:color w:val="auto"/>
              </w:rPr>
            </w:pPr>
            <w:r>
              <w:rPr>
                <w:rFonts w:ascii="Arial" w:cs="Arial" w:eastAsia="Arial" w:hAnsi="Arial"/>
                <w:sz w:val="14"/>
                <w:szCs w:val="14"/>
                <w:b w:val="1"/>
                <w:bCs w:val="1"/>
                <w:color w:val="auto"/>
                <w:w w:val="85"/>
              </w:rPr>
              <w:t>Swaps</w:t>
            </w:r>
          </w:p>
        </w:tc>
        <w:tc>
          <w:tcPr>
            <w:tcW w:w="1200" w:type="dxa"/>
            <w:vAlign w:val="bottom"/>
          </w:tcPr>
          <w:p>
            <w:pPr>
              <w:jc w:val="center"/>
              <w:ind w:left="44"/>
              <w:spacing w:after="0"/>
              <w:rPr>
                <w:sz w:val="20"/>
                <w:szCs w:val="20"/>
                <w:color w:val="auto"/>
              </w:rPr>
            </w:pPr>
            <w:r>
              <w:rPr>
                <w:rFonts w:ascii="Arial" w:cs="Arial" w:eastAsia="Arial" w:hAnsi="Arial"/>
                <w:sz w:val="14"/>
                <w:szCs w:val="14"/>
                <w:b w:val="1"/>
                <w:bCs w:val="1"/>
                <w:color w:val="auto"/>
              </w:rPr>
              <w:t>Maturity (2)</w:t>
            </w:r>
          </w:p>
        </w:tc>
        <w:tc>
          <w:tcPr>
            <w:tcW w:w="0" w:type="dxa"/>
            <w:vAlign w:val="bottom"/>
          </w:tcPr>
          <w:p>
            <w:pPr>
              <w:spacing w:after="0"/>
              <w:rPr>
                <w:sz w:val="1"/>
                <w:szCs w:val="1"/>
                <w:color w:val="auto"/>
              </w:rPr>
            </w:pPr>
          </w:p>
        </w:tc>
      </w:tr>
      <w:tr>
        <w:trPr>
          <w:trHeight w:val="179"/>
        </w:trPr>
        <w:tc>
          <w:tcPr>
            <w:tcW w:w="3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Aaa/Aa/A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0"/>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Baa</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1,231</w:t>
            </w:r>
          </w:p>
        </w:tc>
        <w:tc>
          <w:tcPr>
            <w:tcW w:w="120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1,131</w:t>
            </w: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4"/>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9"/>
        </w:trPr>
        <w:tc>
          <w:tcPr>
            <w:tcW w:w="3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Caa and Lower</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8"/>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has written credit protection on both single name and index references. The rating agency designations are based on availability and the midpoint of the applicable ratings among Moody’s, S&amp;P and Fitch. If no rating is available from a rating agency, then an internally developed rating is used.</w:t>
      </w:r>
    </w:p>
    <w:p>
      <w:pPr>
        <w:spacing w:after="0" w:line="82" w:lineRule="exact"/>
        <w:rPr>
          <w:rFonts w:ascii="Arial" w:cs="Arial" w:eastAsia="Arial" w:hAnsi="Arial"/>
          <w:sz w:val="18"/>
          <w:szCs w:val="18"/>
          <w:color w:val="auto"/>
        </w:rPr>
      </w:pPr>
    </w:p>
    <w:p>
      <w:pPr>
        <w:ind w:left="320" w:hanging="314"/>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weighted average years to maturity of the credit default swaps is calculated based on weighted average gross notional amounts.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 may be exposed to credit-related losses in the event of counterparty nonperformance on derivative instruments. Generally, the credit exposure is the fair value at the reporting date less any collateral received from the counterparty.</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manages its credit risk by: (i) entering into derivative transactions with creditworthy counterparties governed by master netting agreements;</w:t>
      </w:r>
    </w:p>
    <w:p>
      <w:pPr>
        <w:spacing w:after="0" w:line="51" w:lineRule="exact"/>
        <w:rPr>
          <w:sz w:val="20"/>
          <w:szCs w:val="20"/>
          <w:color w:val="auto"/>
        </w:rPr>
      </w:pPr>
    </w:p>
    <w:p>
      <w:pPr>
        <w:ind w:firstLine="6"/>
        <w:spacing w:after="0" w:line="251" w:lineRule="auto"/>
        <w:tabs>
          <w:tab w:leader="none" w:pos="2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trading through regulated exchanges and central clearing counterparties; (iii) obtaining collateral, such as cash and securities, when appropriate; and (iv) setting limits on single party credit exposures which are subject to periodic management review.</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6 for a description of the impact of credit risk on the valuation of derivatives.</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estimated fair values of net derivative assets and net derivative liabilities after the application of master netting agreements and collateral were as follows at:</w:t>
      </w:r>
    </w:p>
    <w:p>
      <w:pPr>
        <w:spacing w:after="0" w:line="198" w:lineRule="exact"/>
        <w:rPr>
          <w:sz w:val="20"/>
          <w:szCs w:val="20"/>
          <w:color w:val="auto"/>
        </w:rPr>
      </w:pPr>
    </w:p>
    <w:p>
      <w:pPr>
        <w:jc w:val="center"/>
        <w:ind w:right="940"/>
        <w:spacing w:after="0"/>
        <w:rPr>
          <w:sz w:val="20"/>
          <w:szCs w:val="20"/>
          <w:color w:val="auto"/>
        </w:rPr>
      </w:pPr>
      <w:r>
        <w:rPr>
          <w:rFonts w:ascii="Arial" w:cs="Arial" w:eastAsia="Arial" w:hAnsi="Arial"/>
          <w:sz w:val="14"/>
          <w:szCs w:val="14"/>
          <w:b w:val="1"/>
          <w:bCs w:val="1"/>
          <w:color w:val="auto"/>
        </w:rPr>
        <w:t>Gross Amounts Not Offset on the Consolidated</w:t>
      </w:r>
    </w:p>
    <w:p>
      <w:pPr>
        <w:jc w:val="center"/>
        <w:ind w:right="940"/>
        <w:spacing w:after="0"/>
        <w:rPr>
          <w:sz w:val="20"/>
          <w:szCs w:val="20"/>
          <w:color w:val="auto"/>
        </w:rPr>
      </w:pPr>
      <w:r>
        <w:rPr>
          <w:rFonts w:ascii="Arial" w:cs="Arial" w:eastAsia="Arial" w:hAnsi="Arial"/>
          <w:sz w:val="14"/>
          <w:szCs w:val="14"/>
          <w:b w:val="1"/>
          <w:bCs w:val="1"/>
          <w:color w:val="auto"/>
        </w:rPr>
        <w:t>Balance Sheets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right"/>
              <w:ind w:right="303"/>
              <w:spacing w:after="0" w:line="137" w:lineRule="exact"/>
              <w:rPr>
                <w:sz w:val="20"/>
                <w:szCs w:val="20"/>
                <w:color w:val="auto"/>
              </w:rPr>
            </w:pPr>
            <w:r>
              <w:rPr>
                <w:rFonts w:ascii="Arial" w:cs="Arial" w:eastAsia="Arial" w:hAnsi="Arial"/>
                <w:sz w:val="14"/>
                <w:szCs w:val="14"/>
                <w:b w:val="1"/>
                <w:bCs w:val="1"/>
                <w:color w:val="auto"/>
                <w:w w:val="96"/>
              </w:rPr>
              <w:t>Gross Amount</w:t>
            </w:r>
          </w:p>
        </w:tc>
        <w:tc>
          <w:tcPr>
            <w:tcW w:w="1500" w:type="dxa"/>
            <w:vAlign w:val="bottom"/>
            <w:tcBorders>
              <w:top w:val="single" w:sz="8" w:color="auto"/>
            </w:tcBorders>
            <w:gridSpan w:val="2"/>
          </w:tcPr>
          <w:p>
            <w:pPr>
              <w:jc w:val="right"/>
              <w:ind w:right="22"/>
              <w:spacing w:after="0" w:line="137" w:lineRule="exact"/>
              <w:rPr>
                <w:sz w:val="20"/>
                <w:szCs w:val="20"/>
                <w:color w:val="auto"/>
              </w:rPr>
            </w:pPr>
            <w:r>
              <w:rPr>
                <w:rFonts w:ascii="Arial" w:cs="Arial" w:eastAsia="Arial" w:hAnsi="Arial"/>
                <w:sz w:val="14"/>
                <w:szCs w:val="14"/>
                <w:b w:val="1"/>
                <w:bCs w:val="1"/>
                <w:color w:val="auto"/>
                <w:w w:val="95"/>
              </w:rPr>
              <w:t>Financial Instruments</w:t>
            </w:r>
          </w:p>
        </w:tc>
        <w:tc>
          <w:tcPr>
            <w:tcW w:w="3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43"/>
              <w:spacing w:after="0" w:line="137" w:lineRule="exact"/>
              <w:rPr>
                <w:sz w:val="20"/>
                <w:szCs w:val="20"/>
                <w:color w:val="auto"/>
              </w:rPr>
            </w:pPr>
            <w:r>
              <w:rPr>
                <w:rFonts w:ascii="Arial" w:cs="Arial" w:eastAsia="Arial" w:hAnsi="Arial"/>
                <w:sz w:val="14"/>
                <w:szCs w:val="14"/>
                <w:b w:val="1"/>
                <w:bCs w:val="1"/>
                <w:color w:val="auto"/>
              </w:rPr>
              <w:t>Collateral</w:t>
            </w:r>
          </w:p>
        </w:tc>
        <w:tc>
          <w:tcPr>
            <w:tcW w:w="420" w:type="dxa"/>
            <w:vAlign w:val="bottom"/>
          </w:tcPr>
          <w:p>
            <w:pPr>
              <w:spacing w:after="0"/>
              <w:rPr>
                <w:sz w:val="11"/>
                <w:szCs w:val="11"/>
                <w:color w:val="auto"/>
              </w:rPr>
            </w:pPr>
          </w:p>
        </w:tc>
        <w:tc>
          <w:tcPr>
            <w:tcW w:w="114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w w:val="93"/>
              </w:rPr>
              <w:t>Net Amount</w:t>
            </w:r>
          </w:p>
        </w:tc>
        <w:tc>
          <w:tcPr>
            <w:tcW w:w="180" w:type="dxa"/>
            <w:vAlign w:val="bottom"/>
          </w:tcPr>
          <w:p>
            <w:pPr>
              <w:spacing w:after="0"/>
              <w:rPr>
                <w:sz w:val="11"/>
                <w:szCs w:val="11"/>
                <w:color w:val="auto"/>
              </w:rPr>
            </w:pPr>
          </w:p>
        </w:tc>
        <w:tc>
          <w:tcPr>
            <w:tcW w:w="1360" w:type="dxa"/>
            <w:vAlign w:val="bottom"/>
          </w:tcPr>
          <w:p>
            <w:pPr>
              <w:jc w:val="right"/>
              <w:ind w:right="62"/>
              <w:spacing w:after="0" w:line="137" w:lineRule="exact"/>
              <w:rPr>
                <w:sz w:val="20"/>
                <w:szCs w:val="20"/>
                <w:color w:val="auto"/>
              </w:rPr>
            </w:pPr>
            <w:r>
              <w:rPr>
                <w:rFonts w:ascii="Arial" w:cs="Arial" w:eastAsia="Arial" w:hAnsi="Arial"/>
                <w:sz w:val="14"/>
                <w:szCs w:val="14"/>
                <w:b w:val="1"/>
                <w:bCs w:val="1"/>
                <w:color w:val="auto"/>
                <w:w w:val="89"/>
              </w:rPr>
              <w:t>Securities Collateral</w:t>
            </w:r>
          </w:p>
        </w:tc>
        <w:tc>
          <w:tcPr>
            <w:tcW w:w="160" w:type="dxa"/>
            <w:vAlign w:val="bottom"/>
          </w:tcPr>
          <w:p>
            <w:pPr>
              <w:spacing w:after="0"/>
              <w:rPr>
                <w:sz w:val="11"/>
                <w:szCs w:val="11"/>
                <w:color w:val="auto"/>
              </w:rPr>
            </w:pPr>
          </w:p>
        </w:tc>
        <w:tc>
          <w:tcPr>
            <w:tcW w:w="1340" w:type="dxa"/>
            <w:vAlign w:val="bottom"/>
          </w:tcPr>
          <w:p>
            <w:pPr>
              <w:jc w:val="right"/>
              <w:ind w:right="103"/>
              <w:spacing w:after="0" w:line="137" w:lineRule="exact"/>
              <w:rPr>
                <w:sz w:val="20"/>
                <w:szCs w:val="20"/>
                <w:color w:val="auto"/>
              </w:rPr>
            </w:pPr>
            <w:r>
              <w:rPr>
                <w:rFonts w:ascii="Arial" w:cs="Arial" w:eastAsia="Arial" w:hAnsi="Arial"/>
                <w:sz w:val="14"/>
                <w:szCs w:val="14"/>
                <w:b w:val="1"/>
                <w:bCs w:val="1"/>
                <w:color w:val="auto"/>
                <w:w w:val="98"/>
              </w:rPr>
              <w:t>Net Amount After</w:t>
            </w:r>
          </w:p>
        </w:tc>
        <w:tc>
          <w:tcPr>
            <w:tcW w:w="0" w:type="dxa"/>
            <w:vAlign w:val="bottom"/>
          </w:tcPr>
          <w:p>
            <w:pPr>
              <w:spacing w:after="0"/>
              <w:rPr>
                <w:sz w:val="1"/>
                <w:szCs w:val="1"/>
                <w:color w:val="auto"/>
              </w:rPr>
            </w:pPr>
          </w:p>
        </w:tc>
      </w:tr>
      <w:tr>
        <w:trPr>
          <w:trHeight w:val="185"/>
        </w:trPr>
        <w:tc>
          <w:tcPr>
            <w:tcW w:w="2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Recognized</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(1)</w:t>
            </w:r>
          </w:p>
        </w:tc>
        <w:tc>
          <w:tcPr>
            <w:tcW w:w="14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7"/>
              </w:rPr>
              <w:t>Received/Pledged (2)</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b w:val="1"/>
                <w:bCs w:val="1"/>
                <w:color w:val="auto"/>
                <w:w w:val="99"/>
              </w:rPr>
              <w:t>Received/Pledged (3)</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w w:val="90"/>
              </w:rPr>
              <w:t>Securities Collateral</w:t>
            </w: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2022</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tcPr>
          <w:p>
            <w:pPr>
              <w:ind w:left="20"/>
              <w:spacing w:after="0"/>
              <w:rPr>
                <w:sz w:val="20"/>
                <w:szCs w:val="20"/>
                <w:color w:val="auto"/>
              </w:rPr>
            </w:pPr>
            <w:r>
              <w:rPr>
                <w:rFonts w:ascii="Arial" w:cs="Arial" w:eastAsia="Arial" w:hAnsi="Arial"/>
                <w:sz w:val="16"/>
                <w:szCs w:val="16"/>
                <w:color w:val="auto"/>
              </w:rPr>
              <w:t>Derivative assets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3"/>
              <w:spacing w:after="0"/>
              <w:rPr>
                <w:sz w:val="20"/>
                <w:szCs w:val="20"/>
                <w:color w:val="auto"/>
              </w:rPr>
            </w:pPr>
            <w:r>
              <w:rPr>
                <w:rFonts w:ascii="Arial" w:cs="Arial" w:eastAsia="Arial" w:hAnsi="Arial"/>
                <w:sz w:val="16"/>
                <w:szCs w:val="16"/>
                <w:color w:val="auto"/>
              </w:rPr>
              <w:t>3,127</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(1,864)</w:t>
            </w:r>
          </w:p>
        </w:tc>
        <w:tc>
          <w:tcPr>
            <w:tcW w:w="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(1,164)</w:t>
            </w:r>
          </w:p>
        </w:tc>
        <w:tc>
          <w:tcPr>
            <w:tcW w:w="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99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(55)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5"/>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3,451</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(1,864)</w:t>
            </w:r>
          </w:p>
        </w:tc>
        <w:tc>
          <w:tcPr>
            <w:tcW w:w="3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1,585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(1,583)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December 31, 2021</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3,128</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(1,155)</w:t>
            </w:r>
          </w:p>
        </w:tc>
        <w:tc>
          <w:tcPr>
            <w:tcW w:w="3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7"/>
        </w:trPr>
        <w:tc>
          <w:tcPr>
            <w:tcW w:w="2120" w:type="dxa"/>
            <w:vAlign w:val="bottom"/>
          </w:tcPr>
          <w:p>
            <w:pPr>
              <w:ind w:left="20"/>
              <w:spacing w:after="0"/>
              <w:rPr>
                <w:sz w:val="20"/>
                <w:szCs w:val="20"/>
                <w:color w:val="auto"/>
              </w:rPr>
            </w:pPr>
            <w:r>
              <w:rPr>
                <w:rFonts w:ascii="Arial" w:cs="Arial" w:eastAsia="Arial" w:hAnsi="Arial"/>
                <w:sz w:val="16"/>
                <w:szCs w:val="16"/>
                <w:color w:val="auto"/>
              </w:rPr>
              <w:t>Derivative liabilities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3"/>
              <w:spacing w:after="0"/>
              <w:rPr>
                <w:sz w:val="20"/>
                <w:szCs w:val="20"/>
                <w:color w:val="auto"/>
              </w:rPr>
            </w:pPr>
            <w:r>
              <w:rPr>
                <w:rFonts w:ascii="Arial" w:cs="Arial" w:eastAsia="Arial" w:hAnsi="Arial"/>
                <w:sz w:val="16"/>
                <w:szCs w:val="16"/>
                <w:color w:val="auto"/>
              </w:rPr>
              <w:t>1,632</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(1,155)</w:t>
            </w:r>
          </w:p>
        </w:tc>
        <w:tc>
          <w:tcPr>
            <w:tcW w:w="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477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(477)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amounts subject to an enforceable master netting agreement or similar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68" w:lineRule="exact"/>
        <w:rPr>
          <w:sz w:val="20"/>
          <w:szCs w:val="20"/>
          <w:color w:val="auto"/>
        </w:rPr>
      </w:pPr>
    </w:p>
    <w:p>
      <w:pPr>
        <w:ind w:left="320" w:hanging="314"/>
        <w:spacing w:after="0"/>
        <w:tabs>
          <w:tab w:leader="none" w:pos="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amount of cash collateral offset in the table above is limited to the net estimated fair value of derivatives after application of netting agreement.</w:t>
      </w:r>
    </w:p>
    <w:p>
      <w:pPr>
        <w:spacing w:after="0" w:line="145" w:lineRule="exact"/>
        <w:rPr>
          <w:rFonts w:ascii="Arial" w:cs="Arial" w:eastAsia="Arial" w:hAnsi="Arial"/>
          <w:sz w:val="15"/>
          <w:szCs w:val="15"/>
          <w:color w:val="auto"/>
        </w:rPr>
      </w:pPr>
    </w:p>
    <w:p>
      <w:pPr>
        <w:ind w:left="320" w:hanging="314"/>
        <w:spacing w:after="0" w:line="264" w:lineRule="auto"/>
        <w:tabs>
          <w:tab w:leader="none" w:pos="3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Securities collateral received from counterparties is not reported on the consolidated balance sheets and may not be sold or re-pledged unless the counterparty is in default. Amounts do not include excess of collateral pledged or received.</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aggregate estimated fair values of derivatives in a net liability position containing such credit-contingent provisions and the aggregate estimated fair value of assets posted as collateral for such instruments were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June 30, 2022</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w w:val="95"/>
              </w:rPr>
              <w:t>December 31, 2021</w:t>
            </w:r>
          </w:p>
        </w:tc>
      </w:tr>
      <w:tr>
        <w:trPr>
          <w:trHeight w:val="183"/>
        </w:trPr>
        <w:tc>
          <w:tcPr>
            <w:tcW w:w="7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60" w:type="dxa"/>
            <w:vAlign w:val="bottom"/>
            <w:gridSpan w:val="3"/>
          </w:tcPr>
          <w:p>
            <w:pPr>
              <w:jc w:val="right"/>
              <w:ind w:right="1263"/>
              <w:spacing w:after="0"/>
              <w:rPr>
                <w:sz w:val="20"/>
                <w:szCs w:val="20"/>
                <w:color w:val="auto"/>
              </w:rPr>
            </w:pPr>
            <w:r>
              <w:rPr>
                <w:rFonts w:ascii="Arial" w:cs="Arial" w:eastAsia="Arial" w:hAnsi="Arial"/>
                <w:sz w:val="14"/>
                <w:szCs w:val="14"/>
                <w:b w:val="1"/>
                <w:bCs w:val="1"/>
                <w:color w:val="auto"/>
              </w:rPr>
              <w:t>(In millions)</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fair value of derivatives in a net liability position (1)</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1,587</w:t>
            </w: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Estimated Fair Value of Collateral Provided (2):</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3,115</w:t>
            </w: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After taking into consideration the existence of netting agreements.</w:t>
      </w:r>
    </w:p>
    <w:p>
      <w:pPr>
        <w:spacing w:after="0" w:line="111" w:lineRule="exact"/>
        <w:rPr>
          <w:rFonts w:ascii="Arial" w:cs="Arial" w:eastAsia="Arial" w:hAnsi="Arial"/>
          <w:sz w:val="18"/>
          <w:szCs w:val="18"/>
          <w:color w:val="auto"/>
        </w:rPr>
      </w:pPr>
    </w:p>
    <w:p>
      <w:pPr>
        <w:jc w:val="both"/>
        <w:ind w:left="320" w:hanging="314"/>
        <w:spacing w:after="0" w:line="255" w:lineRule="auto"/>
        <w:tabs>
          <w:tab w:leader="none" w:pos="3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92"/>
        </w:trPr>
        <w:tc>
          <w:tcPr>
            <w:tcW w:w="55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Fair Value Hierarchy</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61"/>
              <w:spacing w:after="0"/>
              <w:rPr>
                <w:sz w:val="20"/>
                <w:szCs w:val="20"/>
                <w:color w:val="auto"/>
              </w:rPr>
            </w:pPr>
            <w:r>
              <w:rPr>
                <w:rFonts w:ascii="Arial" w:cs="Arial" w:eastAsia="Arial" w:hAnsi="Arial"/>
                <w:sz w:val="14"/>
                <w:szCs w:val="14"/>
                <w:b w:val="1"/>
                <w:bCs w:val="1"/>
                <w:color w:val="auto"/>
                <w:w w:val="97"/>
              </w:rPr>
              <w:t>Total Estimated</w:t>
            </w:r>
          </w:p>
        </w:tc>
      </w:tr>
      <w:tr>
        <w:trPr>
          <w:trHeight w:val="197"/>
        </w:trPr>
        <w:tc>
          <w:tcPr>
            <w:tcW w:w="550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Fair Value</w:t>
            </w:r>
          </w:p>
        </w:tc>
      </w:tr>
      <w:tr>
        <w:trPr>
          <w:trHeight w:val="179"/>
        </w:trPr>
        <w:tc>
          <w:tcPr>
            <w:tcW w:w="5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3"/>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Fixed maturity securities:</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corporate</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32,342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33,472</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Foreign corporate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9,967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10,547</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and agency</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4,687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4,920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9,607</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RMBS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8,276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8,343</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CMBS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6,680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6,714</w:t>
            </w: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State and political subdivision</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4,049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4,049</w:t>
            </w: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4,440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4,684</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Foreign government</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1,190</w:t>
            </w:r>
          </w:p>
        </w:tc>
      </w:tr>
      <w:tr>
        <w:trPr>
          <w:trHeight w:val="208"/>
        </w:trPr>
        <w:tc>
          <w:tcPr>
            <w:tcW w:w="55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fixed maturity securities</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4,687</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71,824</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78,606</w:t>
            </w:r>
          </w:p>
        </w:tc>
      </w:tr>
      <w:tr>
        <w:trPr>
          <w:trHeight w:val="203"/>
        </w:trPr>
        <w:tc>
          <w:tcPr>
            <w:tcW w:w="550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Derivative assets: (1)</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697</w:t>
            </w: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market</w:t>
            </w: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1,966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1,975</w:t>
            </w:r>
          </w:p>
        </w:tc>
      </w:tr>
      <w:tr>
        <w:trPr>
          <w:trHeight w:val="208"/>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derivative assets</w:t>
            </w: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3,052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3,095</w:t>
            </w:r>
          </w:p>
        </w:tc>
      </w:tr>
      <w:tr>
        <w:trPr>
          <w:trHeight w:val="203"/>
        </w:trPr>
        <w:tc>
          <w:tcPr>
            <w:tcW w:w="5500" w:type="dxa"/>
            <w:vAlign w:val="bottom"/>
          </w:tcPr>
          <w:p>
            <w:pPr>
              <w:ind w:left="20"/>
              <w:spacing w:after="0"/>
              <w:rPr>
                <w:sz w:val="20"/>
                <w:szCs w:val="20"/>
                <w:color w:val="auto"/>
              </w:rPr>
            </w:pPr>
            <w:r>
              <w:rPr>
                <w:rFonts w:ascii="Arial" w:cs="Arial" w:eastAsia="Arial" w:hAnsi="Arial"/>
                <w:sz w:val="16"/>
                <w:szCs w:val="16"/>
                <w:color w:val="auto"/>
              </w:rPr>
              <w:t>Embedded derivatives within asset host contracts (2)</w:t>
            </w:r>
          </w:p>
        </w:tc>
        <w:tc>
          <w:tcPr>
            <w:tcW w:w="86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12"/>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Separate account assets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88,813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88,843</w:t>
            </w:r>
          </w:p>
        </w:tc>
      </w:tr>
      <w:tr>
        <w:trPr>
          <w:trHeight w:val="208"/>
        </w:trPr>
        <w:tc>
          <w:tcPr>
            <w:tcW w:w="550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5,235</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164,160</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171,692</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8"/>
        </w:trPr>
        <w:tc>
          <w:tcPr>
            <w:tcW w:w="55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Liabilities</w:t>
            </w:r>
          </w:p>
        </w:tc>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Derivative liabilities: (1)</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1,757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market</w:t>
            </w: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1,663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1,664</w:t>
            </w:r>
          </w:p>
        </w:tc>
      </w:tr>
      <w:tr>
        <w:trPr>
          <w:trHeight w:val="208"/>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derivative liabilities</w:t>
            </w: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3,429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3,434</w:t>
            </w:r>
          </w:p>
        </w:tc>
      </w:tr>
      <w:tr>
        <w:trPr>
          <w:trHeight w:val="20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 derivatives within liability host contracts (2)</w:t>
            </w: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4,577</w:t>
            </w:r>
          </w:p>
        </w:tc>
      </w:tr>
      <w:tr>
        <w:trPr>
          <w:trHeight w:val="228"/>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8,011</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92"/>
        </w:trPr>
        <w:tc>
          <w:tcPr>
            <w:tcW w:w="55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Fair Value Hierarchy</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61"/>
              <w:spacing w:after="0"/>
              <w:rPr>
                <w:sz w:val="20"/>
                <w:szCs w:val="20"/>
                <w:color w:val="auto"/>
              </w:rPr>
            </w:pPr>
            <w:r>
              <w:rPr>
                <w:rFonts w:ascii="Arial" w:cs="Arial" w:eastAsia="Arial" w:hAnsi="Arial"/>
                <w:sz w:val="14"/>
                <w:szCs w:val="14"/>
                <w:b w:val="1"/>
                <w:bCs w:val="1"/>
                <w:color w:val="auto"/>
                <w:w w:val="97"/>
              </w:rPr>
              <w:t>Total Estimated</w:t>
            </w:r>
          </w:p>
        </w:tc>
      </w:tr>
      <w:tr>
        <w:trPr>
          <w:trHeight w:val="197"/>
        </w:trPr>
        <w:tc>
          <w:tcPr>
            <w:tcW w:w="550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Fair Value</w:t>
            </w:r>
          </w:p>
        </w:tc>
      </w:tr>
      <w:tr>
        <w:trPr>
          <w:trHeight w:val="179"/>
        </w:trPr>
        <w:tc>
          <w:tcPr>
            <w:tcW w:w="5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3"/>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Fixed maturity securities:</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corporate</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38,176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39,081</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Foreign corporate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11,212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11,706</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and agency</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3,236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9,307</w:t>
            </w: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RMBS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9,247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9,259</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CMBS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7,282</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State and political subdivision</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4,835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4,835</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4,115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4,280</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Foreign government</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1,832</w:t>
            </w:r>
          </w:p>
        </w:tc>
      </w:tr>
      <w:tr>
        <w:trPr>
          <w:trHeight w:val="208"/>
        </w:trPr>
        <w:tc>
          <w:tcPr>
            <w:tcW w:w="55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fixed maturity securities</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3,236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82,701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87,582</w:t>
            </w:r>
          </w:p>
        </w:tc>
      </w:tr>
      <w:tr>
        <w:trPr>
          <w:trHeight w:val="203"/>
        </w:trPr>
        <w:tc>
          <w:tcPr>
            <w:tcW w:w="550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1,503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w:t>
            </w: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Derivative assets: (1)</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328</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market</w:t>
            </w: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1,649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1,665</w:t>
            </w:r>
          </w:p>
        </w:tc>
      </w:tr>
      <w:tr>
        <w:trPr>
          <w:trHeight w:val="208"/>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derivative assets</w:t>
            </w: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3,088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3,126</w:t>
            </w:r>
          </w:p>
        </w:tc>
      </w:tr>
      <w:tr>
        <w:trPr>
          <w:trHeight w:val="203"/>
        </w:trPr>
        <w:tc>
          <w:tcPr>
            <w:tcW w:w="5500" w:type="dxa"/>
            <w:vAlign w:val="bottom"/>
          </w:tcPr>
          <w:p>
            <w:pPr>
              <w:ind w:left="20"/>
              <w:spacing w:after="0"/>
              <w:rPr>
                <w:sz w:val="20"/>
                <w:szCs w:val="20"/>
                <w:color w:val="auto"/>
              </w:rPr>
            </w:pPr>
            <w:r>
              <w:rPr>
                <w:rFonts w:ascii="Arial" w:cs="Arial" w:eastAsia="Arial" w:hAnsi="Arial"/>
                <w:sz w:val="16"/>
                <w:szCs w:val="16"/>
                <w:color w:val="auto"/>
              </w:rPr>
              <w:t>Embedded derivatives within asset host contracts (2)</w:t>
            </w:r>
          </w:p>
        </w:tc>
        <w:tc>
          <w:tcPr>
            <w:tcW w:w="86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2"/>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Separate account assets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114,423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114,464</w:t>
            </w:r>
          </w:p>
        </w:tc>
      </w:tr>
      <w:tr>
        <w:trPr>
          <w:trHeight w:val="208"/>
        </w:trPr>
        <w:tc>
          <w:tcPr>
            <w:tcW w:w="550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4,807</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200,609</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207,300</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9"/>
        </w:trPr>
        <w:tc>
          <w:tcPr>
            <w:tcW w:w="55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Liabilities</w:t>
            </w:r>
          </w:p>
        </w:tc>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Derivative liabilities: (1)</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market</w:t>
            </w: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1,465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w:t>
            </w:r>
          </w:p>
        </w:tc>
      </w:tr>
      <w:tr>
        <w:trPr>
          <w:trHeight w:val="208"/>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derivative liabilities</w:t>
            </w: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1,642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w:t>
            </w:r>
          </w:p>
        </w:tc>
      </w:tr>
      <w:tr>
        <w:trPr>
          <w:trHeight w:val="20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 derivatives within liability host contracts (2)</w:t>
            </w: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8,496</w:t>
            </w:r>
          </w:p>
        </w:tc>
      </w:tr>
      <w:tr>
        <w:trPr>
          <w:trHeight w:val="228"/>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Derivative assets are presented within other invested assets on the consolidated balance sheets and derivative liabilities are presented within other liabilities on the consolidated balance sheets. The amounts are presented gross in the tables above to reflect the presentation on the consolidated balance sheets.</w:t>
      </w:r>
    </w:p>
    <w:p>
      <w:pPr>
        <w:spacing w:after="0" w:line="82" w:lineRule="exact"/>
        <w:rPr>
          <w:rFonts w:ascii="Arial" w:cs="Arial" w:eastAsia="Arial" w:hAnsi="Arial"/>
          <w:sz w:val="18"/>
          <w:szCs w:val="18"/>
          <w:color w:val="auto"/>
        </w:rPr>
      </w:pPr>
    </w:p>
    <w:p>
      <w:pPr>
        <w:ind w:left="320" w:hanging="314"/>
        <w:spacing w:after="0" w:line="365" w:lineRule="auto"/>
        <w:tabs>
          <w:tab w:leader="none" w:pos="314" w:val="left"/>
        </w:tabs>
        <w:numPr>
          <w:ilvl w:val="0"/>
          <w:numId w:val="21"/>
        </w:numPr>
        <w:rPr>
          <w:rFonts w:ascii="Arial" w:cs="Arial" w:eastAsia="Arial" w:hAnsi="Arial"/>
          <w:sz w:val="15"/>
          <w:szCs w:val="15"/>
          <w:color w:val="auto"/>
        </w:rPr>
      </w:pPr>
      <w:r>
        <w:rPr>
          <w:rFonts w:ascii="Arial" w:cs="Arial" w:eastAsia="Arial" w:hAnsi="Arial"/>
          <w:sz w:val="15"/>
          <w:szCs w:val="15"/>
          <w:color w:val="auto"/>
        </w:rPr>
        <w:t>Embedded derivatives within asset host contracts are presented within premiums, reinsurance and other receivables on the consolidated balance sheets. Embedded derivatives within liability host contracts are presented within policyholder account balances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Valuation Controls and Procedures</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Brighthouse Financial’s Board of Directors regarding compliance with fair value accounting standards.</w:t>
      </w:r>
    </w:p>
    <w:p>
      <w:pPr>
        <w:spacing w:after="0" w:line="90"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7"/>
          <w:szCs w:val="17"/>
          <w:color w:val="auto"/>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spacing w:after="0" w:line="79"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spacing w:after="0" w:line="85"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Additional controls are performed, such as, balance sheet analytics to assess reasonableness of period-to-period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six months ended June 30, 2022.</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Determination of Fair Value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Fixed Maturity Securities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fair values for actively traded marketable bonds, primarily U.S. government and agency securities, are determined using the quoted market prices and are classified as Level 1 assets. For fixed maturity securities classified as Level 2 assets, fair values are determined using either a market or income approach and are valued based on a variety of observable inputs as described below.</w:t>
      </w:r>
    </w:p>
    <w:p>
      <w:pPr>
        <w:spacing w:after="0" w:line="135"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i w:val="1"/>
          <w:iCs w:val="1"/>
          <w:color w:val="auto"/>
        </w:rPr>
        <w:t xml:space="preserve">U.S. corporate and foreign corporate securities: </w:t>
      </w:r>
      <w:r>
        <w:rPr>
          <w:rFonts w:ascii="Arial" w:cs="Arial" w:eastAsia="Arial" w:hAnsi="Arial"/>
          <w:sz w:val="18"/>
          <w:szCs w:val="18"/>
          <w:color w:val="auto"/>
        </w:rPr>
        <w:t>Fair value is determined using third-party commercial pricing services, with the primary inputs</w:t>
      </w:r>
      <w:r>
        <w:rPr>
          <w:rFonts w:ascii="Arial" w:cs="Arial" w:eastAsia="Arial" w:hAnsi="Arial"/>
          <w:sz w:val="18"/>
          <w:szCs w:val="18"/>
          <w:i w:val="1"/>
          <w:iCs w:val="1"/>
          <w:color w:val="auto"/>
        </w:rPr>
        <w:t xml:space="preserve"> </w:t>
      </w:r>
      <w:r>
        <w:rPr>
          <w:rFonts w:ascii="Arial" w:cs="Arial" w:eastAsia="Arial" w:hAnsi="Arial"/>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4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i w:val="1"/>
          <w:iCs w:val="1"/>
          <w:color w:val="auto"/>
        </w:rPr>
        <w:t xml:space="preserve">U.S. government and agency, state and political subdivision and foreign government securities: </w:t>
      </w:r>
      <w:r>
        <w:rPr>
          <w:rFonts w:ascii="Arial" w:cs="Arial" w:eastAsia="Arial" w:hAnsi="Arial"/>
          <w:sz w:val="18"/>
          <w:szCs w:val="18"/>
          <w:color w:val="auto"/>
        </w:rPr>
        <w:t>Fair value is determined using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320" w:firstLine="318"/>
        <w:spacing w:after="0" w:line="268" w:lineRule="auto"/>
        <w:rPr>
          <w:sz w:val="20"/>
          <w:szCs w:val="20"/>
          <w:color w:val="auto"/>
        </w:rPr>
      </w:pPr>
      <w:r>
        <w:rPr>
          <w:rFonts w:ascii="Arial" w:cs="Arial" w:eastAsia="Arial" w:hAnsi="Arial"/>
          <w:sz w:val="17"/>
          <w:szCs w:val="17"/>
          <w:i w:val="1"/>
          <w:iCs w:val="1"/>
          <w:color w:val="auto"/>
        </w:rPr>
        <w:t xml:space="preserve">Structured Securities: </w:t>
      </w:r>
      <w:r>
        <w:rPr>
          <w:rFonts w:ascii="Arial" w:cs="Arial" w:eastAsia="Arial" w:hAnsi="Arial"/>
          <w:sz w:val="17"/>
          <w:szCs w:val="17"/>
          <w:color w:val="auto"/>
        </w:rPr>
        <w:t>Fair value is determined using third-party commercial pricing services, with the primary inputs being quoted prices in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Equity Securities and Short-term Investments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spacing w:after="0" w:line="135"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i w:val="1"/>
          <w:iCs w:val="1"/>
          <w:color w:val="auto"/>
        </w:rPr>
        <w:t xml:space="preserve">Equity securities and short-term investments: </w:t>
      </w:r>
      <w:r>
        <w:rPr>
          <w:rFonts w:ascii="Arial" w:cs="Arial" w:eastAsia="Arial" w:hAnsi="Arial"/>
          <w:sz w:val="18"/>
          <w:szCs w:val="18"/>
          <w:color w:val="auto"/>
        </w:rPr>
        <w:t>Fair value is determined using third-party commercial pricing services, with the primary input being</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in markets that are not active.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Derivatives</w:t>
      </w:r>
    </w:p>
    <w:p>
      <w:pPr>
        <w:spacing w:after="0" w:line="11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w:t>
      </w:r>
    </w:p>
    <w:p>
      <w:pPr>
        <w:spacing w:after="0" w:line="85"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fair values for exchange-traded derivatives are determined using the quoted market prices and are classified as Level 1 assets.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85"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90" w:lineRule="exact"/>
        <w:rPr>
          <w:sz w:val="20"/>
          <w:szCs w:val="20"/>
          <w:color w:val="auto"/>
        </w:rPr>
      </w:pPr>
    </w:p>
    <w:p>
      <w:pPr>
        <w:jc w:val="both"/>
        <w:ind w:left="320" w:firstLine="318"/>
        <w:spacing w:after="0" w:line="277" w:lineRule="auto"/>
        <w:rPr>
          <w:sz w:val="20"/>
          <w:szCs w:val="20"/>
          <w:color w:val="auto"/>
        </w:rPr>
      </w:pPr>
      <w:r>
        <w:rPr>
          <w:rFonts w:ascii="Arial" w:cs="Arial" w:eastAsia="Arial" w:hAnsi="Arial"/>
          <w:sz w:val="17"/>
          <w:szCs w:val="17"/>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65"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7"/>
          <w:szCs w:val="17"/>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Embedded Derivatives</w:t>
      </w:r>
    </w:p>
    <w:p>
      <w:pPr>
        <w:spacing w:after="0" w:line="111" w:lineRule="exact"/>
        <w:rPr>
          <w:sz w:val="20"/>
          <w:szCs w:val="20"/>
          <w:color w:val="auto"/>
        </w:rPr>
      </w:pPr>
    </w:p>
    <w:p>
      <w:pPr>
        <w:jc w:val="both"/>
        <w:ind w:left="320" w:firstLine="318"/>
        <w:spacing w:after="0" w:line="294" w:lineRule="auto"/>
        <w:rPr>
          <w:sz w:val="20"/>
          <w:szCs w:val="20"/>
          <w:color w:val="auto"/>
        </w:rPr>
      </w:pPr>
      <w:r>
        <w:rPr>
          <w:rFonts w:ascii="Arial" w:cs="Arial" w:eastAsia="Arial" w:hAnsi="Arial"/>
          <w:sz w:val="17"/>
          <w:szCs w:val="17"/>
          <w:color w:val="auto"/>
        </w:rPr>
        <w:t>Embedded derivatives principally include certain direct and ceded variable annuity guarantees and equity crediting rates within index-linked annuity contracts. Embedded derivatives are recorded at estimated fair value with changes in estimated fair value reported in net income.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68"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The Company issues certain variable annuity products with guaranteed minimum benefits. Guaranteed minimum accumulation benefits (“GMAB”), the non-life contingent portion of GMWBs and certain portions of GMIBs are accounted for as embedded derivatives and measured at estimated fair value separately from the host variable annuity contract. These embedded derivatives are classified within policyholder account balances on the consolidated balance sheets, with changes in estimated fair value reported in net derivative gains (losses).</w:t>
      </w:r>
    </w:p>
    <w:p>
      <w:pPr>
        <w:spacing w:after="0" w:line="7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The Company determines the fair value of these embedded derivatives by estimating the present value of projected future benefits minus the present value of projected future fees using actuarial and capital markets assumptions including expectations of policyholder behavior. The calculation is based on in-force business and is performed using standard actuarial valuation software which projects future cash flows from the embedded derivative over multiple risk neutral stochastic scenarios using observable risk-free rates. The percentage of fees included in the initial fair value measurement is not updated in subsequent periods.</w:t>
      </w:r>
    </w:p>
    <w:p>
      <w:pPr>
        <w:spacing w:after="0" w:line="88"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Capital markets assumptions, such as risk-free rates and implied volatilities, are based on market prices for publicly-traded instruments to the extent that prices for such instruments are observable. Implied volatilities beyond the observable period are extrapolated based on observable implied volatilities and historical volatilities. Actuarial assumptions, including mortality, lapse, withdrawal and utilization, are unobservable and are reviewed at least annually based on actuarial studies of historical experience.</w:t>
      </w:r>
    </w:p>
    <w:p>
      <w:pPr>
        <w:spacing w:after="0" w:line="85"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valuation of these guarantee liabilities includes nonperformance risk adjustments and adjustments for a risk margin related to non-capital markets inputs. The nonperformance adjustment is determined by taking into consideration publicly available information relating to spreads in the secondary market for BHF’s debt. These observable spreads are then adjusted to reflect the priority of these liabilities and claims-paying ability of the issuing insurance subsidiaries as compared to BHF’s overall financial strength.</w:t>
      </w:r>
    </w:p>
    <w:p>
      <w:pPr>
        <w:spacing w:after="0" w:line="85"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Risk margins are established to capture the non-capital markets risks of the instrument which represent the additional compensation a market participant would require to assume the risks related to the uncertainties of such actuarial assumptions as annuitization, premium persistency, partial withdrawal and surrenders. The establishment of risk margins requires the use of significant management judgment, including assumptions of the amount and cost of capital needed to cover the guarantees.</w:t>
      </w:r>
    </w:p>
    <w:p>
      <w:pPr>
        <w:spacing w:after="0" w:line="85"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Company issues and assumes through reinsurance index-linked annuities which allow the policyholder to participate in returns from equity indices. The crediting rates associated with these features are embedded derivatives which are measured at estimated fair value separately from the host fixed annuity contract, with changes in estimated fair value reported in net derivative gains (losses). These embedded derivatives are classified within policyholder account balances on the consolidated balance sheets.</w:t>
      </w:r>
    </w:p>
    <w:p>
      <w:pPr>
        <w:spacing w:after="0" w:line="85"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Transfers Into or Out of Level 3:</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Assets and Liabilities Measured at Fair Value Using Significant Unobservable Inputs (Level 3)</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June 30, 2022</w:t>
            </w:r>
          </w:p>
        </w:tc>
        <w:tc>
          <w:tcPr>
            <w:tcW w:w="1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December 31, 2021</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Impact of</w:t>
            </w:r>
          </w:p>
        </w:tc>
        <w:tc>
          <w:tcPr>
            <w:tcW w:w="0" w:type="dxa"/>
            <w:vAlign w:val="bottom"/>
          </w:tcPr>
          <w:p>
            <w:pPr>
              <w:spacing w:after="0"/>
              <w:rPr>
                <w:sz w:val="1"/>
                <w:szCs w:val="1"/>
                <w:color w:val="auto"/>
              </w:rPr>
            </w:pPr>
          </w:p>
        </w:tc>
      </w:tr>
      <w:tr>
        <w:trPr>
          <w:trHeight w:val="53"/>
        </w:trPr>
        <w:tc>
          <w:tcPr>
            <w:tcW w:w="25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Significant</w:t>
            </w:r>
          </w:p>
        </w:tc>
        <w:tc>
          <w:tcPr>
            <w:tcW w:w="6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rPr>
              <w:t>Increase in Input</w:t>
            </w: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540" w:type="dxa"/>
            <w:vAlign w:val="bottom"/>
          </w:tcPr>
          <w:p>
            <w:pPr>
              <w:spacing w:after="0"/>
              <w:rPr>
                <w:sz w:val="11"/>
                <w:szCs w:val="11"/>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Valuation Techniques</w:t>
            </w:r>
          </w:p>
        </w:tc>
        <w:tc>
          <w:tcPr>
            <w:tcW w:w="12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on Estimated</w:t>
            </w:r>
          </w:p>
        </w:tc>
        <w:tc>
          <w:tcPr>
            <w:tcW w:w="0" w:type="dxa"/>
            <w:vAlign w:val="bottom"/>
          </w:tcPr>
          <w:p>
            <w:pPr>
              <w:spacing w:after="0"/>
              <w:rPr>
                <w:sz w:val="1"/>
                <w:szCs w:val="1"/>
                <w:color w:val="auto"/>
              </w:rPr>
            </w:pPr>
          </w:p>
        </w:tc>
      </w:tr>
      <w:tr>
        <w:trPr>
          <w:trHeight w:val="185"/>
        </w:trPr>
        <w:tc>
          <w:tcPr>
            <w:tcW w:w="25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Unobservable Inputs</w:t>
            </w:r>
          </w:p>
        </w:tc>
        <w:tc>
          <w:tcPr>
            <w:tcW w:w="6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66"/>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Embedded derivatives</w:t>
            </w:r>
          </w:p>
        </w:tc>
        <w:tc>
          <w:tcPr>
            <w:tcW w:w="14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40" w:type="dxa"/>
            <w:vAlign w:val="bottom"/>
          </w:tcPr>
          <w:p>
            <w:pPr>
              <w:ind w:left="20"/>
              <w:spacing w:after="0" w:line="133" w:lineRule="exact"/>
              <w:rPr>
                <w:sz w:val="20"/>
                <w:szCs w:val="20"/>
                <w:color w:val="auto"/>
              </w:rPr>
            </w:pPr>
            <w:r>
              <w:rPr>
                <w:rFonts w:ascii="Arial" w:cs="Arial" w:eastAsia="Arial" w:hAnsi="Arial"/>
                <w:sz w:val="14"/>
                <w:szCs w:val="14"/>
                <w:color w:val="auto"/>
              </w:rPr>
              <w:t>Direct, assumed and ceded guaranteed</w:t>
            </w:r>
          </w:p>
        </w:tc>
        <w:tc>
          <w:tcPr>
            <w:tcW w:w="158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Option pricing</w:t>
            </w: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540" w:type="dxa"/>
            <w:vAlign w:val="bottom"/>
          </w:tcPr>
          <w:p>
            <w:pPr>
              <w:ind w:left="180"/>
              <w:spacing w:after="0"/>
              <w:rPr>
                <w:sz w:val="20"/>
                <w:szCs w:val="20"/>
                <w:color w:val="auto"/>
              </w:rPr>
            </w:pPr>
            <w:r>
              <w:rPr>
                <w:rFonts w:ascii="Arial" w:cs="Arial" w:eastAsia="Arial" w:hAnsi="Arial"/>
                <w:sz w:val="14"/>
                <w:szCs w:val="14"/>
                <w:color w:val="auto"/>
              </w:rPr>
              <w:t>minimum benefits</w:t>
            </w:r>
          </w:p>
        </w:tc>
        <w:tc>
          <w:tcPr>
            <w:tcW w:w="1580" w:type="dxa"/>
            <w:vAlign w:val="bottom"/>
            <w:gridSpan w:val="2"/>
          </w:tcPr>
          <w:p>
            <w:pPr>
              <w:ind w:left="340"/>
              <w:spacing w:after="0"/>
              <w:rPr>
                <w:sz w:val="20"/>
                <w:szCs w:val="20"/>
                <w:color w:val="auto"/>
              </w:rPr>
            </w:pPr>
            <w:r>
              <w:rPr>
                <w:rFonts w:ascii="Arial" w:cs="Arial" w:eastAsia="Arial" w:hAnsi="Arial"/>
                <w:sz w:val="14"/>
                <w:szCs w:val="14"/>
                <w:color w:val="auto"/>
              </w:rPr>
              <w:t>techniques</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tcPr>
          <w:p>
            <w:pPr>
              <w:ind w:left="60"/>
              <w:spacing w:after="0"/>
              <w:rPr>
                <w:sz w:val="20"/>
                <w:szCs w:val="20"/>
                <w:color w:val="auto"/>
              </w:rPr>
            </w:pPr>
            <w:r>
              <w:rPr>
                <w:rFonts w:ascii="Arial" w:cs="Arial" w:eastAsia="Arial" w:hAnsi="Arial"/>
                <w:sz w:val="14"/>
                <w:szCs w:val="14"/>
                <w:color w:val="auto"/>
              </w:rPr>
              <w:t>Mortality rates</w:t>
            </w:r>
          </w:p>
        </w:tc>
        <w:tc>
          <w:tcPr>
            <w:tcW w:w="660" w:type="dxa"/>
            <w:vAlign w:val="bottom"/>
          </w:tcPr>
          <w:p>
            <w:pPr>
              <w:jc w:val="center"/>
              <w:ind w:left="69"/>
              <w:spacing w:after="0"/>
              <w:rPr>
                <w:sz w:val="20"/>
                <w:szCs w:val="20"/>
                <w:color w:val="auto"/>
              </w:rPr>
            </w:pPr>
            <w:r>
              <w:rPr>
                <w:rFonts w:ascii="Arial" w:cs="Arial" w:eastAsia="Arial" w:hAnsi="Arial"/>
                <w:sz w:val="14"/>
                <w:szCs w:val="14"/>
                <w:color w:val="auto"/>
                <w:w w:val="90"/>
              </w:rPr>
              <w:t>0.03%</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80" w:type="dxa"/>
            <w:vAlign w:val="bottom"/>
          </w:tcPr>
          <w:p>
            <w:pPr>
              <w:jc w:val="center"/>
              <w:ind w:right="89"/>
              <w:spacing w:after="0"/>
              <w:rPr>
                <w:sz w:val="20"/>
                <w:szCs w:val="20"/>
                <w:color w:val="auto"/>
              </w:rPr>
            </w:pPr>
            <w:r>
              <w:rPr>
                <w:rFonts w:ascii="Arial" w:cs="Arial" w:eastAsia="Arial" w:hAnsi="Arial"/>
                <w:sz w:val="14"/>
                <w:szCs w:val="14"/>
                <w:color w:val="auto"/>
                <w:w w:val="92"/>
              </w:rPr>
              <w:t>12.62%</w:t>
            </w:r>
          </w:p>
        </w:tc>
        <w:tc>
          <w:tcPr>
            <w:tcW w:w="100" w:type="dxa"/>
            <w:vAlign w:val="bottom"/>
          </w:tcPr>
          <w:p>
            <w:pPr>
              <w:spacing w:after="0"/>
              <w:rPr>
                <w:sz w:val="15"/>
                <w:szCs w:val="15"/>
                <w:color w:val="auto"/>
              </w:rPr>
            </w:pPr>
          </w:p>
        </w:tc>
        <w:tc>
          <w:tcPr>
            <w:tcW w:w="680" w:type="dxa"/>
            <w:vAlign w:val="bottom"/>
          </w:tcPr>
          <w:p>
            <w:pPr>
              <w:jc w:val="center"/>
              <w:ind w:left="49"/>
              <w:spacing w:after="0"/>
              <w:rPr>
                <w:sz w:val="20"/>
                <w:szCs w:val="20"/>
                <w:color w:val="auto"/>
              </w:rPr>
            </w:pPr>
            <w:r>
              <w:rPr>
                <w:rFonts w:ascii="Arial" w:cs="Arial" w:eastAsia="Arial" w:hAnsi="Arial"/>
                <w:sz w:val="14"/>
                <w:szCs w:val="14"/>
                <w:color w:val="auto"/>
                <w:w w:val="90"/>
              </w:rPr>
              <w:t>0.03%</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80" w:type="dxa"/>
            <w:vAlign w:val="bottom"/>
          </w:tcPr>
          <w:p>
            <w:pPr>
              <w:jc w:val="center"/>
              <w:ind w:right="89"/>
              <w:spacing w:after="0"/>
              <w:rPr>
                <w:sz w:val="20"/>
                <w:szCs w:val="20"/>
                <w:color w:val="auto"/>
              </w:rPr>
            </w:pPr>
            <w:r>
              <w:rPr>
                <w:rFonts w:ascii="Arial" w:cs="Arial" w:eastAsia="Arial" w:hAnsi="Arial"/>
                <w:sz w:val="14"/>
                <w:szCs w:val="14"/>
                <w:color w:val="auto"/>
                <w:w w:val="92"/>
              </w:rPr>
              <w:t>12.62%</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8"/>
              </w:rPr>
              <w:t>Decrease (1)</w:t>
            </w:r>
          </w:p>
        </w:tc>
        <w:tc>
          <w:tcPr>
            <w:tcW w:w="0" w:type="dxa"/>
            <w:vAlign w:val="bottom"/>
          </w:tcPr>
          <w:p>
            <w:pPr>
              <w:spacing w:after="0"/>
              <w:rPr>
                <w:sz w:val="1"/>
                <w:szCs w:val="1"/>
                <w:color w:val="auto"/>
              </w:rPr>
            </w:pPr>
          </w:p>
        </w:tc>
      </w:tr>
      <w:tr>
        <w:trPr>
          <w:trHeight w:val="188"/>
        </w:trPr>
        <w:tc>
          <w:tcPr>
            <w:tcW w:w="2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Lapse rates</w:t>
            </w:r>
          </w:p>
        </w:tc>
        <w:tc>
          <w:tcPr>
            <w:tcW w:w="66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0"/>
              </w:rPr>
              <w:t>0.30%</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center"/>
              <w:ind w:right="89"/>
              <w:spacing w:after="0"/>
              <w:rPr>
                <w:sz w:val="20"/>
                <w:szCs w:val="20"/>
                <w:color w:val="auto"/>
              </w:rPr>
            </w:pPr>
            <w:r>
              <w:rPr>
                <w:rFonts w:ascii="Arial" w:cs="Arial" w:eastAsia="Arial" w:hAnsi="Arial"/>
                <w:sz w:val="14"/>
                <w:szCs w:val="14"/>
                <w:color w:val="auto"/>
                <w:w w:val="92"/>
              </w:rPr>
              <w:t>14.50%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w w:val="90"/>
              </w:rPr>
              <w:t>0.30%</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center"/>
              <w:ind w:right="89"/>
              <w:spacing w:after="0"/>
              <w:rPr>
                <w:sz w:val="20"/>
                <w:szCs w:val="20"/>
                <w:color w:val="auto"/>
              </w:rPr>
            </w:pPr>
            <w:r>
              <w:rPr>
                <w:rFonts w:ascii="Arial" w:cs="Arial" w:eastAsia="Arial" w:hAnsi="Arial"/>
                <w:sz w:val="14"/>
                <w:szCs w:val="14"/>
                <w:color w:val="auto"/>
                <w:w w:val="92"/>
              </w:rPr>
              <w:t>14.50%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Decrease (2)</w:t>
            </w:r>
          </w:p>
        </w:tc>
        <w:tc>
          <w:tcPr>
            <w:tcW w:w="0" w:type="dxa"/>
            <w:vAlign w:val="bottom"/>
          </w:tcPr>
          <w:p>
            <w:pPr>
              <w:spacing w:after="0"/>
              <w:rPr>
                <w:sz w:val="1"/>
                <w:szCs w:val="1"/>
                <w:color w:val="auto"/>
              </w:rPr>
            </w:pPr>
          </w:p>
        </w:tc>
      </w:tr>
      <w:tr>
        <w:trPr>
          <w:trHeight w:val="183"/>
        </w:trPr>
        <w:tc>
          <w:tcPr>
            <w:tcW w:w="2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tcPr>
          <w:p>
            <w:pPr>
              <w:ind w:left="60"/>
              <w:spacing w:after="0"/>
              <w:rPr>
                <w:sz w:val="20"/>
                <w:szCs w:val="20"/>
                <w:color w:val="auto"/>
              </w:rPr>
            </w:pPr>
            <w:r>
              <w:rPr>
                <w:rFonts w:ascii="Arial" w:cs="Arial" w:eastAsia="Arial" w:hAnsi="Arial"/>
                <w:sz w:val="14"/>
                <w:szCs w:val="14"/>
                <w:color w:val="auto"/>
              </w:rPr>
              <w:t>Utilization rates</w:t>
            </w:r>
          </w:p>
        </w:tc>
        <w:tc>
          <w:tcPr>
            <w:tcW w:w="660" w:type="dxa"/>
            <w:vAlign w:val="bottom"/>
          </w:tcPr>
          <w:p>
            <w:pPr>
              <w:jc w:val="center"/>
              <w:ind w:left="69"/>
              <w:spacing w:after="0"/>
              <w:rPr>
                <w:sz w:val="20"/>
                <w:szCs w:val="20"/>
                <w:color w:val="auto"/>
              </w:rPr>
            </w:pPr>
            <w:r>
              <w:rPr>
                <w:rFonts w:ascii="Arial" w:cs="Arial" w:eastAsia="Arial" w:hAnsi="Arial"/>
                <w:sz w:val="14"/>
                <w:szCs w:val="14"/>
                <w:color w:val="auto"/>
                <w:w w:val="90"/>
              </w:rPr>
              <w:t>0.00%</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80" w:type="dxa"/>
            <w:vAlign w:val="bottom"/>
          </w:tcPr>
          <w:p>
            <w:pPr>
              <w:jc w:val="center"/>
              <w:ind w:right="89"/>
              <w:spacing w:after="0"/>
              <w:rPr>
                <w:sz w:val="20"/>
                <w:szCs w:val="20"/>
                <w:color w:val="auto"/>
              </w:rPr>
            </w:pPr>
            <w:r>
              <w:rPr>
                <w:rFonts w:ascii="Arial" w:cs="Arial" w:eastAsia="Arial" w:hAnsi="Arial"/>
                <w:sz w:val="14"/>
                <w:szCs w:val="14"/>
                <w:color w:val="auto"/>
                <w:w w:val="92"/>
              </w:rPr>
              <w:t>25.00%</w:t>
            </w:r>
          </w:p>
        </w:tc>
        <w:tc>
          <w:tcPr>
            <w:tcW w:w="100" w:type="dxa"/>
            <w:vAlign w:val="bottom"/>
          </w:tcPr>
          <w:p>
            <w:pPr>
              <w:spacing w:after="0"/>
              <w:rPr>
                <w:sz w:val="15"/>
                <w:szCs w:val="15"/>
                <w:color w:val="auto"/>
              </w:rPr>
            </w:pPr>
          </w:p>
        </w:tc>
        <w:tc>
          <w:tcPr>
            <w:tcW w:w="680" w:type="dxa"/>
            <w:vAlign w:val="bottom"/>
          </w:tcPr>
          <w:p>
            <w:pPr>
              <w:jc w:val="center"/>
              <w:ind w:left="49"/>
              <w:spacing w:after="0"/>
              <w:rPr>
                <w:sz w:val="20"/>
                <w:szCs w:val="20"/>
                <w:color w:val="auto"/>
              </w:rPr>
            </w:pPr>
            <w:r>
              <w:rPr>
                <w:rFonts w:ascii="Arial" w:cs="Arial" w:eastAsia="Arial" w:hAnsi="Arial"/>
                <w:sz w:val="14"/>
                <w:szCs w:val="14"/>
                <w:color w:val="auto"/>
                <w:w w:val="90"/>
              </w:rPr>
              <w:t>0.00%</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80" w:type="dxa"/>
            <w:vAlign w:val="bottom"/>
          </w:tcPr>
          <w:p>
            <w:pPr>
              <w:jc w:val="center"/>
              <w:ind w:right="89"/>
              <w:spacing w:after="0"/>
              <w:rPr>
                <w:sz w:val="20"/>
                <w:szCs w:val="20"/>
                <w:color w:val="auto"/>
              </w:rPr>
            </w:pPr>
            <w:r>
              <w:rPr>
                <w:rFonts w:ascii="Arial" w:cs="Arial" w:eastAsia="Arial" w:hAnsi="Arial"/>
                <w:sz w:val="14"/>
                <w:szCs w:val="14"/>
                <w:color w:val="auto"/>
                <w:w w:val="92"/>
              </w:rPr>
              <w:t>25.00%</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0"/>
              </w:rPr>
              <w:t>Increase (3)</w:t>
            </w:r>
          </w:p>
        </w:tc>
        <w:tc>
          <w:tcPr>
            <w:tcW w:w="0" w:type="dxa"/>
            <w:vAlign w:val="bottom"/>
          </w:tcPr>
          <w:p>
            <w:pPr>
              <w:spacing w:after="0"/>
              <w:rPr>
                <w:sz w:val="1"/>
                <w:szCs w:val="1"/>
                <w:color w:val="auto"/>
              </w:rPr>
            </w:pPr>
          </w:p>
        </w:tc>
      </w:tr>
      <w:tr>
        <w:trPr>
          <w:trHeight w:val="188"/>
        </w:trPr>
        <w:tc>
          <w:tcPr>
            <w:tcW w:w="2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Withdrawal rates</w:t>
            </w:r>
          </w:p>
        </w:tc>
        <w:tc>
          <w:tcPr>
            <w:tcW w:w="66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0"/>
              </w:rPr>
              <w:t>0.25%</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center"/>
              <w:ind w:right="89"/>
              <w:spacing w:after="0"/>
              <w:rPr>
                <w:sz w:val="20"/>
                <w:szCs w:val="20"/>
                <w:color w:val="auto"/>
              </w:rPr>
            </w:pPr>
            <w:r>
              <w:rPr>
                <w:rFonts w:ascii="Arial" w:cs="Arial" w:eastAsia="Arial" w:hAnsi="Arial"/>
                <w:sz w:val="14"/>
                <w:szCs w:val="14"/>
                <w:color w:val="auto"/>
                <w:w w:val="92"/>
              </w:rPr>
              <w:t>10.00%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w w:val="90"/>
              </w:rPr>
              <w:t>0.25%</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center"/>
              <w:ind w:right="89"/>
              <w:spacing w:after="0"/>
              <w:rPr>
                <w:sz w:val="20"/>
                <w:szCs w:val="20"/>
                <w:color w:val="auto"/>
              </w:rPr>
            </w:pPr>
            <w:r>
              <w:rPr>
                <w:rFonts w:ascii="Arial" w:cs="Arial" w:eastAsia="Arial" w:hAnsi="Arial"/>
                <w:sz w:val="14"/>
                <w:szCs w:val="14"/>
                <w:color w:val="auto"/>
                <w:w w:val="92"/>
              </w:rPr>
              <w:t>10.00%</w:t>
            </w:r>
          </w:p>
        </w:tc>
        <w:tc>
          <w:tcPr>
            <w:tcW w:w="154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3"/>
              </w:rPr>
              <w:t>(4)</w:t>
            </w:r>
          </w:p>
        </w:tc>
        <w:tc>
          <w:tcPr>
            <w:tcW w:w="0" w:type="dxa"/>
            <w:vAlign w:val="bottom"/>
          </w:tcPr>
          <w:p>
            <w:pPr>
              <w:spacing w:after="0"/>
              <w:rPr>
                <w:sz w:val="1"/>
                <w:szCs w:val="1"/>
                <w:color w:val="auto"/>
              </w:rPr>
            </w:pPr>
          </w:p>
        </w:tc>
      </w:tr>
      <w:tr>
        <w:trPr>
          <w:trHeight w:val="133"/>
        </w:trPr>
        <w:tc>
          <w:tcPr>
            <w:tcW w:w="25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3"/>
          </w:tcPr>
          <w:p>
            <w:pPr>
              <w:ind w:left="20"/>
              <w:spacing w:after="0" w:line="133" w:lineRule="exact"/>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Long-term equity</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ind w:left="220"/>
              <w:spacing w:after="0"/>
              <w:rPr>
                <w:sz w:val="20"/>
                <w:szCs w:val="20"/>
                <w:color w:val="auto"/>
              </w:rPr>
            </w:pPr>
            <w:r>
              <w:rPr>
                <w:rFonts w:ascii="Arial" w:cs="Arial" w:eastAsia="Arial" w:hAnsi="Arial"/>
                <w:sz w:val="14"/>
                <w:szCs w:val="14"/>
                <w:color w:val="auto"/>
              </w:rPr>
              <w:t>volatilities</w:t>
            </w:r>
          </w:p>
        </w:tc>
        <w:tc>
          <w:tcPr>
            <w:tcW w:w="660" w:type="dxa"/>
            <w:vAlign w:val="bottom"/>
          </w:tcPr>
          <w:p>
            <w:pPr>
              <w:jc w:val="center"/>
              <w:ind w:left="69"/>
              <w:spacing w:after="0"/>
              <w:rPr>
                <w:sz w:val="20"/>
                <w:szCs w:val="20"/>
                <w:color w:val="auto"/>
              </w:rPr>
            </w:pPr>
            <w:r>
              <w:rPr>
                <w:rFonts w:ascii="Arial" w:cs="Arial" w:eastAsia="Arial" w:hAnsi="Arial"/>
                <w:sz w:val="14"/>
                <w:szCs w:val="14"/>
                <w:color w:val="auto"/>
                <w:w w:val="92"/>
              </w:rPr>
              <w:t>16.44%</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80" w:type="dxa"/>
            <w:vAlign w:val="bottom"/>
          </w:tcPr>
          <w:p>
            <w:pPr>
              <w:jc w:val="center"/>
              <w:ind w:right="89"/>
              <w:spacing w:after="0"/>
              <w:rPr>
                <w:sz w:val="20"/>
                <w:szCs w:val="20"/>
                <w:color w:val="auto"/>
              </w:rPr>
            </w:pPr>
            <w:r>
              <w:rPr>
                <w:rFonts w:ascii="Arial" w:cs="Arial" w:eastAsia="Arial" w:hAnsi="Arial"/>
                <w:sz w:val="14"/>
                <w:szCs w:val="14"/>
                <w:color w:val="auto"/>
                <w:w w:val="92"/>
              </w:rPr>
              <w:t>22.16%</w:t>
            </w:r>
          </w:p>
        </w:tc>
        <w:tc>
          <w:tcPr>
            <w:tcW w:w="100" w:type="dxa"/>
            <w:vAlign w:val="bottom"/>
          </w:tcPr>
          <w:p>
            <w:pPr>
              <w:spacing w:after="0"/>
              <w:rPr>
                <w:sz w:val="15"/>
                <w:szCs w:val="15"/>
                <w:color w:val="auto"/>
              </w:rPr>
            </w:pPr>
          </w:p>
        </w:tc>
        <w:tc>
          <w:tcPr>
            <w:tcW w:w="680" w:type="dxa"/>
            <w:vAlign w:val="bottom"/>
          </w:tcPr>
          <w:p>
            <w:pPr>
              <w:jc w:val="center"/>
              <w:ind w:left="49"/>
              <w:spacing w:after="0"/>
              <w:rPr>
                <w:sz w:val="20"/>
                <w:szCs w:val="20"/>
                <w:color w:val="auto"/>
              </w:rPr>
            </w:pPr>
            <w:r>
              <w:rPr>
                <w:rFonts w:ascii="Arial" w:cs="Arial" w:eastAsia="Arial" w:hAnsi="Arial"/>
                <w:sz w:val="14"/>
                <w:szCs w:val="14"/>
                <w:color w:val="auto"/>
                <w:w w:val="92"/>
              </w:rPr>
              <w:t>16.44%</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80" w:type="dxa"/>
            <w:vAlign w:val="bottom"/>
          </w:tcPr>
          <w:p>
            <w:pPr>
              <w:jc w:val="center"/>
              <w:ind w:right="89"/>
              <w:spacing w:after="0"/>
              <w:rPr>
                <w:sz w:val="20"/>
                <w:szCs w:val="20"/>
                <w:color w:val="auto"/>
              </w:rPr>
            </w:pPr>
            <w:r>
              <w:rPr>
                <w:rFonts w:ascii="Arial" w:cs="Arial" w:eastAsia="Arial" w:hAnsi="Arial"/>
                <w:sz w:val="14"/>
                <w:szCs w:val="14"/>
                <w:color w:val="auto"/>
                <w:w w:val="92"/>
              </w:rPr>
              <w:t>22.16%</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0"/>
              </w:rPr>
              <w:t>Increase (5)</w:t>
            </w:r>
          </w:p>
        </w:tc>
        <w:tc>
          <w:tcPr>
            <w:tcW w:w="0" w:type="dxa"/>
            <w:vAlign w:val="bottom"/>
          </w:tcPr>
          <w:p>
            <w:pPr>
              <w:spacing w:after="0"/>
              <w:rPr>
                <w:sz w:val="1"/>
                <w:szCs w:val="1"/>
                <w:color w:val="auto"/>
              </w:rPr>
            </w:pPr>
          </w:p>
        </w:tc>
      </w:tr>
      <w:tr>
        <w:trPr>
          <w:trHeight w:val="135"/>
        </w:trPr>
        <w:tc>
          <w:tcPr>
            <w:tcW w:w="254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w:t>
            </w:r>
          </w:p>
        </w:tc>
        <w:tc>
          <w:tcPr>
            <w:tcW w:w="17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4"/>
                <w:szCs w:val="14"/>
                <w:color w:val="auto"/>
              </w:rPr>
              <w:t>Nonperformance risk</w:t>
            </w: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spread</w:t>
            </w:r>
          </w:p>
        </w:tc>
        <w:tc>
          <w:tcPr>
            <w:tcW w:w="66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0"/>
              </w:rPr>
              <w:t>0.17%</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center"/>
              <w:ind w:right="89"/>
              <w:spacing w:after="0"/>
              <w:rPr>
                <w:sz w:val="20"/>
                <w:szCs w:val="20"/>
                <w:color w:val="auto"/>
              </w:rPr>
            </w:pPr>
            <w:r>
              <w:rPr>
                <w:rFonts w:ascii="Arial" w:cs="Arial" w:eastAsia="Arial" w:hAnsi="Arial"/>
                <w:sz w:val="14"/>
                <w:szCs w:val="14"/>
                <w:color w:val="auto"/>
                <w:w w:val="90"/>
              </w:rPr>
              <w:t>2.23%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3"/>
              </w:rPr>
              <w:t>(0.38)%</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center"/>
              <w:ind w:right="89"/>
              <w:spacing w:after="0"/>
              <w:rPr>
                <w:sz w:val="20"/>
                <w:szCs w:val="20"/>
                <w:color w:val="auto"/>
              </w:rPr>
            </w:pPr>
            <w:r>
              <w:rPr>
                <w:rFonts w:ascii="Arial" w:cs="Arial" w:eastAsia="Arial" w:hAnsi="Arial"/>
                <w:sz w:val="14"/>
                <w:szCs w:val="14"/>
                <w:color w:val="auto"/>
                <w:w w:val="90"/>
              </w:rPr>
              <w:t>1.49%</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Decrease (6)</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Mortality rates vary by age and by demographic characteristics such as gender. The range shown reflects the mortality rate for policyholders between 35 and 90 years old, which represents the majority of the business with living benefits. Mortality rate assumptions are set based on company experience and include an assumption for mortality improvement.</w:t>
      </w:r>
    </w:p>
    <w:p>
      <w:pPr>
        <w:spacing w:after="0" w:line="82" w:lineRule="exact"/>
        <w:rPr>
          <w:rFonts w:ascii="Arial" w:cs="Arial" w:eastAsia="Arial" w:hAnsi="Arial"/>
          <w:sz w:val="18"/>
          <w:szCs w:val="18"/>
          <w:color w:val="auto"/>
        </w:rPr>
      </w:pPr>
    </w:p>
    <w:p>
      <w:pPr>
        <w:jc w:val="both"/>
        <w:ind w:left="320" w:hanging="314"/>
        <w:spacing w:after="0" w:line="250" w:lineRule="auto"/>
        <w:tabs>
          <w:tab w:leader="none" w:pos="3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range shown reflects base lapse rates for major product categories for duration 1-20, which represents majority of business with living benefit riders. Base lapse rates are adjusted at the contract level based on a comparison of the actuarially calculated guaranteed values and the current policyholder account value, as well as other factors, such as the applicability of any surrender charges. A dynamic lapse function reduces the base lapse rate when the guaranteed amount is greater than the account value as in-the-money contracts are less likely to lapse. Lapse rates are also generally assumed to be lower in periods when a surrender charge applies.</w:t>
      </w:r>
    </w:p>
    <w:p>
      <w:pPr>
        <w:spacing w:after="0" w:line="87" w:lineRule="exact"/>
        <w:rPr>
          <w:rFonts w:ascii="Arial" w:cs="Arial" w:eastAsia="Arial" w:hAnsi="Arial"/>
          <w:sz w:val="18"/>
          <w:szCs w:val="18"/>
          <w:color w:val="auto"/>
        </w:rPr>
      </w:pPr>
    </w:p>
    <w:p>
      <w:pPr>
        <w:jc w:val="both"/>
        <w:ind w:left="320" w:hanging="314"/>
        <w:spacing w:after="0" w:line="268" w:lineRule="auto"/>
        <w:tabs>
          <w:tab w:leader="none" w:pos="31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utilization rate assumption estimates the percentage of contract holders with a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w:t>
      </w:r>
    </w:p>
    <w:p>
      <w:pPr>
        <w:spacing w:after="0" w:line="74" w:lineRule="exact"/>
        <w:rPr>
          <w:rFonts w:ascii="Arial" w:cs="Arial" w:eastAsia="Arial" w:hAnsi="Arial"/>
          <w:sz w:val="17"/>
          <w:szCs w:val="17"/>
          <w:color w:val="auto"/>
        </w:rPr>
      </w:pPr>
    </w:p>
    <w:p>
      <w:pPr>
        <w:jc w:val="both"/>
        <w:ind w:left="320" w:hanging="314"/>
        <w:spacing w:after="0" w:line="298" w:lineRule="auto"/>
        <w:tabs>
          <w:tab w:leader="none" w:pos="314"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GMWBs, any increase (decrease) in withdrawal rates results in an increase (decrease) in the estimated fair value of the guarantees. For GMABs and GMIBs, any increase</w:t>
      </w:r>
    </w:p>
    <w:p>
      <w:pPr>
        <w:spacing w:after="0" w:line="2" w:lineRule="exact"/>
        <w:rPr>
          <w:rFonts w:ascii="Arial" w:cs="Arial" w:eastAsia="Arial" w:hAnsi="Arial"/>
          <w:sz w:val="15"/>
          <w:szCs w:val="15"/>
          <w:color w:val="auto"/>
        </w:rPr>
      </w:pPr>
    </w:p>
    <w:p>
      <w:pPr>
        <w:ind w:left="320"/>
        <w:spacing w:after="0"/>
        <w:rPr>
          <w:rFonts w:ascii="Arial" w:cs="Arial" w:eastAsia="Arial" w:hAnsi="Arial"/>
          <w:sz w:val="15"/>
          <w:szCs w:val="15"/>
          <w:color w:val="auto"/>
        </w:rPr>
      </w:pPr>
      <w:r>
        <w:rPr>
          <w:rFonts w:ascii="Arial" w:cs="Arial" w:eastAsia="Arial" w:hAnsi="Arial"/>
          <w:sz w:val="18"/>
          <w:szCs w:val="18"/>
          <w:color w:val="auto"/>
        </w:rPr>
        <w:t>(decrease) in withdrawal rates results in a decrease (increase) in the estimated fair value.</w:t>
      </w:r>
    </w:p>
    <w:p>
      <w:pPr>
        <w:spacing w:after="0" w:line="99" w:lineRule="exact"/>
        <w:rPr>
          <w:rFonts w:ascii="Arial" w:cs="Arial" w:eastAsia="Arial" w:hAnsi="Arial"/>
          <w:sz w:val="15"/>
          <w:szCs w:val="15"/>
          <w:color w:val="auto"/>
        </w:rPr>
      </w:pPr>
    </w:p>
    <w:p>
      <w:pPr>
        <w:ind w:left="320" w:hanging="314"/>
        <w:spacing w:after="0" w:line="365" w:lineRule="auto"/>
        <w:tabs>
          <w:tab w:leader="none" w:pos="314" w:val="left"/>
        </w:tabs>
        <w:numPr>
          <w:ilvl w:val="0"/>
          <w:numId w:val="22"/>
        </w:numPr>
        <w:rPr>
          <w:rFonts w:ascii="Arial" w:cs="Arial" w:eastAsia="Arial" w:hAnsi="Arial"/>
          <w:sz w:val="15"/>
          <w:szCs w:val="15"/>
          <w:color w:val="auto"/>
        </w:rPr>
      </w:pPr>
      <w:r>
        <w:rPr>
          <w:rFonts w:ascii="Arial" w:cs="Arial" w:eastAsia="Arial" w:hAnsi="Arial"/>
          <w:sz w:val="15"/>
          <w:szCs w:val="15"/>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the embedded derivative.</w:t>
      </w:r>
    </w:p>
    <w:p>
      <w:pPr>
        <w:spacing w:after="0" w:line="5" w:lineRule="exact"/>
        <w:rPr>
          <w:rFonts w:ascii="Arial" w:cs="Arial" w:eastAsia="Arial" w:hAnsi="Arial"/>
          <w:sz w:val="15"/>
          <w:szCs w:val="15"/>
          <w:color w:val="auto"/>
        </w:rPr>
      </w:pPr>
    </w:p>
    <w:p>
      <w:pPr>
        <w:ind w:left="320" w:hanging="314"/>
        <w:spacing w:after="0" w:line="264" w:lineRule="auto"/>
        <w:tabs>
          <w:tab w:leader="none" w:pos="3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Nonperformance risk spread varies by duration. For any given contract, multiple nonperformance risk spreads will apply, depending on the duration of the cash flow being discounted for purposes of valuing the embedded derivative.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68"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higher (lower) fair value. For derivatives valued based on third-party pricing models, an increase (decrease) in credit spreads would generally result in a higher (lower) fair value.</w:t>
      </w:r>
    </w:p>
    <w:p>
      <w:pPr>
        <w:spacing w:after="0" w:line="40"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The changes in assets and (liabilities) measured at estimated fair value on a recurring basis using significant unobservable inputs (Level 3) were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180" w:type="dxa"/>
            <w:vAlign w:val="bottom"/>
            <w:tcBorders>
              <w:bottom w:val="single" w:sz="8" w:color="auto"/>
            </w:tcBorders>
            <w:gridSpan w:val="11"/>
          </w:tcPr>
          <w:p>
            <w:pPr>
              <w:jc w:val="center"/>
              <w:ind w:right="20"/>
              <w:spacing w:after="0"/>
              <w:rPr>
                <w:sz w:val="20"/>
                <w:szCs w:val="20"/>
                <w:color w:val="auto"/>
              </w:rPr>
            </w:pPr>
            <w:r>
              <w:rPr>
                <w:rFonts w:ascii="Arial" w:cs="Arial" w:eastAsia="Arial" w:hAnsi="Arial"/>
                <w:sz w:val="12"/>
                <w:szCs w:val="12"/>
                <w:b w:val="1"/>
                <w:bCs w:val="1"/>
                <w:color w:val="auto"/>
                <w:w w:val="93"/>
              </w:rPr>
              <w:t>Fair Value Measurements Using Significant Unobservable Inputs (Level 3)</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center"/>
              <w:ind w:left="678"/>
              <w:spacing w:after="0"/>
              <w:rPr>
                <w:sz w:val="20"/>
                <w:szCs w:val="20"/>
                <w:color w:val="auto"/>
              </w:rPr>
            </w:pPr>
            <w:r>
              <w:rPr>
                <w:rFonts w:ascii="Arial" w:cs="Arial" w:eastAsia="Arial" w:hAnsi="Arial"/>
                <w:sz w:val="12"/>
                <w:szCs w:val="12"/>
                <w:b w:val="1"/>
                <w:bCs w:val="1"/>
                <w:color w:val="auto"/>
                <w:w w:val="94"/>
              </w:rPr>
              <w:t>Fixed Maturity Securities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2"/>
              </w:rPr>
              <w:t>Structured</w:t>
            </w:r>
          </w:p>
        </w:tc>
        <w:tc>
          <w:tcPr>
            <w:tcW w:w="140" w:type="dxa"/>
            <w:vAlign w:val="bottom"/>
          </w:tcPr>
          <w:p>
            <w:pPr>
              <w:spacing w:after="0"/>
              <w:rPr>
                <w:sz w:val="9"/>
                <w:szCs w:val="9"/>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Foreign</w:t>
            </w:r>
          </w:p>
        </w:tc>
        <w:tc>
          <w:tcPr>
            <w:tcW w:w="140" w:type="dxa"/>
            <w:vAlign w:val="bottom"/>
          </w:tcPr>
          <w:p>
            <w:pPr>
              <w:spacing w:after="0"/>
              <w:rPr>
                <w:sz w:val="9"/>
                <w:szCs w:val="9"/>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8"/>
              </w:rPr>
              <w:t>Equity</w:t>
            </w:r>
          </w:p>
        </w:tc>
        <w:tc>
          <w:tcPr>
            <w:tcW w:w="120" w:type="dxa"/>
            <w:vAlign w:val="bottom"/>
          </w:tcPr>
          <w:p>
            <w:pPr>
              <w:spacing w:after="0"/>
              <w:rPr>
                <w:sz w:val="9"/>
                <w:szCs w:val="9"/>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Short-term</w:t>
            </w:r>
          </w:p>
        </w:tc>
        <w:tc>
          <w:tcPr>
            <w:tcW w:w="100" w:type="dxa"/>
            <w:vAlign w:val="bottom"/>
          </w:tcPr>
          <w:p>
            <w:pPr>
              <w:spacing w:after="0"/>
              <w:rPr>
                <w:sz w:val="9"/>
                <w:szCs w:val="9"/>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Net</w:t>
            </w:r>
          </w:p>
        </w:tc>
        <w:tc>
          <w:tcPr>
            <w:tcW w:w="140" w:type="dxa"/>
            <w:vAlign w:val="bottom"/>
          </w:tcPr>
          <w:p>
            <w:pPr>
              <w:spacing w:after="0"/>
              <w:rPr>
                <w:sz w:val="9"/>
                <w:szCs w:val="9"/>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Net Embedded</w:t>
            </w:r>
          </w:p>
        </w:tc>
        <w:tc>
          <w:tcPr>
            <w:tcW w:w="180" w:type="dxa"/>
            <w:vAlign w:val="bottom"/>
          </w:tcPr>
          <w:p>
            <w:pPr>
              <w:spacing w:after="0"/>
              <w:rPr>
                <w:sz w:val="9"/>
                <w:szCs w:val="9"/>
                <w:color w:val="auto"/>
              </w:rPr>
            </w:pPr>
          </w:p>
        </w:tc>
        <w:tc>
          <w:tcPr>
            <w:tcW w:w="820" w:type="dxa"/>
            <w:vAlign w:val="bottom"/>
          </w:tcPr>
          <w:p>
            <w:pPr>
              <w:jc w:val="center"/>
              <w:ind w:right="98"/>
              <w:spacing w:after="0" w:line="106" w:lineRule="exact"/>
              <w:rPr>
                <w:sz w:val="20"/>
                <w:szCs w:val="20"/>
                <w:color w:val="auto"/>
              </w:rPr>
            </w:pPr>
            <w:r>
              <w:rPr>
                <w:rFonts w:ascii="Arial" w:cs="Arial" w:eastAsia="Arial" w:hAnsi="Arial"/>
                <w:sz w:val="12"/>
                <w:szCs w:val="12"/>
                <w:b w:val="1"/>
                <w:bCs w:val="1"/>
                <w:color w:val="auto"/>
                <w:w w:val="90"/>
              </w:rPr>
              <w:t>Separate</w:t>
            </w:r>
          </w:p>
        </w:tc>
        <w:tc>
          <w:tcPr>
            <w:tcW w:w="0" w:type="dxa"/>
            <w:vAlign w:val="bottom"/>
          </w:tcPr>
          <w:p>
            <w:pPr>
              <w:spacing w:after="0"/>
              <w:rPr>
                <w:sz w:val="1"/>
                <w:szCs w:val="1"/>
                <w:color w:val="auto"/>
              </w:rPr>
            </w:pPr>
          </w:p>
        </w:tc>
      </w:tr>
      <w:tr>
        <w:trPr>
          <w:trHeight w:val="119"/>
        </w:trPr>
        <w:tc>
          <w:tcPr>
            <w:tcW w:w="2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Corporate (1)</w:t>
            </w: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center"/>
              <w:ind w:right="118"/>
              <w:spacing w:after="0" w:line="120" w:lineRule="exact"/>
              <w:rPr>
                <w:sz w:val="20"/>
                <w:szCs w:val="20"/>
                <w:color w:val="auto"/>
              </w:rPr>
            </w:pPr>
            <w:r>
              <w:rPr>
                <w:rFonts w:ascii="Arial" w:cs="Arial" w:eastAsia="Arial" w:hAnsi="Arial"/>
                <w:sz w:val="12"/>
                <w:szCs w:val="12"/>
                <w:b w:val="1"/>
                <w:bCs w:val="1"/>
                <w:color w:val="auto"/>
                <w:w w:val="91"/>
              </w:rPr>
              <w:t>Account</w:t>
            </w:r>
          </w:p>
        </w:tc>
        <w:tc>
          <w:tcPr>
            <w:tcW w:w="0" w:type="dxa"/>
            <w:vAlign w:val="bottom"/>
          </w:tcPr>
          <w:p>
            <w:pPr>
              <w:spacing w:after="0"/>
              <w:rPr>
                <w:sz w:val="1"/>
                <w:szCs w:val="1"/>
                <w:color w:val="auto"/>
              </w:rPr>
            </w:pPr>
          </w:p>
        </w:tc>
      </w:tr>
      <w:tr>
        <w:trPr>
          <w:trHeight w:val="166"/>
        </w:trPr>
        <w:tc>
          <w:tcPr>
            <w:tcW w:w="2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0"/>
              </w:rPr>
              <w:t>Securities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Government</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0"/>
              </w:rPr>
              <w:t>Securities</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Investments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2"/>
              </w:rPr>
              <w:t>Derivatives (2)</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Derivatives (3)</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8"/>
              <w:spacing w:after="0"/>
              <w:rPr>
                <w:sz w:val="20"/>
                <w:szCs w:val="20"/>
                <w:color w:val="auto"/>
              </w:rPr>
            </w:pPr>
            <w:r>
              <w:rPr>
                <w:rFonts w:ascii="Arial" w:cs="Arial" w:eastAsia="Arial" w:hAnsi="Arial"/>
                <w:sz w:val="12"/>
                <w:szCs w:val="12"/>
                <w:b w:val="1"/>
                <w:bCs w:val="1"/>
                <w:color w:val="auto"/>
                <w:w w:val="87"/>
              </w:rPr>
              <w:t>Assets (4)</w:t>
            </w:r>
          </w:p>
        </w:tc>
        <w:tc>
          <w:tcPr>
            <w:tcW w:w="0" w:type="dxa"/>
            <w:vAlign w:val="bottom"/>
          </w:tcPr>
          <w:p>
            <w:pPr>
              <w:spacing w:after="0"/>
              <w:rPr>
                <w:sz w:val="1"/>
                <w:szCs w:val="1"/>
                <w:color w:val="auto"/>
              </w:rPr>
            </w:pPr>
          </w:p>
        </w:tc>
      </w:tr>
      <w:tr>
        <w:trPr>
          <w:trHeight w:val="165"/>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center"/>
              <w:spacing w:after="0"/>
              <w:rPr>
                <w:sz w:val="20"/>
                <w:szCs w:val="20"/>
                <w:color w:val="auto"/>
              </w:rPr>
            </w:pPr>
            <w:r>
              <w:rPr>
                <w:rFonts w:ascii="Arial" w:cs="Arial" w:eastAsia="Arial" w:hAnsi="Arial"/>
                <w:sz w:val="12"/>
                <w:szCs w:val="12"/>
                <w:b w:val="1"/>
                <w:bCs w:val="1"/>
                <w:color w:val="auto"/>
                <w:w w:val="94"/>
              </w:rPr>
              <w:t>(In millions)</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6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Three Months Ended June 30, 2022</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600" w:type="dxa"/>
            <w:vAlign w:val="bottom"/>
          </w:tcPr>
          <w:p>
            <w:pPr>
              <w:ind w:left="20"/>
              <w:spacing w:after="0"/>
              <w:rPr>
                <w:sz w:val="20"/>
                <w:szCs w:val="20"/>
                <w:color w:val="auto"/>
              </w:rPr>
            </w:pPr>
            <w:r>
              <w:rPr>
                <w:rFonts w:ascii="Arial" w:cs="Arial" w:eastAsia="Arial" w:hAnsi="Arial"/>
                <w:sz w:val="12"/>
                <w:szCs w:val="12"/>
                <w:color w:val="auto"/>
              </w:rPr>
              <w:t>Balance, beginning of period</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1,618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194</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Pr>
          <w:p>
            <w:pPr>
              <w:ind w:left="660"/>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(6,911)</w:t>
            </w:r>
          </w:p>
        </w:tc>
        <w:tc>
          <w:tcPr>
            <w:tcW w:w="100" w:type="dxa"/>
            <w:vAlign w:val="bottom"/>
          </w:tcPr>
          <w:p>
            <w:pPr>
              <w:spacing w:after="0"/>
              <w:rPr>
                <w:sz w:val="14"/>
                <w:szCs w:val="14"/>
                <w:color w:val="auto"/>
              </w:rPr>
            </w:pP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60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w w:val="99"/>
              </w:rPr>
              <w:t>Total realized/unrealized gains (losses) included</w:t>
            </w: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2,582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2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 net income (loss) (5) (6)</w:t>
            </w: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00" w:type="dxa"/>
            <w:vAlign w:val="bottom"/>
          </w:tcPr>
          <w:p>
            <w:pPr>
              <w:ind w:left="20"/>
              <w:spacing w:after="0" w:line="120" w:lineRule="exact"/>
              <w:rPr>
                <w:sz w:val="20"/>
                <w:szCs w:val="20"/>
                <w:color w:val="auto"/>
              </w:rPr>
            </w:pPr>
            <w:r>
              <w:rPr>
                <w:rFonts w:ascii="Arial" w:cs="Arial" w:eastAsia="Arial" w:hAnsi="Arial"/>
                <w:sz w:val="12"/>
                <w:szCs w:val="12"/>
                <w:color w:val="auto"/>
              </w:rPr>
              <w:t>Total realized/unrealized gains (losses)</w:t>
            </w:r>
          </w:p>
        </w:tc>
        <w:tc>
          <w:tcPr>
            <w:tcW w:w="1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(110)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ind w:left="68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600" w:type="dxa"/>
            <w:vAlign w:val="bottom"/>
          </w:tcPr>
          <w:p>
            <w:pPr>
              <w:ind w:left="180"/>
              <w:spacing w:after="0"/>
              <w:rPr>
                <w:sz w:val="20"/>
                <w:szCs w:val="20"/>
                <w:color w:val="auto"/>
              </w:rPr>
            </w:pPr>
            <w:r>
              <w:rPr>
                <w:rFonts w:ascii="Arial" w:cs="Arial" w:eastAsia="Arial" w:hAnsi="Arial"/>
                <w:sz w:val="12"/>
                <w:szCs w:val="12"/>
                <w:color w:val="auto"/>
              </w:rPr>
              <w:t>included in AOCI</w:t>
            </w: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Purchases (7)</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600" w:type="dxa"/>
            <w:vAlign w:val="bottom"/>
          </w:tcPr>
          <w:p>
            <w:pPr>
              <w:ind w:left="20"/>
              <w:spacing w:after="0"/>
              <w:rPr>
                <w:sz w:val="20"/>
                <w:szCs w:val="20"/>
                <w:color w:val="auto"/>
              </w:rPr>
            </w:pPr>
            <w:r>
              <w:rPr>
                <w:rFonts w:ascii="Arial" w:cs="Arial" w:eastAsia="Arial" w:hAnsi="Arial"/>
                <w:sz w:val="12"/>
                <w:szCs w:val="12"/>
                <w:color w:val="auto"/>
              </w:rPr>
              <w:t>Sales (7)</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Issuances (7)</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600" w:type="dxa"/>
            <w:vAlign w:val="bottom"/>
          </w:tcPr>
          <w:p>
            <w:pPr>
              <w:ind w:left="20"/>
              <w:spacing w:after="0"/>
              <w:rPr>
                <w:sz w:val="20"/>
                <w:szCs w:val="20"/>
                <w:color w:val="auto"/>
              </w:rPr>
            </w:pPr>
            <w:r>
              <w:rPr>
                <w:rFonts w:ascii="Arial" w:cs="Arial" w:eastAsia="Arial" w:hAnsi="Arial"/>
                <w:sz w:val="12"/>
                <w:szCs w:val="12"/>
                <w:color w:val="auto"/>
              </w:rPr>
              <w:t>Settlements (7)</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ind w:left="6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Transfers into Level 3 (8)</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2"/>
                <w:szCs w:val="12"/>
                <w:color w:val="auto"/>
              </w:rPr>
              <w:t>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2600" w:type="dxa"/>
            <w:vAlign w:val="bottom"/>
          </w:tcPr>
          <w:p>
            <w:pPr>
              <w:ind w:left="20"/>
              <w:spacing w:after="0"/>
              <w:rPr>
                <w:sz w:val="20"/>
                <w:szCs w:val="20"/>
                <w:color w:val="auto"/>
              </w:rPr>
            </w:pPr>
            <w:r>
              <w:rPr>
                <w:rFonts w:ascii="Arial" w:cs="Arial" w:eastAsia="Arial" w:hAnsi="Arial"/>
                <w:sz w:val="12"/>
                <w:szCs w:val="12"/>
                <w:color w:val="auto"/>
              </w:rPr>
              <w:t>Transfers out of Level 3 (8)</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7"/>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2"/>
                <w:szCs w:val="12"/>
                <w:color w:val="auto"/>
              </w:rPr>
              <w:t>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Three Months Ended June 30, 2021</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(6,468)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19"/>
        </w:trPr>
        <w:tc>
          <w:tcPr>
            <w:tcW w:w="2600" w:type="dxa"/>
            <w:vAlign w:val="bottom"/>
          </w:tcPr>
          <w:p>
            <w:pPr>
              <w:ind w:left="20"/>
              <w:spacing w:after="0" w:line="120" w:lineRule="exact"/>
              <w:rPr>
                <w:sz w:val="20"/>
                <w:szCs w:val="20"/>
                <w:color w:val="auto"/>
              </w:rPr>
            </w:pPr>
            <w:r>
              <w:rPr>
                <w:rFonts w:ascii="Arial" w:cs="Arial" w:eastAsia="Arial" w:hAnsi="Arial"/>
                <w:sz w:val="12"/>
                <w:szCs w:val="12"/>
                <w:color w:val="auto"/>
                <w:w w:val="99"/>
              </w:rPr>
              <w:t>Total realized/unrealized gains (losses) included</w:t>
            </w:r>
          </w:p>
        </w:tc>
        <w:tc>
          <w:tcPr>
            <w:tcW w:w="120" w:type="dxa"/>
            <w:vAlign w:val="bottom"/>
          </w:tcPr>
          <w:p>
            <w:pPr>
              <w:spacing w:after="0"/>
              <w:rPr>
                <w:sz w:val="10"/>
                <w:szCs w:val="10"/>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2"/>
                <w:szCs w:val="12"/>
                <w:color w:val="auto"/>
              </w:rPr>
              <w:t>(1,127)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600" w:type="dxa"/>
            <w:vAlign w:val="bottom"/>
          </w:tcPr>
          <w:p>
            <w:pPr>
              <w:ind w:left="180"/>
              <w:spacing w:after="0"/>
              <w:rPr>
                <w:sz w:val="20"/>
                <w:szCs w:val="20"/>
                <w:color w:val="auto"/>
              </w:rPr>
            </w:pPr>
            <w:r>
              <w:rPr>
                <w:rFonts w:ascii="Arial" w:cs="Arial" w:eastAsia="Arial" w:hAnsi="Arial"/>
                <w:sz w:val="12"/>
                <w:szCs w:val="12"/>
                <w:color w:val="auto"/>
              </w:rPr>
              <w:t>in net income (loss) (5) (6)</w:t>
            </w: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60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Total realized/unrealized gains (losses)</w:t>
            </w: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2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included in AOCI</w:t>
            </w: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00" w:type="dxa"/>
            <w:vAlign w:val="bottom"/>
          </w:tcPr>
          <w:p>
            <w:pPr>
              <w:ind w:left="20"/>
              <w:spacing w:after="0"/>
              <w:rPr>
                <w:sz w:val="20"/>
                <w:szCs w:val="20"/>
                <w:color w:val="auto"/>
              </w:rPr>
            </w:pPr>
            <w:r>
              <w:rPr>
                <w:rFonts w:ascii="Arial" w:cs="Arial" w:eastAsia="Arial" w:hAnsi="Arial"/>
                <w:sz w:val="12"/>
                <w:szCs w:val="12"/>
                <w:color w:val="auto"/>
              </w:rPr>
              <w:t>Purchases (7)</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163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ind w:left="66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Sales (7)</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600" w:type="dxa"/>
            <w:vAlign w:val="bottom"/>
          </w:tcPr>
          <w:p>
            <w:pPr>
              <w:ind w:left="20"/>
              <w:spacing w:after="0"/>
              <w:rPr>
                <w:sz w:val="20"/>
                <w:szCs w:val="20"/>
                <w:color w:val="auto"/>
              </w:rPr>
            </w:pPr>
            <w:r>
              <w:rPr>
                <w:rFonts w:ascii="Arial" w:cs="Arial" w:eastAsia="Arial" w:hAnsi="Arial"/>
                <w:sz w:val="12"/>
                <w:szCs w:val="12"/>
                <w:color w:val="auto"/>
              </w:rPr>
              <w:t>Issuances (7)</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ind w:left="6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Settlements (7)</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600" w:type="dxa"/>
            <w:vAlign w:val="bottom"/>
          </w:tcPr>
          <w:p>
            <w:pPr>
              <w:ind w:left="20"/>
              <w:spacing w:after="0"/>
              <w:rPr>
                <w:sz w:val="20"/>
                <w:szCs w:val="20"/>
                <w:color w:val="auto"/>
              </w:rPr>
            </w:pPr>
            <w:r>
              <w:rPr>
                <w:rFonts w:ascii="Arial" w:cs="Arial" w:eastAsia="Arial" w:hAnsi="Arial"/>
                <w:sz w:val="12"/>
                <w:szCs w:val="12"/>
                <w:color w:val="auto"/>
              </w:rPr>
              <w:t>Transfers into Level 3 (8)</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ind w:left="6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Transfers out of Level 3 (8)</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65"/>
        </w:trPr>
        <w:tc>
          <w:tcPr>
            <w:tcW w:w="2600" w:type="dxa"/>
            <w:vAlign w:val="bottom"/>
          </w:tcPr>
          <w:p>
            <w:pPr>
              <w:ind w:left="20"/>
              <w:spacing w:after="0"/>
              <w:rPr>
                <w:sz w:val="20"/>
                <w:szCs w:val="20"/>
                <w:color w:val="auto"/>
              </w:rPr>
            </w:pPr>
            <w:r>
              <w:rPr>
                <w:rFonts w:ascii="Arial" w:cs="Arial" w:eastAsia="Arial" w:hAnsi="Arial"/>
                <w:sz w:val="12"/>
                <w:szCs w:val="12"/>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889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217</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(7,715)</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600" w:type="dxa"/>
            <w:vAlign w:val="bottom"/>
            <w:shd w:val="clear" w:color="auto" w:fill="CCEEFF"/>
          </w:tcPr>
          <w:p>
            <w:pPr>
              <w:ind w:left="20"/>
              <w:spacing w:after="0" w:line="86" w:lineRule="exact"/>
              <w:rPr>
                <w:sz w:val="20"/>
                <w:szCs w:val="20"/>
                <w:color w:val="auto"/>
              </w:rPr>
            </w:pPr>
            <w:r>
              <w:rPr>
                <w:rFonts w:ascii="Arial" w:cs="Arial" w:eastAsia="Arial" w:hAnsi="Arial"/>
                <w:sz w:val="9"/>
                <w:szCs w:val="9"/>
                <w:color w:val="auto"/>
              </w:rPr>
              <w:t>Changes in unrealized gains (losses) included in</w:t>
            </w: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60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w w:val="99"/>
              </w:rPr>
              <w:t>net income (loss) for the instruments still held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2,537</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2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at June 30, 2022 (9)</w:t>
            </w:r>
          </w:p>
        </w:tc>
        <w:tc>
          <w:tcPr>
            <w:tcW w:w="12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w w:val="99"/>
              </w:rPr>
              <w:t>Changes in unrealized gains (losses) included in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600" w:type="dxa"/>
            <w:vAlign w:val="bottom"/>
          </w:tcPr>
          <w:p>
            <w:pPr>
              <w:ind w:left="180"/>
              <w:spacing w:after="0" w:line="120" w:lineRule="exact"/>
              <w:rPr>
                <w:sz w:val="20"/>
                <w:szCs w:val="20"/>
                <w:color w:val="auto"/>
              </w:rPr>
            </w:pPr>
            <w:r>
              <w:rPr>
                <w:rFonts w:ascii="Arial" w:cs="Arial" w:eastAsia="Arial" w:hAnsi="Arial"/>
                <w:sz w:val="12"/>
                <w:szCs w:val="12"/>
                <w:color w:val="auto"/>
              </w:rPr>
              <w:t>OCI for the instruments still held at June 30,</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(117)</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vMerge w:val="restart"/>
          </w:tcPr>
          <w:p>
            <w:pPr>
              <w:ind w:left="68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tcPr>
          <w:p>
            <w:pPr>
              <w:ind w:left="64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vMerge w:val="restart"/>
          </w:tcPr>
          <w:p>
            <w:pPr>
              <w:jc w:val="right"/>
              <w:ind w:right="38"/>
              <w:spacing w:after="0"/>
              <w:rPr>
                <w:sz w:val="20"/>
                <w:szCs w:val="20"/>
                <w:color w:val="auto"/>
              </w:rPr>
            </w:pPr>
            <w:r>
              <w:rPr>
                <w:rFonts w:ascii="Arial" w:cs="Arial" w:eastAsia="Arial" w:hAnsi="Arial"/>
                <w:sz w:val="12"/>
                <w:szCs w:val="12"/>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2600" w:type="dxa"/>
            <w:vAlign w:val="bottom"/>
          </w:tcPr>
          <w:p>
            <w:pPr>
              <w:ind w:left="180"/>
              <w:spacing w:after="0"/>
              <w:rPr>
                <w:sz w:val="20"/>
                <w:szCs w:val="20"/>
                <w:color w:val="auto"/>
              </w:rPr>
            </w:pPr>
            <w:r>
              <w:rPr>
                <w:rFonts w:ascii="Arial" w:cs="Arial" w:eastAsia="Arial" w:hAnsi="Arial"/>
                <w:sz w:val="12"/>
                <w:szCs w:val="12"/>
                <w:color w:val="auto"/>
              </w:rPr>
              <w:t>2022 (9)</w:t>
            </w:r>
          </w:p>
        </w:tc>
        <w:tc>
          <w:tcPr>
            <w:tcW w:w="1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600" w:type="dxa"/>
            <w:vAlign w:val="bottom"/>
            <w:shd w:val="clear" w:color="auto" w:fill="CCEEFF"/>
          </w:tcPr>
          <w:p>
            <w:pPr>
              <w:ind w:left="20"/>
              <w:spacing w:after="0" w:line="86" w:lineRule="exact"/>
              <w:rPr>
                <w:sz w:val="20"/>
                <w:szCs w:val="20"/>
                <w:color w:val="auto"/>
              </w:rPr>
            </w:pPr>
            <w:r>
              <w:rPr>
                <w:rFonts w:ascii="Arial" w:cs="Arial" w:eastAsia="Arial" w:hAnsi="Arial"/>
                <w:sz w:val="9"/>
                <w:szCs w:val="9"/>
                <w:color w:val="auto"/>
              </w:rPr>
              <w:t>Changes in unrealized gains (losses) included in</w:t>
            </w: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60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w w:val="99"/>
              </w:rPr>
              <w:t>net income (loss) for the instruments still held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(1,104)</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2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at June 30, 2021 (9)</w:t>
            </w:r>
          </w:p>
        </w:tc>
        <w:tc>
          <w:tcPr>
            <w:tcW w:w="12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w w:val="99"/>
              </w:rPr>
              <w:t>Changes in unrealized gains (losses) included in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600" w:type="dxa"/>
            <w:vAlign w:val="bottom"/>
          </w:tcPr>
          <w:p>
            <w:pPr>
              <w:ind w:left="180"/>
              <w:spacing w:after="0" w:line="120" w:lineRule="exact"/>
              <w:rPr>
                <w:sz w:val="20"/>
                <w:szCs w:val="20"/>
                <w:color w:val="auto"/>
              </w:rPr>
            </w:pPr>
            <w:r>
              <w:rPr>
                <w:rFonts w:ascii="Arial" w:cs="Arial" w:eastAsia="Arial" w:hAnsi="Arial"/>
                <w:sz w:val="12"/>
                <w:szCs w:val="12"/>
                <w:color w:val="auto"/>
              </w:rPr>
              <w:t>OCI for the instruments still held at June 30,</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tcPr>
          <w:p>
            <w:pPr>
              <w:ind w:left="66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tcPr>
          <w:p>
            <w:pPr>
              <w:ind w:left="64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vMerge w:val="restart"/>
          </w:tcPr>
          <w:p>
            <w:pPr>
              <w:jc w:val="right"/>
              <w:ind w:right="38"/>
              <w:spacing w:after="0"/>
              <w:rPr>
                <w:sz w:val="20"/>
                <w:szCs w:val="20"/>
                <w:color w:val="auto"/>
              </w:rPr>
            </w:pPr>
            <w:r>
              <w:rPr>
                <w:rFonts w:ascii="Arial" w:cs="Arial" w:eastAsia="Arial" w:hAnsi="Arial"/>
                <w:sz w:val="12"/>
                <w:szCs w:val="12"/>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2600" w:type="dxa"/>
            <w:vAlign w:val="bottom"/>
          </w:tcPr>
          <w:p>
            <w:pPr>
              <w:ind w:left="180"/>
              <w:spacing w:after="0"/>
              <w:rPr>
                <w:sz w:val="20"/>
                <w:szCs w:val="20"/>
                <w:color w:val="auto"/>
              </w:rPr>
            </w:pPr>
            <w:r>
              <w:rPr>
                <w:rFonts w:ascii="Arial" w:cs="Arial" w:eastAsia="Arial" w:hAnsi="Arial"/>
                <w:sz w:val="12"/>
                <w:szCs w:val="12"/>
                <w:color w:val="auto"/>
              </w:rPr>
              <w:t>2021 (9)</w:t>
            </w:r>
          </w:p>
        </w:tc>
        <w:tc>
          <w:tcPr>
            <w:tcW w:w="1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180" w:type="dxa"/>
            <w:vAlign w:val="bottom"/>
            <w:tcBorders>
              <w:bottom w:val="single" w:sz="8" w:color="auto"/>
            </w:tcBorders>
            <w:gridSpan w:val="11"/>
          </w:tcPr>
          <w:p>
            <w:pPr>
              <w:jc w:val="center"/>
              <w:ind w:right="60"/>
              <w:spacing w:after="0"/>
              <w:rPr>
                <w:sz w:val="20"/>
                <w:szCs w:val="20"/>
                <w:color w:val="auto"/>
              </w:rPr>
            </w:pPr>
            <w:r>
              <w:rPr>
                <w:rFonts w:ascii="Arial" w:cs="Arial" w:eastAsia="Arial" w:hAnsi="Arial"/>
                <w:sz w:val="12"/>
                <w:szCs w:val="12"/>
                <w:b w:val="1"/>
                <w:bCs w:val="1"/>
                <w:color w:val="auto"/>
                <w:w w:val="93"/>
              </w:rPr>
              <w:t>Fair Value Measurements Using Significant Unobservable Inputs (Level 3)</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center"/>
              <w:ind w:left="678"/>
              <w:spacing w:after="0"/>
              <w:rPr>
                <w:sz w:val="20"/>
                <w:szCs w:val="20"/>
                <w:color w:val="auto"/>
              </w:rPr>
            </w:pPr>
            <w:r>
              <w:rPr>
                <w:rFonts w:ascii="Arial" w:cs="Arial" w:eastAsia="Arial" w:hAnsi="Arial"/>
                <w:sz w:val="12"/>
                <w:szCs w:val="12"/>
                <w:b w:val="1"/>
                <w:bCs w:val="1"/>
                <w:color w:val="auto"/>
                <w:w w:val="95"/>
              </w:rPr>
              <w:t>Fixed Maturity Securities</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5"/>
              </w:rPr>
              <w:t>Structured</w:t>
            </w:r>
          </w:p>
        </w:tc>
        <w:tc>
          <w:tcPr>
            <w:tcW w:w="140" w:type="dxa"/>
            <w:vAlign w:val="bottom"/>
          </w:tcPr>
          <w:p>
            <w:pPr>
              <w:spacing w:after="0"/>
              <w:rPr>
                <w:sz w:val="9"/>
                <w:szCs w:val="9"/>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0"/>
              </w:rPr>
              <w:t>Foreign</w:t>
            </w:r>
          </w:p>
        </w:tc>
        <w:tc>
          <w:tcPr>
            <w:tcW w:w="140" w:type="dxa"/>
            <w:vAlign w:val="bottom"/>
          </w:tcPr>
          <w:p>
            <w:pPr>
              <w:spacing w:after="0"/>
              <w:rPr>
                <w:sz w:val="9"/>
                <w:szCs w:val="9"/>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8"/>
              </w:rPr>
              <w:t>Equity</w:t>
            </w:r>
          </w:p>
        </w:tc>
        <w:tc>
          <w:tcPr>
            <w:tcW w:w="120" w:type="dxa"/>
            <w:vAlign w:val="bottom"/>
          </w:tcPr>
          <w:p>
            <w:pPr>
              <w:spacing w:after="0"/>
              <w:rPr>
                <w:sz w:val="9"/>
                <w:szCs w:val="9"/>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4"/>
              </w:rPr>
              <w:t>Short-term</w:t>
            </w:r>
          </w:p>
        </w:tc>
        <w:tc>
          <w:tcPr>
            <w:tcW w:w="120" w:type="dxa"/>
            <w:vAlign w:val="bottom"/>
          </w:tcPr>
          <w:p>
            <w:pPr>
              <w:spacing w:after="0"/>
              <w:rPr>
                <w:sz w:val="9"/>
                <w:szCs w:val="9"/>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2"/>
              </w:rPr>
              <w:t>Net</w:t>
            </w:r>
          </w:p>
        </w:tc>
        <w:tc>
          <w:tcPr>
            <w:tcW w:w="120" w:type="dxa"/>
            <w:vAlign w:val="bottom"/>
          </w:tcPr>
          <w:p>
            <w:pPr>
              <w:spacing w:after="0"/>
              <w:rPr>
                <w:sz w:val="9"/>
                <w:szCs w:val="9"/>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Net Embedded</w:t>
            </w:r>
          </w:p>
        </w:tc>
        <w:tc>
          <w:tcPr>
            <w:tcW w:w="180" w:type="dxa"/>
            <w:vAlign w:val="bottom"/>
          </w:tcPr>
          <w:p>
            <w:pPr>
              <w:spacing w:after="0"/>
              <w:rPr>
                <w:sz w:val="9"/>
                <w:szCs w:val="9"/>
                <w:color w:val="auto"/>
              </w:rPr>
            </w:pPr>
          </w:p>
        </w:tc>
        <w:tc>
          <w:tcPr>
            <w:tcW w:w="820" w:type="dxa"/>
            <w:vAlign w:val="bottom"/>
          </w:tcPr>
          <w:p>
            <w:pPr>
              <w:jc w:val="center"/>
              <w:ind w:right="98"/>
              <w:spacing w:after="0" w:line="106" w:lineRule="exact"/>
              <w:rPr>
                <w:sz w:val="20"/>
                <w:szCs w:val="20"/>
                <w:color w:val="auto"/>
              </w:rPr>
            </w:pPr>
            <w:r>
              <w:rPr>
                <w:rFonts w:ascii="Arial" w:cs="Arial" w:eastAsia="Arial" w:hAnsi="Arial"/>
                <w:sz w:val="12"/>
                <w:szCs w:val="12"/>
                <w:b w:val="1"/>
                <w:bCs w:val="1"/>
                <w:color w:val="auto"/>
                <w:w w:val="90"/>
              </w:rPr>
              <w:t>Separate</w:t>
            </w:r>
          </w:p>
        </w:tc>
        <w:tc>
          <w:tcPr>
            <w:tcW w:w="0" w:type="dxa"/>
            <w:vAlign w:val="bottom"/>
          </w:tcPr>
          <w:p>
            <w:pPr>
              <w:spacing w:after="0"/>
              <w:rPr>
                <w:sz w:val="1"/>
                <w:szCs w:val="1"/>
                <w:color w:val="auto"/>
              </w:rPr>
            </w:pPr>
          </w:p>
        </w:tc>
      </w:tr>
      <w:tr>
        <w:trPr>
          <w:trHeight w:val="119"/>
        </w:trPr>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Corporate (1)</w:t>
            </w: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center"/>
              <w:ind w:right="118"/>
              <w:spacing w:after="0" w:line="120" w:lineRule="exact"/>
              <w:rPr>
                <w:sz w:val="20"/>
                <w:szCs w:val="20"/>
                <w:color w:val="auto"/>
              </w:rPr>
            </w:pPr>
            <w:r>
              <w:rPr>
                <w:rFonts w:ascii="Arial" w:cs="Arial" w:eastAsia="Arial" w:hAnsi="Arial"/>
                <w:sz w:val="12"/>
                <w:szCs w:val="12"/>
                <w:b w:val="1"/>
                <w:bCs w:val="1"/>
                <w:color w:val="auto"/>
                <w:w w:val="91"/>
              </w:rPr>
              <w:t>Account</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0"/>
              </w:rPr>
              <w:t>Securities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6"/>
              </w:rPr>
              <w:t>Government</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0"/>
              </w:rPr>
              <w:t>Securities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1"/>
              </w:rPr>
              <w:t>Investments</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5"/>
              </w:rPr>
              <w:t>Derivatives (2)</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Derivatives (3)</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8"/>
              <w:spacing w:after="0"/>
              <w:rPr>
                <w:sz w:val="20"/>
                <w:szCs w:val="20"/>
                <w:color w:val="auto"/>
              </w:rPr>
            </w:pPr>
            <w:r>
              <w:rPr>
                <w:rFonts w:ascii="Arial" w:cs="Arial" w:eastAsia="Arial" w:hAnsi="Arial"/>
                <w:sz w:val="12"/>
                <w:szCs w:val="12"/>
                <w:b w:val="1"/>
                <w:bCs w:val="1"/>
                <w:color w:val="auto"/>
                <w:w w:val="87"/>
              </w:rPr>
              <w:t>Assets (4)</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5"/>
          </w:tcPr>
          <w:p>
            <w:pPr>
              <w:jc w:val="center"/>
              <w:spacing w:after="0"/>
              <w:rPr>
                <w:sz w:val="20"/>
                <w:szCs w:val="20"/>
                <w:color w:val="auto"/>
              </w:rPr>
            </w:pPr>
            <w:r>
              <w:rPr>
                <w:rFonts w:ascii="Arial" w:cs="Arial" w:eastAsia="Arial" w:hAnsi="Arial"/>
                <w:sz w:val="12"/>
                <w:szCs w:val="12"/>
                <w:b w:val="1"/>
                <w:bCs w:val="1"/>
                <w:color w:val="auto"/>
                <w:w w:val="94"/>
              </w:rPr>
              <w:t>(In millions)</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Six Months Ended June 30, 2022</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620" w:type="dxa"/>
            <w:vAlign w:val="bottom"/>
          </w:tcPr>
          <w:p>
            <w:pPr>
              <w:ind w:left="20"/>
              <w:spacing w:after="0"/>
              <w:rPr>
                <w:sz w:val="20"/>
                <w:szCs w:val="20"/>
                <w:color w:val="auto"/>
              </w:rPr>
            </w:pPr>
            <w:r>
              <w:rPr>
                <w:rFonts w:ascii="Arial" w:cs="Arial" w:eastAsia="Arial" w:hAnsi="Arial"/>
                <w:sz w:val="12"/>
                <w:szCs w:val="12"/>
                <w:color w:val="auto"/>
              </w:rPr>
              <w:t>Balance, beginning of period</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1,399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220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26</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(8,310)</w:t>
            </w:r>
          </w:p>
        </w:tc>
        <w:tc>
          <w:tcPr>
            <w:tcW w:w="100" w:type="dxa"/>
            <w:vAlign w:val="bottom"/>
          </w:tcPr>
          <w:p>
            <w:pPr>
              <w:spacing w:after="0"/>
              <w:rPr>
                <w:sz w:val="14"/>
                <w:szCs w:val="14"/>
                <w:color w:val="auto"/>
              </w:rPr>
            </w:pP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Total realized/unrealized gains (losses) included</w:t>
            </w: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3,911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72"/>
        </w:trPr>
        <w:tc>
          <w:tcPr>
            <w:tcW w:w="2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 net income (loss) (5) (6)</w:t>
            </w: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20" w:type="dxa"/>
            <w:vAlign w:val="bottom"/>
          </w:tcPr>
          <w:p>
            <w:pPr>
              <w:ind w:left="20"/>
              <w:spacing w:after="0" w:line="120" w:lineRule="exact"/>
              <w:rPr>
                <w:sz w:val="20"/>
                <w:szCs w:val="20"/>
                <w:color w:val="auto"/>
              </w:rPr>
            </w:pPr>
            <w:r>
              <w:rPr>
                <w:rFonts w:ascii="Arial" w:cs="Arial" w:eastAsia="Arial" w:hAnsi="Arial"/>
                <w:sz w:val="12"/>
                <w:szCs w:val="12"/>
                <w:color w:val="auto"/>
              </w:rPr>
              <w:t>Total realized/unrealized gains (losses)</w:t>
            </w:r>
          </w:p>
        </w:tc>
        <w:tc>
          <w:tcPr>
            <w:tcW w:w="1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(216)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620" w:type="dxa"/>
            <w:vAlign w:val="bottom"/>
          </w:tcPr>
          <w:p>
            <w:pPr>
              <w:ind w:left="180"/>
              <w:spacing w:after="0"/>
              <w:rPr>
                <w:sz w:val="20"/>
                <w:szCs w:val="20"/>
                <w:color w:val="auto"/>
              </w:rPr>
            </w:pPr>
            <w:r>
              <w:rPr>
                <w:rFonts w:ascii="Arial" w:cs="Arial" w:eastAsia="Arial" w:hAnsi="Arial"/>
                <w:sz w:val="12"/>
                <w:szCs w:val="12"/>
                <w:color w:val="auto"/>
              </w:rPr>
              <w:t>included in AOCI</w:t>
            </w: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Purchases (7)</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620" w:type="dxa"/>
            <w:vAlign w:val="bottom"/>
          </w:tcPr>
          <w:p>
            <w:pPr>
              <w:ind w:left="20"/>
              <w:spacing w:after="0"/>
              <w:rPr>
                <w:sz w:val="20"/>
                <w:szCs w:val="20"/>
                <w:color w:val="auto"/>
              </w:rPr>
            </w:pPr>
            <w:r>
              <w:rPr>
                <w:rFonts w:ascii="Arial" w:cs="Arial" w:eastAsia="Arial" w:hAnsi="Arial"/>
                <w:sz w:val="12"/>
                <w:szCs w:val="12"/>
                <w:color w:val="auto"/>
              </w:rPr>
              <w:t>Sales (7)</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Issuances (7)</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620" w:type="dxa"/>
            <w:vAlign w:val="bottom"/>
          </w:tcPr>
          <w:p>
            <w:pPr>
              <w:ind w:left="20"/>
              <w:spacing w:after="0"/>
              <w:rPr>
                <w:sz w:val="20"/>
                <w:szCs w:val="20"/>
                <w:color w:val="auto"/>
              </w:rPr>
            </w:pPr>
            <w:r>
              <w:rPr>
                <w:rFonts w:ascii="Arial" w:cs="Arial" w:eastAsia="Arial" w:hAnsi="Arial"/>
                <w:sz w:val="12"/>
                <w:szCs w:val="12"/>
                <w:color w:val="auto"/>
              </w:rPr>
              <w:t>Settlements (7)</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Transfers into Level 3 (8)</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6"/>
        </w:trPr>
        <w:tc>
          <w:tcPr>
            <w:tcW w:w="2620" w:type="dxa"/>
            <w:vAlign w:val="bottom"/>
          </w:tcPr>
          <w:p>
            <w:pPr>
              <w:ind w:left="20"/>
              <w:spacing w:after="0"/>
              <w:rPr>
                <w:sz w:val="20"/>
                <w:szCs w:val="20"/>
                <w:color w:val="auto"/>
              </w:rPr>
            </w:pPr>
            <w:r>
              <w:rPr>
                <w:rFonts w:ascii="Arial" w:cs="Arial" w:eastAsia="Arial" w:hAnsi="Arial"/>
                <w:sz w:val="12"/>
                <w:szCs w:val="12"/>
                <w:color w:val="auto"/>
              </w:rPr>
              <w:t>Transfers out of Level 3 (8)</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7"/>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Six Months Ended June 30, 2021</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(6,874)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19"/>
        </w:trPr>
        <w:tc>
          <w:tcPr>
            <w:tcW w:w="2620" w:type="dxa"/>
            <w:vAlign w:val="bottom"/>
          </w:tcPr>
          <w:p>
            <w:pPr>
              <w:ind w:left="20"/>
              <w:spacing w:after="0" w:line="120" w:lineRule="exact"/>
              <w:rPr>
                <w:sz w:val="20"/>
                <w:szCs w:val="20"/>
                <w:color w:val="auto"/>
              </w:rPr>
            </w:pPr>
            <w:r>
              <w:rPr>
                <w:rFonts w:ascii="Arial" w:cs="Arial" w:eastAsia="Arial" w:hAnsi="Arial"/>
                <w:sz w:val="12"/>
                <w:szCs w:val="12"/>
                <w:color w:val="auto"/>
              </w:rPr>
              <w:t>Total realized/unrealized gains (losses) included</w:t>
            </w:r>
          </w:p>
        </w:tc>
        <w:tc>
          <w:tcPr>
            <w:tcW w:w="1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(579)</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620" w:type="dxa"/>
            <w:vAlign w:val="bottom"/>
          </w:tcPr>
          <w:p>
            <w:pPr>
              <w:ind w:left="180"/>
              <w:spacing w:after="0"/>
              <w:rPr>
                <w:sz w:val="20"/>
                <w:szCs w:val="20"/>
                <w:color w:val="auto"/>
              </w:rPr>
            </w:pPr>
            <w:r>
              <w:rPr>
                <w:rFonts w:ascii="Arial" w:cs="Arial" w:eastAsia="Arial" w:hAnsi="Arial"/>
                <w:sz w:val="12"/>
                <w:szCs w:val="12"/>
                <w:color w:val="auto"/>
              </w:rPr>
              <w:t>in net income (loss) (5) (6)</w:t>
            </w: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Total realized/unrealized gains (losses)</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2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included in AOCI</w:t>
            </w: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20" w:type="dxa"/>
            <w:vAlign w:val="bottom"/>
          </w:tcPr>
          <w:p>
            <w:pPr>
              <w:ind w:left="20"/>
              <w:spacing w:after="0"/>
              <w:rPr>
                <w:sz w:val="20"/>
                <w:szCs w:val="20"/>
                <w:color w:val="auto"/>
              </w:rPr>
            </w:pPr>
            <w:r>
              <w:rPr>
                <w:rFonts w:ascii="Arial" w:cs="Arial" w:eastAsia="Arial" w:hAnsi="Arial"/>
                <w:sz w:val="12"/>
                <w:szCs w:val="12"/>
                <w:color w:val="auto"/>
              </w:rPr>
              <w:t>Purchases (7)</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181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Sales (7)</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620" w:type="dxa"/>
            <w:vAlign w:val="bottom"/>
          </w:tcPr>
          <w:p>
            <w:pPr>
              <w:ind w:left="20"/>
              <w:spacing w:after="0"/>
              <w:rPr>
                <w:sz w:val="20"/>
                <w:szCs w:val="20"/>
                <w:color w:val="auto"/>
              </w:rPr>
            </w:pPr>
            <w:r>
              <w:rPr>
                <w:rFonts w:ascii="Arial" w:cs="Arial" w:eastAsia="Arial" w:hAnsi="Arial"/>
                <w:sz w:val="12"/>
                <w:szCs w:val="12"/>
                <w:color w:val="auto"/>
              </w:rPr>
              <w:t>Issuances (7)</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Settlements (7)</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620" w:type="dxa"/>
            <w:vAlign w:val="bottom"/>
          </w:tcPr>
          <w:p>
            <w:pPr>
              <w:ind w:left="20"/>
              <w:spacing w:after="0"/>
              <w:rPr>
                <w:sz w:val="20"/>
                <w:szCs w:val="20"/>
                <w:color w:val="auto"/>
              </w:rPr>
            </w:pPr>
            <w:r>
              <w:rPr>
                <w:rFonts w:ascii="Arial" w:cs="Arial" w:eastAsia="Arial" w:hAnsi="Arial"/>
                <w:sz w:val="12"/>
                <w:szCs w:val="12"/>
                <w:color w:val="auto"/>
              </w:rPr>
              <w:t>Transfers into Level 3 (8)</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Transfers out of Level 3 (8)</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66"/>
        </w:trPr>
        <w:tc>
          <w:tcPr>
            <w:tcW w:w="2620" w:type="dxa"/>
            <w:vAlign w:val="bottom"/>
          </w:tcPr>
          <w:p>
            <w:pPr>
              <w:ind w:left="20"/>
              <w:spacing w:after="0"/>
              <w:rPr>
                <w:sz w:val="20"/>
                <w:szCs w:val="20"/>
                <w:color w:val="auto"/>
              </w:rPr>
            </w:pPr>
            <w:r>
              <w:rPr>
                <w:rFonts w:ascii="Arial" w:cs="Arial" w:eastAsia="Arial" w:hAnsi="Arial"/>
                <w:sz w:val="12"/>
                <w:szCs w:val="12"/>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889</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217</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(7,715)</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620" w:type="dxa"/>
            <w:vAlign w:val="bottom"/>
            <w:shd w:val="clear" w:color="auto" w:fill="CCEEFF"/>
          </w:tcPr>
          <w:p>
            <w:pPr>
              <w:ind w:left="20"/>
              <w:spacing w:after="0" w:line="86" w:lineRule="exact"/>
              <w:rPr>
                <w:sz w:val="20"/>
                <w:szCs w:val="20"/>
                <w:color w:val="auto"/>
              </w:rPr>
            </w:pPr>
            <w:r>
              <w:rPr>
                <w:rFonts w:ascii="Arial" w:cs="Arial" w:eastAsia="Arial" w:hAnsi="Arial"/>
                <w:sz w:val="9"/>
                <w:szCs w:val="9"/>
                <w:color w:val="auto"/>
              </w:rPr>
              <w:t>Changes in unrealized gains (losses) included in</w:t>
            </w: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62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net income (loss) for the instruments still held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4,001</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at June 30, 2022 (9)</w:t>
            </w:r>
          </w:p>
        </w:tc>
        <w:tc>
          <w:tcPr>
            <w:tcW w:w="12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rPr>
              <w:t>Changes in unrealized gains (losses) included in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620" w:type="dxa"/>
            <w:vAlign w:val="bottom"/>
          </w:tcPr>
          <w:p>
            <w:pPr>
              <w:ind w:left="180"/>
              <w:spacing w:after="0" w:line="120" w:lineRule="exact"/>
              <w:rPr>
                <w:sz w:val="20"/>
                <w:szCs w:val="20"/>
                <w:color w:val="auto"/>
              </w:rPr>
            </w:pPr>
            <w:r>
              <w:rPr>
                <w:rFonts w:ascii="Arial" w:cs="Arial" w:eastAsia="Arial" w:hAnsi="Arial"/>
                <w:sz w:val="12"/>
                <w:szCs w:val="12"/>
                <w:color w:val="auto"/>
              </w:rPr>
              <w:t>OCI for the instruments still held at June 30,</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(218)</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vMerge w:val="restart"/>
          </w:tcPr>
          <w:p>
            <w:pPr>
              <w:jc w:val="right"/>
              <w:ind w:right="38"/>
              <w:spacing w:after="0"/>
              <w:rPr>
                <w:sz w:val="20"/>
                <w:szCs w:val="20"/>
                <w:color w:val="auto"/>
              </w:rPr>
            </w:pPr>
            <w:r>
              <w:rPr>
                <w:rFonts w:ascii="Arial" w:cs="Arial" w:eastAsia="Arial" w:hAnsi="Arial"/>
                <w:sz w:val="12"/>
                <w:szCs w:val="12"/>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2620" w:type="dxa"/>
            <w:vAlign w:val="bottom"/>
          </w:tcPr>
          <w:p>
            <w:pPr>
              <w:ind w:left="180"/>
              <w:spacing w:after="0"/>
              <w:rPr>
                <w:sz w:val="20"/>
                <w:szCs w:val="20"/>
                <w:color w:val="auto"/>
              </w:rPr>
            </w:pPr>
            <w:r>
              <w:rPr>
                <w:rFonts w:ascii="Arial" w:cs="Arial" w:eastAsia="Arial" w:hAnsi="Arial"/>
                <w:sz w:val="12"/>
                <w:szCs w:val="12"/>
                <w:color w:val="auto"/>
              </w:rPr>
              <w:t>2022 (9)</w:t>
            </w:r>
          </w:p>
        </w:tc>
        <w:tc>
          <w:tcPr>
            <w:tcW w:w="1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620" w:type="dxa"/>
            <w:vAlign w:val="bottom"/>
            <w:shd w:val="clear" w:color="auto" w:fill="CCEEFF"/>
          </w:tcPr>
          <w:p>
            <w:pPr>
              <w:ind w:left="20"/>
              <w:spacing w:after="0" w:line="86" w:lineRule="exact"/>
              <w:rPr>
                <w:sz w:val="20"/>
                <w:szCs w:val="20"/>
                <w:color w:val="auto"/>
              </w:rPr>
            </w:pPr>
            <w:r>
              <w:rPr>
                <w:rFonts w:ascii="Arial" w:cs="Arial" w:eastAsia="Arial" w:hAnsi="Arial"/>
                <w:sz w:val="9"/>
                <w:szCs w:val="9"/>
                <w:color w:val="auto"/>
              </w:rPr>
              <w:t>Changes in unrealized gains (losses) included in</w:t>
            </w: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62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net income (loss) for the instruments still held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(560)</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at June 30, 2021 (9)</w:t>
            </w:r>
          </w:p>
        </w:tc>
        <w:tc>
          <w:tcPr>
            <w:tcW w:w="12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rPr>
              <w:t>Changes in unrealized gains (losses) included in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620" w:type="dxa"/>
            <w:vAlign w:val="bottom"/>
          </w:tcPr>
          <w:p>
            <w:pPr>
              <w:ind w:left="180"/>
              <w:spacing w:after="0" w:line="120" w:lineRule="exact"/>
              <w:rPr>
                <w:sz w:val="20"/>
                <w:szCs w:val="20"/>
                <w:color w:val="auto"/>
              </w:rPr>
            </w:pPr>
            <w:r>
              <w:rPr>
                <w:rFonts w:ascii="Arial" w:cs="Arial" w:eastAsia="Arial" w:hAnsi="Arial"/>
                <w:sz w:val="12"/>
                <w:szCs w:val="12"/>
                <w:color w:val="auto"/>
              </w:rPr>
              <w:t>OCI for the instruments still held at June 30,</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vMerge w:val="restart"/>
          </w:tcPr>
          <w:p>
            <w:pPr>
              <w:jc w:val="right"/>
              <w:ind w:right="38"/>
              <w:spacing w:after="0"/>
              <w:rPr>
                <w:sz w:val="20"/>
                <w:szCs w:val="20"/>
                <w:color w:val="auto"/>
              </w:rPr>
            </w:pPr>
            <w:r>
              <w:rPr>
                <w:rFonts w:ascii="Arial" w:cs="Arial" w:eastAsia="Arial" w:hAnsi="Arial"/>
                <w:sz w:val="12"/>
                <w:szCs w:val="12"/>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2620" w:type="dxa"/>
            <w:vAlign w:val="bottom"/>
          </w:tcPr>
          <w:p>
            <w:pPr>
              <w:ind w:left="180"/>
              <w:spacing w:after="0"/>
              <w:rPr>
                <w:sz w:val="20"/>
                <w:szCs w:val="20"/>
                <w:color w:val="auto"/>
              </w:rPr>
            </w:pPr>
            <w:r>
              <w:rPr>
                <w:rFonts w:ascii="Arial" w:cs="Arial" w:eastAsia="Arial" w:hAnsi="Arial"/>
                <w:sz w:val="12"/>
                <w:szCs w:val="12"/>
                <w:color w:val="auto"/>
              </w:rPr>
              <w:t>2021 (9)</w:t>
            </w:r>
          </w:p>
        </w:tc>
        <w:tc>
          <w:tcPr>
            <w:tcW w:w="12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Comprised of U.S. and foreign corporate securities.</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Freestanding derivative assets and liabilities are presented net for purposes of the rollforward.</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Embedded derivative assets and liabilities are presented net for purposes of the rollforward.</w:t>
      </w:r>
    </w:p>
    <w:p>
      <w:pPr>
        <w:spacing w:after="0" w:line="111" w:lineRule="exact"/>
        <w:rPr>
          <w:rFonts w:ascii="Arial" w:cs="Arial" w:eastAsia="Arial" w:hAnsi="Arial"/>
          <w:sz w:val="18"/>
          <w:szCs w:val="18"/>
          <w:color w:val="auto"/>
        </w:rPr>
      </w:pPr>
    </w:p>
    <w:p>
      <w:pPr>
        <w:jc w:val="both"/>
        <w:ind w:left="320" w:hanging="314"/>
        <w:spacing w:after="0" w:line="255" w:lineRule="auto"/>
        <w:tabs>
          <w:tab w:leader="none" w:pos="3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 performance related to separate account assets is fully offset by corresponding amounts credited to contract holders within separate account liabilities. Therefore, such changes in estimated fair value are not recorded in net income (loss). For the purpose of this disclosure, these changes are presented within net investment gains (losses).</w:t>
      </w:r>
    </w:p>
    <w:p>
      <w:pPr>
        <w:spacing w:after="0" w:line="82" w:lineRule="exact"/>
        <w:rPr>
          <w:rFonts w:ascii="Arial" w:cs="Arial" w:eastAsia="Arial" w:hAnsi="Arial"/>
          <w:sz w:val="18"/>
          <w:szCs w:val="18"/>
          <w:color w:val="auto"/>
        </w:rPr>
      </w:pPr>
    </w:p>
    <w:p>
      <w:pPr>
        <w:jc w:val="both"/>
        <w:ind w:left="320" w:hanging="314"/>
        <w:spacing w:after="0" w:line="252" w:lineRule="auto"/>
        <w:tabs>
          <w:tab w:leader="none" w:pos="3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Amortization of premium/accretion of discount is included within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68" w:lineRule="exact"/>
        <w:rPr>
          <w:sz w:val="20"/>
          <w:szCs w:val="20"/>
          <w:color w:val="auto"/>
        </w:rPr>
      </w:pPr>
    </w:p>
    <w:p>
      <w:pPr>
        <w:ind w:left="320" w:hanging="314"/>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and dividend accruals, as well as cash interest coupons and dividends received, are excluded from the rollforward.</w:t>
      </w:r>
    </w:p>
    <w:p>
      <w:pPr>
        <w:spacing w:after="0" w:line="111"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Items purchased/issued and then sold/settled in the same period are excluded from the rollforward. Fees attributed to embedded derivatives are included in settlements.</w:t>
      </w:r>
    </w:p>
    <w:p>
      <w:pPr>
        <w:spacing w:after="0" w:line="74"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Gains and losses, in net income (loss) and OCI, are calculated assuming transfers into and/or out of Level 3 occurred at the beginning of the period. Items transferred into and then out of Level 3 in the same period are excluded from the rollforward.</w:t>
      </w:r>
    </w:p>
    <w:p>
      <w:pPr>
        <w:spacing w:after="0" w:line="74" w:lineRule="exact"/>
        <w:rPr>
          <w:rFonts w:ascii="Arial" w:cs="Arial" w:eastAsia="Arial" w:hAnsi="Arial"/>
          <w:sz w:val="18"/>
          <w:szCs w:val="18"/>
          <w:color w:val="auto"/>
        </w:rPr>
      </w:pPr>
    </w:p>
    <w:p>
      <w:pPr>
        <w:jc w:val="both"/>
        <w:ind w:left="320" w:hanging="314"/>
        <w:spacing w:after="0" w:line="255" w:lineRule="auto"/>
        <w:tabs>
          <w:tab w:leader="none" w:pos="3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Carried at Other Than Fair Value</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securities loaned and other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4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0"/>
              </w:rPr>
              <w:t>June 30, 2022</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Fair Value Hierarchy</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center"/>
              <w:ind w:right="123"/>
              <w:spacing w:after="0" w:line="15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1160" w:type="dxa"/>
            <w:vAlign w:val="bottom"/>
            <w:vMerge w:val="restart"/>
          </w:tcPr>
          <w:p>
            <w:pPr>
              <w:jc w:val="center"/>
              <w:ind w:right="163"/>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1"/>
                <w:szCs w:val="11"/>
                <w:color w:val="auto"/>
              </w:rPr>
            </w:pPr>
          </w:p>
        </w:tc>
        <w:tc>
          <w:tcPr>
            <w:tcW w:w="98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1"/>
                <w:szCs w:val="11"/>
                <w:color w:val="auto"/>
              </w:rPr>
            </w:pPr>
          </w:p>
        </w:tc>
        <w:tc>
          <w:tcPr>
            <w:tcW w:w="1020" w:type="dxa"/>
            <w:vAlign w:val="bottom"/>
          </w:tcPr>
          <w:p>
            <w:pPr>
              <w:jc w:val="center"/>
              <w:ind w:right="123"/>
              <w:spacing w:after="0" w:line="13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79"/>
        </w:trPr>
        <w:tc>
          <w:tcPr>
            <w:tcW w:w="4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ind w:right="143"/>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21,508</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20,397</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20,397</w:t>
            </w:r>
          </w:p>
        </w:tc>
        <w:tc>
          <w:tcPr>
            <w:tcW w:w="0" w:type="dxa"/>
            <w:vAlign w:val="bottom"/>
          </w:tcPr>
          <w:p>
            <w:pPr>
              <w:spacing w:after="0"/>
              <w:rPr>
                <w:sz w:val="1"/>
                <w:szCs w:val="1"/>
                <w:color w:val="auto"/>
              </w:rPr>
            </w:pPr>
          </w:p>
        </w:tc>
      </w:tr>
      <w:tr>
        <w:trPr>
          <w:trHeight w:val="228"/>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 loans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1,277</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515</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6"/>
                <w:szCs w:val="16"/>
                <w:color w:val="auto"/>
              </w:rPr>
              <w:t>Other invested assets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156</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144</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5"/>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3,714</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311</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4,051</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26,762</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26,032</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26,032</w:t>
            </w: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3,157</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2,795</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2,795</w:t>
            </w:r>
          </w:p>
        </w:tc>
        <w:tc>
          <w:tcPr>
            <w:tcW w:w="0" w:type="dxa"/>
            <w:vAlign w:val="bottom"/>
          </w:tcPr>
          <w:p>
            <w:pPr>
              <w:spacing w:after="0"/>
              <w:rPr>
                <w:sz w:val="1"/>
                <w:szCs w:val="1"/>
                <w:color w:val="auto"/>
              </w:rPr>
            </w:pPr>
          </w:p>
        </w:tc>
      </w:tr>
      <w:tr>
        <w:trPr>
          <w:trHeight w:val="215"/>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1,092</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387</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207"/>
        </w:trPr>
        <w:tc>
          <w:tcPr>
            <w:tcW w:w="4720" w:type="dxa"/>
            <w:vAlign w:val="bottom"/>
          </w:tcPr>
          <w:p>
            <w:pPr>
              <w:ind w:left="20"/>
              <w:spacing w:after="0"/>
              <w:rPr>
                <w:sz w:val="20"/>
                <w:szCs w:val="20"/>
                <w:color w:val="auto"/>
              </w:rPr>
            </w:pPr>
            <w:r>
              <w:rPr>
                <w:rFonts w:ascii="Arial" w:cs="Arial" w:eastAsia="Arial" w:hAnsi="Arial"/>
                <w:sz w:val="16"/>
                <w:szCs w:val="16"/>
                <w:color w:val="auto"/>
              </w:rPr>
              <w:t>Separate account liabilities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1,066</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1,066</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December 31, 2021</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Fair Value Hierarchy</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center"/>
              <w:ind w:right="123"/>
              <w:spacing w:after="0" w:line="15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1"/>
                <w:szCs w:val="11"/>
                <w:color w:val="auto"/>
              </w:rPr>
            </w:pPr>
          </w:p>
        </w:tc>
        <w:tc>
          <w:tcPr>
            <w:tcW w:w="114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1"/>
                <w:szCs w:val="11"/>
                <w:color w:val="auto"/>
              </w:rPr>
            </w:pPr>
          </w:p>
        </w:tc>
        <w:tc>
          <w:tcPr>
            <w:tcW w:w="98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1"/>
                <w:szCs w:val="11"/>
                <w:color w:val="auto"/>
              </w:rPr>
            </w:pPr>
          </w:p>
        </w:tc>
        <w:tc>
          <w:tcPr>
            <w:tcW w:w="1020" w:type="dxa"/>
            <w:vAlign w:val="bottom"/>
          </w:tcPr>
          <w:p>
            <w:pPr>
              <w:jc w:val="center"/>
              <w:ind w:right="123"/>
              <w:spacing w:after="0" w:line="13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Value</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79"/>
        </w:trPr>
        <w:tc>
          <w:tcPr>
            <w:tcW w:w="4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center"/>
              <w:ind w:right="162"/>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19,850</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20,656</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20,656</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 loans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1,264</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508</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6"/>
                <w:szCs w:val="16"/>
                <w:color w:val="auto"/>
              </w:rPr>
              <w:t>Other invested assets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82</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70</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3,242</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20</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23,637</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23,614</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23,614</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3,157</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3,504</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3,504</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854</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138</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207"/>
        </w:trPr>
        <w:tc>
          <w:tcPr>
            <w:tcW w:w="4720" w:type="dxa"/>
            <w:vAlign w:val="bottom"/>
          </w:tcPr>
          <w:p>
            <w:pPr>
              <w:ind w:left="20"/>
              <w:spacing w:after="0"/>
              <w:rPr>
                <w:sz w:val="20"/>
                <w:szCs w:val="20"/>
                <w:color w:val="auto"/>
              </w:rPr>
            </w:pPr>
            <w:r>
              <w:rPr>
                <w:rFonts w:ascii="Arial" w:cs="Arial" w:eastAsia="Arial" w:hAnsi="Arial"/>
                <w:sz w:val="16"/>
                <w:szCs w:val="16"/>
                <w:color w:val="auto"/>
              </w:rPr>
              <w:t>Separate account liabilities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1,440</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1,440</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1,440</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April 15, 2022, BHF entered into a new revolving credit agreement with respect to a new $1.0 billion senior unsecured revolving credit facility maturing April 15, 2027 (the “2022 Revolving Credit Facility”), all of which may be used for revolving loans or letters of credit. The 2022 Revolving Credit Facility refinanced and replaced BHF’s former $1.0 billion senior unsecured revolving credit facility that was scheduled to mature May 7, 2024. At June 30, 2022, there were no borrowings or letters of credit outstanding under the 2022 Revolving Credit Facility.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Preferred stock shares authorized, issued and outstanding were as follows at both June 30, 2022 and December 31,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18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 Authorized</w:t>
            </w:r>
          </w:p>
        </w:tc>
        <w:tc>
          <w:tcPr>
            <w:tcW w:w="182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 Issued</w:t>
            </w:r>
          </w:p>
        </w:tc>
        <w:tc>
          <w:tcPr>
            <w:tcW w:w="1740" w:type="dxa"/>
            <w:vAlign w:val="bottom"/>
          </w:tcPr>
          <w:p>
            <w:pPr>
              <w:jc w:val="right"/>
              <w:ind w:right="182"/>
              <w:spacing w:after="0"/>
              <w:rPr>
                <w:sz w:val="20"/>
                <w:szCs w:val="20"/>
                <w:color w:val="auto"/>
              </w:rPr>
            </w:pPr>
            <w:r>
              <w:rPr>
                <w:rFonts w:ascii="Arial" w:cs="Arial" w:eastAsia="Arial" w:hAnsi="Arial"/>
                <w:sz w:val="14"/>
                <w:szCs w:val="14"/>
                <w:b w:val="1"/>
                <w:bCs w:val="1"/>
                <w:color w:val="auto"/>
              </w:rPr>
              <w:t>Shares Outstanding</w:t>
            </w:r>
          </w:p>
        </w:tc>
      </w:tr>
      <w:tr>
        <w:trPr>
          <w:trHeight w:val="211"/>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6.600% Non-Cumulative Preferred Stock, Series A</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17,000</w:t>
            </w:r>
          </w:p>
        </w:tc>
        <w:tc>
          <w:tcPr>
            <w:tcW w:w="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17,000</w:t>
            </w:r>
          </w:p>
        </w:tc>
      </w:tr>
      <w:tr>
        <w:trPr>
          <w:trHeight w:val="209"/>
        </w:trPr>
        <w:tc>
          <w:tcPr>
            <w:tcW w:w="5840" w:type="dxa"/>
            <w:vAlign w:val="bottom"/>
          </w:tcPr>
          <w:p>
            <w:pPr>
              <w:ind w:left="20"/>
              <w:spacing w:after="0"/>
              <w:rPr>
                <w:sz w:val="20"/>
                <w:szCs w:val="20"/>
                <w:color w:val="auto"/>
              </w:rPr>
            </w:pPr>
            <w:r>
              <w:rPr>
                <w:rFonts w:ascii="Arial" w:cs="Arial" w:eastAsia="Arial" w:hAnsi="Arial"/>
                <w:sz w:val="16"/>
                <w:szCs w:val="16"/>
                <w:color w:val="auto"/>
              </w:rPr>
              <w:t>6.750% Non-Cumulative Preferred Stock, Series B</w:t>
            </w:r>
          </w:p>
        </w:tc>
        <w:tc>
          <w:tcPr>
            <w:tcW w:w="1740" w:type="dxa"/>
            <w:vAlign w:val="bottom"/>
          </w:tcPr>
          <w:p>
            <w:pPr>
              <w:jc w:val="right"/>
              <w:spacing w:after="0"/>
              <w:rPr>
                <w:sz w:val="20"/>
                <w:szCs w:val="20"/>
                <w:color w:val="auto"/>
              </w:rPr>
            </w:pPr>
            <w:r>
              <w:rPr>
                <w:rFonts w:ascii="Arial" w:cs="Arial" w:eastAsia="Arial" w:hAnsi="Arial"/>
                <w:sz w:val="16"/>
                <w:szCs w:val="16"/>
                <w:color w:val="auto"/>
              </w:rPr>
              <w:t>16,100</w:t>
            </w:r>
          </w:p>
        </w:tc>
        <w:tc>
          <w:tcPr>
            <w:tcW w:w="100" w:type="dxa"/>
            <w:vAlign w:val="bottom"/>
          </w:tcPr>
          <w:p>
            <w:pPr>
              <w:spacing w:after="0"/>
              <w:rPr>
                <w:sz w:val="18"/>
                <w:szCs w:val="18"/>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auto"/>
              </w:rPr>
              <w:t>16,100</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16,100</w:t>
            </w:r>
          </w:p>
        </w:tc>
      </w:tr>
      <w:tr>
        <w:trPr>
          <w:trHeight w:val="215"/>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5.375% Non-Cumulative Preferred Stock, Series C</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23,000</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r>
      <w:tr>
        <w:trPr>
          <w:trHeight w:val="422"/>
        </w:trPr>
        <w:tc>
          <w:tcPr>
            <w:tcW w:w="5840" w:type="dxa"/>
            <w:vAlign w:val="bottom"/>
          </w:tcPr>
          <w:p>
            <w:pPr>
              <w:ind w:left="20"/>
              <w:spacing w:after="0"/>
              <w:rPr>
                <w:sz w:val="20"/>
                <w:szCs w:val="20"/>
                <w:color w:val="auto"/>
              </w:rPr>
            </w:pPr>
            <w:r>
              <w:rPr>
                <w:rFonts w:ascii="Arial" w:cs="Arial" w:eastAsia="Arial" w:hAnsi="Arial"/>
                <w:sz w:val="16"/>
                <w:szCs w:val="16"/>
                <w:color w:val="auto"/>
              </w:rPr>
              <w:t>4.625% Non-Cumulative Preferred Stock, Series D</w:t>
            </w:r>
          </w:p>
        </w:tc>
        <w:tc>
          <w:tcPr>
            <w:tcW w:w="1740" w:type="dxa"/>
            <w:vAlign w:val="bottom"/>
          </w:tcPr>
          <w:p>
            <w:pPr>
              <w:jc w:val="right"/>
              <w:spacing w:after="0"/>
              <w:rPr>
                <w:sz w:val="20"/>
                <w:szCs w:val="20"/>
                <w:color w:val="auto"/>
              </w:rPr>
            </w:pPr>
            <w:r>
              <w:rPr>
                <w:rFonts w:ascii="Arial" w:cs="Arial" w:eastAsia="Arial" w:hAnsi="Arial"/>
                <w:sz w:val="16"/>
                <w:szCs w:val="16"/>
                <w:color w:val="auto"/>
              </w:rPr>
              <w:t>14,000</w:t>
            </w:r>
          </w:p>
        </w:tc>
        <w:tc>
          <w:tcPr>
            <w:tcW w:w="100" w:type="dxa"/>
            <w:vAlign w:val="bottom"/>
          </w:tcPr>
          <w:p>
            <w:pPr>
              <w:spacing w:after="0"/>
              <w:rPr>
                <w:sz w:val="24"/>
                <w:szCs w:val="24"/>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auto"/>
              </w:rPr>
              <w:t>14,000</w:t>
            </w:r>
          </w:p>
        </w:tc>
        <w:tc>
          <w:tcPr>
            <w:tcW w:w="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14,000</w:t>
            </w:r>
          </w:p>
        </w:tc>
      </w:tr>
      <w:tr>
        <w:trPr>
          <w:trHeight w:val="212"/>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 designated</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99,929,900</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5840" w:type="dxa"/>
            <w:vAlign w:val="bottom"/>
          </w:tcPr>
          <w:p>
            <w:pPr>
              <w:ind w:left="18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100,000,000</w:t>
            </w:r>
          </w:p>
        </w:tc>
        <w:tc>
          <w:tcPr>
            <w:tcW w:w="10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70,100</w:t>
            </w:r>
          </w:p>
        </w:tc>
        <w:tc>
          <w:tcPr>
            <w:tcW w:w="8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70,100</w:t>
            </w:r>
          </w:p>
        </w:tc>
      </w:tr>
      <w:tr>
        <w:trPr>
          <w:trHeight w:val="20"/>
        </w:trPr>
        <w:tc>
          <w:tcPr>
            <w:tcW w:w="58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per share and aggregate dividend declared for BHF’s preferred stock by series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Three Months Ended June 30,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4"/>
                <w:szCs w:val="14"/>
                <w:b w:val="1"/>
                <w:bCs w:val="1"/>
                <w:color w:val="auto"/>
                <w:w w:val="97"/>
              </w:rPr>
              <w:t>Six Months Ended June 30,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3"/>
        </w:trPr>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2022</w:t>
            </w: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2021</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2022</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2021</w:t>
            </w:r>
          </w:p>
        </w:tc>
        <w:tc>
          <w:tcPr>
            <w:tcW w:w="900" w:type="dxa"/>
            <w:vAlign w:val="bottom"/>
            <w:tcBorders>
              <w:bottom w:val="single" w:sz="8" w:color="auto"/>
            </w:tcBorders>
          </w:tcPr>
          <w:p>
            <w:pPr>
              <w:spacing w:after="0"/>
              <w:rPr>
                <w:sz w:val="15"/>
                <w:szCs w:val="15"/>
                <w:color w:val="auto"/>
              </w:rPr>
            </w:pPr>
          </w:p>
        </w:tc>
      </w:tr>
      <w:tr>
        <w:trPr>
          <w:trHeight w:val="180"/>
        </w:trPr>
        <w:tc>
          <w:tcPr>
            <w:tcW w:w="2400" w:type="dxa"/>
            <w:vAlign w:val="bottom"/>
            <w:gridSpan w:val="2"/>
          </w:tcPr>
          <w:p>
            <w:pPr>
              <w:ind w:left="20"/>
              <w:spacing w:after="0"/>
              <w:rPr>
                <w:sz w:val="20"/>
                <w:szCs w:val="20"/>
                <w:color w:val="auto"/>
              </w:rPr>
            </w:pPr>
            <w:r>
              <w:rPr>
                <w:rFonts w:ascii="Arial" w:cs="Arial" w:eastAsia="Arial" w:hAnsi="Arial"/>
                <w:sz w:val="14"/>
                <w:szCs w:val="14"/>
                <w:b w:val="1"/>
                <w:bCs w:val="1"/>
                <w:color w:val="auto"/>
              </w:rPr>
              <w:t>Series</w:t>
            </w:r>
          </w:p>
        </w:tc>
        <w:tc>
          <w:tcPr>
            <w:tcW w:w="140" w:type="dxa"/>
            <w:vAlign w:val="bottom"/>
          </w:tcPr>
          <w:p>
            <w:pPr>
              <w:spacing w:after="0"/>
              <w:rPr>
                <w:sz w:val="15"/>
                <w:szCs w:val="15"/>
                <w:color w:val="auto"/>
              </w:rPr>
            </w:pPr>
          </w:p>
        </w:tc>
        <w:tc>
          <w:tcPr>
            <w:tcW w:w="760" w:type="dxa"/>
            <w:vAlign w:val="bottom"/>
          </w:tcPr>
          <w:p>
            <w:pPr>
              <w:jc w:val="right"/>
              <w:ind w:right="42"/>
              <w:spacing w:after="0"/>
              <w:rPr>
                <w:sz w:val="20"/>
                <w:szCs w:val="20"/>
                <w:color w:val="auto"/>
              </w:rPr>
            </w:pPr>
            <w:r>
              <w:rPr>
                <w:rFonts w:ascii="Arial" w:cs="Arial" w:eastAsia="Arial" w:hAnsi="Arial"/>
                <w:sz w:val="14"/>
                <w:szCs w:val="14"/>
                <w:b w:val="1"/>
                <w:bCs w:val="1"/>
                <w:color w:val="auto"/>
                <w:w w:val="94"/>
              </w:rPr>
              <w:t>Per Share</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183"/>
              <w:spacing w:after="0"/>
              <w:rPr>
                <w:sz w:val="20"/>
                <w:szCs w:val="20"/>
                <w:color w:val="auto"/>
              </w:rPr>
            </w:pPr>
            <w:r>
              <w:rPr>
                <w:rFonts w:ascii="Arial" w:cs="Arial" w:eastAsia="Arial" w:hAnsi="Arial"/>
                <w:sz w:val="14"/>
                <w:szCs w:val="14"/>
                <w:b w:val="1"/>
                <w:bCs w:val="1"/>
                <w:color w:val="auto"/>
                <w:w w:val="92"/>
              </w:rPr>
              <w:t>Aggregate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62"/>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82"/>
              <w:spacing w:after="0"/>
              <w:rPr>
                <w:sz w:val="20"/>
                <w:szCs w:val="20"/>
                <w:color w:val="auto"/>
              </w:rPr>
            </w:pPr>
            <w:r>
              <w:rPr>
                <w:rFonts w:ascii="Arial" w:cs="Arial" w:eastAsia="Arial" w:hAnsi="Arial"/>
                <w:sz w:val="14"/>
                <w:szCs w:val="14"/>
                <w:b w:val="1"/>
                <w:bCs w:val="1"/>
                <w:color w:val="auto"/>
                <w:w w:val="89"/>
              </w:rPr>
              <w:t>Aggregate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2"/>
              <w:spacing w:after="0"/>
              <w:rPr>
                <w:sz w:val="20"/>
                <w:szCs w:val="20"/>
                <w:color w:val="auto"/>
              </w:rPr>
            </w:pPr>
            <w:r>
              <w:rPr>
                <w:rFonts w:ascii="Arial" w:cs="Arial" w:eastAsia="Arial" w:hAnsi="Arial"/>
                <w:sz w:val="14"/>
                <w:szCs w:val="14"/>
                <w:b w:val="1"/>
                <w:bCs w:val="1"/>
                <w:color w:val="auto"/>
                <w:w w:val="94"/>
              </w:rPr>
              <w:t>Per Share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63"/>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Arial" w:cs="Arial" w:eastAsia="Arial" w:hAnsi="Arial"/>
                <w:sz w:val="14"/>
                <w:szCs w:val="14"/>
                <w:b w:val="1"/>
                <w:bCs w:val="1"/>
                <w:color w:val="auto"/>
                <w:w w:val="94"/>
              </w:rPr>
              <w:t>Per Share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62"/>
              <w:spacing w:after="0"/>
              <w:rPr>
                <w:sz w:val="20"/>
                <w:szCs w:val="20"/>
                <w:color w:val="auto"/>
              </w:rPr>
            </w:pPr>
            <w:r>
              <w:rPr>
                <w:rFonts w:ascii="Arial" w:cs="Arial" w:eastAsia="Arial" w:hAnsi="Arial"/>
                <w:sz w:val="14"/>
                <w:szCs w:val="14"/>
                <w:b w:val="1"/>
                <w:bCs w:val="1"/>
                <w:color w:val="auto"/>
                <w:w w:val="92"/>
              </w:rPr>
              <w:t>Aggregate</w:t>
            </w:r>
          </w:p>
        </w:tc>
      </w:tr>
      <w:tr>
        <w:trPr>
          <w:trHeight w:val="179"/>
        </w:trPr>
        <w:tc>
          <w:tcPr>
            <w:tcW w:w="2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40" w:type="dxa"/>
            <w:vAlign w:val="bottom"/>
            <w:tcBorders>
              <w:top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w w:val="99"/>
              </w:rPr>
              <w:t>(In millions, except per share data)</w:t>
            </w: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213"/>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412.50</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412.50</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825.00</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825.00</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2400" w:type="dxa"/>
            <w:vAlign w:val="bottom"/>
            <w:gridSpan w:val="2"/>
          </w:tcPr>
          <w:p>
            <w:pPr>
              <w:ind w:left="20"/>
              <w:spacing w:after="0"/>
              <w:rPr>
                <w:sz w:val="20"/>
                <w:szCs w:val="20"/>
                <w:color w:val="auto"/>
              </w:rPr>
            </w:pPr>
            <w:r>
              <w:rPr>
                <w:rFonts w:ascii="Arial" w:cs="Arial" w:eastAsia="Arial" w:hAnsi="Arial"/>
                <w:sz w:val="16"/>
                <w:szCs w:val="16"/>
                <w:color w:val="auto"/>
              </w:rPr>
              <w:t>B</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421.88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7</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421.88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843.76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843.76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5"/>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671.88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0"/>
        </w:trPr>
        <w:tc>
          <w:tcPr>
            <w:tcW w:w="2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289.06</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684.11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six months ended June 30, 2022 and 2021, BHF repurchased 5,152,415 and 4,312,267 shares, respectively, of its common stock through open market purchases pursuant to 10b5-1 plans for $259 million and $192 million, respectively. At June 30, 2022, BHF had $522 million remaining under its common stock repurchase program.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changes in the balances of each component of AOCI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jc w:val="center"/>
              <w:ind w:left="672"/>
              <w:spacing w:after="0"/>
              <w:rPr>
                <w:sz w:val="20"/>
                <w:szCs w:val="20"/>
                <w:color w:val="auto"/>
              </w:rPr>
            </w:pPr>
            <w:r>
              <w:rPr>
                <w:rFonts w:ascii="Arial" w:cs="Arial" w:eastAsia="Arial" w:hAnsi="Arial"/>
                <w:sz w:val="12"/>
                <w:szCs w:val="12"/>
                <w:b w:val="1"/>
                <w:bCs w:val="1"/>
                <w:color w:val="auto"/>
                <w:w w:val="93"/>
              </w:rPr>
              <w:t>Three Months Ended June 30, 2022</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5"/>
              </w:rPr>
              <w:t>Unrealized</w:t>
            </w:r>
          </w:p>
        </w:tc>
        <w:tc>
          <w:tcPr>
            <w:tcW w:w="180" w:type="dxa"/>
            <w:vAlign w:val="bottom"/>
          </w:tcPr>
          <w:p>
            <w:pPr>
              <w:spacing w:after="0"/>
              <w:rPr>
                <w:sz w:val="10"/>
                <w:szCs w:val="10"/>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5"/>
              </w:rPr>
              <w:t>Unrealized</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0"/>
              </w:rPr>
              <w:t>Foreign</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3"/>
              </w:rPr>
              <w:t>Investment Gains</w:t>
            </w:r>
          </w:p>
        </w:tc>
        <w:tc>
          <w:tcPr>
            <w:tcW w:w="1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4"/>
              </w:rPr>
              <w:t>Currency</w:t>
            </w:r>
          </w:p>
        </w:tc>
        <w:tc>
          <w:tcPr>
            <w:tcW w:w="80" w:type="dxa"/>
            <w:vAlign w:val="bottom"/>
          </w:tcPr>
          <w:p>
            <w:pPr>
              <w:spacing w:after="0"/>
              <w:rPr>
                <w:sz w:val="10"/>
                <w:szCs w:val="10"/>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3"/>
              </w:rPr>
              <w:t>Defined Benefit</w:t>
            </w: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88"/>
              </w:rPr>
              <w:t>(Losses), Net of</w:t>
            </w:r>
          </w:p>
        </w:tc>
        <w:tc>
          <w:tcPr>
            <w:tcW w:w="180" w:type="dxa"/>
            <w:vAlign w:val="bottom"/>
          </w:tcPr>
          <w:p>
            <w:pPr>
              <w:spacing w:after="0"/>
              <w:rPr>
                <w:sz w:val="10"/>
                <w:szCs w:val="10"/>
                <w:color w:val="auto"/>
              </w:rPr>
            </w:pPr>
          </w:p>
        </w:tc>
        <w:tc>
          <w:tcPr>
            <w:tcW w:w="122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0"/>
              </w:rPr>
              <w:t>Gains (Losses)</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2"/>
              </w:rPr>
              <w:t>Translation</w:t>
            </w:r>
          </w:p>
        </w:tc>
        <w:tc>
          <w:tcPr>
            <w:tcW w:w="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vMerge w:val="restart"/>
          </w:tcPr>
          <w:p>
            <w:pPr>
              <w:jc w:val="right"/>
              <w:ind w:right="43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Related Offsets (1)</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on Derivatives</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3"/>
              </w:rPr>
              <w:t>Adjustments</w:t>
            </w: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2"/>
              </w:rPr>
              <w:t>Plans Adjustment</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94"/>
              </w:rPr>
              <w:t>(In millions)</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March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10"/>
        </w:trPr>
        <w:tc>
          <w:tcPr>
            <w:tcW w:w="4240" w:type="dxa"/>
            <w:vAlign w:val="bottom"/>
          </w:tcPr>
          <w:p>
            <w:pPr>
              <w:ind w:left="20"/>
              <w:spacing w:after="0"/>
              <w:rPr>
                <w:sz w:val="20"/>
                <w:szCs w:val="20"/>
                <w:color w:val="auto"/>
              </w:rPr>
            </w:pPr>
            <w:r>
              <w:rPr>
                <w:rFonts w:ascii="Arial" w:cs="Arial" w:eastAsia="Arial" w:hAnsi="Arial"/>
                <w:sz w:val="14"/>
                <w:szCs w:val="14"/>
                <w:color w:val="auto"/>
              </w:rPr>
              <w:t>OCI before reclassifications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(4,451)</w:t>
            </w: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benefit (expense) (2)</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176"/>
        </w:trPr>
        <w:tc>
          <w:tcPr>
            <w:tcW w:w="4240" w:type="dxa"/>
            <w:vAlign w:val="bottom"/>
          </w:tcPr>
          <w:p>
            <w:pPr>
              <w:ind w:left="180"/>
              <w:spacing w:after="0"/>
              <w:rPr>
                <w:sz w:val="20"/>
                <w:szCs w:val="20"/>
                <w:color w:val="auto"/>
              </w:rPr>
            </w:pPr>
            <w:r>
              <w:rPr>
                <w:rFonts w:ascii="Arial" w:cs="Arial" w:eastAsia="Arial" w:hAnsi="Arial"/>
                <w:sz w:val="14"/>
                <w:szCs w:val="14"/>
                <w:color w:val="auto"/>
              </w:rPr>
              <w:t>AOCI before reclassifications, net of income tax</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(3,559)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(3,152)</w:t>
            </w: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AOCI</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3"/>
        </w:trPr>
        <w:tc>
          <w:tcPr>
            <w:tcW w:w="4240" w:type="dxa"/>
            <w:vAlign w:val="bottom"/>
          </w:tcPr>
          <w:p>
            <w:pPr>
              <w:ind w:left="20"/>
              <w:spacing w:after="0"/>
              <w:rPr>
                <w:sz w:val="20"/>
                <w:szCs w:val="20"/>
                <w:color w:val="auto"/>
              </w:rPr>
            </w:pPr>
            <w:r>
              <w:rPr>
                <w:rFonts w:ascii="Arial" w:cs="Arial" w:eastAsia="Arial" w:hAnsi="Arial"/>
                <w:sz w:val="14"/>
                <w:szCs w:val="14"/>
                <w:color w:val="auto"/>
              </w:rPr>
              <w:t>Deferred income tax benefit (expense) (2)</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2"/>
        </w:trPr>
        <w:tc>
          <w:tcPr>
            <w:tcW w:w="4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Amounts reclassified from AOCI, net of income tax</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79"/>
        </w:trPr>
        <w:tc>
          <w:tcPr>
            <w:tcW w:w="4240" w:type="dxa"/>
            <w:vAlign w:val="bottom"/>
          </w:tcPr>
          <w:p>
            <w:pPr>
              <w:ind w:left="20"/>
              <w:spacing w:after="0"/>
              <w:rPr>
                <w:sz w:val="20"/>
                <w:szCs w:val="20"/>
                <w:color w:val="auto"/>
              </w:rPr>
            </w:pPr>
            <w:r>
              <w:rPr>
                <w:rFonts w:ascii="Arial" w:cs="Arial" w:eastAsia="Arial" w:hAnsi="Arial"/>
                <w:sz w:val="14"/>
                <w:szCs w:val="14"/>
                <w:color w:val="auto"/>
              </w:rPr>
              <w:t>Balance at June 30,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4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left="672"/>
              <w:spacing w:after="0"/>
              <w:rPr>
                <w:sz w:val="20"/>
                <w:szCs w:val="20"/>
                <w:color w:val="auto"/>
              </w:rPr>
            </w:pPr>
            <w:r>
              <w:rPr>
                <w:rFonts w:ascii="Arial" w:cs="Arial" w:eastAsia="Arial" w:hAnsi="Arial"/>
                <w:sz w:val="12"/>
                <w:szCs w:val="12"/>
                <w:b w:val="1"/>
                <w:bCs w:val="1"/>
                <w:color w:val="auto"/>
                <w:w w:val="93"/>
              </w:rPr>
              <w:t>Three Months Ended June 30, 2021</w:t>
            </w: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5"/>
              </w:rPr>
              <w:t>Unrealized</w:t>
            </w:r>
          </w:p>
        </w:tc>
        <w:tc>
          <w:tcPr>
            <w:tcW w:w="180" w:type="dxa"/>
            <w:vAlign w:val="bottom"/>
          </w:tcPr>
          <w:p>
            <w:pPr>
              <w:spacing w:after="0"/>
              <w:rPr>
                <w:sz w:val="10"/>
                <w:szCs w:val="10"/>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5"/>
              </w:rPr>
              <w:t>Unrealized</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0"/>
              </w:rPr>
              <w:t>Foreign</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3"/>
              </w:rPr>
              <w:t>Investment Gains</w:t>
            </w:r>
          </w:p>
        </w:tc>
        <w:tc>
          <w:tcPr>
            <w:tcW w:w="1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4"/>
              </w:rPr>
              <w:t>Currency</w:t>
            </w:r>
          </w:p>
        </w:tc>
        <w:tc>
          <w:tcPr>
            <w:tcW w:w="80" w:type="dxa"/>
            <w:vAlign w:val="bottom"/>
          </w:tcPr>
          <w:p>
            <w:pPr>
              <w:spacing w:after="0"/>
              <w:rPr>
                <w:sz w:val="10"/>
                <w:szCs w:val="10"/>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3"/>
              </w:rPr>
              <w:t>Defined Benefit</w:t>
            </w: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88"/>
              </w:rPr>
              <w:t>(Losses), Net of</w:t>
            </w:r>
          </w:p>
        </w:tc>
        <w:tc>
          <w:tcPr>
            <w:tcW w:w="180" w:type="dxa"/>
            <w:vAlign w:val="bottom"/>
          </w:tcPr>
          <w:p>
            <w:pPr>
              <w:spacing w:after="0"/>
              <w:rPr>
                <w:sz w:val="10"/>
                <w:szCs w:val="10"/>
                <w:color w:val="auto"/>
              </w:rPr>
            </w:pPr>
          </w:p>
        </w:tc>
        <w:tc>
          <w:tcPr>
            <w:tcW w:w="122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0"/>
              </w:rPr>
              <w:t>Gains (Losses)</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2"/>
              </w:rPr>
              <w:t>Translation</w:t>
            </w:r>
          </w:p>
        </w:tc>
        <w:tc>
          <w:tcPr>
            <w:tcW w:w="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vMerge w:val="restart"/>
          </w:tcPr>
          <w:p>
            <w:pPr>
              <w:jc w:val="right"/>
              <w:ind w:right="43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Related Offsets (1)</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on Derivatives</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3"/>
              </w:rPr>
              <w:t>Adjustments</w:t>
            </w: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2"/>
              </w:rPr>
              <w:t>Plans Adjustment</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94"/>
              </w:rPr>
              <w:t>(In millions)</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March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3,389</w:t>
            </w:r>
          </w:p>
        </w:tc>
        <w:tc>
          <w:tcPr>
            <w:tcW w:w="0" w:type="dxa"/>
            <w:vAlign w:val="bottom"/>
          </w:tcPr>
          <w:p>
            <w:pPr>
              <w:spacing w:after="0"/>
              <w:rPr>
                <w:sz w:val="1"/>
                <w:szCs w:val="1"/>
                <w:color w:val="auto"/>
              </w:rPr>
            </w:pPr>
          </w:p>
        </w:tc>
      </w:tr>
      <w:tr>
        <w:trPr>
          <w:trHeight w:val="183"/>
        </w:trPr>
        <w:tc>
          <w:tcPr>
            <w:tcW w:w="4240" w:type="dxa"/>
            <w:vAlign w:val="bottom"/>
          </w:tcPr>
          <w:p>
            <w:pPr>
              <w:ind w:left="20"/>
              <w:spacing w:after="0"/>
              <w:rPr>
                <w:sz w:val="20"/>
                <w:szCs w:val="20"/>
                <w:color w:val="auto"/>
              </w:rPr>
            </w:pPr>
            <w:r>
              <w:rPr>
                <w:rFonts w:ascii="Arial" w:cs="Arial" w:eastAsia="Arial" w:hAnsi="Arial"/>
                <w:sz w:val="14"/>
                <w:szCs w:val="14"/>
                <w:color w:val="auto"/>
              </w:rPr>
              <w:t>OCI before reclassifications</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benefit (expense) (2)</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76"/>
        </w:trPr>
        <w:tc>
          <w:tcPr>
            <w:tcW w:w="4240" w:type="dxa"/>
            <w:vAlign w:val="bottom"/>
          </w:tcPr>
          <w:p>
            <w:pPr>
              <w:ind w:left="180"/>
              <w:spacing w:after="0"/>
              <w:rPr>
                <w:sz w:val="20"/>
                <w:szCs w:val="20"/>
                <w:color w:val="auto"/>
              </w:rPr>
            </w:pPr>
            <w:r>
              <w:rPr>
                <w:rFonts w:ascii="Arial" w:cs="Arial" w:eastAsia="Arial" w:hAnsi="Arial"/>
                <w:sz w:val="14"/>
                <w:szCs w:val="14"/>
                <w:color w:val="auto"/>
              </w:rPr>
              <w:t>AOCI before reclassifications, net of income tax</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4,481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4,575</w:t>
            </w: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AOCI</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3"/>
        </w:trPr>
        <w:tc>
          <w:tcPr>
            <w:tcW w:w="4240" w:type="dxa"/>
            <w:vAlign w:val="bottom"/>
          </w:tcPr>
          <w:p>
            <w:pPr>
              <w:ind w:left="20"/>
              <w:spacing w:after="0"/>
              <w:rPr>
                <w:sz w:val="20"/>
                <w:szCs w:val="20"/>
                <w:color w:val="auto"/>
              </w:rPr>
            </w:pPr>
            <w:r>
              <w:rPr>
                <w:rFonts w:ascii="Arial" w:cs="Arial" w:eastAsia="Arial" w:hAnsi="Arial"/>
                <w:sz w:val="14"/>
                <w:szCs w:val="14"/>
                <w:color w:val="auto"/>
              </w:rPr>
              <w:t>Deferred income tax benefit (expense) (2)</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9"/>
        </w:trPr>
        <w:tc>
          <w:tcPr>
            <w:tcW w:w="4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Amounts reclassified from AOCI, net of income tax</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354"/>
        </w:trPr>
        <w:tc>
          <w:tcPr>
            <w:tcW w:w="4240" w:type="dxa"/>
            <w:vAlign w:val="bottom"/>
          </w:tcPr>
          <w:p>
            <w:pPr>
              <w:ind w:left="20"/>
              <w:spacing w:after="0"/>
              <w:rPr>
                <w:sz w:val="20"/>
                <w:szCs w:val="20"/>
                <w:color w:val="auto"/>
              </w:rPr>
            </w:pPr>
            <w:r>
              <w:rPr>
                <w:rFonts w:ascii="Arial" w:cs="Arial" w:eastAsia="Arial" w:hAnsi="Arial"/>
                <w:sz w:val="14"/>
                <w:szCs w:val="14"/>
                <w:color w:val="auto"/>
              </w:rPr>
              <w:t>Balance at June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4,506</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jc w:val="center"/>
              <w:ind w:left="672"/>
              <w:spacing w:after="0"/>
              <w:rPr>
                <w:sz w:val="20"/>
                <w:szCs w:val="20"/>
                <w:color w:val="auto"/>
              </w:rPr>
            </w:pPr>
            <w:r>
              <w:rPr>
                <w:rFonts w:ascii="Arial" w:cs="Arial" w:eastAsia="Arial" w:hAnsi="Arial"/>
                <w:sz w:val="12"/>
                <w:szCs w:val="12"/>
                <w:b w:val="1"/>
                <w:bCs w:val="1"/>
                <w:color w:val="auto"/>
                <w:w w:val="92"/>
              </w:rPr>
              <w:t>Six Months Ended June 30, 2022</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5"/>
              </w:rPr>
              <w:t>Unrealized</w:t>
            </w:r>
          </w:p>
        </w:tc>
        <w:tc>
          <w:tcPr>
            <w:tcW w:w="180" w:type="dxa"/>
            <w:vAlign w:val="bottom"/>
          </w:tcPr>
          <w:p>
            <w:pPr>
              <w:spacing w:after="0"/>
              <w:rPr>
                <w:sz w:val="10"/>
                <w:szCs w:val="10"/>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5"/>
              </w:rPr>
              <w:t>Unrealized</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0"/>
              </w:rPr>
              <w:t>Foreign</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3"/>
              </w:rPr>
              <w:t>Investment Gains</w:t>
            </w:r>
          </w:p>
        </w:tc>
        <w:tc>
          <w:tcPr>
            <w:tcW w:w="1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4"/>
              </w:rPr>
              <w:t>Currency</w:t>
            </w:r>
          </w:p>
        </w:tc>
        <w:tc>
          <w:tcPr>
            <w:tcW w:w="80" w:type="dxa"/>
            <w:vAlign w:val="bottom"/>
          </w:tcPr>
          <w:p>
            <w:pPr>
              <w:spacing w:after="0"/>
              <w:rPr>
                <w:sz w:val="10"/>
                <w:szCs w:val="10"/>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3"/>
              </w:rPr>
              <w:t>Defined Benefit</w:t>
            </w: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88"/>
              </w:rPr>
              <w:t>(Losses), Net of</w:t>
            </w:r>
          </w:p>
        </w:tc>
        <w:tc>
          <w:tcPr>
            <w:tcW w:w="180" w:type="dxa"/>
            <w:vAlign w:val="bottom"/>
          </w:tcPr>
          <w:p>
            <w:pPr>
              <w:spacing w:after="0"/>
              <w:rPr>
                <w:sz w:val="10"/>
                <w:szCs w:val="10"/>
                <w:color w:val="auto"/>
              </w:rPr>
            </w:pPr>
          </w:p>
        </w:tc>
        <w:tc>
          <w:tcPr>
            <w:tcW w:w="122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0"/>
              </w:rPr>
              <w:t>Gains (Losses)</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2"/>
              </w:rPr>
              <w:t>Translation</w:t>
            </w:r>
          </w:p>
        </w:tc>
        <w:tc>
          <w:tcPr>
            <w:tcW w:w="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vMerge w:val="restart"/>
          </w:tcPr>
          <w:p>
            <w:pPr>
              <w:jc w:val="right"/>
              <w:ind w:right="43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Related Offsets (1)</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on Derivatives</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3"/>
              </w:rPr>
              <w:t>Adjustments</w:t>
            </w: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2"/>
              </w:rPr>
              <w:t>Plans Adjustment</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94"/>
              </w:rPr>
              <w:t>(In millions)</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4,172</w:t>
            </w:r>
          </w:p>
        </w:tc>
        <w:tc>
          <w:tcPr>
            <w:tcW w:w="0" w:type="dxa"/>
            <w:vAlign w:val="bottom"/>
          </w:tcPr>
          <w:p>
            <w:pPr>
              <w:spacing w:after="0"/>
              <w:rPr>
                <w:sz w:val="1"/>
                <w:szCs w:val="1"/>
                <w:color w:val="auto"/>
              </w:rPr>
            </w:pPr>
          </w:p>
        </w:tc>
      </w:tr>
      <w:tr>
        <w:trPr>
          <w:trHeight w:val="183"/>
        </w:trPr>
        <w:tc>
          <w:tcPr>
            <w:tcW w:w="4240" w:type="dxa"/>
            <w:vAlign w:val="bottom"/>
          </w:tcPr>
          <w:p>
            <w:pPr>
              <w:ind w:left="20"/>
              <w:spacing w:after="0"/>
              <w:rPr>
                <w:sz w:val="20"/>
                <w:szCs w:val="20"/>
                <w:color w:val="auto"/>
              </w:rPr>
            </w:pPr>
            <w:r>
              <w:rPr>
                <w:rFonts w:ascii="Arial" w:cs="Arial" w:eastAsia="Arial" w:hAnsi="Arial"/>
                <w:sz w:val="14"/>
                <w:szCs w:val="14"/>
                <w:color w:val="auto"/>
              </w:rPr>
              <w:t>OCI before reclassifications</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(9,561)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(9,313)</w:t>
            </w: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benefit (expense) (2)</w:t>
            </w: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1,956</w:t>
            </w:r>
          </w:p>
        </w:tc>
        <w:tc>
          <w:tcPr>
            <w:tcW w:w="0" w:type="dxa"/>
            <w:vAlign w:val="bottom"/>
          </w:tcPr>
          <w:p>
            <w:pPr>
              <w:spacing w:after="0"/>
              <w:rPr>
                <w:sz w:val="1"/>
                <w:szCs w:val="1"/>
                <w:color w:val="auto"/>
              </w:rPr>
            </w:pPr>
          </w:p>
        </w:tc>
      </w:tr>
      <w:tr>
        <w:trPr>
          <w:trHeight w:val="176"/>
        </w:trPr>
        <w:tc>
          <w:tcPr>
            <w:tcW w:w="4240" w:type="dxa"/>
            <w:vAlign w:val="bottom"/>
          </w:tcPr>
          <w:p>
            <w:pPr>
              <w:ind w:left="180"/>
              <w:spacing w:after="0"/>
              <w:rPr>
                <w:sz w:val="20"/>
                <w:szCs w:val="20"/>
                <w:color w:val="auto"/>
              </w:rPr>
            </w:pPr>
            <w:r>
              <w:rPr>
                <w:rFonts w:ascii="Arial" w:cs="Arial" w:eastAsia="Arial" w:hAnsi="Arial"/>
                <w:sz w:val="14"/>
                <w:szCs w:val="14"/>
                <w:color w:val="auto"/>
              </w:rPr>
              <w:t>AOCI before reclassifications, net of income tax</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(3,185)</w:t>
            </w: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AOCI</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83"/>
        </w:trPr>
        <w:tc>
          <w:tcPr>
            <w:tcW w:w="4240" w:type="dxa"/>
            <w:vAlign w:val="bottom"/>
          </w:tcPr>
          <w:p>
            <w:pPr>
              <w:ind w:left="20"/>
              <w:spacing w:after="0"/>
              <w:rPr>
                <w:sz w:val="20"/>
                <w:szCs w:val="20"/>
                <w:color w:val="auto"/>
              </w:rPr>
            </w:pPr>
            <w:r>
              <w:rPr>
                <w:rFonts w:ascii="Arial" w:cs="Arial" w:eastAsia="Arial" w:hAnsi="Arial"/>
                <w:sz w:val="14"/>
                <w:szCs w:val="14"/>
                <w:color w:val="auto"/>
              </w:rPr>
              <w:t>Deferred income tax benefit (expense) (2)</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9"/>
        </w:trPr>
        <w:tc>
          <w:tcPr>
            <w:tcW w:w="4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Amounts reclassified from AOCI, net of income tax</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354"/>
        </w:trPr>
        <w:tc>
          <w:tcPr>
            <w:tcW w:w="4240" w:type="dxa"/>
            <w:vAlign w:val="bottom"/>
          </w:tcPr>
          <w:p>
            <w:pPr>
              <w:ind w:left="20"/>
              <w:spacing w:after="0"/>
              <w:rPr>
                <w:sz w:val="20"/>
                <w:szCs w:val="20"/>
                <w:color w:val="auto"/>
              </w:rPr>
            </w:pPr>
            <w:r>
              <w:rPr>
                <w:rFonts w:ascii="Arial" w:cs="Arial" w:eastAsia="Arial" w:hAnsi="Arial"/>
                <w:sz w:val="14"/>
                <w:szCs w:val="14"/>
                <w:color w:val="auto"/>
              </w:rPr>
              <w:t>Balance at June 30,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(3,495)</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4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left="672"/>
              <w:spacing w:after="0"/>
              <w:rPr>
                <w:sz w:val="20"/>
                <w:szCs w:val="20"/>
                <w:color w:val="auto"/>
              </w:rPr>
            </w:pPr>
            <w:r>
              <w:rPr>
                <w:rFonts w:ascii="Arial" w:cs="Arial" w:eastAsia="Arial" w:hAnsi="Arial"/>
                <w:sz w:val="12"/>
                <w:szCs w:val="12"/>
                <w:b w:val="1"/>
                <w:bCs w:val="1"/>
                <w:color w:val="auto"/>
                <w:w w:val="92"/>
              </w:rPr>
              <w:t>Six Months Ended June 30, 2021</w:t>
            </w: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5"/>
              </w:rPr>
              <w:t>Unrealized</w:t>
            </w:r>
          </w:p>
        </w:tc>
        <w:tc>
          <w:tcPr>
            <w:tcW w:w="180" w:type="dxa"/>
            <w:vAlign w:val="bottom"/>
          </w:tcPr>
          <w:p>
            <w:pPr>
              <w:spacing w:after="0"/>
              <w:rPr>
                <w:sz w:val="10"/>
                <w:szCs w:val="10"/>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5"/>
              </w:rPr>
              <w:t>Unrealized</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0"/>
              </w:rPr>
              <w:t>Foreign</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3"/>
              </w:rPr>
              <w:t>Investment Gains</w:t>
            </w:r>
          </w:p>
        </w:tc>
        <w:tc>
          <w:tcPr>
            <w:tcW w:w="1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4"/>
              </w:rPr>
              <w:t>Currency</w:t>
            </w:r>
          </w:p>
        </w:tc>
        <w:tc>
          <w:tcPr>
            <w:tcW w:w="80" w:type="dxa"/>
            <w:vAlign w:val="bottom"/>
          </w:tcPr>
          <w:p>
            <w:pPr>
              <w:spacing w:after="0"/>
              <w:rPr>
                <w:sz w:val="10"/>
                <w:szCs w:val="10"/>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3"/>
              </w:rPr>
              <w:t>Defined Benefit</w:t>
            </w: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88"/>
              </w:rPr>
              <w:t>(Losses), Net of</w:t>
            </w:r>
          </w:p>
        </w:tc>
        <w:tc>
          <w:tcPr>
            <w:tcW w:w="180" w:type="dxa"/>
            <w:vAlign w:val="bottom"/>
          </w:tcPr>
          <w:p>
            <w:pPr>
              <w:spacing w:after="0"/>
              <w:rPr>
                <w:sz w:val="10"/>
                <w:szCs w:val="10"/>
                <w:color w:val="auto"/>
              </w:rPr>
            </w:pPr>
          </w:p>
        </w:tc>
        <w:tc>
          <w:tcPr>
            <w:tcW w:w="122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0"/>
              </w:rPr>
              <w:t>Gains (Losses)</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2"/>
              </w:rPr>
              <w:t>Translation</w:t>
            </w:r>
          </w:p>
        </w:tc>
        <w:tc>
          <w:tcPr>
            <w:tcW w:w="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vMerge w:val="restart"/>
          </w:tcPr>
          <w:p>
            <w:pPr>
              <w:jc w:val="right"/>
              <w:ind w:right="43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Related Offsets (1)</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on Derivatives</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3"/>
              </w:rPr>
              <w:t>Adjustments</w:t>
            </w: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2"/>
              </w:rPr>
              <w:t>Plans Adjustment</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94"/>
              </w:rPr>
              <w:t>(In millions)</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5,716</w:t>
            </w:r>
          </w:p>
        </w:tc>
        <w:tc>
          <w:tcPr>
            <w:tcW w:w="0" w:type="dxa"/>
            <w:vAlign w:val="bottom"/>
          </w:tcPr>
          <w:p>
            <w:pPr>
              <w:spacing w:after="0"/>
              <w:rPr>
                <w:sz w:val="1"/>
                <w:szCs w:val="1"/>
                <w:color w:val="auto"/>
              </w:rPr>
            </w:pPr>
          </w:p>
        </w:tc>
      </w:tr>
      <w:tr>
        <w:trPr>
          <w:trHeight w:val="183"/>
        </w:trPr>
        <w:tc>
          <w:tcPr>
            <w:tcW w:w="4240" w:type="dxa"/>
            <w:vAlign w:val="bottom"/>
          </w:tcPr>
          <w:p>
            <w:pPr>
              <w:ind w:left="20"/>
              <w:spacing w:after="0"/>
              <w:rPr>
                <w:sz w:val="20"/>
                <w:szCs w:val="20"/>
                <w:color w:val="auto"/>
              </w:rPr>
            </w:pPr>
            <w:r>
              <w:rPr>
                <w:rFonts w:ascii="Arial" w:cs="Arial" w:eastAsia="Arial" w:hAnsi="Arial"/>
                <w:sz w:val="14"/>
                <w:szCs w:val="14"/>
                <w:color w:val="auto"/>
              </w:rPr>
              <w:t>OCI before reclassifications</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(1,463)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benefit (expense) (2)</w:t>
            </w: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76"/>
        </w:trPr>
        <w:tc>
          <w:tcPr>
            <w:tcW w:w="4240" w:type="dxa"/>
            <w:vAlign w:val="bottom"/>
          </w:tcPr>
          <w:p>
            <w:pPr>
              <w:ind w:left="180"/>
              <w:spacing w:after="0"/>
              <w:rPr>
                <w:sz w:val="20"/>
                <w:szCs w:val="20"/>
                <w:color w:val="auto"/>
              </w:rPr>
            </w:pPr>
            <w:r>
              <w:rPr>
                <w:rFonts w:ascii="Arial" w:cs="Arial" w:eastAsia="Arial" w:hAnsi="Arial"/>
                <w:sz w:val="14"/>
                <w:szCs w:val="14"/>
                <w:color w:val="auto"/>
              </w:rPr>
              <w:t>AOCI before reclassifications, net of income tax</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4,491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4,591</w:t>
            </w: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AOCI</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3"/>
        </w:trPr>
        <w:tc>
          <w:tcPr>
            <w:tcW w:w="4240" w:type="dxa"/>
            <w:vAlign w:val="bottom"/>
          </w:tcPr>
          <w:p>
            <w:pPr>
              <w:ind w:left="20"/>
              <w:spacing w:after="0"/>
              <w:rPr>
                <w:sz w:val="20"/>
                <w:szCs w:val="20"/>
                <w:color w:val="auto"/>
              </w:rPr>
            </w:pPr>
            <w:r>
              <w:rPr>
                <w:rFonts w:ascii="Arial" w:cs="Arial" w:eastAsia="Arial" w:hAnsi="Arial"/>
                <w:sz w:val="14"/>
                <w:szCs w:val="14"/>
                <w:color w:val="auto"/>
              </w:rPr>
              <w:t>Deferred income tax benefit (expense) (2)</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9"/>
        </w:trPr>
        <w:tc>
          <w:tcPr>
            <w:tcW w:w="4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Amounts reclassified from AOCI, net of income tax</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354"/>
        </w:trPr>
        <w:tc>
          <w:tcPr>
            <w:tcW w:w="4240" w:type="dxa"/>
            <w:vAlign w:val="bottom"/>
          </w:tcPr>
          <w:p>
            <w:pPr>
              <w:ind w:left="20"/>
              <w:spacing w:after="0"/>
              <w:rPr>
                <w:sz w:val="20"/>
                <w:szCs w:val="20"/>
                <w:color w:val="auto"/>
              </w:rPr>
            </w:pPr>
            <w:r>
              <w:rPr>
                <w:rFonts w:ascii="Arial" w:cs="Arial" w:eastAsia="Arial" w:hAnsi="Arial"/>
                <w:sz w:val="14"/>
                <w:szCs w:val="14"/>
                <w:color w:val="auto"/>
              </w:rPr>
              <w:t>Balance at June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4,506</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4,596</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2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20" w:hanging="314"/>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Note 4 for information on offsets to investments related to future policy benefits, DAC, VOBA and DSI.</w:t>
      </w:r>
    </w:p>
    <w:p>
      <w:pPr>
        <w:spacing w:after="0" w:line="111"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of income taxes on amounts recorded to AOCI are also recognized in AOCI. These income tax effects are released from AOCI when the related activity is reclassified into results from operations.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amounts reclassified out of each component of AOCI was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Arial" w:cs="Arial" w:eastAsia="Arial" w:hAnsi="Arial"/>
                <w:sz w:val="12"/>
                <w:szCs w:val="12"/>
                <w:b w:val="1"/>
                <w:bCs w:val="1"/>
                <w:color w:val="auto"/>
                <w:w w:val="91"/>
              </w:rPr>
              <w:t>Consolidated Statements of</w:t>
            </w:r>
          </w:p>
        </w:tc>
        <w:tc>
          <w:tcPr>
            <w:tcW w:w="0" w:type="dxa"/>
            <w:vAlign w:val="bottom"/>
          </w:tcPr>
          <w:p>
            <w:pPr>
              <w:spacing w:after="0"/>
              <w:rPr>
                <w:sz w:val="1"/>
                <w:szCs w:val="1"/>
                <w:color w:val="auto"/>
              </w:rPr>
            </w:pPr>
          </w:p>
        </w:tc>
      </w:tr>
      <w:tr>
        <w:trPr>
          <w:trHeight w:val="119"/>
        </w:trPr>
        <w:tc>
          <w:tcPr>
            <w:tcW w:w="4660" w:type="dxa"/>
            <w:vAlign w:val="bottom"/>
            <w:gridSpan w:val="2"/>
            <w:vMerge w:val="restart"/>
          </w:tcPr>
          <w:p>
            <w:pPr>
              <w:ind w:left="1780"/>
              <w:spacing w:after="0"/>
              <w:rPr>
                <w:sz w:val="20"/>
                <w:szCs w:val="20"/>
                <w:color w:val="auto"/>
              </w:rPr>
            </w:pPr>
            <w:r>
              <w:rPr>
                <w:rFonts w:ascii="Arial" w:cs="Arial" w:eastAsia="Arial" w:hAnsi="Arial"/>
                <w:sz w:val="12"/>
                <w:szCs w:val="12"/>
                <w:b w:val="1"/>
                <w:bCs w:val="1"/>
                <w:color w:val="auto"/>
              </w:rPr>
              <w:t>AOCI Components</w:t>
            </w: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60" w:type="dxa"/>
            <w:vAlign w:val="bottom"/>
            <w:gridSpan w:val="6"/>
            <w:vMerge w:val="restart"/>
          </w:tcPr>
          <w:p>
            <w:pPr>
              <w:ind w:left="140"/>
              <w:spacing w:after="0"/>
              <w:rPr>
                <w:sz w:val="20"/>
                <w:szCs w:val="20"/>
                <w:color w:val="auto"/>
              </w:rPr>
            </w:pPr>
            <w:r>
              <w:rPr>
                <w:rFonts w:ascii="Arial" w:cs="Arial" w:eastAsia="Arial" w:hAnsi="Arial"/>
                <w:sz w:val="12"/>
                <w:szCs w:val="12"/>
                <w:b w:val="1"/>
                <w:bCs w:val="1"/>
                <w:color w:val="auto"/>
              </w:rPr>
              <w:t>Amounts Reclassified from AOCI</w:t>
            </w: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2"/>
              </w:rPr>
              <w:t>Operations and Comprehensive Income</w:t>
            </w:r>
          </w:p>
        </w:tc>
        <w:tc>
          <w:tcPr>
            <w:tcW w:w="0" w:type="dxa"/>
            <w:vAlign w:val="bottom"/>
          </w:tcPr>
          <w:p>
            <w:pPr>
              <w:spacing w:after="0"/>
              <w:rPr>
                <w:sz w:val="1"/>
                <w:szCs w:val="1"/>
                <w:color w:val="auto"/>
              </w:rPr>
            </w:pPr>
          </w:p>
        </w:tc>
      </w:tr>
      <w:tr>
        <w:trPr>
          <w:trHeight w:val="166"/>
        </w:trPr>
        <w:tc>
          <w:tcPr>
            <w:tcW w:w="46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2"/>
                <w:szCs w:val="12"/>
                <w:b w:val="1"/>
                <w:bCs w:val="1"/>
                <w:color w:val="auto"/>
                <w:w w:val="89"/>
              </w:rPr>
              <w:t>(Loss) Locations</w:t>
            </w:r>
          </w:p>
        </w:tc>
        <w:tc>
          <w:tcPr>
            <w:tcW w:w="0" w:type="dxa"/>
            <w:vAlign w:val="bottom"/>
          </w:tcPr>
          <w:p>
            <w:pPr>
              <w:spacing w:after="0"/>
              <w:rPr>
                <w:sz w:val="1"/>
                <w:szCs w:val="1"/>
                <w:color w:val="auto"/>
              </w:rPr>
            </w:pPr>
          </w:p>
        </w:tc>
      </w:tr>
      <w:tr>
        <w:trPr>
          <w:trHeight w:val="119"/>
        </w:trPr>
        <w:tc>
          <w:tcPr>
            <w:tcW w:w="4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tcBorders>
              <w:top w:val="single" w:sz="8" w:color="auto"/>
            </w:tcBorders>
            <w:gridSpan w:val="4"/>
          </w:tcPr>
          <w:p>
            <w:pPr>
              <w:jc w:val="right"/>
              <w:ind w:right="94"/>
              <w:spacing w:after="0" w:line="119" w:lineRule="exact"/>
              <w:rPr>
                <w:sz w:val="20"/>
                <w:szCs w:val="20"/>
                <w:color w:val="auto"/>
              </w:rPr>
            </w:pPr>
            <w:r>
              <w:rPr>
                <w:rFonts w:ascii="Arial" w:cs="Arial" w:eastAsia="Arial" w:hAnsi="Arial"/>
                <w:sz w:val="12"/>
                <w:szCs w:val="12"/>
                <w:b w:val="1"/>
                <w:bCs w:val="1"/>
                <w:color w:val="auto"/>
              </w:rPr>
              <w:t>Three Months Ended</w:t>
            </w: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gridSpan w:val="4"/>
          </w:tcPr>
          <w:p>
            <w:pPr>
              <w:jc w:val="right"/>
              <w:ind w:right="470"/>
              <w:spacing w:after="0" w:line="119" w:lineRule="exact"/>
              <w:rPr>
                <w:sz w:val="20"/>
                <w:szCs w:val="20"/>
                <w:color w:val="auto"/>
              </w:rPr>
            </w:pPr>
            <w:r>
              <w:rPr>
                <w:rFonts w:ascii="Arial" w:cs="Arial" w:eastAsia="Arial" w:hAnsi="Arial"/>
                <w:sz w:val="12"/>
                <w:szCs w:val="12"/>
                <w:b w:val="1"/>
                <w:bCs w:val="1"/>
                <w:color w:val="auto"/>
              </w:rPr>
              <w:t>Six Months Ended</w:t>
            </w:r>
          </w:p>
        </w:tc>
        <w:tc>
          <w:tcPr>
            <w:tcW w:w="120" w:type="dxa"/>
            <w:vAlign w:val="bottom"/>
          </w:tcPr>
          <w:p>
            <w:pPr>
              <w:spacing w:after="0"/>
              <w:rPr>
                <w:sz w:val="10"/>
                <w:szCs w:val="10"/>
                <w:color w:val="auto"/>
              </w:rPr>
            </w:pPr>
          </w:p>
        </w:tc>
        <w:tc>
          <w:tcPr>
            <w:tcW w:w="22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2"/>
                <w:szCs w:val="12"/>
                <w:b w:val="1"/>
                <w:bCs w:val="1"/>
                <w:color w:val="auto"/>
              </w:rPr>
              <w:t>June 30,</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2"/>
                <w:szCs w:val="12"/>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0"/>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unrealized investment gains (losses):</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Net unrealized investment gains (losses)</w:t>
            </w:r>
          </w:p>
        </w:tc>
        <w:tc>
          <w:tcPr>
            <w:tcW w:w="680" w:type="dxa"/>
            <w:vAlign w:val="bottom"/>
          </w:tcPr>
          <w:p>
            <w:pPr>
              <w:jc w:val="right"/>
              <w:ind w:right="514"/>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660" w:type="dxa"/>
            <w:vAlign w:val="bottom"/>
          </w:tcPr>
          <w:p>
            <w:pPr>
              <w:jc w:val="right"/>
              <w:ind w:right="514"/>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3040" w:type="dxa"/>
            <w:vAlign w:val="bottom"/>
            <w:gridSpan w:val="3"/>
          </w:tcPr>
          <w:p>
            <w:pPr>
              <w:jc w:val="right"/>
              <w:ind w:right="474"/>
              <w:spacing w:after="0"/>
              <w:rPr>
                <w:sz w:val="20"/>
                <w:szCs w:val="20"/>
                <w:color w:val="auto"/>
              </w:rPr>
            </w:pPr>
            <w:r>
              <w:rPr>
                <w:rFonts w:ascii="Arial" w:cs="Arial" w:eastAsia="Arial" w:hAnsi="Arial"/>
                <w:sz w:val="14"/>
                <w:szCs w:val="14"/>
                <w:color w:val="auto"/>
              </w:rPr>
              <w:t>(15)  Net investment gains (losses)</w:t>
            </w:r>
          </w:p>
        </w:tc>
        <w:tc>
          <w:tcPr>
            <w:tcW w:w="0" w:type="dxa"/>
            <w:vAlign w:val="bottom"/>
          </w:tcPr>
          <w:p>
            <w:pPr>
              <w:spacing w:after="0"/>
              <w:rPr>
                <w:sz w:val="1"/>
                <w:szCs w:val="1"/>
                <w:color w:val="auto"/>
              </w:rPr>
            </w:pPr>
          </w:p>
        </w:tc>
      </w:tr>
      <w:tr>
        <w:trPr>
          <w:trHeight w:val="188"/>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unrealized investment gains (losses)</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40" w:type="dxa"/>
            <w:vAlign w:val="bottom"/>
            <w:gridSpan w:val="3"/>
            <w:shd w:val="clear" w:color="auto" w:fill="CCEEFF"/>
          </w:tcPr>
          <w:p>
            <w:pPr>
              <w:jc w:val="right"/>
              <w:ind w:right="534"/>
              <w:spacing w:after="0"/>
              <w:rPr>
                <w:sz w:val="20"/>
                <w:szCs w:val="20"/>
                <w:color w:val="auto"/>
              </w:rPr>
            </w:pPr>
            <w:r>
              <w:rPr>
                <w:rFonts w:ascii="Arial" w:cs="Arial" w:eastAsia="Arial" w:hAnsi="Arial"/>
                <w:sz w:val="14"/>
                <w:szCs w:val="14"/>
                <w:color w:val="auto"/>
              </w:rPr>
              <w:t>(4)  Net derivative gains (losses)</w:t>
            </w:r>
          </w:p>
        </w:tc>
        <w:tc>
          <w:tcPr>
            <w:tcW w:w="0" w:type="dxa"/>
            <w:vAlign w:val="bottom"/>
          </w:tcPr>
          <w:p>
            <w:pPr>
              <w:spacing w:after="0"/>
              <w:rPr>
                <w:sz w:val="1"/>
                <w:szCs w:val="1"/>
                <w:color w:val="auto"/>
              </w:rPr>
            </w:pPr>
          </w:p>
        </w:tc>
      </w:tr>
      <w:tr>
        <w:trPr>
          <w:trHeight w:val="176"/>
        </w:trPr>
        <w:tc>
          <w:tcPr>
            <w:tcW w:w="4660" w:type="dxa"/>
            <w:vAlign w:val="bottom"/>
            <w:gridSpan w:val="2"/>
          </w:tcPr>
          <w:p>
            <w:pPr>
              <w:ind w:left="180"/>
              <w:spacing w:after="0"/>
              <w:rPr>
                <w:sz w:val="20"/>
                <w:szCs w:val="20"/>
                <w:color w:val="auto"/>
              </w:rPr>
            </w:pPr>
            <w:r>
              <w:rPr>
                <w:rFonts w:ascii="Arial" w:cs="Arial" w:eastAsia="Arial" w:hAnsi="Arial"/>
                <w:sz w:val="14"/>
                <w:szCs w:val="14"/>
                <w:color w:val="auto"/>
              </w:rPr>
              <w:t>Net unrealized investment gains (losses), before income tax</w:t>
            </w:r>
          </w:p>
        </w:tc>
        <w:tc>
          <w:tcPr>
            <w:tcW w:w="6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6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Net unrealized investment gains (losses), net of income tax</w:t>
            </w: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Unrealized gains (losses) on derivatives - cash flow hedges:</w:t>
            </w: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Interest rate swaps</w:t>
            </w:r>
          </w:p>
        </w:tc>
        <w:tc>
          <w:tcPr>
            <w:tcW w:w="680" w:type="dxa"/>
            <w:vAlign w:val="bottom"/>
          </w:tcPr>
          <w:p>
            <w:pPr>
              <w:spacing w:after="0"/>
              <w:rPr>
                <w:sz w:val="15"/>
                <w:szCs w:val="15"/>
                <w:color w:val="auto"/>
              </w:rPr>
            </w:pPr>
          </w:p>
        </w:tc>
        <w:tc>
          <w:tcPr>
            <w:tcW w:w="320" w:type="dxa"/>
            <w:vAlign w:val="bottom"/>
          </w:tcPr>
          <w:p>
            <w:pPr>
              <w:jc w:val="right"/>
              <w:ind w:right="1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220" w:type="dxa"/>
            <w:vAlign w:val="bottom"/>
          </w:tcPr>
          <w:p>
            <w:pPr>
              <w:jc w:val="right"/>
              <w:ind w:right="534"/>
              <w:spacing w:after="0"/>
              <w:rPr>
                <w:sz w:val="20"/>
                <w:szCs w:val="20"/>
                <w:color w:val="auto"/>
              </w:rPr>
            </w:pPr>
            <w:r>
              <w:rPr>
                <w:rFonts w:ascii="Arial" w:cs="Arial" w:eastAsia="Arial" w:hAnsi="Arial"/>
                <w:sz w:val="14"/>
                <w:szCs w:val="14"/>
                <w:color w:val="auto"/>
                <w:w w:val="90"/>
              </w:rPr>
              <w:t>Net derivative gains (losses)</w:t>
            </w:r>
          </w:p>
        </w:tc>
        <w:tc>
          <w:tcPr>
            <w:tcW w:w="0" w:type="dxa"/>
            <w:vAlign w:val="bottom"/>
          </w:tcPr>
          <w:p>
            <w:pPr>
              <w:spacing w:after="0"/>
              <w:rPr>
                <w:sz w:val="1"/>
                <w:szCs w:val="1"/>
                <w:color w:val="auto"/>
              </w:rPr>
            </w:pPr>
          </w:p>
        </w:tc>
      </w:tr>
      <w:tr>
        <w:trPr>
          <w:trHeight w:val="188"/>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220" w:type="dxa"/>
            <w:vAlign w:val="bottom"/>
            <w:shd w:val="clear" w:color="auto" w:fill="CCEEFF"/>
          </w:tcPr>
          <w:p>
            <w:pPr>
              <w:jc w:val="right"/>
              <w:ind w:right="834"/>
              <w:spacing w:after="0"/>
              <w:rPr>
                <w:sz w:val="20"/>
                <w:szCs w:val="20"/>
                <w:color w:val="auto"/>
              </w:rPr>
            </w:pPr>
            <w:r>
              <w:rPr>
                <w:rFonts w:ascii="Arial" w:cs="Arial" w:eastAsia="Arial" w:hAnsi="Arial"/>
                <w:sz w:val="14"/>
                <w:szCs w:val="14"/>
                <w:color w:val="auto"/>
                <w:w w:val="91"/>
              </w:rPr>
              <w:t>Net investment income</w:t>
            </w:r>
          </w:p>
        </w:tc>
        <w:tc>
          <w:tcPr>
            <w:tcW w:w="0" w:type="dxa"/>
            <w:vAlign w:val="bottom"/>
          </w:tcPr>
          <w:p>
            <w:pPr>
              <w:spacing w:after="0"/>
              <w:rPr>
                <w:sz w:val="1"/>
                <w:szCs w:val="1"/>
                <w:color w:val="auto"/>
              </w:rPr>
            </w:pPr>
          </w:p>
        </w:tc>
      </w:tr>
      <w:tr>
        <w:trPr>
          <w:trHeight w:val="183"/>
        </w:trPr>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Foreign currency swaps</w:t>
            </w: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jc w:val="right"/>
              <w:ind w:right="534"/>
              <w:spacing w:after="0"/>
              <w:rPr>
                <w:sz w:val="20"/>
                <w:szCs w:val="20"/>
                <w:color w:val="auto"/>
              </w:rPr>
            </w:pPr>
            <w:r>
              <w:rPr>
                <w:rFonts w:ascii="Arial" w:cs="Arial" w:eastAsia="Arial" w:hAnsi="Arial"/>
                <w:sz w:val="14"/>
                <w:szCs w:val="14"/>
                <w:color w:val="auto"/>
                <w:w w:val="90"/>
              </w:rPr>
              <w:t>Net derivative gains (losses)</w:t>
            </w:r>
          </w:p>
        </w:tc>
        <w:tc>
          <w:tcPr>
            <w:tcW w:w="0" w:type="dxa"/>
            <w:vAlign w:val="bottom"/>
          </w:tcPr>
          <w:p>
            <w:pPr>
              <w:spacing w:after="0"/>
              <w:rPr>
                <w:sz w:val="1"/>
                <w:szCs w:val="1"/>
                <w:color w:val="auto"/>
              </w:rPr>
            </w:pPr>
          </w:p>
        </w:tc>
      </w:tr>
      <w:tr>
        <w:trPr>
          <w:trHeight w:val="182"/>
        </w:trPr>
        <w:tc>
          <w:tcPr>
            <w:tcW w:w="4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Gains (losses) on cash flow hedges, before income tax</w:t>
            </w: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Income tax (expense) benefit</w:t>
            </w:r>
          </w:p>
        </w:tc>
        <w:tc>
          <w:tcPr>
            <w:tcW w:w="68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Gains (losses) on cash flow hedges, net of income tax</w:t>
            </w:r>
          </w:p>
        </w:tc>
        <w:tc>
          <w:tcPr>
            <w:tcW w:w="680" w:type="dxa"/>
            <w:vAlign w:val="bottom"/>
            <w:tcBorders>
              <w:top w:val="single" w:sz="8" w:color="auto"/>
              <w:bottom w:val="single" w:sz="8" w:color="auto"/>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top w:val="single" w:sz="8" w:color="CCEEFF"/>
            </w:tcBorders>
            <w:shd w:val="clear" w:color="auto" w:fill="CCEEFF"/>
          </w:tcPr>
          <w:p>
            <w:pPr>
              <w:spacing w:after="0"/>
              <w:rPr>
                <w:sz w:val="15"/>
                <w:szCs w:val="15"/>
                <w:color w:val="auto"/>
              </w:rPr>
            </w:pPr>
          </w:p>
        </w:tc>
        <w:tc>
          <w:tcPr>
            <w:tcW w:w="2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660" w:type="dxa"/>
            <w:vAlign w:val="bottom"/>
            <w:gridSpan w:val="2"/>
          </w:tcPr>
          <w:p>
            <w:pPr>
              <w:ind w:left="20"/>
              <w:spacing w:after="0" w:line="160" w:lineRule="exact"/>
              <w:rPr>
                <w:sz w:val="20"/>
                <w:szCs w:val="20"/>
                <w:color w:val="auto"/>
              </w:rPr>
            </w:pPr>
            <w:r>
              <w:rPr>
                <w:rFonts w:ascii="Arial" w:cs="Arial" w:eastAsia="Arial" w:hAnsi="Arial"/>
                <w:sz w:val="14"/>
                <w:szCs w:val="14"/>
                <w:color w:val="auto"/>
              </w:rPr>
              <w:t>Defined benefit plans adjustment: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Amortization of net actuarial gains (losses)</w:t>
            </w:r>
          </w:p>
        </w:tc>
        <w:tc>
          <w:tcPr>
            <w:tcW w:w="6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60" w:type="dxa"/>
            <w:vAlign w:val="bottom"/>
            <w:gridSpan w:val="2"/>
          </w:tcPr>
          <w:p>
            <w:pPr>
              <w:ind w:left="180"/>
              <w:spacing w:after="0"/>
              <w:rPr>
                <w:sz w:val="20"/>
                <w:szCs w:val="20"/>
                <w:color w:val="auto"/>
              </w:rPr>
            </w:pPr>
            <w:r>
              <w:rPr>
                <w:rFonts w:ascii="Arial" w:cs="Arial" w:eastAsia="Arial" w:hAnsi="Arial"/>
                <w:sz w:val="14"/>
                <w:szCs w:val="14"/>
                <w:color w:val="auto"/>
              </w:rPr>
              <w:t>Amortization of defined benefit plans, before income tax</w:t>
            </w:r>
          </w:p>
        </w:tc>
        <w:tc>
          <w:tcPr>
            <w:tcW w:w="6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6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Amortization of defined benefit plans, net of income tax</w:t>
            </w:r>
          </w:p>
        </w:tc>
        <w:tc>
          <w:tcPr>
            <w:tcW w:w="68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reclassifications, net of income tax</w:t>
            </w:r>
          </w:p>
        </w:tc>
        <w:tc>
          <w:tcPr>
            <w:tcW w:w="6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Revenues and Other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spacing w:after="0" w:line="7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revenues consisted primarily of 12b-1 fees of $74 million and $156 million for the three months and six months ended June 30, 2022, respectively, and $91 million and $179 million for the three months and six months ended June 30, 2021, respectively, of which substantially all were reported in the Annuities segment.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Revenues and Other Expenses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on other expenses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160" w:type="dxa"/>
            <w:vAlign w:val="bottom"/>
            <w:gridSpan w:val="4"/>
          </w:tcPr>
          <w:p>
            <w:pPr>
              <w:jc w:val="right"/>
              <w:ind w:right="163"/>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40" w:type="dxa"/>
            <w:vAlign w:val="bottom"/>
            <w:gridSpan w:val="4"/>
          </w:tcPr>
          <w:p>
            <w:pPr>
              <w:jc w:val="right"/>
              <w:ind w:right="641"/>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0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79"/>
        </w:trPr>
        <w:tc>
          <w:tcPr>
            <w:tcW w:w="6040" w:type="dxa"/>
            <w:vAlign w:val="bottom"/>
          </w:tcPr>
          <w:p>
            <w:pPr>
              <w:spacing w:after="0"/>
              <w:rPr>
                <w:sz w:val="15"/>
                <w:szCs w:val="15"/>
                <w:color w:val="auto"/>
              </w:rPr>
            </w:pP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r>
      <w:tr>
        <w:trPr>
          <w:trHeight w:val="179"/>
        </w:trPr>
        <w:tc>
          <w:tcPr>
            <w:tcW w:w="6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840" w:type="dxa"/>
            <w:vAlign w:val="bottom"/>
            <w:shd w:val="clear" w:color="auto" w:fill="CCEEFF"/>
          </w:tcPr>
          <w:p>
            <w:pPr>
              <w:jc w:val="right"/>
              <w:ind w:right="665"/>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3"/>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09"/>
        </w:trPr>
        <w:tc>
          <w:tcPr>
            <w:tcW w:w="6040" w:type="dxa"/>
            <w:vAlign w:val="bottom"/>
          </w:tcPr>
          <w:p>
            <w:pPr>
              <w:ind w:left="20"/>
              <w:spacing w:after="0"/>
              <w:rPr>
                <w:sz w:val="20"/>
                <w:szCs w:val="20"/>
                <w:color w:val="auto"/>
              </w:rPr>
            </w:pPr>
            <w:r>
              <w:rPr>
                <w:rFonts w:ascii="Arial" w:cs="Arial" w:eastAsia="Arial" w:hAnsi="Arial"/>
                <w:sz w:val="16"/>
                <w:szCs w:val="16"/>
                <w:color w:val="auto"/>
              </w:rPr>
              <w:t>Contracted services and other labor costs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ind w:right="1"/>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14"/>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Transition services agreements</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0"/>
        </w:trPr>
        <w:tc>
          <w:tcPr>
            <w:tcW w:w="6040" w:type="dxa"/>
            <w:vAlign w:val="bottom"/>
          </w:tcPr>
          <w:p>
            <w:pPr>
              <w:ind w:left="20"/>
              <w:spacing w:after="0"/>
              <w:rPr>
                <w:sz w:val="20"/>
                <w:szCs w:val="20"/>
                <w:color w:val="auto"/>
              </w:rPr>
            </w:pPr>
            <w:r>
              <w:rPr>
                <w:rFonts w:ascii="Arial" w:cs="Arial" w:eastAsia="Arial" w:hAnsi="Arial"/>
                <w:sz w:val="16"/>
                <w:szCs w:val="16"/>
                <w:color w:val="auto"/>
              </w:rPr>
              <w:t>Establishment costs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ind w:right="1"/>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4"/>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and other taxes, licenses and fees</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6040" w:type="dxa"/>
            <w:vAlign w:val="bottom"/>
          </w:tcPr>
          <w:p>
            <w:pPr>
              <w:ind w:left="20"/>
              <w:spacing w:after="0"/>
              <w:rPr>
                <w:sz w:val="20"/>
                <w:szCs w:val="20"/>
                <w:color w:val="auto"/>
              </w:rPr>
            </w:pPr>
            <w:r>
              <w:rPr>
                <w:rFonts w:ascii="Arial" w:cs="Arial" w:eastAsia="Arial" w:hAnsi="Arial"/>
                <w:sz w:val="16"/>
                <w:szCs w:val="16"/>
                <w:color w:val="auto"/>
              </w:rPr>
              <w:t>Separate account fees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ind w:right="1"/>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252</w:t>
            </w:r>
          </w:p>
        </w:tc>
      </w:tr>
      <w:tr>
        <w:trPr>
          <w:trHeight w:val="214"/>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Volume related costs, excluding compensation, net of DAC capitalization</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r>
      <w:tr>
        <w:trPr>
          <w:trHeight w:val="209"/>
        </w:trPr>
        <w:tc>
          <w:tcPr>
            <w:tcW w:w="6040" w:type="dxa"/>
            <w:vAlign w:val="bottom"/>
          </w:tcPr>
          <w:p>
            <w:pPr>
              <w:ind w:left="20"/>
              <w:spacing w:after="0"/>
              <w:rPr>
                <w:sz w:val="20"/>
                <w:szCs w:val="20"/>
                <w:color w:val="auto"/>
              </w:rPr>
            </w:pPr>
            <w:r>
              <w:rPr>
                <w:rFonts w:ascii="Arial" w:cs="Arial" w:eastAsia="Arial" w:hAnsi="Arial"/>
                <w:sz w:val="16"/>
                <w:szCs w:val="16"/>
                <w:color w:val="auto"/>
              </w:rPr>
              <w:t>Interest expense on debt</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ind w:right="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8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08"/>
        </w:trPr>
        <w:tc>
          <w:tcPr>
            <w:tcW w:w="6040" w:type="dxa"/>
            <w:vAlign w:val="bottom"/>
          </w:tcPr>
          <w:p>
            <w:pPr>
              <w:ind w:left="180"/>
              <w:spacing w:after="0"/>
              <w:rPr>
                <w:sz w:val="20"/>
                <w:szCs w:val="20"/>
                <w:color w:val="auto"/>
              </w:rPr>
            </w:pPr>
            <w:r>
              <w:rPr>
                <w:rFonts w:ascii="Arial" w:cs="Arial" w:eastAsia="Arial" w:hAnsi="Arial"/>
                <w:sz w:val="16"/>
                <w:szCs w:val="16"/>
                <w:color w:val="auto"/>
              </w:rPr>
              <w:t>Total other expenses</w:t>
            </w:r>
          </w:p>
        </w:tc>
        <w:tc>
          <w:tcPr>
            <w:tcW w:w="840" w:type="dxa"/>
            <w:vAlign w:val="bottom"/>
            <w:tcBorders>
              <w:bottom w:val="single" w:sz="8" w:color="auto"/>
            </w:tcBorders>
          </w:tcPr>
          <w:p>
            <w:pPr>
              <w:jc w:val="right"/>
              <w:ind w:right="665"/>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4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w:t>
            </w:r>
          </w:p>
        </w:tc>
      </w:tr>
      <w:tr>
        <w:trPr>
          <w:trHeight w:val="20"/>
        </w:trPr>
        <w:tc>
          <w:tcPr>
            <w:tcW w:w="6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Common Share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calculation of earnings per common share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80" w:type="dxa"/>
            <w:vAlign w:val="bottom"/>
            <w:gridSpan w:val="4"/>
          </w:tcPr>
          <w:p>
            <w:pPr>
              <w:jc w:val="right"/>
              <w:ind w:right="642"/>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79"/>
        </w:trPr>
        <w:tc>
          <w:tcPr>
            <w:tcW w:w="60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r>
      <w:tr>
        <w:trPr>
          <w:trHeight w:val="179"/>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760" w:type="dxa"/>
            <w:vAlign w:val="bottom"/>
            <w:gridSpan w:val="7"/>
          </w:tcPr>
          <w:p>
            <w:pPr>
              <w:ind w:left="20"/>
              <w:spacing w:after="0"/>
              <w:rPr>
                <w:sz w:val="20"/>
                <w:szCs w:val="20"/>
                <w:color w:val="auto"/>
              </w:rPr>
            </w:pPr>
            <w:r>
              <w:rPr>
                <w:rFonts w:ascii="Arial" w:cs="Arial" w:eastAsia="Arial" w:hAnsi="Arial"/>
                <w:sz w:val="14"/>
                <w:szCs w:val="14"/>
                <w:b w:val="1"/>
                <w:bCs w:val="1"/>
                <w:color w:val="auto"/>
                <w:w w:val="90"/>
              </w:rPr>
              <w:t>(In millions, except share and per share data)</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6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74,570,237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9"/>
              </w:rPr>
              <w:t>85,549,350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75,705,755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86,555,806</w:t>
            </w:r>
          </w:p>
        </w:tc>
      </w:tr>
      <w:tr>
        <w:trPr>
          <w:trHeight w:val="21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Dilutive effect of share-based awards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401,421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515,800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454,716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74,971,658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9"/>
              </w:rPr>
              <w:t>86,065,150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76,160,471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86,555,806</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2"/>
        </w:trPr>
        <w:tc>
          <w:tcPr>
            <w:tcW w:w="6040" w:type="dxa"/>
            <w:vAlign w:val="bottom"/>
          </w:tcPr>
          <w:p>
            <w:pPr>
              <w:ind w:left="2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12.84</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For the three months ended June 30, 2022 and 2021 and the six months ended June 30, 2022, weighted average shares used for calculating diluted earnings per common share excludes 187,371 of out-of-the-money stock options, as the inclusion of such shares would be antidilutive to the earnings per common share calculation due to the average share price for the three months ended June 30, 2022 and 2021 and the six months ended June 30, 2022.</w:t>
      </w:r>
    </w:p>
    <w:p>
      <w:pPr>
        <w:spacing w:after="0" w:line="3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the six months ended June 30, 2021, basic loss per common share equaled diluted loss per common share. The diluted shares were not utilized in the per share calculation for this period as the inclusion of such shares would have an antidilutive effect.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 Commitments and Guarantees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Litigation</w:t>
      </w:r>
    </w:p>
    <w:p>
      <w:pPr>
        <w:spacing w:after="0" w:line="111"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79"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The Company also receives and responds to subpoenas or other inquiries seeking a broad range of information from various state and federal regulators, agencies and officials. The issues involved in information requests and regulatory matters vary widely, but can include inquiries or investigations concerning the Company’s compliance with applicable insurance and other laws and regulations. The Company cooperates in these inquiries.</w:t>
      </w:r>
    </w:p>
    <w:p>
      <w:pPr>
        <w:spacing w:after="0" w:line="3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88"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June 30, 2022.</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Matters as to Which an Estimate Can Be Made</w:t>
      </w:r>
    </w:p>
    <w:p>
      <w:pPr>
        <w:spacing w:after="0" w:line="111" w:lineRule="exact"/>
        <w:rPr>
          <w:sz w:val="20"/>
          <w:szCs w:val="20"/>
          <w:color w:val="auto"/>
        </w:rPr>
      </w:pPr>
    </w:p>
    <w:p>
      <w:pPr>
        <w:jc w:val="both"/>
        <w:ind w:left="320" w:firstLine="318"/>
        <w:spacing w:after="0" w:line="330" w:lineRule="auto"/>
        <w:rPr>
          <w:sz w:val="20"/>
          <w:szCs w:val="20"/>
          <w:color w:val="auto"/>
        </w:rPr>
      </w:pPr>
      <w:r>
        <w:rPr>
          <w:rFonts w:ascii="Arial" w:cs="Arial" w:eastAsia="Arial" w:hAnsi="Arial"/>
          <w:sz w:val="15"/>
          <w:szCs w:val="15"/>
          <w:color w:val="auto"/>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June 30, 2022, the Company estimates the aggregate range of reasonably possible losses to be up to approximately $10 million.</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Matters as to Which an Estimate Cannot Be Made</w:t>
      </w:r>
    </w:p>
    <w:p>
      <w:pPr>
        <w:spacing w:after="0" w:line="111"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Sales Practices Claims</w:t>
      </w:r>
    </w:p>
    <w:p>
      <w:pPr>
        <w:spacing w:after="0" w:line="11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5" w:name="page46"/>
    <w:bookmarkEnd w:id="4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 Commitments and Guarantees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Cost of Insurance Class Actions</w:t>
      </w:r>
    </w:p>
    <w:p>
      <w:pPr>
        <w:spacing w:after="0" w:line="111" w:lineRule="exact"/>
        <w:rPr>
          <w:sz w:val="20"/>
          <w:szCs w:val="20"/>
          <w:color w:val="auto"/>
        </w:rPr>
      </w:pPr>
    </w:p>
    <w:p>
      <w:pPr>
        <w:jc w:val="both"/>
        <w:ind w:left="320" w:firstLine="318"/>
        <w:spacing w:after="0" w:line="303" w:lineRule="auto"/>
        <w:rPr>
          <w:sz w:val="20"/>
          <w:szCs w:val="20"/>
          <w:color w:val="auto"/>
        </w:rPr>
      </w:pPr>
      <w:r>
        <w:rPr>
          <w:rFonts w:ascii="Arial" w:cs="Arial" w:eastAsia="Arial" w:hAnsi="Arial"/>
          <w:sz w:val="15"/>
          <w:szCs w:val="15"/>
          <w:i w:val="1"/>
          <w:iCs w:val="1"/>
          <w:color w:val="auto"/>
        </w:rPr>
        <w:t xml:space="preserve">Richard A. Newton v. Brighthouse Life Insurance Company </w:t>
      </w:r>
      <w:r>
        <w:rPr>
          <w:rFonts w:ascii="Arial" w:cs="Arial" w:eastAsia="Arial" w:hAnsi="Arial"/>
          <w:sz w:val="15"/>
          <w:szCs w:val="15"/>
          <w:color w:val="auto"/>
        </w:rPr>
        <w:t>(U.S. District Court, Northern District of Georgia, Atlanta Division, filed May 8, 2020).</w:t>
      </w:r>
      <w:r>
        <w:rPr>
          <w:rFonts w:ascii="Arial" w:cs="Arial" w:eastAsia="Arial" w:hAnsi="Arial"/>
          <w:sz w:val="15"/>
          <w:szCs w:val="15"/>
          <w:i w:val="1"/>
          <w:iCs w:val="1"/>
          <w:color w:val="auto"/>
        </w:rPr>
        <w:t xml:space="preserve"> </w:t>
      </w:r>
      <w:r>
        <w:rPr>
          <w:rFonts w:ascii="Arial" w:cs="Arial" w:eastAsia="Arial" w:hAnsi="Arial"/>
          <w:sz w:val="15"/>
          <w:szCs w:val="15"/>
          <w:color w:val="auto"/>
        </w:rPr>
        <w:t>Plaintiff has filed a purported class action lawsuit against Brighthouse Life Insurance Company. Plaintiff was the owner of a universal life insurance policy issued by Travelers Insurance Company, a predecessor to Brighthouse Life Insurance Company. Plaintiff seeks to certify a class of all persons who own or owned life insurance policies issued where the terms of the life insurance policy provide or provided, among other things, a guarantee that the cost of insurance rates would not be increased by more than a specified percentage in any contract year. Plaintiff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in March 2021. Plaintiff was granted leave to amend the complaint. The Company intends to vigorously defend this matter.</w:t>
      </w:r>
    </w:p>
    <w:p>
      <w:pPr>
        <w:spacing w:after="0" w:line="54"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7"/>
          <w:szCs w:val="17"/>
          <w:i w:val="1"/>
          <w:iCs w:val="1"/>
          <w:color w:val="auto"/>
        </w:rPr>
        <w:t xml:space="preserve">Lawrence Martin v. Brighthouse Life Insurance Company </w:t>
      </w:r>
      <w:r>
        <w:rPr>
          <w:rFonts w:ascii="Arial" w:cs="Arial" w:eastAsia="Arial" w:hAnsi="Arial"/>
          <w:sz w:val="17"/>
          <w:szCs w:val="17"/>
          <w:color w:val="auto"/>
        </w:rPr>
        <w:t>(U.S. District Court, Southern District of New York, filed April 6, 2021). Plaintiff has filed</w:t>
      </w:r>
      <w:r>
        <w:rPr>
          <w:rFonts w:ascii="Arial" w:cs="Arial" w:eastAsia="Arial" w:hAnsi="Arial"/>
          <w:sz w:val="17"/>
          <w:szCs w:val="17"/>
          <w:i w:val="1"/>
          <w:iCs w:val="1"/>
          <w:color w:val="auto"/>
        </w:rPr>
        <w:t xml:space="preserve"> </w:t>
      </w:r>
      <w:r>
        <w:rPr>
          <w:rFonts w:ascii="Arial" w:cs="Arial" w:eastAsia="Arial" w:hAnsi="Arial"/>
          <w:sz w:val="17"/>
          <w:szCs w:val="17"/>
          <w:color w:val="auto"/>
        </w:rPr>
        <w:t>a purported class action lawsuit against Brighthouse Life Insurance Company. Plaintiff is the owner of a universal life insurance policy issued by Travelers Insurance Company, a predecessor to Brighthouse Life Insurance Company. Plaintiff seeks to certify a class of similarly situated owners of universal life insurance policies issued or administered by defendants and alleges that cost of insurance charges should have decreased over time due to improving mortality but did not. Plaintiff alleges, among other things, causes of action for breach of contract, breach of the covenant of good faith and fair dealing, and unjust enrichment. Plaintiff seeks to recover compensatory damages, attorney’s fees, interest, and equitable relief including a constructive trust. Brighthouse Life Insurance Company filed a motion to dismiss in June 2021, which was denied in February 2022. Brighthouse Life Insurance Company of NY was initially named as a defendant when the lawsuit was filed, but was dismissed as a defendant, without prejudice, in April 2022. The Company intends to vigorously defend this matter.</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Summary</w:t>
      </w:r>
    </w:p>
    <w:p>
      <w:pPr>
        <w:spacing w:after="0" w:line="111" w:lineRule="exact"/>
        <w:rPr>
          <w:sz w:val="20"/>
          <w:szCs w:val="20"/>
          <w:color w:val="auto"/>
        </w:rPr>
      </w:pPr>
    </w:p>
    <w:p>
      <w:pPr>
        <w:jc w:val="both"/>
        <w:ind w:left="320" w:firstLine="318"/>
        <w:spacing w:after="0" w:line="318" w:lineRule="auto"/>
        <w:rPr>
          <w:sz w:val="20"/>
          <w:szCs w:val="20"/>
          <w:color w:val="auto"/>
        </w:rPr>
      </w:pPr>
      <w:r>
        <w:rPr>
          <w:rFonts w:ascii="Arial" w:cs="Arial" w:eastAsia="Arial" w:hAnsi="Arial"/>
          <w:sz w:val="15"/>
          <w:szCs w:val="15"/>
          <w:color w:val="auto"/>
        </w:rPr>
        <w:t>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40" w:lineRule="exact"/>
        <w:rPr>
          <w:sz w:val="20"/>
          <w:szCs w:val="20"/>
          <w:color w:val="auto"/>
        </w:rPr>
      </w:pPr>
    </w:p>
    <w:p>
      <w:pPr>
        <w:jc w:val="both"/>
        <w:ind w:left="320" w:firstLine="318"/>
        <w:spacing w:after="0" w:line="248" w:lineRule="auto"/>
        <w:rPr>
          <w:sz w:val="20"/>
          <w:szCs w:val="20"/>
          <w:color w:val="auto"/>
        </w:rPr>
      </w:pPr>
      <w:r>
        <w:rPr>
          <w:rFonts w:ascii="Arial" w:cs="Arial" w:eastAsia="Arial" w:hAnsi="Arial"/>
          <w:sz w:val="18"/>
          <w:szCs w:val="18"/>
          <w:color w:val="auto"/>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Other Loss Contingencies</w:t>
      </w:r>
    </w:p>
    <w:p>
      <w:pPr>
        <w:spacing w:after="0" w:line="111" w:lineRule="exact"/>
        <w:rPr>
          <w:sz w:val="20"/>
          <w:szCs w:val="20"/>
          <w:color w:val="auto"/>
        </w:rPr>
      </w:pPr>
    </w:p>
    <w:p>
      <w:pPr>
        <w:jc w:val="both"/>
        <w:ind w:left="160" w:firstLine="318"/>
        <w:spacing w:after="0" w:line="248" w:lineRule="auto"/>
        <w:rPr>
          <w:sz w:val="20"/>
          <w:szCs w:val="20"/>
          <w:color w:val="auto"/>
        </w:rPr>
      </w:pPr>
      <w:r>
        <w:rPr>
          <w:rFonts w:ascii="Arial" w:cs="Arial" w:eastAsia="Arial" w:hAnsi="Arial"/>
          <w:sz w:val="18"/>
          <w:szCs w:val="18"/>
          <w:color w:val="auto"/>
        </w:rPr>
        <w:t>As with litigation and regulatory loss contingencies, the Company considers establishing liabilities for loss contingencies associated with disputes or other matters involving third parties, including counterparties to contractual arrangements entered into by the Company (e.g., third-party vendors and reinsurers), as well as with tax authorities (“other loss contingencies”). The Company establishes liabilities for such other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w:t>
      </w:r>
    </w:p>
    <w:p>
      <w:pPr>
        <w:spacing w:after="0" w:line="93"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In the matters where the Company’s subsidiaries are acting as the reinsured or the reinsurer, such matters involve assertions by third parties primarily related to rates, fees or reinsured benefit calculations, and in certain of such matters, the counterparty has made a request to arbitrate.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 Commitments and Guarantees (continued)</w:t>
      </w:r>
    </w:p>
    <w:p>
      <w:pPr>
        <w:spacing w:after="0" w:line="200" w:lineRule="exact"/>
        <w:rPr>
          <w:sz w:val="20"/>
          <w:szCs w:val="20"/>
          <w:color w:val="auto"/>
        </w:rPr>
      </w:pPr>
    </w:p>
    <w:p>
      <w:pPr>
        <w:spacing w:after="0" w:line="368"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As of June 30, 2022, the Company estimates the range of reasonably possible losses in excess of the amounts accrued for certain other loss contingencies to be from zero up to approximately $125 million, which are primarily associated with the above reinsurance-related matters. The reduction in the estimated range reflects the settlement of a reinsurance-related matter with a third party during the second quarter of 2022 for $140 million, which is reported in other expenses. For certain other matters, the Company may not currently be able to estimate the reasonably possible loss or range of loss until developments in such matters have provided sufficient information to support an assessment of such loss.</w:t>
      </w:r>
    </w:p>
    <w:p>
      <w:pPr>
        <w:spacing w:after="0" w:line="7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On a quarterly basis, the Company reviews relevant information with respect to other loss contingencies and, when applicable, updates its accruals, disclosures and estimates of reasonably possible losses or ranges of loss based on such reviews.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Mortgage Loan Commitments</w:t>
      </w:r>
    </w:p>
    <w:p>
      <w:pPr>
        <w:spacing w:after="0" w:line="111" w:lineRule="exact"/>
        <w:rPr>
          <w:sz w:val="20"/>
          <w:szCs w:val="20"/>
          <w:color w:val="auto"/>
        </w:rPr>
      </w:pPr>
    </w:p>
    <w:p>
      <w:pPr>
        <w:jc w:val="both"/>
        <w:ind w:left="160" w:right="20" w:firstLine="318"/>
        <w:spacing w:after="0" w:line="264" w:lineRule="auto"/>
        <w:rPr>
          <w:sz w:val="20"/>
          <w:szCs w:val="20"/>
          <w:color w:val="auto"/>
        </w:rPr>
      </w:pPr>
      <w:r>
        <w:rPr>
          <w:rFonts w:ascii="Arial" w:cs="Arial" w:eastAsia="Arial" w:hAnsi="Arial"/>
          <w:sz w:val="18"/>
          <w:szCs w:val="18"/>
          <w:color w:val="auto"/>
        </w:rPr>
        <w:t>The Company commits to lend funds under mortgage loan commitments. The amounts of these mortgage loan commitments were $358 million and $719 million at June 30, 2022 and December 31, 2021, respectively.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Commitments to Fund Partnership Investments, Bank Credit Facilities and Private Corporate Bond Investments</w:t>
      </w:r>
    </w:p>
    <w:p>
      <w:pPr>
        <w:spacing w:after="0" w:line="111"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The Company commits to fund partnership investments and to lend funds under bank credit facilities and private corporate bond investments. The amounts of these unfunded commitments were $2.4 billion and $2.3 billion at June 30, 2022 and December 31, 2021,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ranging from less than $1 million to $112 million, with a cumulative maximum of $118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26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recorded liabilities were $1 million at both June 30, 2022 and December 31, 2021 for indemnities, guarantees and commitments.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80" w:type="dxa"/>
            <w:vAlign w:val="bottom"/>
            <w:gridSpan w:val="6"/>
          </w:tcPr>
          <w:p>
            <w:pPr>
              <w:ind w:left="260"/>
              <w:spacing w:after="0"/>
              <w:rPr>
                <w:sz w:val="20"/>
                <w:szCs w:val="20"/>
                <w:color w:val="auto"/>
              </w:rPr>
            </w:pPr>
            <w:r>
              <w:rPr>
                <w:rFonts w:ascii="Arial" w:cs="Arial" w:eastAsia="Arial" w:hAnsi="Arial"/>
                <w:sz w:val="18"/>
                <w:szCs w:val="18"/>
                <w:b w:val="1"/>
                <w:bCs w:val="1"/>
                <w:color w:val="auto"/>
                <w:w w:val="95"/>
              </w:rPr>
              <w:t>Index to Management’s Discussion and Analysis of Financial Condition and Results of Operations</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91"/>
        </w:trPr>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000" w:type="dxa"/>
            <w:vAlign w:val="bottom"/>
            <w:gridSpan w:val="4"/>
          </w:tcPr>
          <w:p>
            <w:pPr>
              <w:jc w:val="center"/>
              <w:ind w:left="552"/>
              <w:spacing w:after="0"/>
              <w:rPr>
                <w:sz w:val="20"/>
                <w:szCs w:val="20"/>
                <w:color w:val="auto"/>
              </w:rPr>
            </w:pPr>
            <w:r>
              <w:rPr>
                <w:rFonts w:ascii="Arial" w:cs="Arial" w:eastAsia="Arial" w:hAnsi="Arial"/>
                <w:sz w:val="18"/>
                <w:szCs w:val="18"/>
                <w:b w:val="1"/>
                <w:bCs w:val="1"/>
                <w:color w:val="auto"/>
                <w:w w:val="83"/>
              </w:rPr>
              <w:t>Page</w:t>
            </w:r>
          </w:p>
        </w:tc>
      </w:tr>
      <w:tr>
        <w:trPr>
          <w:trHeight w:val="205"/>
        </w:trPr>
        <w:tc>
          <w:tcPr>
            <w:tcW w:w="880" w:type="dxa"/>
            <w:vAlign w:val="bottom"/>
            <w:tcBorders>
              <w:bottom w:val="single" w:sz="8" w:color="0000FF"/>
            </w:tcBorders>
            <w:gridSpan w:val="3"/>
          </w:tcPr>
          <w:p>
            <w:pPr>
              <w:spacing w:after="0" w:line="205" w:lineRule="exact"/>
              <w:rPr>
                <w:rFonts w:ascii="Arial" w:cs="Arial" w:eastAsia="Arial" w:hAnsi="Arial"/>
                <w:sz w:val="18"/>
                <w:szCs w:val="18"/>
                <w:color w:val="0000FF"/>
                <w:w w:val="91"/>
              </w:rPr>
            </w:pPr>
            <w:hyperlink w:anchor="page48">
              <w:r>
                <w:rPr>
                  <w:rFonts w:ascii="Arial" w:cs="Arial" w:eastAsia="Arial" w:hAnsi="Arial"/>
                  <w:sz w:val="18"/>
                  <w:szCs w:val="18"/>
                  <w:color w:val="0000FF"/>
                  <w:w w:val="91"/>
                </w:rPr>
                <w:t>Introduction</w:t>
              </w:r>
            </w:hyperlink>
          </w:p>
        </w:tc>
        <w:tc>
          <w:tcPr>
            <w:tcW w:w="906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0000FF"/>
            </w:tcBorders>
          </w:tcPr>
          <w:p>
            <w:pPr>
              <w:jc w:val="center"/>
              <w:spacing w:after="0" w:line="205"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48</w:t>
              </w:r>
            </w:hyperlink>
          </w:p>
        </w:tc>
        <w:tc>
          <w:tcPr>
            <w:tcW w:w="100" w:type="dxa"/>
            <w:vAlign w:val="bottom"/>
            <w:tcBorders>
              <w:top w:val="single" w:sz="8" w:color="auto"/>
            </w:tcBorders>
          </w:tcPr>
          <w:p>
            <w:pPr>
              <w:spacing w:after="0"/>
              <w:rPr>
                <w:sz w:val="17"/>
                <w:szCs w:val="17"/>
                <w:color w:val="auto"/>
              </w:rPr>
            </w:pPr>
          </w:p>
        </w:tc>
      </w:tr>
      <w:tr>
        <w:trPr>
          <w:trHeight w:val="205"/>
        </w:trPr>
        <w:tc>
          <w:tcPr>
            <w:tcW w:w="9940" w:type="dxa"/>
            <w:vAlign w:val="bottom"/>
            <w:gridSpan w:val="12"/>
          </w:tcPr>
          <w:p>
            <w:pPr>
              <w:spacing w:after="0" w:line="205" w:lineRule="exact"/>
              <w:rPr>
                <w:rFonts w:ascii="Arial" w:cs="Arial" w:eastAsia="Arial" w:hAnsi="Arial"/>
                <w:sz w:val="18"/>
                <w:szCs w:val="18"/>
                <w:color w:val="0000FF"/>
              </w:rPr>
            </w:pPr>
            <w:hyperlink w:anchor="page49">
              <w:r>
                <w:rPr>
                  <w:rFonts w:ascii="Arial" w:cs="Arial" w:eastAsia="Arial" w:hAnsi="Arial"/>
                  <w:sz w:val="18"/>
                  <w:szCs w:val="18"/>
                  <w:color w:val="0000FF"/>
                </w:rPr>
                <w:t>Executive Summary</w:t>
              </w:r>
            </w:hyperlink>
          </w:p>
        </w:tc>
        <w:tc>
          <w:tcPr>
            <w:tcW w:w="900" w:type="dxa"/>
            <w:vAlign w:val="bottom"/>
            <w:gridSpan w:val="3"/>
          </w:tcPr>
          <w:p>
            <w:pPr>
              <w:jc w:val="center"/>
              <w:ind w:left="632"/>
              <w:spacing w:after="0" w:line="205"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48</w:t>
              </w:r>
            </w:hyperlink>
          </w:p>
        </w:tc>
        <w:tc>
          <w:tcPr>
            <w:tcW w:w="10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9940" w:type="dxa"/>
            <w:vAlign w:val="bottom"/>
            <w:gridSpan w:val="12"/>
          </w:tcPr>
          <w:p>
            <w:pPr>
              <w:spacing w:after="0" w:line="205" w:lineRule="exact"/>
              <w:rPr>
                <w:rFonts w:ascii="Arial" w:cs="Arial" w:eastAsia="Arial" w:hAnsi="Arial"/>
                <w:sz w:val="18"/>
                <w:szCs w:val="18"/>
                <w:color w:val="0000FF"/>
              </w:rPr>
            </w:pPr>
            <w:hyperlink w:anchor="page50">
              <w:r>
                <w:rPr>
                  <w:rFonts w:ascii="Arial" w:cs="Arial" w:eastAsia="Arial" w:hAnsi="Arial"/>
                  <w:sz w:val="18"/>
                  <w:szCs w:val="18"/>
                  <w:color w:val="0000FF"/>
                </w:rPr>
                <w:t>Industry Trends and Uncertainties</w:t>
              </w:r>
            </w:hyperlink>
          </w:p>
        </w:tc>
        <w:tc>
          <w:tcPr>
            <w:tcW w:w="900" w:type="dxa"/>
            <w:vAlign w:val="bottom"/>
            <w:gridSpan w:val="3"/>
          </w:tcPr>
          <w:p>
            <w:pPr>
              <w:jc w:val="center"/>
              <w:ind w:left="632"/>
              <w:spacing w:after="0" w:line="205"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49</w:t>
              </w:r>
            </w:hyperlink>
          </w:p>
        </w:tc>
        <w:tc>
          <w:tcPr>
            <w:tcW w:w="10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3060" w:type="dxa"/>
            <w:vAlign w:val="bottom"/>
            <w:tcBorders>
              <w:bottom w:val="single" w:sz="8" w:color="0000FF"/>
            </w:tcBorders>
            <w:gridSpan w:val="9"/>
          </w:tcPr>
          <w:p>
            <w:pPr>
              <w:spacing w:after="0" w:line="205" w:lineRule="exact"/>
              <w:rPr>
                <w:rFonts w:ascii="Arial" w:cs="Arial" w:eastAsia="Arial" w:hAnsi="Arial"/>
                <w:sz w:val="18"/>
                <w:szCs w:val="18"/>
                <w:color w:val="0000FF"/>
                <w:w w:val="90"/>
              </w:rPr>
            </w:pPr>
            <w:hyperlink w:anchor="page51">
              <w:r>
                <w:rPr>
                  <w:rFonts w:ascii="Arial" w:cs="Arial" w:eastAsia="Arial" w:hAnsi="Arial"/>
                  <w:sz w:val="18"/>
                  <w:szCs w:val="18"/>
                  <w:color w:val="0000FF"/>
                  <w:w w:val="90"/>
                </w:rPr>
                <w:t>Summary of Critical Accounting Estimates</w:t>
              </w:r>
            </w:hyperlink>
          </w:p>
        </w:tc>
        <w:tc>
          <w:tcPr>
            <w:tcW w:w="6880" w:type="dxa"/>
            <w:vAlign w:val="bottom"/>
            <w:gridSpan w:val="3"/>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50</w:t>
              </w:r>
            </w:hyperlink>
          </w:p>
        </w:tc>
        <w:tc>
          <w:tcPr>
            <w:tcW w:w="100" w:type="dxa"/>
            <w:vAlign w:val="bottom"/>
          </w:tcPr>
          <w:p>
            <w:pPr>
              <w:spacing w:after="0"/>
              <w:rPr>
                <w:sz w:val="17"/>
                <w:szCs w:val="17"/>
                <w:color w:val="auto"/>
              </w:rPr>
            </w:pPr>
          </w:p>
        </w:tc>
      </w:tr>
      <w:tr>
        <w:trPr>
          <w:trHeight w:val="205"/>
        </w:trPr>
        <w:tc>
          <w:tcPr>
            <w:tcW w:w="9940" w:type="dxa"/>
            <w:vAlign w:val="bottom"/>
            <w:gridSpan w:val="12"/>
          </w:tcPr>
          <w:p>
            <w:pPr>
              <w:spacing w:after="0" w:line="205" w:lineRule="exact"/>
              <w:rPr>
                <w:rFonts w:ascii="Arial" w:cs="Arial" w:eastAsia="Arial" w:hAnsi="Arial"/>
                <w:sz w:val="18"/>
                <w:szCs w:val="18"/>
                <w:color w:val="0000FF"/>
              </w:rPr>
            </w:pPr>
            <w:hyperlink w:anchor="page51">
              <w:r>
                <w:rPr>
                  <w:rFonts w:ascii="Arial" w:cs="Arial" w:eastAsia="Arial" w:hAnsi="Arial"/>
                  <w:sz w:val="18"/>
                  <w:szCs w:val="18"/>
                  <w:color w:val="0000FF"/>
                </w:rPr>
                <w:t>Non-GAAP and Other Financial Disclosures</w:t>
              </w:r>
            </w:hyperlink>
          </w:p>
        </w:tc>
        <w:tc>
          <w:tcPr>
            <w:tcW w:w="900" w:type="dxa"/>
            <w:vAlign w:val="bottom"/>
            <w:gridSpan w:val="3"/>
          </w:tcPr>
          <w:p>
            <w:pPr>
              <w:jc w:val="center"/>
              <w:ind w:left="632"/>
              <w:spacing w:after="0" w:line="205"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51</w:t>
              </w:r>
            </w:hyperlink>
          </w:p>
        </w:tc>
        <w:tc>
          <w:tcPr>
            <w:tcW w:w="100" w:type="dxa"/>
            <w:vAlign w:val="bottom"/>
          </w:tcPr>
          <w:p>
            <w:pPr>
              <w:spacing w:after="0"/>
              <w:rPr>
                <w:sz w:val="17"/>
                <w:szCs w:val="17"/>
                <w:color w:val="auto"/>
              </w:rPr>
            </w:pPr>
          </w:p>
        </w:tc>
      </w:tr>
      <w:tr>
        <w:trPr>
          <w:trHeight w:val="205"/>
        </w:trPr>
        <w:tc>
          <w:tcPr>
            <w:tcW w:w="1540" w:type="dxa"/>
            <w:vAlign w:val="bottom"/>
            <w:tcBorders>
              <w:top w:val="single" w:sz="8" w:color="0000FF"/>
              <w:bottom w:val="single" w:sz="8" w:color="0000FF"/>
            </w:tcBorders>
            <w:gridSpan w:val="5"/>
          </w:tcPr>
          <w:p>
            <w:pPr>
              <w:spacing w:after="0" w:line="205" w:lineRule="exact"/>
              <w:rPr>
                <w:rFonts w:ascii="Arial" w:cs="Arial" w:eastAsia="Arial" w:hAnsi="Arial"/>
                <w:sz w:val="18"/>
                <w:szCs w:val="18"/>
                <w:color w:val="0000FF"/>
                <w:w w:val="87"/>
              </w:rPr>
            </w:pPr>
            <w:hyperlink w:anchor="page53">
              <w:r>
                <w:rPr>
                  <w:rFonts w:ascii="Arial" w:cs="Arial" w:eastAsia="Arial" w:hAnsi="Arial"/>
                  <w:sz w:val="18"/>
                  <w:szCs w:val="18"/>
                  <w:color w:val="0000FF"/>
                  <w:w w:val="87"/>
                </w:rPr>
                <w:t>Results of Operations</w:t>
              </w:r>
            </w:hyperlink>
          </w:p>
        </w:tc>
        <w:tc>
          <w:tcPr>
            <w:tcW w:w="1620" w:type="dxa"/>
            <w:vAlign w:val="bottom"/>
            <w:tcBorders>
              <w:top w:val="single" w:sz="8" w:color="0000FF"/>
            </w:tcBorders>
            <w:gridSpan w:val="5"/>
          </w:tcPr>
          <w:p>
            <w:pPr>
              <w:spacing w:after="0"/>
              <w:rPr>
                <w:sz w:val="17"/>
                <w:szCs w:val="17"/>
                <w:color w:val="auto"/>
              </w:rPr>
            </w:pPr>
          </w:p>
        </w:tc>
        <w:tc>
          <w:tcPr>
            <w:tcW w:w="6780" w:type="dxa"/>
            <w:vAlign w:val="bottom"/>
            <w:gridSpan w:val="2"/>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line="205"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53</w:t>
              </w:r>
            </w:hyperlink>
          </w:p>
        </w:tc>
        <w:tc>
          <w:tcPr>
            <w:tcW w:w="100" w:type="dxa"/>
            <w:vAlign w:val="bottom"/>
          </w:tcPr>
          <w:p>
            <w:pPr>
              <w:spacing w:after="0"/>
              <w:rPr>
                <w:sz w:val="17"/>
                <w:szCs w:val="17"/>
                <w:color w:val="auto"/>
              </w:rPr>
            </w:pPr>
          </w:p>
        </w:tc>
      </w:tr>
      <w:tr>
        <w:trPr>
          <w:trHeight w:val="205"/>
        </w:trPr>
        <w:tc>
          <w:tcPr>
            <w:tcW w:w="860" w:type="dxa"/>
            <w:vAlign w:val="bottom"/>
            <w:tcBorders>
              <w:bottom w:val="single" w:sz="8" w:color="0000FF"/>
            </w:tcBorders>
            <w:gridSpan w:val="2"/>
          </w:tcPr>
          <w:p>
            <w:pPr>
              <w:spacing w:after="0" w:line="205" w:lineRule="exact"/>
              <w:rPr>
                <w:rFonts w:ascii="Arial" w:cs="Arial" w:eastAsia="Arial" w:hAnsi="Arial"/>
                <w:sz w:val="18"/>
                <w:szCs w:val="18"/>
                <w:color w:val="0000FF"/>
                <w:w w:val="86"/>
              </w:rPr>
            </w:pPr>
            <w:hyperlink w:anchor="page66">
              <w:r>
                <w:rPr>
                  <w:rFonts w:ascii="Arial" w:cs="Arial" w:eastAsia="Arial" w:hAnsi="Arial"/>
                  <w:sz w:val="18"/>
                  <w:szCs w:val="18"/>
                  <w:color w:val="0000FF"/>
                  <w:w w:val="86"/>
                </w:rPr>
                <w:t>Investments</w:t>
              </w:r>
            </w:hyperlink>
          </w:p>
        </w:tc>
        <w:tc>
          <w:tcPr>
            <w:tcW w:w="9080" w:type="dxa"/>
            <w:vAlign w:val="bottom"/>
            <w:gridSpan w:val="10"/>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rFonts w:ascii="Arial" w:cs="Arial" w:eastAsia="Arial" w:hAnsi="Arial"/>
                <w:sz w:val="18"/>
                <w:szCs w:val="18"/>
                <w:color w:val="0000FF"/>
                <w:w w:val="89"/>
              </w:rPr>
            </w:pPr>
            <w:hyperlink w:anchor="page66">
              <w:r>
                <w:rPr>
                  <w:rFonts w:ascii="Arial" w:cs="Arial" w:eastAsia="Arial" w:hAnsi="Arial"/>
                  <w:sz w:val="18"/>
                  <w:szCs w:val="18"/>
                  <w:color w:val="0000FF"/>
                  <w:w w:val="89"/>
                </w:rPr>
                <w:t>65</w:t>
              </w:r>
            </w:hyperlink>
          </w:p>
        </w:tc>
        <w:tc>
          <w:tcPr>
            <w:tcW w:w="100" w:type="dxa"/>
            <w:vAlign w:val="bottom"/>
          </w:tcPr>
          <w:p>
            <w:pPr>
              <w:spacing w:after="0"/>
              <w:rPr>
                <w:sz w:val="17"/>
                <w:szCs w:val="17"/>
                <w:color w:val="auto"/>
              </w:rPr>
            </w:pPr>
          </w:p>
        </w:tc>
      </w:tr>
      <w:tr>
        <w:trPr>
          <w:trHeight w:val="205"/>
        </w:trPr>
        <w:tc>
          <w:tcPr>
            <w:tcW w:w="820" w:type="dxa"/>
            <w:vAlign w:val="bottom"/>
            <w:tcBorders>
              <w:bottom w:val="single" w:sz="8" w:color="0000FF"/>
            </w:tcBorders>
          </w:tcPr>
          <w:p>
            <w:pPr>
              <w:spacing w:after="0" w:line="205"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Derivatives</w:t>
              </w:r>
            </w:hyperlink>
          </w:p>
        </w:tc>
        <w:tc>
          <w:tcPr>
            <w:tcW w:w="9120" w:type="dxa"/>
            <w:vAlign w:val="bottom"/>
            <w:gridSpan w:val="11"/>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75</w:t>
              </w:r>
            </w:hyperlink>
          </w:p>
        </w:tc>
        <w:tc>
          <w:tcPr>
            <w:tcW w:w="100" w:type="dxa"/>
            <w:vAlign w:val="bottom"/>
          </w:tcPr>
          <w:p>
            <w:pPr>
              <w:spacing w:after="0"/>
              <w:rPr>
                <w:sz w:val="17"/>
                <w:szCs w:val="17"/>
                <w:color w:val="auto"/>
              </w:rPr>
            </w:pPr>
          </w:p>
        </w:tc>
      </w:tr>
      <w:tr>
        <w:trPr>
          <w:trHeight w:val="205"/>
        </w:trPr>
        <w:tc>
          <w:tcPr>
            <w:tcW w:w="9940" w:type="dxa"/>
            <w:vAlign w:val="bottom"/>
            <w:gridSpan w:val="12"/>
          </w:tcPr>
          <w:p>
            <w:pPr>
              <w:spacing w:after="0" w:line="205" w:lineRule="exact"/>
              <w:rPr>
                <w:rFonts w:ascii="Arial" w:cs="Arial" w:eastAsia="Arial" w:hAnsi="Arial"/>
                <w:sz w:val="18"/>
                <w:szCs w:val="18"/>
                <w:color w:val="0000FF"/>
              </w:rPr>
            </w:pPr>
            <w:hyperlink w:anchor="page77">
              <w:r>
                <w:rPr>
                  <w:rFonts w:ascii="Arial" w:cs="Arial" w:eastAsia="Arial" w:hAnsi="Arial"/>
                  <w:sz w:val="18"/>
                  <w:szCs w:val="18"/>
                  <w:color w:val="0000FF"/>
                </w:rPr>
                <w:t>Policyholder Liabilities</w:t>
              </w:r>
            </w:hyperlink>
          </w:p>
        </w:tc>
        <w:tc>
          <w:tcPr>
            <w:tcW w:w="900" w:type="dxa"/>
            <w:vAlign w:val="bottom"/>
            <w:gridSpan w:val="3"/>
          </w:tcPr>
          <w:p>
            <w:pPr>
              <w:jc w:val="center"/>
              <w:ind w:left="632"/>
              <w:spacing w:after="0" w:line="205"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76</w:t>
              </w:r>
            </w:hyperlink>
          </w:p>
        </w:tc>
        <w:tc>
          <w:tcPr>
            <w:tcW w:w="100" w:type="dxa"/>
            <w:vAlign w:val="bottom"/>
          </w:tcPr>
          <w:p>
            <w:pPr>
              <w:spacing w:after="0"/>
              <w:rPr>
                <w:sz w:val="17"/>
                <w:szCs w:val="17"/>
                <w:color w:val="auto"/>
              </w:rPr>
            </w:pPr>
          </w:p>
        </w:tc>
      </w:tr>
      <w:tr>
        <w:trPr>
          <w:trHeight w:val="20"/>
        </w:trPr>
        <w:tc>
          <w:tcPr>
            <w:tcW w:w="1660" w:type="dxa"/>
            <w:vAlign w:val="bottom"/>
            <w:gridSpan w:val="6"/>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9940" w:type="dxa"/>
            <w:vAlign w:val="bottom"/>
            <w:gridSpan w:val="12"/>
          </w:tcPr>
          <w:p>
            <w:pPr>
              <w:spacing w:after="0" w:line="205" w:lineRule="exact"/>
              <w:rPr>
                <w:rFonts w:ascii="Arial" w:cs="Arial" w:eastAsia="Arial" w:hAnsi="Arial"/>
                <w:sz w:val="18"/>
                <w:szCs w:val="18"/>
                <w:color w:val="0000FF"/>
              </w:rPr>
            </w:pPr>
            <w:hyperlink w:anchor="page80">
              <w:r>
                <w:rPr>
                  <w:rFonts w:ascii="Arial" w:cs="Arial" w:eastAsia="Arial" w:hAnsi="Arial"/>
                  <w:sz w:val="18"/>
                  <w:szCs w:val="18"/>
                  <w:color w:val="0000FF"/>
                </w:rPr>
                <w:t>Liquidity and Capital Resources</w:t>
              </w:r>
            </w:hyperlink>
          </w:p>
        </w:tc>
        <w:tc>
          <w:tcPr>
            <w:tcW w:w="900" w:type="dxa"/>
            <w:vAlign w:val="bottom"/>
            <w:gridSpan w:val="3"/>
          </w:tcPr>
          <w:p>
            <w:pPr>
              <w:jc w:val="center"/>
              <w:ind w:left="632"/>
              <w:spacing w:after="0" w:line="205" w:lineRule="exact"/>
              <w:rPr>
                <w:rFonts w:ascii="Arial" w:cs="Arial" w:eastAsia="Arial" w:hAnsi="Arial"/>
                <w:sz w:val="18"/>
                <w:szCs w:val="18"/>
                <w:color w:val="0000FF"/>
                <w:w w:val="89"/>
              </w:rPr>
            </w:pPr>
            <w:hyperlink w:anchor="page80">
              <w:r>
                <w:rPr>
                  <w:rFonts w:ascii="Arial" w:cs="Arial" w:eastAsia="Arial" w:hAnsi="Arial"/>
                  <w:sz w:val="18"/>
                  <w:szCs w:val="18"/>
                  <w:color w:val="0000FF"/>
                  <w:w w:val="89"/>
                </w:rPr>
                <w:t>80</w:t>
              </w:r>
            </w:hyperlink>
          </w:p>
        </w:tc>
        <w:tc>
          <w:tcPr>
            <w:tcW w:w="100" w:type="dxa"/>
            <w:vAlign w:val="bottom"/>
          </w:tcPr>
          <w:p>
            <w:pPr>
              <w:spacing w:after="0"/>
              <w:rPr>
                <w:sz w:val="17"/>
                <w:szCs w:val="17"/>
                <w:color w:val="auto"/>
              </w:rPr>
            </w:pPr>
          </w:p>
        </w:tc>
      </w:tr>
      <w:tr>
        <w:trPr>
          <w:trHeight w:val="20"/>
        </w:trPr>
        <w:tc>
          <w:tcPr>
            <w:tcW w:w="2280" w:type="dxa"/>
            <w:vAlign w:val="bottom"/>
            <w:gridSpan w:val="7"/>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9940" w:type="dxa"/>
            <w:vAlign w:val="bottom"/>
            <w:gridSpan w:val="12"/>
          </w:tcPr>
          <w:p>
            <w:pPr>
              <w:spacing w:after="0" w:line="205" w:lineRule="exact"/>
              <w:rPr>
                <w:rFonts w:ascii="Arial" w:cs="Arial" w:eastAsia="Arial" w:hAnsi="Arial"/>
                <w:sz w:val="18"/>
                <w:szCs w:val="18"/>
                <w:color w:val="0000FF"/>
              </w:rPr>
            </w:pPr>
            <w:hyperlink w:anchor="page87">
              <w:r>
                <w:rPr>
                  <w:rFonts w:ascii="Arial" w:cs="Arial" w:eastAsia="Arial" w:hAnsi="Arial"/>
                  <w:sz w:val="18"/>
                  <w:szCs w:val="18"/>
                  <w:color w:val="0000FF"/>
                </w:rPr>
                <w:t>Note Regarding Forward-Looking Statements</w:t>
              </w:r>
            </w:hyperlink>
          </w:p>
        </w:tc>
        <w:tc>
          <w:tcPr>
            <w:tcW w:w="900" w:type="dxa"/>
            <w:vAlign w:val="bottom"/>
            <w:gridSpan w:val="3"/>
          </w:tcPr>
          <w:p>
            <w:pPr>
              <w:jc w:val="center"/>
              <w:ind w:left="632"/>
              <w:spacing w:after="0" w:line="205"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87</w:t>
              </w:r>
            </w:hyperlink>
          </w:p>
        </w:tc>
        <w:tc>
          <w:tcPr>
            <w:tcW w:w="10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60"/>
          </w:cols>
          <w:pgMar w:left="320" w:top="227" w:right="619" w:bottom="1440" w:gutter="0" w:footer="0" w:header="0"/>
        </w:sectPr>
      </w:pPr>
    </w:p>
    <w:bookmarkStart w:id="48" w:name="page49"/>
    <w:bookmarkEnd w:id="4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i w:val="1"/>
          <w:iCs w:val="1"/>
          <w:color w:val="auto"/>
        </w:rPr>
        <w:t>For purposes of this discussion, “Brighthouse Financial,” the “Company,” “we,” “our” and “us” refer to Brighthouse Financial, Inc. and its subsidiaries, and “BHF” refers solely to Brighthouse Financial, Inc., the ultimate holding company for all of our subsidiaries, and not to any of its subsidiaries. This Management’s Discussion and Analysis of Financial Condition and Results of Operations should be read in conjunction with (i) the Interim Condensed Consolidated Financial Statements and related notes included elsewhere herein; (ii) our Annual Report on Form 10-K for the year ended December 31, 2021, filed with the U.S. Securities and Exchange Commission (“SEC”) on February 24, 2022 (the “2021 Annual Report”); (iii) our Quarterly Report on Form 10-Q for the quarter ended March 31, 2022 (the “First Quarter Form 10-Q”) filed with the SEC on May 10, 2022; and (iv) our current reports on Form 8-K filed in 2022.</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1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This Management’s Discussion and Analysis of Financial Condition and Results of Operations is intended to help the reader understand the results of operations, financial condition and cash flows of Brighthouse Financial for the periods indicated. Prior to discussing our results of operations, we present information that we believe is useful to understanding the discussion of our financial results. This information precedes our results of operations discussion and is most beneficial when read in the sequence presented. A summary of key informational sections is as follows:</w:t>
      </w:r>
    </w:p>
    <w:p>
      <w:pPr>
        <w:spacing w:after="0" w:line="71"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 Summary” provides summarized information regarding our business, segments and financial results.</w:t>
      </w:r>
    </w:p>
    <w:p>
      <w:pPr>
        <w:spacing w:after="0" w:line="111"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“Industry Trends and Uncertainties” discusses updates and changes to a number of trends and uncertainties included in our 2021 Annual Report that we believe may materially affect our future financial condition, results of operations or cash flows, including from the COVID-19 pandemic.</w:t>
      </w:r>
    </w:p>
    <w:p>
      <w:pPr>
        <w:spacing w:after="0" w:line="5"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“Summary of Critical Accounting Estimates” explains the most critical estimates and judgments applied in determining our results in accordance with accounting principles generally accepted in the United States of America (“GAAP”).</w:t>
      </w:r>
    </w:p>
    <w:p>
      <w:pPr>
        <w:spacing w:after="0" w:line="74" w:lineRule="exact"/>
        <w:rPr>
          <w:rFonts w:ascii="Arial" w:cs="Arial" w:eastAsia="Arial" w:hAnsi="Arial"/>
          <w:sz w:val="18"/>
          <w:szCs w:val="18"/>
          <w:color w:val="auto"/>
        </w:rPr>
      </w:pPr>
    </w:p>
    <w:p>
      <w:pPr>
        <w:jc w:val="both"/>
        <w:ind w:left="640" w:hanging="316"/>
        <w:spacing w:after="0" w:line="250"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“Non-GAAP and Other Financial Disclosures” defines key financial measures presented in our results of operations discussion that are not calculated in accordance with GAAP but are used by management in evaluating company and segment performance. As described in this section, adjusted earnings is presented by key business activities which are derived from, but different than, the line items presented in the GAAP statement of operations. This section also refers to certain other terms used to describe our insurance business and financial and operating metrics but is not intended to be exhaustive.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are one of the largest providers of annuity and life insurance products in the U.S. through multiple independent distribution channels and marketing arrangements with a diverse network of distribution partners. We are organized into three segments: (i) Annuities, (ii) Life and (iii) Run-off, which consists of products that are no longer actively sold and are separately managed. In addition, we report certain of our results of operations in Corporate &amp; Other.</w:t>
      </w:r>
    </w:p>
    <w:p>
      <w:pPr>
        <w:spacing w:after="0" w:line="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This Management’s Discussion and Analysis of Financial Condition and Results of Operations is intended to help the reader understand the results of operations, financial condition and cash flows of Brighthouse Financial for the periods indicated. See “Business — Segments and Corporate &amp; Other” and “Management’s Discussion and Analysis of Financial Condition and Results of Operations — Executive Summary — Overview” included in our 2021 Annual Report, as well as Note 2 of the Notes to the Interim Condensed Consolidated Financial Statements for further information regarding our segments and Corporate &amp; Other.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income (loss) available to shareholders and adjusted earnings, a non-GAAP financial measure,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360" w:type="dxa"/>
            <w:vAlign w:val="bottom"/>
            <w:gridSpan w:val="4"/>
          </w:tcPr>
          <w:p>
            <w:pPr>
              <w:jc w:val="right"/>
              <w:ind w:right="24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Six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8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79"/>
        </w:trPr>
        <w:tc>
          <w:tcPr>
            <w:tcW w:w="5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1,187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3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 (1)</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Pre-tax adjusted earnings, less net income (loss) attributable to noncontrolling</w:t>
            </w:r>
          </w:p>
        </w:tc>
        <w:tc>
          <w:tcPr>
            <w:tcW w:w="860" w:type="dxa"/>
            <w:vAlign w:val="bottom"/>
            <w:vMerge w:val="restart"/>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539</w:t>
            </w: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interests and preferred stock dividends</w:t>
            </w:r>
          </w:p>
        </w:tc>
        <w:tc>
          <w:tcPr>
            <w:tcW w:w="86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3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earnings</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use the term “net income (loss) available to shareholders” to refer to “net income (loss) available to Brighthouse Financial, Inc.’s common shareholders” throughout the results of operations discussions.</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For the three months ended June 30, 2022, we had net income available to shareholders of $957 million and adjusted earnings of $24 million compared to net income available to shareholders of $10 million and adjusted earnings of $435 million for the three months ended June 30, 2021. Net income available to shareholders for the three months ended June 30, 2022 primarily reflects net favorable changes in the estimated fair value of our guaranteed minimum living benefits (“GMLB”) riders (“GMLB Riders”) due to market factors. Lower equity markets resulted in favorable changes to the estimated fair value of embedded derivative liabilities associated with Shield Level Annuities (“Shield liabilities”). These favorable impacts were partially offset by increasing long-term interest rates resulting in an unfavorable change in the estimated fair value of freestanding interest rate derivatives we use to hedge our universal life with secondary guarantees (“ULSG”) business.</w:t>
      </w:r>
    </w:p>
    <w:p>
      <w:pPr>
        <w:spacing w:after="0" w:line="13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For the six months ended June 30, 2022, we had net income available to shareholders of $1.6 billion and adjusted earnings of $318 million compared to a net loss available to shareholders of $600 million and adjusted earnings of $820 million for the six months ended June 30, 2021. Net income available to shareholders for the six months ended June 30, 2022 primarily reflects net favorable changes in the estimated fair value of our GMLB Riders due to market factors and favorable pre-tax adjusted earnings. Lower equity markets resulted in favorable changes to Shield liabilities. These favorable impacts were partially offset by increasing long-term interest rates resulting in an unfavorable change in the estimated fair value of freestanding interest rate derivatives we use to hedge our ULSG business.</w:t>
      </w:r>
    </w:p>
    <w:p>
      <w:pPr>
        <w:spacing w:after="0" w:line="143" w:lineRule="exact"/>
        <w:rPr>
          <w:sz w:val="20"/>
          <w:szCs w:val="20"/>
          <w:color w:val="auto"/>
        </w:rPr>
      </w:pPr>
    </w:p>
    <w:p>
      <w:pPr>
        <w:ind w:right="2000" w:firstLine="318"/>
        <w:spacing w:after="0" w:line="387" w:lineRule="auto"/>
        <w:rPr>
          <w:sz w:val="20"/>
          <w:szCs w:val="20"/>
          <w:color w:val="auto"/>
        </w:rPr>
      </w:pPr>
      <w:r>
        <w:rPr>
          <w:rFonts w:ascii="Arial" w:cs="Arial" w:eastAsia="Arial" w:hAnsi="Arial"/>
          <w:sz w:val="18"/>
          <w:szCs w:val="18"/>
          <w:color w:val="auto"/>
        </w:rPr>
        <w:t xml:space="preserve">See “— Non-GAAP and Other Financial Disclosures.” See “— Results of Operations” for a detailed discussion of our results. </w:t>
      </w:r>
      <w:r>
        <w:rPr>
          <w:rFonts w:ascii="Arial" w:cs="Arial" w:eastAsia="Arial" w:hAnsi="Arial"/>
          <w:sz w:val="18"/>
          <w:szCs w:val="18"/>
          <w:b w:val="1"/>
          <w:bCs w:val="1"/>
          <w:color w:val="auto"/>
        </w:rPr>
        <w:t>Industry Trends and Uncertainties</w:t>
      </w:r>
    </w:p>
    <w:p>
      <w:pPr>
        <w:spacing w:after="0" w:line="2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our 2021 Annual Report for a comprehensive discussion of some of the key general trends and uncertainties that have influenced the development of our business and our historical financial performance and that we believe will continue to influence our business and results of operations in the future. In addition, significant changes or updates in certain of these trends and uncertainties are discussed below.</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continue to closely monitor developments related to the COVID-19 pandemic, which has negatively impacted us in certain respects. At this time, it continues to not be possible to estimate (i) the severity or duration of the pandemic, including the severity, duration and frequency of any additional “waves” or emerging variants of COVID-19 or (ii) the efficacy or utilization of any therapeutic treatments and vaccines for COVID-19 or variants thereof. It likewise remains not possible to predict or estimate the longer-term effects of the pandemic, or any actions taken to contain or address the pandemic, on the economy at large and on our business, financial condition, results of operations and prospects, including the impact on our investment portfolio and our ratings, or the need for us in the future to revisit or revise any targets we may provide to the markets or any aspects of our business model. See “Business — Regulation,” “Risk Factors — Risks Related to Our Business — The ongoing COVID-19 pandemic could materially adversely affect our business, financial condition and results of operations, including our capitalization and liquidity” and “Management’s Discussion and Analysis of Financial Condition and Results of Operations — Industry Trends — COVID-19 Pandemic” included in our 2021 Annual Report, as well as “— Investments — Current Environment — Selected Sector Investments,” “— Investments — Mortgage Loans — Loan Modifications Related to the COVID-19 Pandemic” and Note 4 of the Notes to the Interim Condensed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insurance subsidiaries and Brighthouse Reinsurance Company of Delaware (“BRCD”) are regulated primarily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the Employee Retirement Income Security Act of 1974, consumer protection laws, securities, broker-dealer and investment advisor regulations, as well as environmental and unclaimed property laws and regulations. See “Business — Regulation,” as well as “Risk Factors — Regulatory and Legal Risks” included in our 2021 Annual Report, as amended or supplemented by our subsequent Quarterly Reports under the heading “Management’s Discussion and Analysis of Financial Condition and Results of Operations — Industry Trends and Uncertainties — Regulatory Developments.”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70"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adopt accounting policies and make estimates and assumptions that affect amounts reported on the Interim Condensed Consolidated Financial Statements.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most critical estimates include those used in determining:</w:t>
      </w:r>
    </w:p>
    <w:p>
      <w:pPr>
        <w:spacing w:after="0" w:line="111"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liabilities for future policy benefits;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amortization of deferred policy acquisition costs (“DAC”);</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estimated fair values of freestanding derivatives and the recognition and estimated fair value of embedded derivatives requiring bifurcation; and</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measurement of income taxes and the valuation of deferred tax assets.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13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above critical accounting estimates are described in “Management’s Discussion and Analysis of Financial Condition and Results of Operations — Summary of Critical Accounting Estimates” and Note 1 of the Notes to the Consolidated Financial Statements included in our 2021 Annual Report.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and Other Financial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definitions of non-GAAP and other financial measures may differ from those used by other companies.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Disclosures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Adjusted Earnings</w:t>
      </w:r>
    </w:p>
    <w:p>
      <w:pPr>
        <w:spacing w:after="0" w:line="111" w:lineRule="exact"/>
        <w:rPr>
          <w:sz w:val="20"/>
          <w:szCs w:val="20"/>
          <w:color w:val="auto"/>
        </w:rPr>
      </w:pPr>
    </w:p>
    <w:p>
      <w:pPr>
        <w:jc w:val="both"/>
        <w:ind w:left="160" w:firstLine="318"/>
        <w:spacing w:after="0" w:line="309" w:lineRule="auto"/>
        <w:rPr>
          <w:sz w:val="20"/>
          <w:szCs w:val="20"/>
          <w:color w:val="auto"/>
        </w:rPr>
      </w:pPr>
      <w:r>
        <w:rPr>
          <w:rFonts w:ascii="Arial" w:cs="Arial" w:eastAsia="Arial" w:hAnsi="Arial"/>
          <w:sz w:val="15"/>
          <w:szCs w:val="15"/>
          <w:color w:val="auto"/>
        </w:rPr>
        <w:t>In this report, we present adjusted earnings as a measure of our performance that is not calculated in accordance with GAAP. Adjusted earnings is used by management to evaluate performance and facilitate comparisons to industry results. We believe the presentation of adjusted earnings, as the Company measures it for management purposes, enhances the understanding of our performance by the investor community by highlighting the results of operations and the underlying profitability drivers of our business.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spacing w:after="0" w:line="46"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Adjusted earnings, which may be positive or negative, focuses on our primary businesses by excluding the impact of market volatility, which could distort trends.</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are significant items excluded from total revenues in calculating adjusted earnings:</w:t>
      </w:r>
    </w:p>
    <w:p>
      <w:pPr>
        <w:spacing w:after="0" w:line="111" w:lineRule="exact"/>
        <w:rPr>
          <w:sz w:val="20"/>
          <w:szCs w:val="20"/>
          <w:color w:val="auto"/>
        </w:rPr>
      </w:pPr>
    </w:p>
    <w:p>
      <w:pPr>
        <w:ind w:left="800" w:hanging="317"/>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1" w:lineRule="exact"/>
        <w:rPr>
          <w:rFonts w:ascii="Arial" w:cs="Arial" w:eastAsia="Arial" w:hAnsi="Arial"/>
          <w:sz w:val="18"/>
          <w:szCs w:val="18"/>
          <w:color w:val="auto"/>
        </w:rPr>
      </w:pPr>
    </w:p>
    <w:p>
      <w:pPr>
        <w:ind w:left="800" w:hanging="317"/>
        <w:spacing w:after="0" w:line="294" w:lineRule="auto"/>
        <w:tabs>
          <w:tab w:leader="none" w:pos="795"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Net derivative gains (losses) except earned income and amortization of premium on derivatives that are hedges of investments or that are used to replicate certain investments, but do not qualify for hedge accounting treatment (“Investment Hedge Adjustments”); and</w:t>
      </w:r>
    </w:p>
    <w:p>
      <w:pPr>
        <w:spacing w:after="0" w:line="51" w:lineRule="exact"/>
        <w:rPr>
          <w:rFonts w:ascii="Arial" w:cs="Arial" w:eastAsia="Arial" w:hAnsi="Arial"/>
          <w:sz w:val="17"/>
          <w:szCs w:val="17"/>
          <w:color w:val="auto"/>
        </w:rPr>
      </w:pPr>
    </w:p>
    <w:p>
      <w:pPr>
        <w:ind w:left="800" w:hanging="317"/>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variable annuity guaranteed minimum income benefits (“GMIB”) fees (“GMIB Fees”).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are significant items excluded from total expenses in calculating adjusted earnings:</w:t>
      </w:r>
    </w:p>
    <w:p>
      <w:pPr>
        <w:spacing w:after="0" w:line="111" w:lineRule="exact"/>
        <w:rPr>
          <w:sz w:val="20"/>
          <w:szCs w:val="20"/>
          <w:color w:val="auto"/>
        </w:rPr>
      </w:pPr>
    </w:p>
    <w:p>
      <w:pPr>
        <w:ind w:left="800" w:hanging="317"/>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associated with benefits related to GMIBs (“GMIB Costs”);</w:t>
      </w:r>
    </w:p>
    <w:p>
      <w:pPr>
        <w:spacing w:after="0" w:line="111" w:lineRule="exact"/>
        <w:rPr>
          <w:rFonts w:ascii="Arial" w:cs="Arial" w:eastAsia="Arial" w:hAnsi="Arial"/>
          <w:sz w:val="18"/>
          <w:szCs w:val="18"/>
          <w:color w:val="auto"/>
        </w:rPr>
      </w:pPr>
    </w:p>
    <w:p>
      <w:pPr>
        <w:ind w:left="800" w:hanging="317"/>
        <w:spacing w:after="0" w:line="264" w:lineRule="auto"/>
        <w:tabs>
          <w:tab w:leader="none" w:pos="7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(“Market Value Adjustments”); and</w:t>
      </w:r>
    </w:p>
    <w:p>
      <w:pPr>
        <w:spacing w:after="0" w:line="74" w:lineRule="exact"/>
        <w:rPr>
          <w:rFonts w:ascii="Arial" w:cs="Arial" w:eastAsia="Arial" w:hAnsi="Arial"/>
          <w:sz w:val="18"/>
          <w:szCs w:val="18"/>
          <w:color w:val="auto"/>
        </w:rPr>
      </w:pPr>
    </w:p>
    <w:p>
      <w:pPr>
        <w:ind w:left="800" w:hanging="317"/>
        <w:spacing w:after="0" w:line="264" w:lineRule="auto"/>
        <w:tabs>
          <w:tab w:leader="none" w:pos="7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Amortization of DAC and value of business acquired (“VOBA”) related to (i) net investment gains (losses), (ii) net derivative gains (losses) and (iii) GMIB Fees and GMIB Costs.</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tax impact of the adjustments discussed above is calculated net of the statutory tax rate, which could differ from our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 of operations line items: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Component of Adjusted Earnings</w:t>
            </w:r>
          </w:p>
        </w:tc>
        <w:tc>
          <w:tcPr>
            <w:tcW w:w="71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How Derived from GAAP (1)</w:t>
            </w:r>
          </w:p>
        </w:tc>
      </w:tr>
      <w:tr>
        <w:trPr>
          <w:trHeight w:val="213"/>
        </w:trPr>
        <w:tc>
          <w:tcPr>
            <w:tcW w:w="380" w:type="dxa"/>
            <w:vAlign w:val="bottom"/>
          </w:tcPr>
          <w:p>
            <w:pPr>
              <w:ind w:left="20"/>
              <w:spacing w:after="0"/>
              <w:rPr>
                <w:sz w:val="20"/>
                <w:szCs w:val="20"/>
                <w:color w:val="auto"/>
              </w:rPr>
            </w:pPr>
            <w:r>
              <w:rPr>
                <w:rFonts w:ascii="Arial" w:cs="Arial" w:eastAsia="Arial" w:hAnsi="Arial"/>
                <w:sz w:val="18"/>
                <w:szCs w:val="18"/>
                <w:color w:val="auto"/>
              </w:rPr>
              <w:t>(i)</w:t>
            </w:r>
          </w:p>
        </w:tc>
        <w:tc>
          <w:tcPr>
            <w:tcW w:w="3680" w:type="dxa"/>
            <w:vAlign w:val="bottom"/>
          </w:tcPr>
          <w:p>
            <w:pPr>
              <w:ind w:left="100"/>
              <w:spacing w:after="0"/>
              <w:rPr>
                <w:sz w:val="20"/>
                <w:szCs w:val="20"/>
                <w:color w:val="auto"/>
              </w:rPr>
            </w:pPr>
            <w:r>
              <w:rPr>
                <w:rFonts w:ascii="Arial" w:cs="Arial" w:eastAsia="Arial" w:hAnsi="Arial"/>
                <w:sz w:val="18"/>
                <w:szCs w:val="18"/>
                <w:color w:val="auto"/>
              </w:rPr>
              <w:t>Fee income</w:t>
            </w:r>
          </w:p>
        </w:tc>
        <w:tc>
          <w:tcPr>
            <w:tcW w:w="7180" w:type="dxa"/>
            <w:vAlign w:val="bottom"/>
          </w:tcPr>
          <w:p>
            <w:pPr>
              <w:ind w:left="560"/>
              <w:spacing w:after="0"/>
              <w:rPr>
                <w:sz w:val="20"/>
                <w:szCs w:val="20"/>
                <w:color w:val="auto"/>
              </w:rPr>
            </w:pPr>
            <w:r>
              <w:rPr>
                <w:rFonts w:ascii="Arial" w:cs="Arial" w:eastAsia="Arial" w:hAnsi="Arial"/>
                <w:sz w:val="18"/>
                <w:szCs w:val="18"/>
                <w:color w:val="auto"/>
              </w:rPr>
              <w:t>(i)</w:t>
            </w:r>
          </w:p>
        </w:tc>
      </w:tr>
      <w:tr>
        <w:trPr>
          <w:trHeight w:val="172"/>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180" w:type="dxa"/>
            <w:vAlign w:val="bottom"/>
          </w:tcPr>
          <w:p>
            <w:pPr>
              <w:ind w:left="1020"/>
              <w:spacing w:after="0" w:line="172" w:lineRule="exact"/>
              <w:rPr>
                <w:sz w:val="20"/>
                <w:szCs w:val="20"/>
                <w:color w:val="auto"/>
              </w:rPr>
            </w:pPr>
            <w:r>
              <w:rPr>
                <w:rFonts w:ascii="Arial" w:cs="Arial" w:eastAsia="Arial" w:hAnsi="Arial"/>
                <w:sz w:val="18"/>
                <w:szCs w:val="18"/>
                <w:i w:val="1"/>
                <w:iCs w:val="1"/>
                <w:color w:val="auto"/>
                <w:w w:val="98"/>
              </w:rPr>
              <w:t xml:space="preserve">Universal life and investment-type product policy fees </w:t>
            </w:r>
            <w:r>
              <w:rPr>
                <w:rFonts w:ascii="Arial" w:cs="Arial" w:eastAsia="Arial" w:hAnsi="Arial"/>
                <w:sz w:val="18"/>
                <w:szCs w:val="18"/>
                <w:color w:val="auto"/>
                <w:w w:val="98"/>
              </w:rPr>
              <w:t>(excluding (a) unearned</w:t>
            </w:r>
          </w:p>
        </w:tc>
      </w:tr>
      <w:tr>
        <w:trPr>
          <w:trHeight w:val="172"/>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180" w:type="dxa"/>
            <w:vAlign w:val="bottom"/>
          </w:tcPr>
          <w:p>
            <w:pPr>
              <w:ind w:left="1020"/>
              <w:spacing w:after="0" w:line="172" w:lineRule="exact"/>
              <w:rPr>
                <w:sz w:val="20"/>
                <w:szCs w:val="20"/>
                <w:color w:val="auto"/>
              </w:rPr>
            </w:pPr>
            <w:r>
              <w:rPr>
                <w:rFonts w:ascii="Arial" w:cs="Arial" w:eastAsia="Arial" w:hAnsi="Arial"/>
                <w:sz w:val="18"/>
                <w:szCs w:val="18"/>
                <w:color w:val="auto"/>
                <w:w w:val="90"/>
              </w:rPr>
              <w:t>revenue adjustments related to net investment gains (losses) and net derivative gains</w:t>
            </w:r>
          </w:p>
        </w:tc>
      </w:tr>
      <w:tr>
        <w:trPr>
          <w:trHeight w:val="172"/>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180" w:type="dxa"/>
            <w:vAlign w:val="bottom"/>
          </w:tcPr>
          <w:p>
            <w:pPr>
              <w:ind w:left="1020"/>
              <w:spacing w:after="0" w:line="172" w:lineRule="exact"/>
              <w:rPr>
                <w:sz w:val="20"/>
                <w:szCs w:val="20"/>
                <w:color w:val="auto"/>
              </w:rPr>
            </w:pPr>
            <w:r>
              <w:rPr>
                <w:rFonts w:ascii="Arial" w:cs="Arial" w:eastAsia="Arial" w:hAnsi="Arial"/>
                <w:sz w:val="18"/>
                <w:szCs w:val="18"/>
                <w:color w:val="auto"/>
                <w:w w:val="89"/>
              </w:rPr>
              <w:t xml:space="preserve">(losses) and (b) GMIB Fees) plus </w:t>
            </w:r>
            <w:r>
              <w:rPr>
                <w:rFonts w:ascii="Arial" w:cs="Arial" w:eastAsia="Arial" w:hAnsi="Arial"/>
                <w:sz w:val="18"/>
                <w:szCs w:val="18"/>
                <w:i w:val="1"/>
                <w:iCs w:val="1"/>
                <w:color w:val="auto"/>
                <w:w w:val="89"/>
              </w:rPr>
              <w:t>Other revenues</w:t>
            </w:r>
            <w:r>
              <w:rPr>
                <w:rFonts w:ascii="Arial" w:cs="Arial" w:eastAsia="Arial" w:hAnsi="Arial"/>
                <w:sz w:val="18"/>
                <w:szCs w:val="18"/>
                <w:color w:val="auto"/>
                <w:w w:val="89"/>
              </w:rPr>
              <w:t xml:space="preserve"> and amortization of deferred gain on</w:t>
            </w:r>
          </w:p>
        </w:tc>
      </w:tr>
      <w:tr>
        <w:trPr>
          <w:trHeight w:val="224"/>
        </w:trPr>
        <w:tc>
          <w:tcPr>
            <w:tcW w:w="3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7180" w:type="dxa"/>
            <w:vAlign w:val="bottom"/>
          </w:tcPr>
          <w:p>
            <w:pPr>
              <w:ind w:left="1020"/>
              <w:spacing w:after="0"/>
              <w:rPr>
                <w:sz w:val="20"/>
                <w:szCs w:val="20"/>
                <w:color w:val="auto"/>
              </w:rPr>
            </w:pPr>
            <w:r>
              <w:rPr>
                <w:rFonts w:ascii="Arial" w:cs="Arial" w:eastAsia="Arial" w:hAnsi="Arial"/>
                <w:sz w:val="18"/>
                <w:szCs w:val="18"/>
                <w:color w:val="auto"/>
              </w:rPr>
              <w:t>reinsurance.</w:t>
            </w:r>
          </w:p>
        </w:tc>
      </w:tr>
      <w:tr>
        <w:trPr>
          <w:trHeight w:val="213"/>
        </w:trPr>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(ii)</w:t>
            </w: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investment spread</w:t>
            </w:r>
          </w:p>
        </w:tc>
        <w:tc>
          <w:tcPr>
            <w:tcW w:w="7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(ii)</w:t>
            </w:r>
          </w:p>
        </w:tc>
      </w:tr>
      <w:tr>
        <w:trPr>
          <w:trHeight w:val="172"/>
        </w:trPr>
        <w:tc>
          <w:tcPr>
            <w:tcW w:w="380" w:type="dxa"/>
            <w:vAlign w:val="bottom"/>
            <w:shd w:val="clear" w:color="auto" w:fill="CCEEFF"/>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7180" w:type="dxa"/>
            <w:vAlign w:val="bottom"/>
            <w:shd w:val="clear" w:color="auto" w:fill="CCEEFF"/>
          </w:tcPr>
          <w:p>
            <w:pPr>
              <w:ind w:left="1020"/>
              <w:spacing w:after="0" w:line="172" w:lineRule="exact"/>
              <w:rPr>
                <w:sz w:val="20"/>
                <w:szCs w:val="20"/>
                <w:color w:val="auto"/>
              </w:rPr>
            </w:pPr>
            <w:r>
              <w:rPr>
                <w:rFonts w:ascii="Arial" w:cs="Arial" w:eastAsia="Arial" w:hAnsi="Arial"/>
                <w:sz w:val="18"/>
                <w:szCs w:val="18"/>
                <w:i w:val="1"/>
                <w:iCs w:val="1"/>
                <w:color w:val="auto"/>
                <w:w w:val="91"/>
              </w:rPr>
              <w:t xml:space="preserve">Net investment income </w:t>
            </w:r>
            <w:r>
              <w:rPr>
                <w:rFonts w:ascii="Arial" w:cs="Arial" w:eastAsia="Arial" w:hAnsi="Arial"/>
                <w:sz w:val="18"/>
                <w:szCs w:val="18"/>
                <w:color w:val="auto"/>
                <w:w w:val="91"/>
              </w:rPr>
              <w:t>plus Investment Hedge Adjustments and interest received on</w:t>
            </w:r>
          </w:p>
        </w:tc>
      </w:tr>
      <w:tr>
        <w:trPr>
          <w:trHeight w:val="172"/>
        </w:trPr>
        <w:tc>
          <w:tcPr>
            <w:tcW w:w="380" w:type="dxa"/>
            <w:vAlign w:val="bottom"/>
            <w:shd w:val="clear" w:color="auto" w:fill="CCEEFF"/>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7180" w:type="dxa"/>
            <w:vAlign w:val="bottom"/>
            <w:shd w:val="clear" w:color="auto" w:fill="CCEEFF"/>
          </w:tcPr>
          <w:p>
            <w:pPr>
              <w:ind w:left="1020"/>
              <w:spacing w:after="0" w:line="172" w:lineRule="exact"/>
              <w:rPr>
                <w:sz w:val="20"/>
                <w:szCs w:val="20"/>
                <w:color w:val="auto"/>
              </w:rPr>
            </w:pPr>
            <w:r>
              <w:rPr>
                <w:rFonts w:ascii="Arial" w:cs="Arial" w:eastAsia="Arial" w:hAnsi="Arial"/>
                <w:sz w:val="18"/>
                <w:szCs w:val="18"/>
                <w:color w:val="auto"/>
                <w:w w:val="99"/>
              </w:rPr>
              <w:t xml:space="preserve">ceded fixed annuity reinsurance deposit funds reduced by </w:t>
            </w:r>
            <w:r>
              <w:rPr>
                <w:rFonts w:ascii="Arial" w:cs="Arial" w:eastAsia="Arial" w:hAnsi="Arial"/>
                <w:sz w:val="18"/>
                <w:szCs w:val="18"/>
                <w:i w:val="1"/>
                <w:iCs w:val="1"/>
                <w:color w:val="auto"/>
                <w:w w:val="99"/>
              </w:rPr>
              <w:t>Interest credited to</w:t>
            </w:r>
          </w:p>
        </w:tc>
      </w:tr>
      <w:tr>
        <w:trPr>
          <w:trHeight w:val="224"/>
        </w:trPr>
        <w:tc>
          <w:tcPr>
            <w:tcW w:w="38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7180" w:type="dxa"/>
            <w:vAlign w:val="bottom"/>
            <w:shd w:val="clear" w:color="auto" w:fill="CCEEFF"/>
          </w:tcPr>
          <w:p>
            <w:pPr>
              <w:ind w:left="1020"/>
              <w:spacing w:after="0"/>
              <w:rPr>
                <w:sz w:val="20"/>
                <w:szCs w:val="20"/>
                <w:color w:val="auto"/>
              </w:rPr>
            </w:pPr>
            <w:r>
              <w:rPr>
                <w:rFonts w:ascii="Arial" w:cs="Arial" w:eastAsia="Arial" w:hAnsi="Arial"/>
                <w:sz w:val="18"/>
                <w:szCs w:val="18"/>
                <w:i w:val="1"/>
                <w:iCs w:val="1"/>
                <w:color w:val="auto"/>
              </w:rPr>
              <w:t xml:space="preserve">policyholder account balances </w:t>
            </w:r>
            <w:r>
              <w:rPr>
                <w:rFonts w:ascii="Arial" w:cs="Arial" w:eastAsia="Arial" w:hAnsi="Arial"/>
                <w:sz w:val="18"/>
                <w:szCs w:val="18"/>
                <w:color w:val="auto"/>
              </w:rPr>
              <w:t>and interest on future policy benefits.</w:t>
            </w:r>
          </w:p>
        </w:tc>
      </w:tr>
      <w:tr>
        <w:trPr>
          <w:trHeight w:val="213"/>
        </w:trPr>
        <w:tc>
          <w:tcPr>
            <w:tcW w:w="380" w:type="dxa"/>
            <w:vAlign w:val="bottom"/>
          </w:tcPr>
          <w:p>
            <w:pPr>
              <w:ind w:left="20"/>
              <w:spacing w:after="0"/>
              <w:rPr>
                <w:sz w:val="20"/>
                <w:szCs w:val="20"/>
                <w:color w:val="auto"/>
              </w:rPr>
            </w:pPr>
            <w:r>
              <w:rPr>
                <w:rFonts w:ascii="Arial" w:cs="Arial" w:eastAsia="Arial" w:hAnsi="Arial"/>
                <w:sz w:val="18"/>
                <w:szCs w:val="18"/>
                <w:color w:val="auto"/>
              </w:rPr>
              <w:t>(iii)</w:t>
            </w:r>
          </w:p>
        </w:tc>
        <w:tc>
          <w:tcPr>
            <w:tcW w:w="3680" w:type="dxa"/>
            <w:vAlign w:val="bottom"/>
          </w:tcPr>
          <w:p>
            <w:pPr>
              <w:ind w:left="100"/>
              <w:spacing w:after="0"/>
              <w:rPr>
                <w:sz w:val="20"/>
                <w:szCs w:val="20"/>
                <w:color w:val="auto"/>
              </w:rPr>
            </w:pPr>
            <w:r>
              <w:rPr>
                <w:rFonts w:ascii="Arial" w:cs="Arial" w:eastAsia="Arial" w:hAnsi="Arial"/>
                <w:sz w:val="18"/>
                <w:szCs w:val="18"/>
                <w:color w:val="auto"/>
              </w:rPr>
              <w:t>Insurance-related activities</w:t>
            </w:r>
          </w:p>
        </w:tc>
        <w:tc>
          <w:tcPr>
            <w:tcW w:w="7180" w:type="dxa"/>
            <w:vAlign w:val="bottom"/>
          </w:tcPr>
          <w:p>
            <w:pPr>
              <w:ind w:left="560"/>
              <w:spacing w:after="0"/>
              <w:rPr>
                <w:sz w:val="20"/>
                <w:szCs w:val="20"/>
                <w:color w:val="auto"/>
              </w:rPr>
            </w:pPr>
            <w:r>
              <w:rPr>
                <w:rFonts w:ascii="Arial" w:cs="Arial" w:eastAsia="Arial" w:hAnsi="Arial"/>
                <w:sz w:val="18"/>
                <w:szCs w:val="18"/>
                <w:color w:val="auto"/>
              </w:rPr>
              <w:t>(iii)</w:t>
            </w:r>
          </w:p>
        </w:tc>
      </w:tr>
      <w:tr>
        <w:trPr>
          <w:trHeight w:val="172"/>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180" w:type="dxa"/>
            <w:vAlign w:val="bottom"/>
          </w:tcPr>
          <w:p>
            <w:pPr>
              <w:ind w:left="1020"/>
              <w:spacing w:after="0" w:line="172" w:lineRule="exact"/>
              <w:rPr>
                <w:sz w:val="20"/>
                <w:szCs w:val="20"/>
                <w:color w:val="auto"/>
              </w:rPr>
            </w:pPr>
            <w:r>
              <w:rPr>
                <w:rFonts w:ascii="Arial" w:cs="Arial" w:eastAsia="Arial" w:hAnsi="Arial"/>
                <w:sz w:val="18"/>
                <w:szCs w:val="18"/>
                <w:i w:val="1"/>
                <w:iCs w:val="1"/>
                <w:color w:val="auto"/>
                <w:w w:val="97"/>
              </w:rPr>
              <w:t xml:space="preserve">Premiums </w:t>
            </w:r>
            <w:r>
              <w:rPr>
                <w:rFonts w:ascii="Arial" w:cs="Arial" w:eastAsia="Arial" w:hAnsi="Arial"/>
                <w:sz w:val="18"/>
                <w:szCs w:val="18"/>
                <w:color w:val="auto"/>
                <w:w w:val="97"/>
              </w:rPr>
              <w:t>less</w:t>
            </w:r>
            <w:r>
              <w:rPr>
                <w:rFonts w:ascii="Arial" w:cs="Arial" w:eastAsia="Arial" w:hAnsi="Arial"/>
                <w:sz w:val="18"/>
                <w:szCs w:val="18"/>
                <w:i w:val="1"/>
                <w:iCs w:val="1"/>
                <w:color w:val="auto"/>
                <w:w w:val="97"/>
              </w:rPr>
              <w:t xml:space="preserve"> Policyholder benefits and claims </w:t>
            </w:r>
            <w:r>
              <w:rPr>
                <w:rFonts w:ascii="Arial" w:cs="Arial" w:eastAsia="Arial" w:hAnsi="Arial"/>
                <w:sz w:val="18"/>
                <w:szCs w:val="18"/>
                <w:color w:val="auto"/>
                <w:w w:val="97"/>
              </w:rPr>
              <w:t>(excluding (a) GMIB Costs, (b)</w:t>
            </w:r>
          </w:p>
        </w:tc>
      </w:tr>
      <w:tr>
        <w:trPr>
          <w:trHeight w:val="172"/>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180" w:type="dxa"/>
            <w:vAlign w:val="bottom"/>
          </w:tcPr>
          <w:p>
            <w:pPr>
              <w:ind w:left="1020"/>
              <w:spacing w:after="0" w:line="172" w:lineRule="exact"/>
              <w:rPr>
                <w:sz w:val="20"/>
                <w:szCs w:val="20"/>
                <w:color w:val="auto"/>
              </w:rPr>
            </w:pPr>
            <w:r>
              <w:rPr>
                <w:rFonts w:ascii="Arial" w:cs="Arial" w:eastAsia="Arial" w:hAnsi="Arial"/>
                <w:sz w:val="18"/>
                <w:szCs w:val="18"/>
                <w:color w:val="auto"/>
                <w:w w:val="92"/>
              </w:rPr>
              <w:t>Market Value Adjustments, (c) interest on future policy benefits and (d) amortization</w:t>
            </w:r>
          </w:p>
        </w:tc>
      </w:tr>
      <w:tr>
        <w:trPr>
          <w:trHeight w:val="172"/>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180" w:type="dxa"/>
            <w:vAlign w:val="bottom"/>
          </w:tcPr>
          <w:p>
            <w:pPr>
              <w:ind w:left="1020"/>
              <w:spacing w:after="0" w:line="172" w:lineRule="exact"/>
              <w:rPr>
                <w:sz w:val="20"/>
                <w:szCs w:val="20"/>
                <w:color w:val="auto"/>
              </w:rPr>
            </w:pPr>
            <w:r>
              <w:rPr>
                <w:rFonts w:ascii="Arial" w:cs="Arial" w:eastAsia="Arial" w:hAnsi="Arial"/>
                <w:sz w:val="18"/>
                <w:szCs w:val="18"/>
                <w:color w:val="auto"/>
                <w:w w:val="96"/>
              </w:rPr>
              <w:t>of deferred gain on reinsurance) plus the pass through of performance of ceded</w:t>
            </w:r>
          </w:p>
        </w:tc>
      </w:tr>
      <w:tr>
        <w:trPr>
          <w:trHeight w:val="224"/>
        </w:trPr>
        <w:tc>
          <w:tcPr>
            <w:tcW w:w="3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7180" w:type="dxa"/>
            <w:vAlign w:val="bottom"/>
          </w:tcPr>
          <w:p>
            <w:pPr>
              <w:ind w:left="1020"/>
              <w:spacing w:after="0"/>
              <w:rPr>
                <w:sz w:val="20"/>
                <w:szCs w:val="20"/>
                <w:color w:val="auto"/>
              </w:rPr>
            </w:pPr>
            <w:r>
              <w:rPr>
                <w:rFonts w:ascii="Arial" w:cs="Arial" w:eastAsia="Arial" w:hAnsi="Arial"/>
                <w:sz w:val="18"/>
                <w:szCs w:val="18"/>
                <w:color w:val="auto"/>
              </w:rPr>
              <w:t>separate account assets.</w:t>
            </w:r>
          </w:p>
        </w:tc>
      </w:tr>
      <w:tr>
        <w:trPr>
          <w:trHeight w:val="213"/>
        </w:trPr>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(iv)</w:t>
            </w: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DAC and VOBA</w:t>
            </w:r>
          </w:p>
        </w:tc>
        <w:tc>
          <w:tcPr>
            <w:tcW w:w="7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(iv)</w:t>
            </w:r>
          </w:p>
        </w:tc>
      </w:tr>
      <w:tr>
        <w:trPr>
          <w:trHeight w:val="172"/>
        </w:trPr>
        <w:tc>
          <w:tcPr>
            <w:tcW w:w="380" w:type="dxa"/>
            <w:vAlign w:val="bottom"/>
            <w:shd w:val="clear" w:color="auto" w:fill="CCEEFF"/>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7180" w:type="dxa"/>
            <w:vAlign w:val="bottom"/>
            <w:shd w:val="clear" w:color="auto" w:fill="CCEEFF"/>
          </w:tcPr>
          <w:p>
            <w:pPr>
              <w:ind w:left="1020"/>
              <w:spacing w:after="0" w:line="172" w:lineRule="exact"/>
              <w:rPr>
                <w:sz w:val="20"/>
                <w:szCs w:val="20"/>
                <w:color w:val="auto"/>
              </w:rPr>
            </w:pPr>
            <w:r>
              <w:rPr>
                <w:rFonts w:ascii="Arial" w:cs="Arial" w:eastAsia="Arial" w:hAnsi="Arial"/>
                <w:sz w:val="18"/>
                <w:szCs w:val="18"/>
                <w:i w:val="1"/>
                <w:iCs w:val="1"/>
                <w:color w:val="auto"/>
                <w:w w:val="95"/>
              </w:rPr>
              <w:t xml:space="preserve">Amortization of DAC and VOBA </w:t>
            </w:r>
            <w:r>
              <w:rPr>
                <w:rFonts w:ascii="Arial" w:cs="Arial" w:eastAsia="Arial" w:hAnsi="Arial"/>
                <w:sz w:val="18"/>
                <w:szCs w:val="18"/>
                <w:color w:val="auto"/>
                <w:w w:val="95"/>
              </w:rPr>
              <w:t>(excluding amounts related to (a) net investment</w:t>
            </w:r>
          </w:p>
        </w:tc>
      </w:tr>
      <w:tr>
        <w:trPr>
          <w:trHeight w:val="224"/>
        </w:trPr>
        <w:tc>
          <w:tcPr>
            <w:tcW w:w="38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718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0"/>
              </w:rPr>
              <w:t>gains (losses), (b) net derivative gains (losses) and (c) GMIB Fees and GMIB Costs).</w:t>
            </w:r>
          </w:p>
        </w:tc>
      </w:tr>
      <w:tr>
        <w:trPr>
          <w:trHeight w:val="213"/>
        </w:trPr>
        <w:tc>
          <w:tcPr>
            <w:tcW w:w="380" w:type="dxa"/>
            <w:vAlign w:val="bottom"/>
          </w:tcPr>
          <w:p>
            <w:pPr>
              <w:ind w:left="20"/>
              <w:spacing w:after="0"/>
              <w:rPr>
                <w:sz w:val="20"/>
                <w:szCs w:val="20"/>
                <w:color w:val="auto"/>
              </w:rPr>
            </w:pPr>
            <w:r>
              <w:rPr>
                <w:rFonts w:ascii="Arial" w:cs="Arial" w:eastAsia="Arial" w:hAnsi="Arial"/>
                <w:sz w:val="18"/>
                <w:szCs w:val="18"/>
                <w:color w:val="auto"/>
              </w:rPr>
              <w:t>(v)</w:t>
            </w:r>
          </w:p>
        </w:tc>
        <w:tc>
          <w:tcPr>
            <w:tcW w:w="3680" w:type="dxa"/>
            <w:vAlign w:val="bottom"/>
          </w:tcPr>
          <w:p>
            <w:pPr>
              <w:ind w:left="100"/>
              <w:spacing w:after="0"/>
              <w:rPr>
                <w:sz w:val="20"/>
                <w:szCs w:val="20"/>
                <w:color w:val="auto"/>
              </w:rPr>
            </w:pPr>
            <w:r>
              <w:rPr>
                <w:rFonts w:ascii="Arial" w:cs="Arial" w:eastAsia="Arial" w:hAnsi="Arial"/>
                <w:sz w:val="18"/>
                <w:szCs w:val="18"/>
                <w:color w:val="auto"/>
              </w:rPr>
              <w:t>Other expenses, net of DAC capitalization</w:t>
            </w:r>
          </w:p>
        </w:tc>
        <w:tc>
          <w:tcPr>
            <w:tcW w:w="7180" w:type="dxa"/>
            <w:vAlign w:val="bottom"/>
          </w:tcPr>
          <w:p>
            <w:pPr>
              <w:ind w:left="560"/>
              <w:spacing w:after="0"/>
              <w:rPr>
                <w:sz w:val="20"/>
                <w:szCs w:val="20"/>
                <w:color w:val="auto"/>
              </w:rPr>
            </w:pPr>
            <w:r>
              <w:rPr>
                <w:rFonts w:ascii="Arial" w:cs="Arial" w:eastAsia="Arial" w:hAnsi="Arial"/>
                <w:sz w:val="18"/>
                <w:szCs w:val="18"/>
                <w:color w:val="auto"/>
              </w:rPr>
              <w:t>(v)</w:t>
            </w:r>
          </w:p>
        </w:tc>
      </w:tr>
      <w:tr>
        <w:trPr>
          <w:trHeight w:val="224"/>
        </w:trPr>
        <w:tc>
          <w:tcPr>
            <w:tcW w:w="3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7180" w:type="dxa"/>
            <w:vAlign w:val="bottom"/>
          </w:tcPr>
          <w:p>
            <w:pPr>
              <w:ind w:left="1020"/>
              <w:spacing w:after="0"/>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reduced by capitalization of DAC.</w:t>
            </w:r>
          </w:p>
        </w:tc>
      </w:tr>
      <w:tr>
        <w:trPr>
          <w:trHeight w:val="226"/>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   Provision for income tax expense (benefit)</w:t>
            </w:r>
          </w:p>
        </w:tc>
        <w:tc>
          <w:tcPr>
            <w:tcW w:w="7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   Tax impact of the above items.</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 Italicized items indicate GAAP statement of operations line items.</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Consistent with GAAP guidance for segment reporting, adjusted earnings is also our GAAP measure of segment performance. Accordingly, we report adjusted earnings by segment in Note 2 of the Notes to the Interim Condensed Consolidated Financial Statements.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Adjusted Net Investment Income</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We present adjusted net investment income, which is not calculated in accordance with GAAP. We present adjusted net investment income to measure our performance for management purposes, and we believe it enhances the understanding of our investment portfolio results. Adjusted net investment income represents net investment income, including Investment Hedge Adjustments. For a reconciliation of adjusted net investment income to net investment income, the most directly comparable GAAP measure, see footnote 3 to the summary yield table located in “— Investments — Current Environment — Investment Portfolio Results.”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Disclosures</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Similar to adjusted net investment income, we present net investment income yields as a performance measure we believe enhances the understanding of our investment portfolio results. Net investment income yields are calculated on adjusted net investment income as a percentage of average quarterly asset carrying values. Asset carrying values exclude unrealized gains (losses), collateral received in connection with our securities lending program, freestanding derivative assets and collateral received from derivative counterparties. Investment fee and expense yields are calculated as investment fees and expenses as a percentage of average quarterly asset estimated fair values. Asset estimated fair values exclude collateral received in connection with our securities lending program, freestanding derivative assets and collateral received from derivative counterparties.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Three Months and Six Months Ended June 30, 2022 and 2021</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Unless otherwise noted, all amounts in the following discussions of our results of operations are stated before income tax except for adjusted earnings, which are presented net of income tax.</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980" w:type="dxa"/>
            <w:vAlign w:val="bottom"/>
            <w:gridSpan w:val="4"/>
          </w:tcPr>
          <w:p>
            <w:pPr>
              <w:jc w:val="right"/>
              <w:ind w:right="67"/>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67"/>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79"/>
        </w:trPr>
        <w:tc>
          <w:tcPr>
            <w:tcW w:w="63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r>
      <w:tr>
        <w:trPr>
          <w:trHeight w:val="179"/>
        </w:trPr>
        <w:tc>
          <w:tcPr>
            <w:tcW w:w="6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Premiums</w:t>
            </w:r>
          </w:p>
        </w:tc>
        <w:tc>
          <w:tcPr>
            <w:tcW w:w="720" w:type="dxa"/>
            <w:vAlign w:val="bottom"/>
          </w:tcPr>
          <w:p>
            <w:pPr>
              <w:jc w:val="right"/>
              <w:ind w:right="545"/>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8"/>
                <w:szCs w:val="18"/>
                <w:color w:val="auto"/>
              </w:rPr>
            </w:pP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346</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Universal life and investment-type product policy fees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1,061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1,212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2,399</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1,733</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(2,188)</w:t>
            </w:r>
          </w:p>
        </w:tc>
      </w:tr>
      <w:tr>
        <w:trPr>
          <w:trHeight w:val="203"/>
        </w:trPr>
        <w:tc>
          <w:tcPr>
            <w:tcW w:w="63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revenues</w:t>
            </w: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3,797</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1,676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2,614</w:t>
            </w:r>
          </w:p>
        </w:tc>
      </w:tr>
      <w:tr>
        <w:trPr>
          <w:trHeight w:val="19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Policyholder benefits and claims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1,108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1,508</w:t>
            </w: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credited to policyholder account balances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Capitalization of DAC</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DAC and VOBA</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Interest expense on debt</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1,323</w:t>
            </w:r>
          </w:p>
        </w:tc>
      </w:tr>
      <w:tr>
        <w:trPr>
          <w:trHeight w:val="203"/>
        </w:trPr>
        <w:tc>
          <w:tcPr>
            <w:tcW w:w="63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expenses</w:t>
            </w: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2,584</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1,655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3,361</w:t>
            </w:r>
          </w:p>
        </w:tc>
      </w:tr>
      <w:tr>
        <w:trPr>
          <w:trHeight w:val="208"/>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provision for income tax</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1,213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r>
      <w:tr>
        <w:trPr>
          <w:trHeight w:val="21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r>
      <w:tr>
        <w:trPr>
          <w:trHeight w:val="208"/>
        </w:trPr>
        <w:tc>
          <w:tcPr>
            <w:tcW w:w="6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72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8"/>
        </w:trPr>
        <w:tc>
          <w:tcPr>
            <w:tcW w:w="6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Brighthouse Financial, Inc.</w:t>
            </w: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w:t>
            </w:r>
          </w:p>
        </w:tc>
      </w:tr>
      <w:tr>
        <w:trPr>
          <w:trHeight w:val="20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Preferred stock dividends</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33"/>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720" w:type="dxa"/>
            <w:vAlign w:val="bottom"/>
            <w:tcBorders>
              <w:bottom w:val="single" w:sz="8" w:color="auto"/>
            </w:tcBorders>
            <w:shd w:val="clear" w:color="auto" w:fill="CCEEFF"/>
          </w:tcPr>
          <w:p>
            <w:pPr>
              <w:jc w:val="right"/>
              <w:ind w:right="545"/>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net income (loss) available to shareholders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0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87"/>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9"/>
        </w:trPr>
        <w:tc>
          <w:tcPr>
            <w:tcW w:w="6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GMLB Riders</w:t>
            </w:r>
          </w:p>
        </w:tc>
        <w:tc>
          <w:tcPr>
            <w:tcW w:w="72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1,832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(933)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Other derivative instruments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gains (losses)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Other adjustments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65"/>
        </w:trPr>
        <w:tc>
          <w:tcPr>
            <w:tcW w:w="63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6"/>
              </w:rPr>
              <w:t>Pre-tax adjusted earnings, less net income (loss) attributable to noncontrolling interests and</w:t>
            </w:r>
          </w:p>
        </w:tc>
        <w:tc>
          <w:tcPr>
            <w:tcW w:w="72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dividends</w:t>
            </w: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7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1,187</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380"/>
        </w:trPr>
        <w:tc>
          <w:tcPr>
            <w:tcW w:w="6320" w:type="dxa"/>
            <w:vAlign w:val="bottom"/>
          </w:tcPr>
          <w:p>
            <w:pPr>
              <w:ind w:left="180"/>
              <w:spacing w:after="0"/>
              <w:rPr>
                <w:sz w:val="20"/>
                <w:szCs w:val="20"/>
                <w:color w:val="auto"/>
              </w:rPr>
            </w:pPr>
            <w:r>
              <w:rPr>
                <w:rFonts w:ascii="Arial" w:cs="Arial" w:eastAsia="Arial" w:hAnsi="Arial"/>
                <w:sz w:val="16"/>
                <w:szCs w:val="16"/>
                <w:color w:val="auto"/>
              </w:rPr>
              <w:t>Net income (loss) available to shareholders</w:t>
            </w:r>
          </w:p>
        </w:tc>
        <w:tc>
          <w:tcPr>
            <w:tcW w:w="720" w:type="dxa"/>
            <w:vAlign w:val="bottom"/>
            <w:tcBorders>
              <w:bottom w:val="single" w:sz="8" w:color="auto"/>
            </w:tcBorders>
          </w:tcPr>
          <w:p>
            <w:pPr>
              <w:jc w:val="right"/>
              <w:ind w:right="545"/>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w:t>
            </w:r>
          </w:p>
        </w:tc>
        <w:tc>
          <w:tcPr>
            <w:tcW w:w="120" w:type="dxa"/>
            <w:vAlign w:val="bottom"/>
          </w:tcPr>
          <w:p>
            <w:pPr>
              <w:spacing w:after="0"/>
              <w:rPr>
                <w:sz w:val="24"/>
                <w:szCs w:val="24"/>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June 30, 2022 Compared with the Three Months Ended June 30, 2021</w:t>
      </w:r>
    </w:p>
    <w:p>
      <w:pPr>
        <w:spacing w:after="0" w:line="111" w:lineRule="exact"/>
        <w:rPr>
          <w:sz w:val="20"/>
          <w:szCs w:val="20"/>
          <w:color w:val="auto"/>
        </w:rPr>
      </w:pPr>
    </w:p>
    <w:p>
      <w:pPr>
        <w:ind w:left="160" w:firstLine="318"/>
        <w:spacing w:after="0" w:line="365" w:lineRule="auto"/>
        <w:rPr>
          <w:sz w:val="20"/>
          <w:szCs w:val="20"/>
          <w:color w:val="auto"/>
        </w:rPr>
      </w:pPr>
      <w:r>
        <w:rPr>
          <w:rFonts w:ascii="Arial" w:cs="Arial" w:eastAsia="Arial" w:hAnsi="Arial"/>
          <w:sz w:val="15"/>
          <w:szCs w:val="15"/>
          <w:color w:val="auto"/>
        </w:rPr>
        <w:t>Income available to shareholders before provision for income tax was $1.2 billion ($957 million, net of income tax), an increase of $1.2 billion ($947 million, net of income tax) from income available to shareholders before provision for income tax of $0 ($10 million, net of income tax) in the prior period.</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increase in income before provision for income tax was driven by the following favorable item:</w:t>
      </w:r>
    </w:p>
    <w:p>
      <w:pPr>
        <w:spacing w:after="0" w:line="111" w:lineRule="exact"/>
        <w:rPr>
          <w:sz w:val="20"/>
          <w:szCs w:val="20"/>
          <w:color w:val="auto"/>
        </w:rPr>
      </w:pPr>
    </w:p>
    <w:p>
      <w:pPr>
        <w:ind w:left="480" w:right="1900" w:firstLine="3"/>
        <w:spacing w:after="0" w:line="390" w:lineRule="auto"/>
        <w:tabs>
          <w:tab w:leader="none" w:pos="793" w:val="left"/>
        </w:tabs>
        <w:numPr>
          <w:ilvl w:val="0"/>
          <w:numId w:val="31"/>
        </w:numPr>
        <w:rPr>
          <w:rFonts w:ascii="Arial" w:cs="Arial" w:eastAsia="Arial" w:hAnsi="Arial"/>
          <w:sz w:val="17"/>
          <w:szCs w:val="17"/>
          <w:color w:val="auto"/>
        </w:rPr>
      </w:pPr>
      <w:r>
        <w:rPr>
          <w:rFonts w:ascii="Arial" w:cs="Arial" w:eastAsia="Arial" w:hAnsi="Arial"/>
          <w:sz w:val="17"/>
          <w:szCs w:val="17"/>
          <w:color w:val="auto"/>
        </w:rPr>
        <w:t>gains from GMLB Riders, see “— GMLB Riders for the Three Months and Six Months Ended June 30, 2022 and 2021.” The increase in income before provision for income tax was partially offset by the following unfavorable items:</w:t>
      </w:r>
    </w:p>
    <w:p>
      <w:pPr>
        <w:ind w:left="800" w:hanging="317"/>
        <w:spacing w:after="0" w:line="294" w:lineRule="auto"/>
        <w:tabs>
          <w:tab w:leader="none" w:pos="7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unfavorable impact of long-term benchmark interest rates on interest rate derivatives used to manage interest rate exposure in our ULSG business, as the long-term benchmark interest rate increased in the current period and decreased in the prior period; and</w:t>
      </w:r>
    </w:p>
    <w:p>
      <w:pPr>
        <w:spacing w:after="0" w:line="51" w:lineRule="exact"/>
        <w:rPr>
          <w:rFonts w:ascii="Arial" w:cs="Arial" w:eastAsia="Arial" w:hAnsi="Arial"/>
          <w:sz w:val="17"/>
          <w:szCs w:val="17"/>
          <w:color w:val="auto"/>
        </w:rPr>
      </w:pPr>
    </w:p>
    <w:p>
      <w:pPr>
        <w:ind w:left="800" w:hanging="317"/>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lower pre-tax adjusted earnings, as discussed in greater detail below.</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provision for income tax, expressed as a percentage of income (loss) before provision for income tax, resulted in an effective tax rate of 19% in the current period compared to 48% in the prior period. The decrease in the effective tax rate was driven by lower pre-tax adjusted earnings, as discussed in greater detail below. Our effective tax rate differs from the statutory tax rate primarily due to the impacts of the dividends received deduction and tax credits.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Six Months Ended June 30, 2022 Compared with the Six Months Ended June 30, 2021</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Income available to shareholders before provision for income tax was $2.0 billion ($1.6 billion, net of income tax), an increase of $2.8 billion ($2.2 billion, net of income tax) from a loss available to shareholders before provision for income tax of $795 million ($600 million, net of income tax) in the prior period.</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increase in income before provision for income tax was driven by the following favorable item:</w:t>
      </w:r>
    </w:p>
    <w:p>
      <w:pPr>
        <w:spacing w:after="0" w:line="111" w:lineRule="exact"/>
        <w:rPr>
          <w:sz w:val="20"/>
          <w:szCs w:val="20"/>
          <w:color w:val="auto"/>
        </w:rPr>
      </w:pPr>
    </w:p>
    <w:p>
      <w:pPr>
        <w:ind w:left="480" w:right="1900" w:firstLine="3"/>
        <w:spacing w:after="0" w:line="390" w:lineRule="auto"/>
        <w:tabs>
          <w:tab w:leader="none" w:pos="793" w:val="left"/>
        </w:tabs>
        <w:numPr>
          <w:ilvl w:val="0"/>
          <w:numId w:val="32"/>
        </w:numPr>
        <w:rPr>
          <w:rFonts w:ascii="Arial" w:cs="Arial" w:eastAsia="Arial" w:hAnsi="Arial"/>
          <w:sz w:val="17"/>
          <w:szCs w:val="17"/>
          <w:color w:val="auto"/>
        </w:rPr>
      </w:pPr>
      <w:r>
        <w:rPr>
          <w:rFonts w:ascii="Arial" w:cs="Arial" w:eastAsia="Arial" w:hAnsi="Arial"/>
          <w:sz w:val="17"/>
          <w:szCs w:val="17"/>
          <w:color w:val="auto"/>
        </w:rPr>
        <w:t>gains from GMLB Riders, see “— GMLB Riders for the Three Months and Six Months Ended June 30, 2022 and 2021.” The increase in income before provision for income tax was partially offset by the following unfavorable items:</w:t>
      </w:r>
    </w:p>
    <w:p>
      <w:pPr>
        <w:ind w:left="800" w:hanging="317"/>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lower pre-tax adjusted earnings, as discussed in greater detail below;</w:t>
      </w:r>
    </w:p>
    <w:p>
      <w:pPr>
        <w:spacing w:after="0" w:line="111" w:lineRule="exact"/>
        <w:rPr>
          <w:rFonts w:ascii="Arial" w:cs="Arial" w:eastAsia="Arial" w:hAnsi="Arial"/>
          <w:sz w:val="18"/>
          <w:szCs w:val="18"/>
          <w:color w:val="auto"/>
        </w:rPr>
      </w:pPr>
    </w:p>
    <w:p>
      <w:pPr>
        <w:ind w:left="800" w:hanging="317"/>
        <w:spacing w:after="0" w:line="264" w:lineRule="auto"/>
        <w:tabs>
          <w:tab w:leader="none" w:pos="7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unfavorable impact of long-term benchmark interest rates on interest rate derivatives used to manage interest rate exposure in our ULSG business, as the long-term benchmark interest rate increased more in the current period than in the prior period; and</w:t>
      </w:r>
    </w:p>
    <w:p>
      <w:pPr>
        <w:spacing w:after="0" w:line="74" w:lineRule="exact"/>
        <w:rPr>
          <w:rFonts w:ascii="Arial" w:cs="Arial" w:eastAsia="Arial" w:hAnsi="Arial"/>
          <w:sz w:val="18"/>
          <w:szCs w:val="18"/>
          <w:color w:val="auto"/>
        </w:rPr>
      </w:pPr>
    </w:p>
    <w:p>
      <w:pPr>
        <w:ind w:left="800" w:hanging="317"/>
        <w:spacing w:after="0" w:line="294" w:lineRule="auto"/>
        <w:tabs>
          <w:tab w:leader="none" w:pos="795" w:val="left"/>
        </w:tabs>
        <w:numPr>
          <w:ilvl w:val="0"/>
          <w:numId w:val="32"/>
        </w:numPr>
        <w:rPr>
          <w:rFonts w:ascii="Arial" w:cs="Arial" w:eastAsia="Arial" w:hAnsi="Arial"/>
          <w:sz w:val="17"/>
          <w:szCs w:val="17"/>
          <w:color w:val="auto"/>
        </w:rPr>
      </w:pPr>
      <w:r>
        <w:rPr>
          <w:rFonts w:ascii="Arial" w:cs="Arial" w:eastAsia="Arial" w:hAnsi="Arial"/>
          <w:sz w:val="17"/>
          <w:szCs w:val="17"/>
          <w:color w:val="auto"/>
        </w:rPr>
        <w:t>net investment losses reflecting higher current period net losses on sales of fixed maturity securities, as well as net losses on limited partnerships and limited liability companies (“LLC”) and net mark-to-market losses on equity securities compared to prior period net gains.</w:t>
      </w:r>
    </w:p>
    <w:p>
      <w:pPr>
        <w:spacing w:after="0" w:line="5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provision for income tax, expressed as a percentage of income (loss) before provision for income tax, resulted in an effective tax rate of 20% in the current period compared to 26% in the prior period. The decrease in the effective tax rate was driven by lower pre-tax adjusted earnings, as discussed in greater detail below. Our effective tax rate differs from the statutory tax rate primarily due to the impacts of the dividends received deduction, tax credits and current period non-recurring items.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Shareholders to Adjusted Earnings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reconciliation of net income (loss) available to shareholders to adjusted earnings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10"/>
          </w:tcPr>
          <w:p>
            <w:pPr>
              <w:jc w:val="center"/>
              <w:ind w:right="360"/>
              <w:spacing w:after="0"/>
              <w:rPr>
                <w:sz w:val="20"/>
                <w:szCs w:val="20"/>
                <w:color w:val="auto"/>
              </w:rPr>
            </w:pPr>
            <w:r>
              <w:rPr>
                <w:rFonts w:ascii="Arial" w:cs="Arial" w:eastAsia="Arial" w:hAnsi="Arial"/>
                <w:sz w:val="14"/>
                <w:szCs w:val="14"/>
                <w:b w:val="1"/>
                <w:bCs w:val="1"/>
                <w:color w:val="auto"/>
                <w:w w:val="91"/>
              </w:rPr>
              <w:t>Three Months Ended June 30, 2022</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Annuities</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Run-off</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6"/>
              </w:rPr>
              <w:t>Corporate &amp;</w:t>
            </w:r>
          </w:p>
        </w:tc>
        <w:tc>
          <w:tcPr>
            <w:tcW w:w="240" w:type="dxa"/>
            <w:vAlign w:val="bottom"/>
          </w:tcPr>
          <w:p>
            <w:pPr>
              <w:spacing w:after="0"/>
              <w:rPr>
                <w:sz w:val="11"/>
                <w:szCs w:val="11"/>
                <w:color w:val="auto"/>
              </w:rPr>
            </w:pPr>
          </w:p>
        </w:tc>
        <w:tc>
          <w:tcPr>
            <w:tcW w:w="82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1,999</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Provision for income tax expense (benefit)</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08"/>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0" w:type="dxa"/>
            <w:vAlign w:val="bottom"/>
          </w:tcPr>
          <w:p>
            <w:pPr>
              <w:spacing w:after="0"/>
              <w:rPr>
                <w:sz w:val="1"/>
                <w:szCs w:val="1"/>
                <w:color w:val="auto"/>
              </w:rPr>
            </w:pPr>
          </w:p>
        </w:tc>
      </w:tr>
      <w:tr>
        <w:trPr>
          <w:trHeight w:val="209"/>
        </w:trPr>
        <w:tc>
          <w:tcPr>
            <w:tcW w:w="5540" w:type="dxa"/>
            <w:vAlign w:val="bottom"/>
          </w:tcPr>
          <w:p>
            <w:pPr>
              <w:ind w:left="20"/>
              <w:spacing w:after="0"/>
              <w:rPr>
                <w:sz w:val="20"/>
                <w:szCs w:val="20"/>
                <w:color w:val="auto"/>
              </w:rPr>
            </w:pPr>
            <w:r>
              <w:rPr>
                <w:rFonts w:ascii="Arial" w:cs="Arial" w:eastAsia="Arial" w:hAnsi="Arial"/>
                <w:sz w:val="16"/>
                <w:szCs w:val="16"/>
                <w:color w:val="auto"/>
              </w:rPr>
              <w:t>Less: GMLB Riders</w:t>
            </w:r>
          </w:p>
        </w:tc>
        <w:tc>
          <w:tcPr>
            <w:tcW w:w="1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1,832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1,832</w:t>
            </w:r>
          </w:p>
        </w:tc>
        <w:tc>
          <w:tcPr>
            <w:tcW w:w="0" w:type="dxa"/>
            <w:vAlign w:val="bottom"/>
          </w:tcPr>
          <w:p>
            <w:pPr>
              <w:spacing w:after="0"/>
              <w:rPr>
                <w:sz w:val="1"/>
                <w:szCs w:val="1"/>
                <w:color w:val="auto"/>
              </w:rPr>
            </w:pPr>
          </w:p>
        </w:tc>
      </w:tr>
      <w:tr>
        <w:trPr>
          <w:trHeight w:val="215"/>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Other derivative instruments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Arial" w:cs="Arial" w:eastAsia="Arial" w:hAnsi="Arial"/>
                <w:sz w:val="16"/>
                <w:szCs w:val="16"/>
                <w:color w:val="auto"/>
              </w:rPr>
              <w:t>Less: Net investment gains (losses)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Other adjustments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42"/>
        </w:trPr>
        <w:tc>
          <w:tcPr>
            <w:tcW w:w="5540" w:type="dxa"/>
            <w:vAlign w:val="bottom"/>
          </w:tcPr>
          <w:p>
            <w:pPr>
              <w:ind w:left="20"/>
              <w:spacing w:after="0" w:line="142" w:lineRule="exact"/>
              <w:rPr>
                <w:sz w:val="20"/>
                <w:szCs w:val="20"/>
                <w:color w:val="auto"/>
              </w:rPr>
            </w:pPr>
            <w:r>
              <w:rPr>
                <w:rFonts w:ascii="Arial" w:cs="Arial" w:eastAsia="Arial" w:hAnsi="Arial"/>
                <w:sz w:val="16"/>
                <w:szCs w:val="16"/>
                <w:color w:val="auto"/>
                <w:w w:val="99"/>
              </w:rPr>
              <w:t>Pre-tax adjusted earnings, less net income (loss) attributable to noncontrolling</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6"/>
        </w:trPr>
        <w:tc>
          <w:tcPr>
            <w:tcW w:w="5540" w:type="dxa"/>
            <w:vAlign w:val="bottom"/>
          </w:tcPr>
          <w:p>
            <w:pPr>
              <w:ind w:left="180"/>
              <w:spacing w:after="0"/>
              <w:rPr>
                <w:sz w:val="20"/>
                <w:szCs w:val="20"/>
                <w:color w:val="auto"/>
              </w:rPr>
            </w:pPr>
            <w:r>
              <w:rPr>
                <w:rFonts w:ascii="Arial" w:cs="Arial" w:eastAsia="Arial" w:hAnsi="Arial"/>
                <w:sz w:val="16"/>
                <w:szCs w:val="16"/>
                <w:color w:val="auto"/>
              </w:rPr>
              <w:t>interests and preferred stock dividends</w:t>
            </w: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8"/>
        </w:trPr>
        <w:tc>
          <w:tcPr>
            <w:tcW w:w="5540" w:type="dxa"/>
            <w:vAlign w:val="bottom"/>
          </w:tcPr>
          <w:p>
            <w:pPr>
              <w:ind w:left="20"/>
              <w:spacing w:after="0"/>
              <w:rPr>
                <w:sz w:val="20"/>
                <w:szCs w:val="20"/>
                <w:color w:val="auto"/>
              </w:rPr>
            </w:pPr>
            <w:r>
              <w:rPr>
                <w:rFonts w:ascii="Arial" w:cs="Arial" w:eastAsia="Arial" w:hAnsi="Arial"/>
                <w:sz w:val="16"/>
                <w:szCs w:val="16"/>
                <w:color w:val="auto"/>
              </w:rPr>
              <w:t>Adjusted earnings</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0"/>
          </w:tcPr>
          <w:p>
            <w:pPr>
              <w:jc w:val="center"/>
              <w:ind w:right="360"/>
              <w:spacing w:after="0"/>
              <w:rPr>
                <w:sz w:val="20"/>
                <w:szCs w:val="20"/>
                <w:color w:val="auto"/>
              </w:rPr>
            </w:pPr>
            <w:r>
              <w:rPr>
                <w:rFonts w:ascii="Arial" w:cs="Arial" w:eastAsia="Arial" w:hAnsi="Arial"/>
                <w:sz w:val="14"/>
                <w:szCs w:val="14"/>
                <w:b w:val="1"/>
                <w:bCs w:val="1"/>
                <w:color w:val="auto"/>
                <w:w w:val="91"/>
              </w:rPr>
              <w:t>Three Months Ended June 30, 2021</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Annuities</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Life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6"/>
              </w:rPr>
              <w:t>Corporate &amp;</w:t>
            </w:r>
          </w:p>
        </w:tc>
        <w:tc>
          <w:tcPr>
            <w:tcW w:w="240" w:type="dxa"/>
            <w:vAlign w:val="bottom"/>
          </w:tcPr>
          <w:p>
            <w:pPr>
              <w:spacing w:after="0"/>
              <w:rPr>
                <w:sz w:val="11"/>
                <w:szCs w:val="11"/>
                <w:color w:val="auto"/>
              </w:rPr>
            </w:pPr>
          </w:p>
        </w:tc>
        <w:tc>
          <w:tcPr>
            <w:tcW w:w="82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Provision for income tax expense (benefit)</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8"/>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Arial" w:cs="Arial" w:eastAsia="Arial" w:hAnsi="Arial"/>
                <w:sz w:val="16"/>
                <w:szCs w:val="16"/>
                <w:color w:val="auto"/>
              </w:rPr>
              <w:t>Less: GMLB Riders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Other derivative instruments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Arial" w:cs="Arial" w:eastAsia="Arial" w:hAnsi="Arial"/>
                <w:sz w:val="16"/>
                <w:szCs w:val="16"/>
                <w:color w:val="auto"/>
              </w:rPr>
              <w:t>Less: Net investment gains (losses)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Other adjustments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42"/>
        </w:trPr>
        <w:tc>
          <w:tcPr>
            <w:tcW w:w="5540" w:type="dxa"/>
            <w:vAlign w:val="bottom"/>
          </w:tcPr>
          <w:p>
            <w:pPr>
              <w:ind w:left="20"/>
              <w:spacing w:after="0" w:line="142" w:lineRule="exact"/>
              <w:rPr>
                <w:sz w:val="20"/>
                <w:szCs w:val="20"/>
                <w:color w:val="auto"/>
              </w:rPr>
            </w:pPr>
            <w:r>
              <w:rPr>
                <w:rFonts w:ascii="Arial" w:cs="Arial" w:eastAsia="Arial" w:hAnsi="Arial"/>
                <w:sz w:val="16"/>
                <w:szCs w:val="16"/>
                <w:color w:val="auto"/>
                <w:w w:val="99"/>
              </w:rPr>
              <w:t>Pre-tax adjusted earnings, less net income (loss) attributable to noncontrolling</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85</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06"/>
        </w:trPr>
        <w:tc>
          <w:tcPr>
            <w:tcW w:w="5540" w:type="dxa"/>
            <w:vAlign w:val="bottom"/>
          </w:tcPr>
          <w:p>
            <w:pPr>
              <w:ind w:left="180"/>
              <w:spacing w:after="0"/>
              <w:rPr>
                <w:sz w:val="20"/>
                <w:szCs w:val="20"/>
                <w:color w:val="auto"/>
              </w:rPr>
            </w:pPr>
            <w:r>
              <w:rPr>
                <w:rFonts w:ascii="Arial" w:cs="Arial" w:eastAsia="Arial" w:hAnsi="Arial"/>
                <w:sz w:val="16"/>
                <w:szCs w:val="16"/>
                <w:color w:val="auto"/>
              </w:rPr>
              <w:t>interests and preferred stock dividends</w:t>
            </w: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8"/>
        </w:trPr>
        <w:tc>
          <w:tcPr>
            <w:tcW w:w="5540" w:type="dxa"/>
            <w:vAlign w:val="bottom"/>
          </w:tcPr>
          <w:p>
            <w:pPr>
              <w:ind w:left="20"/>
              <w:spacing w:after="0"/>
              <w:rPr>
                <w:sz w:val="20"/>
                <w:szCs w:val="20"/>
                <w:color w:val="auto"/>
              </w:rPr>
            </w:pPr>
            <w:r>
              <w:rPr>
                <w:rFonts w:ascii="Arial" w:cs="Arial" w:eastAsia="Arial" w:hAnsi="Arial"/>
                <w:sz w:val="16"/>
                <w:szCs w:val="16"/>
                <w:color w:val="auto"/>
              </w:rPr>
              <w:t>Adjusted earnings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0"/>
          </w:tcPr>
          <w:p>
            <w:pPr>
              <w:jc w:val="center"/>
              <w:ind w:right="360"/>
              <w:spacing w:after="0"/>
              <w:rPr>
                <w:sz w:val="20"/>
                <w:szCs w:val="20"/>
                <w:color w:val="auto"/>
              </w:rPr>
            </w:pPr>
            <w:r>
              <w:rPr>
                <w:rFonts w:ascii="Arial" w:cs="Arial" w:eastAsia="Arial" w:hAnsi="Arial"/>
                <w:sz w:val="14"/>
                <w:szCs w:val="14"/>
                <w:b w:val="1"/>
                <w:bCs w:val="1"/>
                <w:color w:val="auto"/>
                <w:w w:val="91"/>
              </w:rPr>
              <w:t>Six Months Ended June 30, 2022</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Annuities</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Run-off</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6"/>
              </w:rPr>
              <w:t>Corporate &amp;</w:t>
            </w:r>
          </w:p>
        </w:tc>
        <w:tc>
          <w:tcPr>
            <w:tcW w:w="240" w:type="dxa"/>
            <w:vAlign w:val="bottom"/>
          </w:tcPr>
          <w:p>
            <w:pPr>
              <w:spacing w:after="0"/>
              <w:rPr>
                <w:sz w:val="11"/>
                <w:szCs w:val="11"/>
                <w:color w:val="auto"/>
              </w:rPr>
            </w:pPr>
          </w:p>
        </w:tc>
        <w:tc>
          <w:tcPr>
            <w:tcW w:w="82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3,192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Provision for income tax expense (benefit)</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08"/>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3,308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Arial" w:cs="Arial" w:eastAsia="Arial" w:hAnsi="Arial"/>
                <w:sz w:val="16"/>
                <w:szCs w:val="16"/>
                <w:color w:val="auto"/>
              </w:rPr>
              <w:t>Less: GMLB Riders</w:t>
            </w:r>
          </w:p>
        </w:tc>
        <w:tc>
          <w:tcPr>
            <w:tcW w:w="1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2,722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2,722</w:t>
            </w:r>
          </w:p>
        </w:tc>
        <w:tc>
          <w:tcPr>
            <w:tcW w:w="0" w:type="dxa"/>
            <w:vAlign w:val="bottom"/>
          </w:tcPr>
          <w:p>
            <w:pPr>
              <w:spacing w:after="0"/>
              <w:rPr>
                <w:sz w:val="1"/>
                <w:szCs w:val="1"/>
                <w:color w:val="auto"/>
              </w:rPr>
            </w:pPr>
          </w:p>
        </w:tc>
      </w:tr>
      <w:tr>
        <w:trPr>
          <w:trHeight w:val="215"/>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Other derivative instruments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0" w:type="dxa"/>
            <w:vAlign w:val="bottom"/>
          </w:tcPr>
          <w:p>
            <w:pPr>
              <w:spacing w:after="0"/>
              <w:rPr>
                <w:sz w:val="1"/>
                <w:szCs w:val="1"/>
                <w:color w:val="auto"/>
              </w:rPr>
            </w:pPr>
          </w:p>
        </w:tc>
      </w:tr>
      <w:tr>
        <w:trPr>
          <w:trHeight w:val="209"/>
        </w:trPr>
        <w:tc>
          <w:tcPr>
            <w:tcW w:w="5540" w:type="dxa"/>
            <w:vAlign w:val="bottom"/>
          </w:tcPr>
          <w:p>
            <w:pPr>
              <w:ind w:left="20"/>
              <w:spacing w:after="0"/>
              <w:rPr>
                <w:sz w:val="20"/>
                <w:szCs w:val="20"/>
                <w:color w:val="auto"/>
              </w:rPr>
            </w:pPr>
            <w:r>
              <w:rPr>
                <w:rFonts w:ascii="Arial" w:cs="Arial" w:eastAsia="Arial" w:hAnsi="Arial"/>
                <w:sz w:val="16"/>
                <w:szCs w:val="16"/>
                <w:color w:val="auto"/>
              </w:rPr>
              <w:t>Less: Net investment gains (losses)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5"/>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Other adjustments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42"/>
        </w:trPr>
        <w:tc>
          <w:tcPr>
            <w:tcW w:w="5540" w:type="dxa"/>
            <w:vAlign w:val="bottom"/>
          </w:tcPr>
          <w:p>
            <w:pPr>
              <w:ind w:left="20"/>
              <w:spacing w:after="0" w:line="142" w:lineRule="exact"/>
              <w:rPr>
                <w:sz w:val="20"/>
                <w:szCs w:val="20"/>
                <w:color w:val="auto"/>
              </w:rPr>
            </w:pPr>
            <w:r>
              <w:rPr>
                <w:rFonts w:ascii="Arial" w:cs="Arial" w:eastAsia="Arial" w:hAnsi="Arial"/>
                <w:sz w:val="16"/>
                <w:szCs w:val="16"/>
                <w:color w:val="auto"/>
                <w:w w:val="99"/>
              </w:rPr>
              <w:t>Pre-tax adjusted earnings, less net income (loss) attributable to noncontrolling</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06"/>
        </w:trPr>
        <w:tc>
          <w:tcPr>
            <w:tcW w:w="5540" w:type="dxa"/>
            <w:vAlign w:val="bottom"/>
          </w:tcPr>
          <w:p>
            <w:pPr>
              <w:ind w:left="180"/>
              <w:spacing w:after="0"/>
              <w:rPr>
                <w:sz w:val="20"/>
                <w:szCs w:val="20"/>
                <w:color w:val="auto"/>
              </w:rPr>
            </w:pPr>
            <w:r>
              <w:rPr>
                <w:rFonts w:ascii="Arial" w:cs="Arial" w:eastAsia="Arial" w:hAnsi="Arial"/>
                <w:sz w:val="16"/>
                <w:szCs w:val="16"/>
                <w:color w:val="auto"/>
              </w:rPr>
              <w:t>interests and preferred stock dividends</w:t>
            </w: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8"/>
        </w:trPr>
        <w:tc>
          <w:tcPr>
            <w:tcW w:w="5540" w:type="dxa"/>
            <w:vAlign w:val="bottom"/>
          </w:tcPr>
          <w:p>
            <w:pPr>
              <w:ind w:left="20"/>
              <w:spacing w:after="0"/>
              <w:rPr>
                <w:sz w:val="20"/>
                <w:szCs w:val="20"/>
                <w:color w:val="auto"/>
              </w:rPr>
            </w:pPr>
            <w:r>
              <w:rPr>
                <w:rFonts w:ascii="Arial" w:cs="Arial" w:eastAsia="Arial" w:hAnsi="Arial"/>
                <w:sz w:val="16"/>
                <w:szCs w:val="16"/>
                <w:color w:val="auto"/>
              </w:rPr>
              <w:t>Adjusted earnings</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1"/>
              </w:rPr>
              <w:t>Six Months Ended June 30, 2021</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Run-off</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6"/>
              </w:rPr>
              <w:t>Corporate &amp;</w:t>
            </w:r>
          </w:p>
        </w:tc>
        <w:tc>
          <w:tcPr>
            <w:tcW w:w="240" w:type="dxa"/>
            <w:vAlign w:val="bottom"/>
          </w:tcPr>
          <w:p>
            <w:pPr>
              <w:spacing w:after="0"/>
              <w:rPr>
                <w:sz w:val="11"/>
                <w:szCs w:val="11"/>
                <w:color w:val="auto"/>
              </w:rPr>
            </w:pPr>
          </w:p>
        </w:tc>
        <w:tc>
          <w:tcPr>
            <w:tcW w:w="82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Provision for income tax expense (benefit)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8"/>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Arial" w:cs="Arial" w:eastAsia="Arial" w:hAnsi="Arial"/>
                <w:sz w:val="16"/>
                <w:szCs w:val="16"/>
                <w:color w:val="auto"/>
              </w:rPr>
              <w:t>Less: GMLB Riders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Other derivative instruments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09"/>
        </w:trPr>
        <w:tc>
          <w:tcPr>
            <w:tcW w:w="5540" w:type="dxa"/>
            <w:vAlign w:val="bottom"/>
          </w:tcPr>
          <w:p>
            <w:pPr>
              <w:ind w:left="20"/>
              <w:spacing w:after="0"/>
              <w:rPr>
                <w:sz w:val="20"/>
                <w:szCs w:val="20"/>
                <w:color w:val="auto"/>
              </w:rPr>
            </w:pPr>
            <w:r>
              <w:rPr>
                <w:rFonts w:ascii="Arial" w:cs="Arial" w:eastAsia="Arial" w:hAnsi="Arial"/>
                <w:sz w:val="16"/>
                <w:szCs w:val="16"/>
                <w:color w:val="auto"/>
              </w:rPr>
              <w:t>Less: Net investment gains (losses)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Other adjustments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42"/>
        </w:trPr>
        <w:tc>
          <w:tcPr>
            <w:tcW w:w="5540" w:type="dxa"/>
            <w:vAlign w:val="bottom"/>
          </w:tcPr>
          <w:p>
            <w:pPr>
              <w:ind w:left="20"/>
              <w:spacing w:after="0" w:line="142" w:lineRule="exact"/>
              <w:rPr>
                <w:sz w:val="20"/>
                <w:szCs w:val="20"/>
                <w:color w:val="auto"/>
              </w:rPr>
            </w:pPr>
            <w:r>
              <w:rPr>
                <w:rFonts w:ascii="Arial" w:cs="Arial" w:eastAsia="Arial" w:hAnsi="Arial"/>
                <w:sz w:val="16"/>
                <w:szCs w:val="16"/>
                <w:color w:val="auto"/>
                <w:w w:val="99"/>
              </w:rPr>
              <w:t>Pre-tax adjusted earnings, less net income (loss) attributable to noncontrolling</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831</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1,002</w:t>
            </w:r>
          </w:p>
        </w:tc>
        <w:tc>
          <w:tcPr>
            <w:tcW w:w="0" w:type="dxa"/>
            <w:vAlign w:val="bottom"/>
          </w:tcPr>
          <w:p>
            <w:pPr>
              <w:spacing w:after="0"/>
              <w:rPr>
                <w:sz w:val="1"/>
                <w:szCs w:val="1"/>
                <w:color w:val="auto"/>
              </w:rPr>
            </w:pPr>
          </w:p>
        </w:tc>
      </w:tr>
      <w:tr>
        <w:trPr>
          <w:trHeight w:val="206"/>
        </w:trPr>
        <w:tc>
          <w:tcPr>
            <w:tcW w:w="5540" w:type="dxa"/>
            <w:vAlign w:val="bottom"/>
          </w:tcPr>
          <w:p>
            <w:pPr>
              <w:ind w:left="180"/>
              <w:spacing w:after="0"/>
              <w:rPr>
                <w:sz w:val="20"/>
                <w:szCs w:val="20"/>
                <w:color w:val="auto"/>
              </w:rPr>
            </w:pPr>
            <w:r>
              <w:rPr>
                <w:rFonts w:ascii="Arial" w:cs="Arial" w:eastAsia="Arial" w:hAnsi="Arial"/>
                <w:sz w:val="16"/>
                <w:szCs w:val="16"/>
                <w:color w:val="auto"/>
              </w:rPr>
              <w:t>interests and preferred stock dividends</w:t>
            </w: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8"/>
        </w:trPr>
        <w:tc>
          <w:tcPr>
            <w:tcW w:w="5540" w:type="dxa"/>
            <w:vAlign w:val="bottom"/>
          </w:tcPr>
          <w:p>
            <w:pPr>
              <w:ind w:left="20"/>
              <w:spacing w:after="0"/>
              <w:rPr>
                <w:sz w:val="20"/>
                <w:szCs w:val="20"/>
                <w:color w:val="auto"/>
              </w:rPr>
            </w:pPr>
            <w:r>
              <w:rPr>
                <w:rFonts w:ascii="Arial" w:cs="Arial" w:eastAsia="Arial" w:hAnsi="Arial"/>
                <w:sz w:val="16"/>
                <w:szCs w:val="16"/>
                <w:color w:val="auto"/>
              </w:rPr>
              <w:t>Adjusted earnings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Three Months and Six Months Ended June 30, 2022 and 2021 — Adjusted Earnings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0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87"/>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9"/>
        </w:trPr>
        <w:tc>
          <w:tcPr>
            <w:tcW w:w="6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(596)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(404)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(195)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(136)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(591)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(608)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6"/>
              </w:rPr>
              <w:t>Less: Net income (loss) attributable to noncontrolling interests and preferred stock dividends</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45"/>
        </w:trPr>
        <w:tc>
          <w:tcPr>
            <w:tcW w:w="6320" w:type="dxa"/>
            <w:vAlign w:val="bottom"/>
            <w:shd w:val="clear" w:color="auto" w:fill="CCEEFF"/>
          </w:tcPr>
          <w:p>
            <w:pPr>
              <w:ind w:left="180"/>
              <w:spacing w:after="0" w:line="145" w:lineRule="exact"/>
              <w:rPr>
                <w:sz w:val="20"/>
                <w:szCs w:val="20"/>
                <w:color w:val="auto"/>
              </w:rPr>
            </w:pPr>
            <w:r>
              <w:rPr>
                <w:rFonts w:ascii="Arial" w:cs="Arial" w:eastAsia="Arial" w:hAnsi="Arial"/>
                <w:sz w:val="16"/>
                <w:szCs w:val="16"/>
                <w:color w:val="auto"/>
                <w:w w:val="94"/>
              </w:rPr>
              <w:t>Pre-tax adjusted earnings, less net income (loss) attributable to noncontrolling interests and</w:t>
            </w:r>
          </w:p>
        </w:tc>
        <w:tc>
          <w:tcPr>
            <w:tcW w:w="74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stock dividends</w:t>
            </w:r>
          </w:p>
        </w:tc>
        <w:tc>
          <w:tcPr>
            <w:tcW w:w="74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33"/>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earnings</w:t>
            </w:r>
          </w:p>
        </w:tc>
        <w:tc>
          <w:tcPr>
            <w:tcW w:w="740" w:type="dxa"/>
            <w:vAlign w:val="bottom"/>
            <w:tcBorders>
              <w:bottom w:val="single" w:sz="8" w:color="auto"/>
            </w:tcBorders>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June 30, 2022 Compared with the Three Months Ended June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$24 million in the current period, a decrease of $411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net costs associated with insurance-related activities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net increase in guaranteed minimum death benefit (“GMDB”) liabilities resulting from unfavorable equity market performance;</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higher liabilities in our ULSG business from the impact of new reinsurance agreements entered into in the current period;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 adjustment in the current period related to actuarial modeling improvements in our Annuities segment;</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lower paid claims, net of reinsurance, in our Life and Run-off segments;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lower net investment spread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lower returns on other limited partnerships for the comparative measurement period; and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20" w:hanging="319"/>
        <w:spacing w:after="0" w:line="264" w:lineRule="auto"/>
        <w:tabs>
          <w:tab w:leader="none" w:pos="1116"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lower investment yields on our fixed income portfolio, as proceeds from maturing investments and the growth in the investment portfolio were invested at lower yields than the portfolio average;</w:t>
      </w:r>
    </w:p>
    <w:p>
      <w:pPr>
        <w:spacing w:after="0" w:line="7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higher average invested assets resulting from positive net flows in the general account;</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6"/>
        </w:numPr>
        <w:rPr>
          <w:rFonts w:ascii="Arial" w:cs="Arial" w:eastAsia="Arial" w:hAnsi="Arial"/>
          <w:sz w:val="15"/>
          <w:szCs w:val="15"/>
          <w:color w:val="auto"/>
        </w:rPr>
      </w:pPr>
      <w:r>
        <w:rPr>
          <w:rFonts w:ascii="Arial" w:cs="Arial" w:eastAsia="Arial" w:hAnsi="Arial"/>
          <w:sz w:val="15"/>
          <w:szCs w:val="15"/>
          <w:color w:val="auto"/>
        </w:rPr>
        <w:t>higher average invested long-term assets from funding agreements issued in connection with our institutional spread margin business; and</w:t>
      </w:r>
    </w:p>
    <w:p>
      <w:pPr>
        <w:spacing w:after="0" w:line="145" w:lineRule="exact"/>
        <w:rPr>
          <w:rFonts w:ascii="Arial" w:cs="Arial" w:eastAsia="Arial" w:hAnsi="Arial"/>
          <w:sz w:val="15"/>
          <w:szCs w:val="15"/>
          <w:color w:val="auto"/>
        </w:rPr>
      </w:pPr>
    </w:p>
    <w:p>
      <w:pPr>
        <w:ind w:left="1120" w:hanging="319"/>
        <w:spacing w:after="0"/>
        <w:tabs>
          <w:tab w:leader="none" w:pos="11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higher returns on real estate limited partnerships and LLCs;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lower fee income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lower asset-based fees resulting from lower average separate account balances, a portion of which is offset in other expenses; and</w:t>
      </w:r>
    </w:p>
    <w:p>
      <w:pPr>
        <w:spacing w:after="0" w:line="122" w:lineRule="exact"/>
        <w:rPr>
          <w:rFonts w:ascii="Arial" w:cs="Arial" w:eastAsia="Arial" w:hAnsi="Arial"/>
          <w:sz w:val="17"/>
          <w:szCs w:val="17"/>
          <w:color w:val="auto"/>
        </w:rPr>
      </w:pPr>
    </w:p>
    <w:p>
      <w:pPr>
        <w:ind w:left="800" w:hanging="317"/>
        <w:spacing w:after="0" w:line="264" w:lineRule="auto"/>
        <w:tabs>
          <w:tab w:leader="none" w:pos="7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amortization of DAC and VOBA due to the impact on future gross profits from lower separate account returns and unfavorable equity market performance in our Annuities segment.</w:t>
      </w:r>
    </w:p>
    <w:p>
      <w:pPr>
        <w:spacing w:after="0" w:line="75"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61% in the current period compared to 19% in the prior period. Our effective tax rate differs from the statutory tax rate primarily due to the impacts of the dividends received deduction, tax credits and current period non-recurring items.</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Six Months Ended June 30, 2022 Compared with the Six Months Ended June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$318 million in the current period, a decrease of $502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net costs associated with insurance-related activities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net increase in GMDB liabilities resulting from unfavorable equity market performance;</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higher liabilities in our ULSG business from the impact of new reinsurance agreements entered into in the current period;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 adjustment in the current period related to actuarial modeling improvements in our Annuities segment;</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lower paid claims, net of reinsurance, in our Life and Run-off segments;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8"/>
        </w:numPr>
        <w:rPr>
          <w:rFonts w:ascii="Arial" w:cs="Arial" w:eastAsia="Arial" w:hAnsi="Arial"/>
          <w:sz w:val="15"/>
          <w:szCs w:val="15"/>
          <w:color w:val="auto"/>
        </w:rPr>
      </w:pPr>
      <w:r>
        <w:rPr>
          <w:rFonts w:ascii="Arial" w:cs="Arial" w:eastAsia="Arial" w:hAnsi="Arial"/>
          <w:sz w:val="15"/>
          <w:szCs w:val="15"/>
          <w:color w:val="auto"/>
        </w:rPr>
        <w:t>an adjustment in the prior period related to modeling improvements resulting from an actuarial system conversion in our Run-off segment;</w:t>
      </w:r>
    </w:p>
    <w:p>
      <w:pPr>
        <w:spacing w:after="0" w:line="145" w:lineRule="exact"/>
        <w:rPr>
          <w:rFonts w:ascii="Arial" w:cs="Arial" w:eastAsia="Arial" w:hAnsi="Arial"/>
          <w:sz w:val="15"/>
          <w:szCs w:val="15"/>
          <w:color w:val="auto"/>
        </w:rPr>
      </w:pPr>
    </w:p>
    <w:p>
      <w:pPr>
        <w:ind w:left="800" w:hanging="317"/>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lower net investment spread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lower returns on other limited partnerships for the comparative measurement period; and</w:t>
      </w:r>
    </w:p>
    <w:p>
      <w:pPr>
        <w:spacing w:after="0" w:line="111" w:lineRule="exact"/>
        <w:rPr>
          <w:rFonts w:ascii="Arial" w:cs="Arial" w:eastAsia="Arial" w:hAnsi="Arial"/>
          <w:sz w:val="18"/>
          <w:szCs w:val="18"/>
          <w:color w:val="auto"/>
        </w:rPr>
      </w:pPr>
    </w:p>
    <w:p>
      <w:pPr>
        <w:ind w:left="1120" w:hanging="319"/>
        <w:spacing w:after="0" w:line="264" w:lineRule="auto"/>
        <w:tabs>
          <w:tab w:leader="none" w:pos="1116" w:val="left"/>
        </w:tabs>
        <w:numPr>
          <w:ilvl w:val="1"/>
          <w:numId w:val="38"/>
        </w:numPr>
        <w:rPr>
          <w:rFonts w:ascii="Arial" w:cs="Arial" w:eastAsia="Arial" w:hAnsi="Arial"/>
          <w:sz w:val="18"/>
          <w:szCs w:val="18"/>
          <w:color w:val="auto"/>
        </w:rPr>
      </w:pPr>
      <w:r>
        <w:rPr>
          <w:rFonts w:ascii="Arial" w:cs="Arial" w:eastAsia="Arial" w:hAnsi="Arial"/>
          <w:sz w:val="18"/>
          <w:szCs w:val="18"/>
          <w:color w:val="auto"/>
        </w:rPr>
        <w:t>lower investment yields on our fixed income portfolio, as proceeds from maturing investments and the growth in the investment portfolio were invested at lower yields than the portfolio average;</w:t>
      </w:r>
    </w:p>
    <w:p>
      <w:pPr>
        <w:spacing w:after="0" w:line="7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higher average invested assets resulting from positive net flows in the general account;</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9"/>
        </w:numPr>
        <w:rPr>
          <w:rFonts w:ascii="Arial" w:cs="Arial" w:eastAsia="Arial" w:hAnsi="Arial"/>
          <w:sz w:val="15"/>
          <w:szCs w:val="15"/>
          <w:color w:val="auto"/>
        </w:rPr>
      </w:pPr>
      <w:r>
        <w:rPr>
          <w:rFonts w:ascii="Arial" w:cs="Arial" w:eastAsia="Arial" w:hAnsi="Arial"/>
          <w:sz w:val="15"/>
          <w:szCs w:val="15"/>
          <w:color w:val="auto"/>
        </w:rPr>
        <w:t>higher average invested long-term assets from funding agreements issued in connection with our institutional spread margin business; and</w:t>
      </w:r>
    </w:p>
    <w:p>
      <w:pPr>
        <w:spacing w:after="0" w:line="145" w:lineRule="exact"/>
        <w:rPr>
          <w:rFonts w:ascii="Arial" w:cs="Arial" w:eastAsia="Arial" w:hAnsi="Arial"/>
          <w:sz w:val="15"/>
          <w:szCs w:val="15"/>
          <w:color w:val="auto"/>
        </w:rPr>
      </w:pPr>
    </w:p>
    <w:p>
      <w:pPr>
        <w:ind w:left="1120" w:hanging="319"/>
        <w:spacing w:after="0"/>
        <w:tabs>
          <w:tab w:leader="none" w:pos="11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higher returns on real estate limited partnerships and LLCs;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fee income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lower asset-based fees resulting from lower average separate account balances, a portion of which is offset in other expenses;</w:t>
      </w:r>
    </w:p>
    <w:p>
      <w:pPr>
        <w:spacing w:after="0" w:line="111" w:lineRule="exact"/>
        <w:rPr>
          <w:rFonts w:ascii="Arial" w:cs="Arial" w:eastAsia="Arial" w:hAnsi="Arial"/>
          <w:sz w:val="18"/>
          <w:szCs w:val="18"/>
          <w:color w:val="auto"/>
        </w:rPr>
      </w:pPr>
    </w:p>
    <w:p>
      <w:pPr>
        <w:ind w:left="1120" w:hanging="319"/>
        <w:spacing w:after="0" w:line="264" w:lineRule="auto"/>
        <w:tabs>
          <w:tab w:leader="none" w:pos="1130" w:val="left"/>
        </w:tabs>
        <w:numPr>
          <w:ilvl w:val="1"/>
          <w:numId w:val="39"/>
        </w:numPr>
        <w:rPr>
          <w:rFonts w:ascii="Arial" w:cs="Arial" w:eastAsia="Arial" w:hAnsi="Arial"/>
          <w:sz w:val="18"/>
          <w:szCs w:val="18"/>
          <w:color w:val="auto"/>
        </w:rPr>
      </w:pPr>
      <w:r>
        <w:rPr>
          <w:rFonts w:ascii="Arial" w:cs="Arial" w:eastAsia="Arial" w:hAnsi="Arial"/>
          <w:sz w:val="18"/>
          <w:szCs w:val="18"/>
          <w:color w:val="auto"/>
        </w:rPr>
        <w:t>higher ceded cost of insurance fees consistent with unfavorable equity market returns in our Life segment, which is mostly offset in other expenses; 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20" w:hanging="319"/>
        <w:spacing w:after="0"/>
        <w:tabs>
          <w:tab w:leader="none" w:pos="1120" w:val="left"/>
        </w:tabs>
        <w:numPr>
          <w:ilvl w:val="1"/>
          <w:numId w:val="40"/>
        </w:numPr>
        <w:rPr>
          <w:rFonts w:ascii="Arial" w:cs="Arial" w:eastAsia="Arial" w:hAnsi="Arial"/>
          <w:sz w:val="15"/>
          <w:szCs w:val="15"/>
          <w:color w:val="auto"/>
        </w:rPr>
      </w:pPr>
      <w:r>
        <w:rPr>
          <w:rFonts w:ascii="Arial" w:cs="Arial" w:eastAsia="Arial" w:hAnsi="Arial"/>
          <w:sz w:val="15"/>
          <w:szCs w:val="15"/>
          <w:color w:val="auto"/>
        </w:rPr>
        <w:t>an adjustment in the prior period related to modeling improvements resulting from an actuarial system conversion in our Life segment; and</w:t>
      </w:r>
    </w:p>
    <w:p>
      <w:pPr>
        <w:spacing w:after="0" w:line="145" w:lineRule="exact"/>
        <w:rPr>
          <w:rFonts w:ascii="Arial" w:cs="Arial" w:eastAsia="Arial" w:hAnsi="Arial"/>
          <w:sz w:val="15"/>
          <w:szCs w:val="15"/>
          <w:color w:val="auto"/>
        </w:rPr>
      </w:pPr>
    </w:p>
    <w:p>
      <w:pPr>
        <w:ind w:left="800" w:hanging="317"/>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net amortization of DAC and VOBA due to:</w:t>
      </w:r>
    </w:p>
    <w:p>
      <w:pPr>
        <w:spacing w:after="0" w:line="111" w:lineRule="exact"/>
        <w:rPr>
          <w:rFonts w:ascii="Arial" w:cs="Arial" w:eastAsia="Arial" w:hAnsi="Arial"/>
          <w:sz w:val="18"/>
          <w:szCs w:val="18"/>
          <w:color w:val="auto"/>
        </w:rPr>
      </w:pPr>
    </w:p>
    <w:p>
      <w:pPr>
        <w:ind w:left="800" w:right="180" w:firstLine="1"/>
        <w:spacing w:after="0" w:line="368" w:lineRule="auto"/>
        <w:tabs>
          <w:tab w:leader="none" w:pos="1114"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impact on future gross profits from lower separate account returns and unfavorable equity market performance in our Annuities segment; partially offset by</w:t>
      </w:r>
    </w:p>
    <w:p>
      <w:pPr>
        <w:spacing w:after="0" w:line="1" w:lineRule="exact"/>
        <w:rPr>
          <w:rFonts w:ascii="Arial" w:cs="Arial" w:eastAsia="Arial" w:hAnsi="Arial"/>
          <w:sz w:val="18"/>
          <w:szCs w:val="18"/>
          <w:color w:val="auto"/>
        </w:rPr>
      </w:pPr>
    </w:p>
    <w:p>
      <w:pPr>
        <w:ind w:left="1120" w:hanging="319"/>
        <w:spacing w:after="0"/>
        <w:tabs>
          <w:tab w:leader="none" w:pos="11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 adjustment in the prior period related to modeling improvements resulting from an actuarial system conversion in our Life segment.</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111" w:lineRule="exact"/>
        <w:rPr>
          <w:rFonts w:ascii="Arial" w:cs="Arial" w:eastAsia="Arial" w:hAnsi="Arial"/>
          <w:sz w:val="18"/>
          <w:szCs w:val="18"/>
          <w:color w:val="auto"/>
        </w:rPr>
      </w:pPr>
    </w:p>
    <w:p>
      <w:pPr>
        <w:ind w:left="1120" w:right="20" w:hanging="319"/>
        <w:spacing w:after="0" w:line="264" w:lineRule="auto"/>
        <w:tabs>
          <w:tab w:leader="none" w:pos="1116" w:val="left"/>
        </w:tabs>
        <w:numPr>
          <w:ilvl w:val="1"/>
          <w:numId w:val="41"/>
        </w:numPr>
        <w:rPr>
          <w:rFonts w:ascii="Arial" w:cs="Arial" w:eastAsia="Arial" w:hAnsi="Arial"/>
          <w:sz w:val="18"/>
          <w:szCs w:val="18"/>
          <w:color w:val="auto"/>
        </w:rPr>
      </w:pPr>
      <w:r>
        <w:rPr>
          <w:rFonts w:ascii="Arial" w:cs="Arial" w:eastAsia="Arial" w:hAnsi="Arial"/>
          <w:sz w:val="18"/>
          <w:szCs w:val="18"/>
          <w:color w:val="auto"/>
        </w:rPr>
        <w:t>lower asset-based variable annuity expenses resulting from lower average separate account balances, a portion of which is mostly offset in fee income;</w:t>
      </w:r>
    </w:p>
    <w:p>
      <w:pPr>
        <w:spacing w:after="0" w:line="74" w:lineRule="exact"/>
        <w:rPr>
          <w:rFonts w:ascii="Arial" w:cs="Arial" w:eastAsia="Arial" w:hAnsi="Arial"/>
          <w:sz w:val="18"/>
          <w:szCs w:val="18"/>
          <w:color w:val="auto"/>
        </w:rPr>
      </w:pPr>
    </w:p>
    <w:p>
      <w:pPr>
        <w:ind w:left="1120" w:hanging="319"/>
        <w:spacing w:after="0"/>
        <w:tabs>
          <w:tab w:leader="none" w:pos="1120" w:val="left"/>
        </w:tabs>
        <w:numPr>
          <w:ilvl w:val="1"/>
          <w:numId w:val="41"/>
        </w:numPr>
        <w:rPr>
          <w:rFonts w:ascii="Arial" w:cs="Arial" w:eastAsia="Arial" w:hAnsi="Arial"/>
          <w:sz w:val="15"/>
          <w:szCs w:val="15"/>
          <w:color w:val="auto"/>
        </w:rPr>
      </w:pPr>
      <w:r>
        <w:rPr>
          <w:rFonts w:ascii="Arial" w:cs="Arial" w:eastAsia="Arial" w:hAnsi="Arial"/>
          <w:sz w:val="15"/>
          <w:szCs w:val="15"/>
          <w:color w:val="auto"/>
        </w:rPr>
        <w:t>higher ceded cost of insurance expenses consistent with unfavorable equity market returns in our Life segment, which is offset in fee income;</w:t>
      </w:r>
    </w:p>
    <w:p>
      <w:pPr>
        <w:spacing w:after="0" w:line="145" w:lineRule="exact"/>
        <w:rPr>
          <w:rFonts w:ascii="Arial" w:cs="Arial" w:eastAsia="Arial" w:hAnsi="Arial"/>
          <w:sz w:val="15"/>
          <w:szCs w:val="15"/>
          <w:color w:val="auto"/>
        </w:rPr>
      </w:pPr>
    </w:p>
    <w:p>
      <w:pPr>
        <w:ind w:left="1120" w:hanging="319"/>
        <w:spacing w:after="0"/>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lower deferred compensation and operational expenses;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lower transition services agreement expenses;</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settlement of a reinsurance-related matter in the current period.</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14% in the current period compared to 17% in the prior period. Our effective tax rate differs from the statutory tax rate primarily due to the impacts of the dividends received deduction, tax credits and current period non-recurring items.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Segments and Corporate &amp; Other Results for the Three Months and Six Months Ended June 30, 2022 and 2021 — Adjusted Earnings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our Annuities segment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0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87"/>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79"/>
        </w:trPr>
        <w:tc>
          <w:tcPr>
            <w:tcW w:w="63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r>
      <w:tr>
        <w:trPr>
          <w:trHeight w:val="179"/>
        </w:trPr>
        <w:tc>
          <w:tcPr>
            <w:tcW w:w="6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633</w:t>
            </w: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(200)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(160)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(123)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(339)</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(417)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w:t>
            </w:r>
          </w:p>
        </w:tc>
      </w:tr>
      <w:tr>
        <w:trPr>
          <w:trHeight w:val="203"/>
        </w:trPr>
        <w:tc>
          <w:tcPr>
            <w:tcW w:w="6320" w:type="dxa"/>
            <w:vAlign w:val="bottom"/>
          </w:tcPr>
          <w:p>
            <w:pPr>
              <w:ind w:left="180"/>
              <w:spacing w:after="0"/>
              <w:rPr>
                <w:sz w:val="20"/>
                <w:szCs w:val="20"/>
                <w:color w:val="auto"/>
              </w:rPr>
            </w:pPr>
            <w:r>
              <w:rPr>
                <w:rFonts w:ascii="Arial" w:cs="Arial" w:eastAsia="Arial" w:hAnsi="Arial"/>
                <w:sz w:val="16"/>
                <w:szCs w:val="16"/>
                <w:color w:val="auto"/>
              </w:rPr>
              <w:t>Pre-tax adjusted earnings</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831</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08"/>
        </w:trPr>
        <w:tc>
          <w:tcPr>
            <w:tcW w:w="632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74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w:t>
            </w: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 significant portion of our adjusted earnings is driven by separate account balances related to our variable annuity business. Most directly, these balances determine asset-based fee income, but they also impact DAC amortization and asset-based commissions. The changes in our variable annuities separate account balances are presented in the table below. Variable annuities separate account balances decreased for the three months and the six months ended June 30, 2022, driven by unfavorable investment performance, negative net flows and policy charges.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9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Three Months Ended June 30,</w:t>
            </w:r>
          </w:p>
        </w:tc>
        <w:tc>
          <w:tcPr>
            <w:tcW w:w="120" w:type="dxa"/>
            <w:vAlign w:val="bottom"/>
          </w:tcPr>
          <w:p>
            <w:pPr>
              <w:spacing w:after="0"/>
              <w:rPr>
                <w:sz w:val="14"/>
                <w:szCs w:val="14"/>
                <w:color w:val="auto"/>
              </w:rPr>
            </w:pPr>
          </w:p>
        </w:tc>
        <w:tc>
          <w:tcPr>
            <w:tcW w:w="1760" w:type="dxa"/>
            <w:vAlign w:val="bottom"/>
          </w:tcPr>
          <w:p>
            <w:pPr>
              <w:jc w:val="right"/>
              <w:ind w:right="42"/>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185"/>
        </w:trPr>
        <w:tc>
          <w:tcPr>
            <w:tcW w:w="7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2022 (1)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2022 (1)</w:t>
            </w:r>
          </w:p>
        </w:tc>
        <w:tc>
          <w:tcPr>
            <w:tcW w:w="0" w:type="dxa"/>
            <w:vAlign w:val="bottom"/>
          </w:tcPr>
          <w:p>
            <w:pPr>
              <w:spacing w:after="0"/>
              <w:rPr>
                <w:sz w:val="1"/>
                <w:szCs w:val="1"/>
                <w:color w:val="auto"/>
              </w:rPr>
            </w:pPr>
          </w:p>
        </w:tc>
      </w:tr>
      <w:tr>
        <w:trPr>
          <w:trHeight w:val="179"/>
        </w:trPr>
        <w:tc>
          <w:tcPr>
            <w:tcW w:w="7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60" w:type="dxa"/>
            <w:vAlign w:val="bottom"/>
            <w:gridSpan w:val="4"/>
          </w:tcPr>
          <w:p>
            <w:pPr>
              <w:jc w:val="right"/>
              <w:ind w:right="148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105,197</w:t>
            </w:r>
          </w:p>
        </w:tc>
        <w:tc>
          <w:tcPr>
            <w:tcW w:w="0" w:type="dxa"/>
            <w:vAlign w:val="bottom"/>
          </w:tcPr>
          <w:p>
            <w:pPr>
              <w:spacing w:after="0"/>
              <w:rPr>
                <w:sz w:val="1"/>
                <w:szCs w:val="1"/>
                <w:color w:val="auto"/>
              </w:rPr>
            </w:pPr>
          </w:p>
        </w:tc>
      </w:tr>
      <w:tr>
        <w:trPr>
          <w:trHeight w:val="209"/>
        </w:trPr>
        <w:tc>
          <w:tcPr>
            <w:tcW w:w="7380" w:type="dxa"/>
            <w:vAlign w:val="bottom"/>
          </w:tcPr>
          <w:p>
            <w:pPr>
              <w:ind w:left="20"/>
              <w:spacing w:after="0"/>
              <w:rPr>
                <w:sz w:val="20"/>
                <w:szCs w:val="20"/>
                <w:color w:val="auto"/>
              </w:rPr>
            </w:pPr>
            <w:r>
              <w:rPr>
                <w:rFonts w:ascii="Arial" w:cs="Arial" w:eastAsia="Arial" w:hAnsi="Arial"/>
                <w:sz w:val="16"/>
                <w:szCs w:val="16"/>
                <w:color w:val="auto"/>
              </w:rPr>
              <w:t>Premiums and deposits</w:t>
            </w: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Withdrawals, surrenders and contract benefits</w:t>
            </w:r>
          </w:p>
        </w:tc>
        <w:tc>
          <w:tcPr>
            <w:tcW w:w="3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(3,955)</w:t>
            </w:r>
          </w:p>
        </w:tc>
        <w:tc>
          <w:tcPr>
            <w:tcW w:w="0" w:type="dxa"/>
            <w:vAlign w:val="bottom"/>
          </w:tcPr>
          <w:p>
            <w:pPr>
              <w:spacing w:after="0"/>
              <w:rPr>
                <w:sz w:val="1"/>
                <w:szCs w:val="1"/>
                <w:color w:val="auto"/>
              </w:rPr>
            </w:pPr>
          </w:p>
        </w:tc>
      </w:tr>
      <w:tr>
        <w:trPr>
          <w:trHeight w:val="203"/>
        </w:trPr>
        <w:tc>
          <w:tcPr>
            <w:tcW w:w="7380" w:type="dxa"/>
            <w:vAlign w:val="bottom"/>
          </w:tcPr>
          <w:p>
            <w:pPr>
              <w:ind w:left="180"/>
              <w:spacing w:after="0"/>
              <w:rPr>
                <w:sz w:val="20"/>
                <w:szCs w:val="20"/>
                <w:color w:val="auto"/>
              </w:rPr>
            </w:pPr>
            <w:r>
              <w:rPr>
                <w:rFonts w:ascii="Arial" w:cs="Arial" w:eastAsia="Arial" w:hAnsi="Arial"/>
                <w:sz w:val="16"/>
                <w:szCs w:val="16"/>
                <w:color w:val="auto"/>
              </w:rPr>
              <w:t>Net flows</w:t>
            </w:r>
          </w:p>
        </w:tc>
        <w:tc>
          <w:tcPr>
            <w:tcW w:w="3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(3,141)</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performance</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(19,105)</w:t>
            </w:r>
          </w:p>
        </w:tc>
        <w:tc>
          <w:tcPr>
            <w:tcW w:w="0" w:type="dxa"/>
            <w:vAlign w:val="bottom"/>
          </w:tcPr>
          <w:p>
            <w:pPr>
              <w:spacing w:after="0"/>
              <w:rPr>
                <w:sz w:val="1"/>
                <w:szCs w:val="1"/>
                <w:color w:val="auto"/>
              </w:rPr>
            </w:pPr>
          </w:p>
        </w:tc>
      </w:tr>
      <w:tr>
        <w:trPr>
          <w:trHeight w:val="209"/>
        </w:trPr>
        <w:tc>
          <w:tcPr>
            <w:tcW w:w="7380" w:type="dxa"/>
            <w:vAlign w:val="bottom"/>
          </w:tcPr>
          <w:p>
            <w:pPr>
              <w:ind w:left="20"/>
              <w:spacing w:after="0"/>
              <w:rPr>
                <w:sz w:val="20"/>
                <w:szCs w:val="20"/>
                <w:color w:val="auto"/>
              </w:rPr>
            </w:pPr>
            <w:r>
              <w:rPr>
                <w:rFonts w:ascii="Arial" w:cs="Arial" w:eastAsia="Arial" w:hAnsi="Arial"/>
                <w:sz w:val="16"/>
                <w:szCs w:val="16"/>
                <w:color w:val="auto"/>
              </w:rPr>
              <w:t>Policy charges</w:t>
            </w: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(1,167)</w:t>
            </w:r>
          </w:p>
        </w:tc>
        <w:tc>
          <w:tcPr>
            <w:tcW w:w="0" w:type="dxa"/>
            <w:vAlign w:val="bottom"/>
          </w:tcPr>
          <w:p>
            <w:pPr>
              <w:spacing w:after="0"/>
              <w:rPr>
                <w:sz w:val="1"/>
                <w:szCs w:val="1"/>
                <w:color w:val="auto"/>
              </w:rPr>
            </w:pPr>
          </w:p>
        </w:tc>
      </w:tr>
      <w:tr>
        <w:trPr>
          <w:trHeight w:val="212"/>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transfers from (to) general account</w:t>
            </w:r>
          </w:p>
        </w:tc>
        <w:tc>
          <w:tcPr>
            <w:tcW w:w="3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8"/>
        </w:trPr>
        <w:tc>
          <w:tcPr>
            <w:tcW w:w="738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81,633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81,633</w:t>
            </w: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80" w:type="dxa"/>
            <w:vAlign w:val="bottom"/>
          </w:tcPr>
          <w:p>
            <w:pPr>
              <w:ind w:left="20"/>
              <w:spacing w:after="0"/>
              <w:rPr>
                <w:sz w:val="20"/>
                <w:szCs w:val="20"/>
                <w:color w:val="auto"/>
              </w:rPr>
            </w:pPr>
            <w:r>
              <w:rPr>
                <w:rFonts w:ascii="Arial" w:cs="Arial" w:eastAsia="Arial" w:hAnsi="Arial"/>
                <w:sz w:val="16"/>
                <w:szCs w:val="16"/>
                <w:color w:val="auto"/>
              </w:rPr>
              <w:t>Average balance</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87,644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92,716</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38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(1) Includes income annuities for which separate account balances at June 30, 2022 were $145 million.</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June 30, 2022 Compared with the Three Months Ended June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$204 million in the current period, a decrease of $134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unfavorable impacts were:</w:t>
      </w:r>
    </w:p>
    <w:p>
      <w:pPr>
        <w:spacing w:after="0" w:line="111" w:lineRule="exact"/>
        <w:rPr>
          <w:sz w:val="20"/>
          <w:szCs w:val="20"/>
          <w:color w:val="auto"/>
        </w:rPr>
      </w:pPr>
    </w:p>
    <w:p>
      <w:pPr>
        <w:ind w:left="800" w:hanging="317"/>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costs associated with insurance-related activities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net increase in GMDB liabilities resulting from unfavorable equity market performance;</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higher volume and severity of GMDB claims;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 adjustment in the current period related to actuarial modeling improvements;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asset-based fees resulting from lower average separate account balances, a portion of which is offset in other expenses; and</w:t>
      </w:r>
    </w:p>
    <w:p>
      <w:pPr>
        <w:spacing w:after="0" w:line="111" w:lineRule="exact"/>
        <w:rPr>
          <w:rFonts w:ascii="Arial" w:cs="Arial" w:eastAsia="Arial" w:hAnsi="Arial"/>
          <w:sz w:val="18"/>
          <w:szCs w:val="18"/>
          <w:color w:val="auto"/>
        </w:rPr>
      </w:pPr>
    </w:p>
    <w:p>
      <w:pPr>
        <w:ind w:left="800" w:hanging="317"/>
        <w:spacing w:after="0" w:line="264" w:lineRule="auto"/>
        <w:tabs>
          <w:tab w:leader="none" w:pos="7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net amortization of DAC and VOBA due to the impact on future gross profits from lower separate account returns and unfavorable equity market performance.</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favorable impacts were:</w:t>
      </w:r>
    </w:p>
    <w:p>
      <w:pPr>
        <w:spacing w:after="0" w:line="111" w:lineRule="exact"/>
        <w:rPr>
          <w:sz w:val="20"/>
          <w:szCs w:val="20"/>
          <w:color w:val="auto"/>
        </w:rPr>
      </w:pPr>
    </w:p>
    <w:p>
      <w:pPr>
        <w:ind w:left="800" w:hanging="317"/>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4"/>
        </w:numPr>
        <w:rPr>
          <w:rFonts w:ascii="Arial" w:cs="Arial" w:eastAsia="Arial" w:hAnsi="Arial"/>
          <w:sz w:val="15"/>
          <w:szCs w:val="15"/>
          <w:color w:val="auto"/>
        </w:rPr>
      </w:pPr>
      <w:r>
        <w:rPr>
          <w:rFonts w:ascii="Arial" w:cs="Arial" w:eastAsia="Arial" w:hAnsi="Arial"/>
          <w:sz w:val="15"/>
          <w:szCs w:val="15"/>
          <w:color w:val="auto"/>
        </w:rPr>
        <w:t>lower asset-based variable annuity expenses resulting from lower average separate account balances, a portion of which is offset in fee income;</w:t>
      </w:r>
    </w:p>
    <w:p>
      <w:pPr>
        <w:spacing w:after="0" w:line="145" w:lineRule="exact"/>
        <w:rPr>
          <w:rFonts w:ascii="Arial" w:cs="Arial" w:eastAsia="Arial" w:hAnsi="Arial"/>
          <w:sz w:val="15"/>
          <w:szCs w:val="15"/>
          <w:color w:val="auto"/>
        </w:rPr>
      </w:pPr>
    </w:p>
    <w:p>
      <w:pPr>
        <w:ind w:left="1120" w:hanging="319"/>
        <w:spacing w:after="0"/>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lower transition services agreement expenses;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lower deferred compensation expenses.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18% in the current period compared to 19% in the prior period. Our effective tax rate differs from the statutory tax rate primarily due to the impacts of the dividends received deduction.</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Six Months Ended June 30, 2022 Compared with the Six Months Ended June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$515 million in the current period, a decrease of $159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unfavorable impacts were:</w:t>
      </w:r>
    </w:p>
    <w:p>
      <w:pPr>
        <w:spacing w:after="0" w:line="111" w:lineRule="exact"/>
        <w:rPr>
          <w:sz w:val="20"/>
          <w:szCs w:val="20"/>
          <w:color w:val="auto"/>
        </w:rPr>
      </w:pPr>
    </w:p>
    <w:p>
      <w:pPr>
        <w:ind w:left="800" w:hanging="317"/>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higher costs associated with insurance-related activities due to:</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60" w:name="page61"/>
    <w:bookmarkEnd w:id="6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20" w:hanging="319"/>
        <w:spacing w:after="0"/>
        <w:tabs>
          <w:tab w:leader="none" w:pos="11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net increase in GMDB liabilities resulting from unfavorable equity market performance;</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higher volume and severity of GMDB claims;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 adjustment in the current period related to actuarial modeling improvements;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lower asset-based fees resulting from lower average separate account balances, a portion of which is offset in other expenses; and</w:t>
      </w:r>
    </w:p>
    <w:p>
      <w:pPr>
        <w:spacing w:after="0" w:line="111" w:lineRule="exact"/>
        <w:rPr>
          <w:rFonts w:ascii="Arial" w:cs="Arial" w:eastAsia="Arial" w:hAnsi="Arial"/>
          <w:sz w:val="18"/>
          <w:szCs w:val="18"/>
          <w:color w:val="auto"/>
        </w:rPr>
      </w:pPr>
    </w:p>
    <w:p>
      <w:pPr>
        <w:ind w:left="800" w:hanging="317"/>
        <w:spacing w:after="0" w:line="264" w:lineRule="auto"/>
        <w:tabs>
          <w:tab w:leader="none" w:pos="7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higher net amortization of DAC and VOBA due to the impact on future gross profits from lower separate account returns and unfavorable equity market performance.</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favorable impacts were:</w:t>
      </w:r>
    </w:p>
    <w:p>
      <w:pPr>
        <w:spacing w:after="0" w:line="111" w:lineRule="exact"/>
        <w:rPr>
          <w:sz w:val="20"/>
          <w:szCs w:val="20"/>
          <w:color w:val="auto"/>
        </w:rPr>
      </w:pPr>
    </w:p>
    <w:p>
      <w:pPr>
        <w:ind w:left="800" w:hanging="317"/>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7"/>
        </w:numPr>
        <w:rPr>
          <w:rFonts w:ascii="Arial" w:cs="Arial" w:eastAsia="Arial" w:hAnsi="Arial"/>
          <w:sz w:val="15"/>
          <w:szCs w:val="15"/>
          <w:color w:val="auto"/>
        </w:rPr>
      </w:pPr>
      <w:r>
        <w:rPr>
          <w:rFonts w:ascii="Arial" w:cs="Arial" w:eastAsia="Arial" w:hAnsi="Arial"/>
          <w:sz w:val="15"/>
          <w:szCs w:val="15"/>
          <w:color w:val="auto"/>
        </w:rPr>
        <w:t>lower asset-based variable annuity expenses resulting from lower average separate account balances, a portion of which is offset in fee income;</w:t>
      </w:r>
    </w:p>
    <w:p>
      <w:pPr>
        <w:spacing w:after="0" w:line="145" w:lineRule="exact"/>
        <w:rPr>
          <w:rFonts w:ascii="Arial" w:cs="Arial" w:eastAsia="Arial" w:hAnsi="Arial"/>
          <w:sz w:val="15"/>
          <w:szCs w:val="15"/>
          <w:color w:val="auto"/>
        </w:rPr>
      </w:pPr>
    </w:p>
    <w:p>
      <w:pPr>
        <w:ind w:left="1120" w:hanging="319"/>
        <w:spacing w:after="0"/>
        <w:tabs>
          <w:tab w:leader="none" w:pos="11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lower transition services agreement expenses;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lower deferred compensation expenses.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18% in the current period compared to 19% in the prior period. Our effective tax rate differs from the statutory tax rate primarily due to the impact of the dividends received deduction.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our Life segment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20" w:type="dxa"/>
            <w:vAlign w:val="bottom"/>
            <w:gridSpan w:val="4"/>
          </w:tcPr>
          <w:p>
            <w:pPr>
              <w:jc w:val="right"/>
              <w:ind w:right="107"/>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jc w:val="right"/>
              <w:ind w:right="163"/>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Pr>
          <w:p>
            <w:pPr>
              <w:spacing w:after="0"/>
              <w:rPr>
                <w:sz w:val="14"/>
                <w:szCs w:val="14"/>
                <w:color w:val="auto"/>
              </w:rPr>
            </w:pPr>
          </w:p>
        </w:tc>
      </w:tr>
      <w:tr>
        <w:trPr>
          <w:trHeight w:val="185"/>
        </w:trPr>
        <w:tc>
          <w:tcPr>
            <w:tcW w:w="63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507"/>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83"/>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r>
      <w:tr>
        <w:trPr>
          <w:trHeight w:val="179"/>
        </w:trPr>
        <w:tc>
          <w:tcPr>
            <w:tcW w:w="632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r>
      <w:tr>
        <w:trPr>
          <w:trHeight w:val="179"/>
        </w:trPr>
        <w:tc>
          <w:tcPr>
            <w:tcW w:w="6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w w:val="99"/>
              </w:rPr>
              <w:t>(In millions)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80" w:type="dxa"/>
            <w:vAlign w:val="bottom"/>
            <w:shd w:val="clear" w:color="auto" w:fill="CCEEFF"/>
          </w:tcPr>
          <w:p>
            <w:pPr>
              <w:jc w:val="right"/>
              <w:ind w:right="605"/>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center"/>
              <w:ind w:left="21"/>
              <w:spacing w:after="0"/>
              <w:rPr>
                <w:sz w:val="20"/>
                <w:szCs w:val="20"/>
                <w:color w:val="auto"/>
              </w:rPr>
            </w:pPr>
            <w:r>
              <w:rPr>
                <w:rFonts w:ascii="Arial" w:cs="Arial" w:eastAsia="Arial" w:hAnsi="Arial"/>
                <w:sz w:val="16"/>
                <w:szCs w:val="16"/>
                <w:color w:val="auto"/>
                <w:w w:val="89"/>
              </w:rPr>
              <w:t>90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8"/>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center"/>
              <w:ind w:left="21"/>
              <w:spacing w:after="0"/>
              <w:rPr>
                <w:sz w:val="20"/>
                <w:szCs w:val="20"/>
                <w:color w:val="auto"/>
              </w:rPr>
            </w:pPr>
            <w:r>
              <w:rPr>
                <w:rFonts w:ascii="Arial" w:cs="Arial" w:eastAsia="Arial" w:hAnsi="Arial"/>
                <w:sz w:val="16"/>
                <w:szCs w:val="16"/>
                <w:color w:val="auto"/>
                <w:w w:val="89"/>
              </w:rPr>
              <w:t>94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center"/>
              <w:ind w:left="1"/>
              <w:spacing w:after="0"/>
              <w:rPr>
                <w:sz w:val="20"/>
                <w:szCs w:val="20"/>
                <w:color w:val="auto"/>
              </w:rPr>
            </w:pPr>
            <w:r>
              <w:rPr>
                <w:rFonts w:ascii="Arial" w:cs="Arial" w:eastAsia="Arial" w:hAnsi="Arial"/>
                <w:sz w:val="16"/>
                <w:szCs w:val="16"/>
                <w:color w:val="auto"/>
                <w:w w:val="91"/>
              </w:rPr>
              <w:t>(41)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(102)</w:t>
            </w: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center"/>
              <w:ind w:left="1"/>
              <w:spacing w:after="0"/>
              <w:rPr>
                <w:sz w:val="20"/>
                <w:szCs w:val="20"/>
                <w:color w:val="auto"/>
              </w:rPr>
            </w:pPr>
            <w:r>
              <w:rPr>
                <w:rFonts w:ascii="Arial" w:cs="Arial" w:eastAsia="Arial" w:hAnsi="Arial"/>
                <w:sz w:val="16"/>
                <w:szCs w:val="16"/>
                <w:color w:val="auto"/>
                <w:w w:val="91"/>
              </w:rPr>
              <w:t>(10)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7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ind w:left="1"/>
              <w:spacing w:after="0"/>
              <w:rPr>
                <w:sz w:val="20"/>
                <w:szCs w:val="20"/>
                <w:color w:val="auto"/>
              </w:rPr>
            </w:pPr>
            <w:r>
              <w:rPr>
                <w:rFonts w:ascii="Arial" w:cs="Arial" w:eastAsia="Arial" w:hAnsi="Arial"/>
                <w:sz w:val="16"/>
                <w:szCs w:val="16"/>
                <w:color w:val="auto"/>
                <w:w w:val="91"/>
              </w:rPr>
              <w:t>(48)</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03"/>
        </w:trPr>
        <w:tc>
          <w:tcPr>
            <w:tcW w:w="6320" w:type="dxa"/>
            <w:vAlign w:val="bottom"/>
          </w:tcPr>
          <w:p>
            <w:pPr>
              <w:ind w:left="180"/>
              <w:spacing w:after="0"/>
              <w:rPr>
                <w:sz w:val="20"/>
                <w:szCs w:val="20"/>
                <w:color w:val="auto"/>
              </w:rPr>
            </w:pPr>
            <w:r>
              <w:rPr>
                <w:rFonts w:ascii="Arial" w:cs="Arial" w:eastAsia="Arial" w:hAnsi="Arial"/>
                <w:sz w:val="16"/>
                <w:szCs w:val="16"/>
                <w:color w:val="auto"/>
              </w:rPr>
              <w:t>Pre-tax adjusted earnings</w:t>
            </w: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jc w:val="center"/>
              <w:ind w:left="21"/>
              <w:spacing w:after="0"/>
              <w:rPr>
                <w:sz w:val="20"/>
                <w:szCs w:val="20"/>
                <w:color w:val="auto"/>
              </w:rPr>
            </w:pPr>
            <w:r>
              <w:rPr>
                <w:rFonts w:ascii="Arial" w:cs="Arial" w:eastAsia="Arial" w:hAnsi="Arial"/>
                <w:sz w:val="16"/>
                <w:szCs w:val="16"/>
                <w:color w:val="auto"/>
                <w:w w:val="89"/>
              </w:rPr>
              <w:t>85</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ind w:left="21"/>
              <w:spacing w:after="0"/>
              <w:rPr>
                <w:sz w:val="20"/>
                <w:szCs w:val="20"/>
                <w:color w:val="auto"/>
              </w:rPr>
            </w:pPr>
            <w:r>
              <w:rPr>
                <w:rFonts w:ascii="Arial" w:cs="Arial" w:eastAsia="Arial" w:hAnsi="Arial"/>
                <w:sz w:val="16"/>
                <w:szCs w:val="16"/>
                <w:color w:val="auto"/>
                <w:w w:val="89"/>
              </w:rPr>
              <w:t>17</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8"/>
        </w:trPr>
        <w:tc>
          <w:tcPr>
            <w:tcW w:w="632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780" w:type="dxa"/>
            <w:vAlign w:val="bottom"/>
            <w:tcBorders>
              <w:bottom w:val="single" w:sz="8" w:color="auto"/>
            </w:tcBorders>
          </w:tcPr>
          <w:p>
            <w:pPr>
              <w:jc w:val="right"/>
              <w:ind w:right="605"/>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center"/>
              <w:ind w:left="21"/>
              <w:spacing w:after="0"/>
              <w:rPr>
                <w:sz w:val="20"/>
                <w:szCs w:val="20"/>
                <w:color w:val="auto"/>
              </w:rPr>
            </w:pPr>
            <w:r>
              <w:rPr>
                <w:rFonts w:ascii="Arial" w:cs="Arial" w:eastAsia="Arial" w:hAnsi="Arial"/>
                <w:sz w:val="16"/>
                <w:szCs w:val="16"/>
                <w:color w:val="auto"/>
                <w:w w:val="89"/>
              </w:rPr>
              <w:t>68</w:t>
            </w: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ind w:right="628"/>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8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r>
      <w:tr>
        <w:trPr>
          <w:trHeight w:val="20"/>
        </w:trPr>
        <w:tc>
          <w:tcPr>
            <w:tcW w:w="6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June 30, 2022 Compared with the Three Months Ended June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$23 million in the current period, a decrease of $45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unfavorable impacts were:</w:t>
      </w:r>
    </w:p>
    <w:p>
      <w:pPr>
        <w:spacing w:after="0" w:line="111" w:lineRule="exact"/>
        <w:rPr>
          <w:sz w:val="20"/>
          <w:szCs w:val="20"/>
          <w:color w:val="auto"/>
        </w:rPr>
      </w:pPr>
    </w:p>
    <w:p>
      <w:pPr>
        <w:ind w:left="800" w:hanging="317"/>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lower net investment spread due to lower returns on other limited partnerships for the comparative measurement period;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lower fee income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8"/>
        </w:numPr>
        <w:rPr>
          <w:rFonts w:ascii="Arial" w:cs="Arial" w:eastAsia="Arial" w:hAnsi="Arial"/>
          <w:sz w:val="17"/>
          <w:szCs w:val="17"/>
          <w:color w:val="auto"/>
        </w:rPr>
      </w:pPr>
      <w:r>
        <w:rPr>
          <w:rFonts w:ascii="Arial" w:cs="Arial" w:eastAsia="Arial" w:hAnsi="Arial"/>
          <w:sz w:val="17"/>
          <w:szCs w:val="17"/>
          <w:color w:val="auto"/>
        </w:rPr>
        <w:t>higher ceded cost of insurance fees consistent with unfavorable equity market returns, which is mostly offset in other expenses; and</w:t>
      </w:r>
    </w:p>
    <w:p>
      <w:pPr>
        <w:spacing w:after="0" w:line="122" w:lineRule="exact"/>
        <w:rPr>
          <w:rFonts w:ascii="Arial" w:cs="Arial" w:eastAsia="Arial" w:hAnsi="Arial"/>
          <w:sz w:val="17"/>
          <w:szCs w:val="17"/>
          <w:color w:val="auto"/>
        </w:rPr>
      </w:pPr>
    </w:p>
    <w:p>
      <w:pPr>
        <w:ind w:left="1120" w:hanging="319"/>
        <w:spacing w:after="0"/>
        <w:tabs>
          <w:tab w:leader="none" w:pos="11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higher ceded cost of insurance fees resulting from new reinsurance agreements entered into in the current period;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amortization of DAC and VOBA due to the impact on gross profits from lower separate account returns.</w:t>
      </w:r>
    </w:p>
    <w:p>
      <w:pPr>
        <w:spacing w:after="0" w:line="200" w:lineRule="exact"/>
        <w:rPr>
          <w:sz w:val="20"/>
          <w:szCs w:val="20"/>
          <w:color w:val="auto"/>
        </w:rPr>
      </w:pPr>
    </w:p>
    <w:p>
      <w:pPr>
        <w:spacing w:after="0" w:line="229" w:lineRule="exact"/>
        <w:rPr>
          <w:sz w:val="20"/>
          <w:szCs w:val="20"/>
          <w:color w:val="auto"/>
        </w:rPr>
      </w:pPr>
    </w:p>
    <w:p>
      <w:pPr>
        <w:ind w:left="800" w:hanging="317"/>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20" w:hanging="319"/>
        <w:spacing w:after="0"/>
        <w:tabs>
          <w:tab w:leader="none" w:pos="11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higher ceded cost of insurance expenses consistent with unfavorable equity market returns, which is mostly offset in fee income;</w:t>
      </w:r>
    </w:p>
    <w:p>
      <w:pPr>
        <w:spacing w:after="0" w:line="122" w:lineRule="exact"/>
        <w:rPr>
          <w:rFonts w:ascii="Arial" w:cs="Arial" w:eastAsia="Arial" w:hAnsi="Arial"/>
          <w:sz w:val="17"/>
          <w:szCs w:val="17"/>
          <w:color w:val="auto"/>
        </w:rPr>
      </w:pPr>
    </w:p>
    <w:p>
      <w:pPr>
        <w:ind w:left="1120" w:hanging="319"/>
        <w:spacing w:after="0"/>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lower transition services agreement expenses;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lower deferred compensation expenses;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lower costs associated with insurance-related activities due to lower paid claims, net of reinsurance.</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18% in the current period compared to 20% in the prior period. Our effective tax rate differs from the statutory tax rate primarily due to the impact of the dividends received deduction.</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Six Months Ended June 30, 2022 Compared with the Six Months Ended June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$49 million in the current period, a decrease of $61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unfavorable impacts were:</w:t>
      </w:r>
    </w:p>
    <w:p>
      <w:pPr>
        <w:spacing w:after="0" w:line="111" w:lineRule="exact"/>
        <w:rPr>
          <w:sz w:val="20"/>
          <w:szCs w:val="20"/>
          <w:color w:val="auto"/>
        </w:rPr>
      </w:pPr>
    </w:p>
    <w:p>
      <w:pPr>
        <w:ind w:left="800" w:hanging="317"/>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lower fee income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higher ceded cost of insurance fees consistent with unfavorable equity market returns, which is mostly offset in other expenses;</w:t>
      </w:r>
    </w:p>
    <w:p>
      <w:pPr>
        <w:spacing w:after="0" w:line="122" w:lineRule="exact"/>
        <w:rPr>
          <w:rFonts w:ascii="Arial" w:cs="Arial" w:eastAsia="Arial" w:hAnsi="Arial"/>
          <w:sz w:val="17"/>
          <w:szCs w:val="17"/>
          <w:color w:val="auto"/>
        </w:rPr>
      </w:pPr>
    </w:p>
    <w:p>
      <w:pPr>
        <w:ind w:left="1120" w:hanging="319"/>
        <w:spacing w:after="0"/>
        <w:tabs>
          <w:tab w:leader="none" w:pos="11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 adjustment in the prior period related to modeling improvements resulting from an actuarial system conversion;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higher ceded cost of insurance fees resulting from new reinsurance agreements entered into in the current period;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lower net investment spread due to lower returns on other limited partnerships for the comparative measurement period.</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favorable impacts were:</w:t>
      </w:r>
    </w:p>
    <w:p>
      <w:pPr>
        <w:spacing w:after="0" w:line="111" w:lineRule="exact"/>
        <w:rPr>
          <w:sz w:val="20"/>
          <w:szCs w:val="20"/>
          <w:color w:val="auto"/>
        </w:rPr>
      </w:pPr>
    </w:p>
    <w:p>
      <w:pPr>
        <w:ind w:left="800" w:hanging="317"/>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higher ceded cost of insurance expenses consistent with unfavorable equity market returns, which is mostly offset in fee income;</w:t>
      </w:r>
    </w:p>
    <w:p>
      <w:pPr>
        <w:spacing w:after="0" w:line="122" w:lineRule="exact"/>
        <w:rPr>
          <w:rFonts w:ascii="Arial" w:cs="Arial" w:eastAsia="Arial" w:hAnsi="Arial"/>
          <w:sz w:val="17"/>
          <w:szCs w:val="17"/>
          <w:color w:val="auto"/>
        </w:rPr>
      </w:pPr>
    </w:p>
    <w:p>
      <w:pPr>
        <w:ind w:left="1120" w:hanging="319"/>
        <w:spacing w:after="0"/>
        <w:tabs>
          <w:tab w:leader="none" w:pos="11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lower transition services agreement expenses;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lower deferred compensation and operational expenses.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18% in the current period compared to 20% in the prior period. Our effective tax rate differs from the statutory tax rate primarily due to the impact of the dividends received deduction.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Run-off</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our Run-off segment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0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87"/>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79"/>
        </w:trPr>
        <w:tc>
          <w:tcPr>
            <w:tcW w:w="63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r>
      <w:tr>
        <w:trPr>
          <w:trHeight w:val="179"/>
        </w:trPr>
        <w:tc>
          <w:tcPr>
            <w:tcW w:w="6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623</w:t>
            </w: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(394)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(309)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(166)</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03"/>
        </w:trPr>
        <w:tc>
          <w:tcPr>
            <w:tcW w:w="6320" w:type="dxa"/>
            <w:vAlign w:val="bottom"/>
          </w:tcPr>
          <w:p>
            <w:pPr>
              <w:ind w:left="180"/>
              <w:spacing w:after="0"/>
              <w:rPr>
                <w:sz w:val="20"/>
                <w:szCs w:val="20"/>
                <w:color w:val="auto"/>
              </w:rPr>
            </w:pPr>
            <w:r>
              <w:rPr>
                <w:rFonts w:ascii="Arial" w:cs="Arial" w:eastAsia="Arial" w:hAnsi="Arial"/>
                <w:sz w:val="16"/>
                <w:szCs w:val="16"/>
                <w:color w:val="auto"/>
              </w:rPr>
              <w:t>Pre-tax adjusted earnings</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(207)</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8"/>
        </w:trPr>
        <w:tc>
          <w:tcPr>
            <w:tcW w:w="632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74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(164)</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June 30, 2022 Compared with the Three Months Ended June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a loss of $164 million in the current period, a decrease of $286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unfavorable impacts were:</w:t>
      </w:r>
    </w:p>
    <w:p>
      <w:pPr>
        <w:spacing w:after="0" w:line="111" w:lineRule="exact"/>
        <w:rPr>
          <w:sz w:val="20"/>
          <w:szCs w:val="20"/>
          <w:color w:val="auto"/>
        </w:rPr>
      </w:pPr>
    </w:p>
    <w:p>
      <w:pPr>
        <w:ind w:left="800" w:hanging="317"/>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lower net investment spread due to lower returns on other limited partnerships for the comparative measurement period;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higher other expenses due to the settlement of a reinsurance-related matter in the current period;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higher net costs associated with insurance-related activities due to:</w:t>
      </w:r>
    </w:p>
    <w:p>
      <w:pPr>
        <w:spacing w:after="0" w:line="111" w:lineRule="exact"/>
        <w:rPr>
          <w:rFonts w:ascii="Arial" w:cs="Arial" w:eastAsia="Arial" w:hAnsi="Arial"/>
          <w:sz w:val="18"/>
          <w:szCs w:val="18"/>
          <w:color w:val="auto"/>
        </w:rPr>
      </w:pPr>
    </w:p>
    <w:p>
      <w:pPr>
        <w:ind w:left="800" w:right="1540" w:firstLine="1"/>
        <w:spacing w:after="0" w:line="368" w:lineRule="auto"/>
        <w:tabs>
          <w:tab w:leader="none" w:pos="1114" w:val="left"/>
        </w:tabs>
        <w:numPr>
          <w:ilvl w:val="1"/>
          <w:numId w:val="53"/>
        </w:numPr>
        <w:rPr>
          <w:rFonts w:ascii="Arial" w:cs="Arial" w:eastAsia="Arial" w:hAnsi="Arial"/>
          <w:sz w:val="18"/>
          <w:szCs w:val="18"/>
          <w:color w:val="auto"/>
        </w:rPr>
      </w:pPr>
      <w:r>
        <w:rPr>
          <w:rFonts w:ascii="Arial" w:cs="Arial" w:eastAsia="Arial" w:hAnsi="Arial"/>
          <w:sz w:val="18"/>
          <w:szCs w:val="18"/>
          <w:color w:val="auto"/>
        </w:rPr>
        <w:t>higher liabilities in our ULSG business from the impact of new reinsurance agreements entered into in the current period; partially offset by</w:t>
      </w:r>
    </w:p>
    <w:p>
      <w:pPr>
        <w:spacing w:after="0" w:line="1" w:lineRule="exact"/>
        <w:rPr>
          <w:rFonts w:ascii="Arial" w:cs="Arial" w:eastAsia="Arial" w:hAnsi="Arial"/>
          <w:sz w:val="18"/>
          <w:szCs w:val="18"/>
          <w:color w:val="auto"/>
        </w:rPr>
      </w:pPr>
    </w:p>
    <w:p>
      <w:pPr>
        <w:ind w:left="1120" w:hanging="319"/>
        <w:spacing w:after="0"/>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lower paid claims, net of reinsurance.</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21% in the current period compared to 13% in the prior period. Our effective tax rate differs from the statutory tax rate primarily due to the impact of the dividends received deduction.</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Six Months Ended June 30, 2022 Compared with the Six Months Ended June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a loss of $148 million in the current period, a decrease of $346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unfavorable impacts were:</w:t>
      </w:r>
    </w:p>
    <w:p>
      <w:pPr>
        <w:spacing w:after="0" w:line="111" w:lineRule="exact"/>
        <w:rPr>
          <w:sz w:val="20"/>
          <w:szCs w:val="20"/>
          <w:color w:val="auto"/>
        </w:rPr>
      </w:pPr>
    </w:p>
    <w:p>
      <w:pPr>
        <w:ind w:left="800" w:hanging="317"/>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lower net investment spread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lower returns on other limited partnerships for the comparative measurement period; and</w:t>
      </w:r>
    </w:p>
    <w:p>
      <w:pPr>
        <w:spacing w:after="0" w:line="111" w:lineRule="exact"/>
        <w:rPr>
          <w:rFonts w:ascii="Arial" w:cs="Arial" w:eastAsia="Arial" w:hAnsi="Arial"/>
          <w:sz w:val="18"/>
          <w:szCs w:val="18"/>
          <w:color w:val="auto"/>
        </w:rPr>
      </w:pPr>
    </w:p>
    <w:p>
      <w:pPr>
        <w:ind w:left="1120" w:hanging="319"/>
        <w:spacing w:after="0" w:line="264" w:lineRule="auto"/>
        <w:tabs>
          <w:tab w:leader="none" w:pos="1116" w:val="left"/>
        </w:tabs>
        <w:numPr>
          <w:ilvl w:val="1"/>
          <w:numId w:val="54"/>
        </w:numPr>
        <w:rPr>
          <w:rFonts w:ascii="Arial" w:cs="Arial" w:eastAsia="Arial" w:hAnsi="Arial"/>
          <w:sz w:val="18"/>
          <w:szCs w:val="18"/>
          <w:color w:val="auto"/>
        </w:rPr>
      </w:pPr>
      <w:r>
        <w:rPr>
          <w:rFonts w:ascii="Arial" w:cs="Arial" w:eastAsia="Arial" w:hAnsi="Arial"/>
          <w:sz w:val="18"/>
          <w:szCs w:val="18"/>
          <w:color w:val="auto"/>
        </w:rPr>
        <w:t>lower investment yields on our fixed income portfolio, as proceeds from maturing investments and the growth in the investment portfolio were invested at lower yields than the portfolio average;</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higher other expenses due to the settlement of a reinsurance-related matter in the current period;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higher net costs associated with insurance-related activities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higher liabilities in our ULSG business from the impact of new reinsurance agreements entered into in the current period;</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lower paid claims, net of reinsurance;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adjustment in the prior period related to modeling improvements resulting from an actuarial system conversion.</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21% in the current period compared to 12% in the prior period. Our effective tax rate differs from the statutory tax rate primarily due to the impact of the dividends received deduction.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Corporate &amp; Other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00" w:type="dxa"/>
            <w:vAlign w:val="bottom"/>
            <w:gridSpan w:val="4"/>
          </w:tcPr>
          <w:p>
            <w:pPr>
              <w:jc w:val="center"/>
              <w:ind w:left="325"/>
              <w:spacing w:after="0"/>
              <w:rPr>
                <w:sz w:val="20"/>
                <w:szCs w:val="20"/>
                <w:color w:val="auto"/>
              </w:rPr>
            </w:pPr>
            <w:r>
              <w:rPr>
                <w:rFonts w:ascii="Arial" w:cs="Arial" w:eastAsia="Arial" w:hAnsi="Arial"/>
                <w:sz w:val="14"/>
                <w:szCs w:val="14"/>
                <w:b w:val="1"/>
                <w:bCs w:val="1"/>
                <w:color w:val="auto"/>
                <w:w w:val="92"/>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center"/>
              <w:ind w:right="281"/>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327"/>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383"/>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2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9"/>
        </w:trPr>
        <w:tc>
          <w:tcPr>
            <w:tcW w:w="6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80" w:type="dxa"/>
            <w:vAlign w:val="bottom"/>
            <w:shd w:val="clear" w:color="auto" w:fill="CCEEFF"/>
          </w:tcPr>
          <w:p>
            <w:pPr>
              <w:jc w:val="right"/>
              <w:ind w:right="605"/>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8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6"/>
              </w:rPr>
              <w:t>Less: Net income (loss) attributable to noncontrolling interests and preferred stock dividends</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45"/>
        </w:trPr>
        <w:tc>
          <w:tcPr>
            <w:tcW w:w="6320" w:type="dxa"/>
            <w:vAlign w:val="bottom"/>
            <w:shd w:val="clear" w:color="auto" w:fill="CCEEFF"/>
          </w:tcPr>
          <w:p>
            <w:pPr>
              <w:ind w:left="100"/>
              <w:spacing w:after="0" w:line="145" w:lineRule="exact"/>
              <w:rPr>
                <w:sz w:val="20"/>
                <w:szCs w:val="20"/>
                <w:color w:val="auto"/>
              </w:rPr>
            </w:pPr>
            <w:r>
              <w:rPr>
                <w:rFonts w:ascii="Arial" w:cs="Arial" w:eastAsia="Arial" w:hAnsi="Arial"/>
                <w:sz w:val="16"/>
                <w:szCs w:val="16"/>
                <w:color w:val="auto"/>
                <w:w w:val="95"/>
              </w:rPr>
              <w:t>Pre-tax adjusted earnings, less net income (loss) attributable to noncontrolling interests and</w:t>
            </w:r>
          </w:p>
        </w:tc>
        <w:tc>
          <w:tcPr>
            <w:tcW w:w="7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(103)</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preferred stock dividends</w:t>
            </w:r>
          </w:p>
        </w:tc>
        <w:tc>
          <w:tcPr>
            <w:tcW w:w="78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3"/>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earnings</w:t>
            </w:r>
          </w:p>
        </w:tc>
        <w:tc>
          <w:tcPr>
            <w:tcW w:w="780" w:type="dxa"/>
            <w:vAlign w:val="bottom"/>
            <w:tcBorders>
              <w:bottom w:val="single" w:sz="8" w:color="auto"/>
            </w:tcBorders>
            <w:shd w:val="clear" w:color="auto" w:fill="CCEEFF"/>
          </w:tcPr>
          <w:p>
            <w:pPr>
              <w:jc w:val="right"/>
              <w:ind w:right="605"/>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June 30, 2022 Compared with the Three Months Ended June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a loss of $39 million in the current period, a lower loss of $54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favorable impacts were:</w:t>
      </w:r>
    </w:p>
    <w:p>
      <w:pPr>
        <w:spacing w:after="0" w:line="111" w:lineRule="exact"/>
        <w:rPr>
          <w:sz w:val="20"/>
          <w:szCs w:val="20"/>
          <w:color w:val="auto"/>
        </w:rPr>
      </w:pPr>
    </w:p>
    <w:p>
      <w:pPr>
        <w:ind w:left="800" w:right="20" w:hanging="317"/>
        <w:spacing w:after="0" w:line="264" w:lineRule="auto"/>
        <w:tabs>
          <w:tab w:leader="none" w:pos="7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higher net investment spread due to higher average invested long-term assets from funding agreements issued in connection with our institutional spread margin business; and</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lower other expenses due to lower establishment costs.</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66% in the current period compared to 12% in the prior period. Our effective tax rate differs from the statutory tax rate primarily due to the impacts of the dividends received deduction, tax credits and current period non-recurring items. We believe the effective tax rate for Corporate &amp; Other is not generally meaningful, neither on a standalone basis nor for comparison to prior periods, since taxes for Corporate &amp; Other are derived from the difference between the overall consolidated effective tax rate and total taxes for the combined operating segments.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Six Months Ended June 30, 2022 Compared with the Six Months Ended June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a loss of $98 million in the current period, a lower loss of $64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favorable impacts were:</w:t>
      </w:r>
    </w:p>
    <w:p>
      <w:pPr>
        <w:spacing w:after="0" w:line="111" w:lineRule="exact"/>
        <w:rPr>
          <w:sz w:val="20"/>
          <w:szCs w:val="20"/>
          <w:color w:val="auto"/>
        </w:rPr>
      </w:pPr>
    </w:p>
    <w:p>
      <w:pPr>
        <w:ind w:left="800" w:right="20" w:hanging="317"/>
        <w:spacing w:after="0" w:line="264" w:lineRule="auto"/>
        <w:tabs>
          <w:tab w:leader="none" w:pos="7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higher net investment spread due to higher average invested long-term assets from funding agreements issued in connection with our institutional spread margin business; and</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lower other expenses due to lower establishment costs.</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38% in the current period compared to 20% in the prior period. Our effective tax rate differs from the statutory tax rate primarily due to the impacts of the dividends received deduction, tax credits and current period non-recurring items. We believe the effective tax rate for Corporate &amp; Other is not generally meaningful, neither on a standalone basis nor for comparison to prior periods, since taxes for Corporate &amp; Other are derived from the difference between the overall consolidated effective tax rate and total taxes for the combined operating segments.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GMLB Riders for the Three Months and Six Months Ended June 30, 2022 and 2021</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overall impact on income (loss) available to shareholders before provision for income tax from the performance of GMLB Riders, which includes (i) changes in carrying value of the GAAP liabilities, (ii) the mark-to-market of hedges and reinsurance, (iii) fees and (iv) associated DAC offsets,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52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040" w:type="dxa"/>
            <w:vAlign w:val="bottom"/>
            <w:gridSpan w:val="4"/>
          </w:tcPr>
          <w:p>
            <w:pPr>
              <w:jc w:val="right"/>
              <w:ind w:right="562"/>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79"/>
        </w:trPr>
        <w:tc>
          <w:tcPr>
            <w:tcW w:w="63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r>
      <w:tr>
        <w:trPr>
          <w:trHeight w:val="179"/>
        </w:trPr>
        <w:tc>
          <w:tcPr>
            <w:tcW w:w="6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72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2,193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Hedges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(1,140)</w:t>
            </w:r>
          </w:p>
        </w:tc>
      </w:tr>
      <w:tr>
        <w:trPr>
          <w:trHeight w:val="21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Ceded reinsurance</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Fees (1)</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401</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GMLB DAC</w:t>
            </w: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08"/>
        </w:trPr>
        <w:tc>
          <w:tcPr>
            <w:tcW w:w="6320" w:type="dxa"/>
            <w:vAlign w:val="bottom"/>
          </w:tcPr>
          <w:p>
            <w:pPr>
              <w:ind w:left="180"/>
              <w:spacing w:after="0"/>
              <w:rPr>
                <w:sz w:val="20"/>
                <w:szCs w:val="20"/>
                <w:color w:val="auto"/>
              </w:rPr>
            </w:pPr>
            <w:r>
              <w:rPr>
                <w:rFonts w:ascii="Arial" w:cs="Arial" w:eastAsia="Arial" w:hAnsi="Arial"/>
                <w:sz w:val="16"/>
                <w:szCs w:val="16"/>
                <w:color w:val="auto"/>
              </w:rPr>
              <w:t>Total GMLB Riders</w:t>
            </w:r>
          </w:p>
        </w:tc>
        <w:tc>
          <w:tcPr>
            <w:tcW w:w="720" w:type="dxa"/>
            <w:vAlign w:val="bottom"/>
            <w:tcBorders>
              <w:bottom w:val="single" w:sz="8" w:color="auto"/>
            </w:tcBorders>
          </w:tcPr>
          <w:p>
            <w:pPr>
              <w:jc w:val="right"/>
              <w:ind w:right="545"/>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1,832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w:t>
            </w:r>
          </w:p>
        </w:tc>
      </w:tr>
      <w:tr>
        <w:trPr>
          <w:trHeight w:val="20"/>
        </w:trPr>
        <w:tc>
          <w:tcPr>
            <w:tcW w:w="6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Excludes living benefit fees, included as a component of adjusted earnings, of $13 million and $15 million for the three months ended June 30, 2022 and 2021, respectively, and $27 million and $29 million for the six months ended June 30, 2022 and 2021, respectively.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June 30, 2022 Compared with the Three Months Ended June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Comparative results from GMLB Riders were favorable by $2.8 billion, primarily driven by:</w:t>
      </w:r>
    </w:p>
    <w:p>
      <w:pPr>
        <w:spacing w:after="0" w:line="111" w:lineRule="exact"/>
        <w:rPr>
          <w:sz w:val="20"/>
          <w:szCs w:val="20"/>
          <w:color w:val="auto"/>
        </w:rPr>
      </w:pPr>
    </w:p>
    <w:p>
      <w:pPr>
        <w:ind w:left="480" w:right="5840" w:firstLine="3"/>
        <w:spacing w:after="0" w:line="368" w:lineRule="auto"/>
        <w:tabs>
          <w:tab w:leader="none" w:pos="7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favorable changes to the estimated fair value of Shield liabilities; partially offset by</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unfavorable changes to GMLB DAC;</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our GMLB hedges; and</w:t>
      </w:r>
    </w:p>
    <w:p>
      <w:pPr>
        <w:spacing w:after="0" w:line="111" w:lineRule="exact"/>
        <w:rPr>
          <w:rFonts w:ascii="Arial" w:cs="Arial" w:eastAsia="Arial" w:hAnsi="Arial"/>
          <w:sz w:val="18"/>
          <w:szCs w:val="18"/>
          <w:color w:val="auto"/>
        </w:rPr>
      </w:pPr>
    </w:p>
    <w:p>
      <w:pPr>
        <w:ind w:left="480" w:right="4480" w:firstLine="3"/>
        <w:spacing w:after="0" w:line="368" w:lineRule="auto"/>
        <w:tabs>
          <w:tab w:leader="none" w:pos="7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variable annuity liability reserves. Lower equity markets resulted in the following impacts:</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favorable changes to the estimated fair value of Shield liabilities;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favorable changes to the estimated fair value of our GMLB hedges;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800" w:hanging="317"/>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variable annuity liability reserves;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unfavorable changes to GMLB DAC.</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Higher interest rates resulted in the following impacts:</w:t>
      </w:r>
    </w:p>
    <w:p>
      <w:pPr>
        <w:spacing w:after="0" w:line="111" w:lineRule="exact"/>
        <w:rPr>
          <w:sz w:val="20"/>
          <w:szCs w:val="20"/>
          <w:color w:val="auto"/>
        </w:rPr>
      </w:pPr>
    </w:p>
    <w:p>
      <w:pPr>
        <w:ind w:left="480" w:right="4640" w:firstLine="3"/>
        <w:spacing w:after="0" w:line="368" w:lineRule="auto"/>
        <w:tabs>
          <w:tab w:leader="none" w:pos="793"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favorable changes to the estimated fair value of variable annuity liability reserves; partially offset by</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our GMLB hedges;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unfavorable changes to GMLB DAC;</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unfavorable changes in ceded reinsurance;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Shield liabilities.</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The widening of our credit spreads in the current period resulted in a favorable change in the adjustment for nonperformance risk, net of unfavorable changes in GMLB DAC and Shield liabilities.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Six Months Ended June 30, 2022 Compared with the Six Months Ended June 30,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Comparative results from GMLB Riders were favorable by $4.0 billion, primarily driven by:</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65" w:name="page66"/>
    <w:bookmarkEnd w:id="6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0" w:hanging="317"/>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favorable changes to the estimated fair value of Shield liabilities; and</w:t>
      </w:r>
    </w:p>
    <w:p>
      <w:pPr>
        <w:spacing w:after="0" w:line="111" w:lineRule="exact"/>
        <w:rPr>
          <w:rFonts w:ascii="Arial" w:cs="Arial" w:eastAsia="Arial" w:hAnsi="Arial"/>
          <w:sz w:val="18"/>
          <w:szCs w:val="18"/>
          <w:color w:val="auto"/>
        </w:rPr>
      </w:pPr>
    </w:p>
    <w:p>
      <w:pPr>
        <w:ind w:left="480" w:right="5680" w:firstLine="3"/>
        <w:spacing w:after="0" w:line="368" w:lineRule="auto"/>
        <w:tabs>
          <w:tab w:leader="none" w:pos="793"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favorable changes to the estimated fair value of our GMLB hedges; partially offset by</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variable annuity liability reserves;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unfavorable changes to GMLB DAC.</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Lower equity markets resulted in the following impacts:</w:t>
      </w:r>
    </w:p>
    <w:p>
      <w:pPr>
        <w:spacing w:after="0" w:line="111" w:lineRule="exact"/>
        <w:rPr>
          <w:sz w:val="20"/>
          <w:szCs w:val="20"/>
          <w:color w:val="auto"/>
        </w:rPr>
      </w:pPr>
    </w:p>
    <w:p>
      <w:pPr>
        <w:ind w:left="800" w:hanging="317"/>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favorable changes to the estimated fair value of Shield liabilities;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favorable changes to the estimated fair value of our GMLB hedges;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favorable changes in ceded reinsurance;</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800" w:hanging="317"/>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variable annuity liability reserves;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unfavorable changes to GMLB DAC.</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Higher interest rates resulted in the following impacts:</w:t>
      </w:r>
    </w:p>
    <w:p>
      <w:pPr>
        <w:spacing w:after="0" w:line="111" w:lineRule="exact"/>
        <w:rPr>
          <w:sz w:val="20"/>
          <w:szCs w:val="20"/>
          <w:color w:val="auto"/>
        </w:rPr>
      </w:pPr>
    </w:p>
    <w:p>
      <w:pPr>
        <w:ind w:left="800" w:hanging="317"/>
        <w:spacing w:after="0"/>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our GMLB hedges;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Shield liabilities;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unfavorable changes to GMLB DAC;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unfavorable changes in ceded reinsurance;</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800" w:hanging="317"/>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favorable changes to the estimated fair value of variable annuity liability reserves.</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The widening of our credit spreads in the current period resulted in a favorable change in the adjustment for nonperformance risk, net of unfavorable changes in GMLB DAC and Shield liabilities.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Risks</w:t>
      </w:r>
    </w:p>
    <w:p>
      <w:pPr>
        <w:spacing w:after="0" w:line="111"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Our primary investment objective is to optimize risk-adjusted net investment income and risk-adjusted total return while appropriately matching assets and liabilities. In addition, the investment process is designed to ensure that the portfolio has an appropriate level of liquidity, quality and diversification.</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are exposed to the following primary sources of investment risks, which may be heightened or exacerbated by the factors discussed in “Risk Factors</w:t>
      </w:r>
    </w:p>
    <w:p>
      <w:pPr>
        <w:spacing w:after="0" w:line="51" w:lineRule="exact"/>
        <w:rPr>
          <w:sz w:val="20"/>
          <w:szCs w:val="20"/>
          <w:color w:val="auto"/>
        </w:rPr>
      </w:pPr>
    </w:p>
    <w:p>
      <w:pPr>
        <w:spacing w:after="0" w:line="349" w:lineRule="auto"/>
        <w:rPr>
          <w:sz w:val="20"/>
          <w:szCs w:val="20"/>
          <w:color w:val="auto"/>
        </w:rPr>
      </w:pPr>
      <w:r>
        <w:rPr>
          <w:rFonts w:ascii="Arial" w:cs="Arial" w:eastAsia="Arial" w:hAnsi="Arial"/>
          <w:sz w:val="15"/>
          <w:szCs w:val="15"/>
          <w:color w:val="auto"/>
        </w:rPr>
        <w:t>— Risks Related to Our Business — The ongoing COVID-19 pandemic could materially adversely affect our business, financial condition and results of operations, including our capitalization and liquidity” in our 2021 Annual Report and “— Industry Trends and Uncertainties — COVID-19 Pandemic”:</w:t>
      </w:r>
    </w:p>
    <w:p>
      <w:pPr>
        <w:spacing w:after="0" w:line="16" w:lineRule="exact"/>
        <w:rPr>
          <w:sz w:val="20"/>
          <w:szCs w:val="20"/>
          <w:color w:val="auto"/>
        </w:rPr>
      </w:pPr>
    </w:p>
    <w:p>
      <w:pPr>
        <w:ind w:left="640" w:right="20" w:hanging="316"/>
        <w:spacing w:after="0" w:line="264" w:lineRule="auto"/>
        <w:tabs>
          <w:tab w:leader="none" w:pos="635" w:val="left"/>
        </w:tabs>
        <w:numPr>
          <w:ilvl w:val="1"/>
          <w:numId w:val="67"/>
        </w:numPr>
        <w:rPr>
          <w:rFonts w:ascii="Arial" w:cs="Arial" w:eastAsia="Arial" w:hAnsi="Arial"/>
          <w:sz w:val="18"/>
          <w:szCs w:val="18"/>
          <w:color w:val="auto"/>
        </w:rPr>
      </w:pPr>
      <w:r>
        <w:rPr>
          <w:rFonts w:ascii="Arial" w:cs="Arial" w:eastAsia="Arial" w:hAnsi="Arial"/>
          <w:sz w:val="18"/>
          <w:szCs w:val="18"/>
          <w:color w:val="auto"/>
        </w:rPr>
        <w:t>credit risk, relating to the uncertainty associated with the continued ability of a given obligor to make timely payments of principal and interest, which will likely result in a higher allowance for credit losses and write-offs for uncollectible balances for certain investments;</w:t>
      </w:r>
    </w:p>
    <w:p>
      <w:pPr>
        <w:spacing w:after="0" w:line="7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interest rate risk, relating to the market price and cash flow variability associated with changes in market interest rates. Changes in market interest rates will impact the net unrealized gain or loss position of our fixed income investment portfolio and the rates of return we receive on both new funds invested and reinvestment of existing funds;</w:t>
      </w:r>
    </w:p>
    <w:p>
      <w:pPr>
        <w:spacing w:after="0" w:line="82" w:lineRule="exact"/>
        <w:rPr>
          <w:rFonts w:ascii="Arial" w:cs="Arial" w:eastAsia="Arial" w:hAnsi="Arial"/>
          <w:sz w:val="18"/>
          <w:szCs w:val="18"/>
          <w:color w:val="auto"/>
        </w:rPr>
      </w:pPr>
    </w:p>
    <w:p>
      <w:pPr>
        <w:ind w:left="640" w:hanging="316"/>
        <w:spacing w:after="0"/>
        <w:tabs>
          <w:tab w:leader="none" w:pos="640" w:val="left"/>
        </w:tabs>
        <w:numPr>
          <w:ilvl w:val="1"/>
          <w:numId w:val="67"/>
        </w:numPr>
        <w:rPr>
          <w:rFonts w:ascii="Arial" w:cs="Arial" w:eastAsia="Arial" w:hAnsi="Arial"/>
          <w:sz w:val="15"/>
          <w:szCs w:val="15"/>
          <w:color w:val="auto"/>
        </w:rPr>
      </w:pPr>
      <w:r>
        <w:rPr>
          <w:rFonts w:ascii="Arial" w:cs="Arial" w:eastAsia="Arial" w:hAnsi="Arial"/>
          <w:sz w:val="15"/>
          <w:szCs w:val="15"/>
          <w:color w:val="auto"/>
        </w:rPr>
        <w:t>inflation risk, relating to a sustained or material increase in inflation, which could increase realized and unrealized losses or increase expenses;</w:t>
      </w:r>
    </w:p>
    <w:p>
      <w:pPr>
        <w:spacing w:after="0" w:line="145" w:lineRule="exact"/>
        <w:rPr>
          <w:rFonts w:ascii="Arial" w:cs="Arial" w:eastAsia="Arial" w:hAnsi="Arial"/>
          <w:sz w:val="15"/>
          <w:szCs w:val="15"/>
          <w:color w:val="auto"/>
        </w:rPr>
      </w:pPr>
    </w:p>
    <w:p>
      <w:pPr>
        <w:jc w:val="both"/>
        <w:ind w:left="640" w:hanging="316"/>
        <w:spacing w:after="0" w:line="252" w:lineRule="auto"/>
        <w:tabs>
          <w:tab w:leader="none" w:pos="635" w:val="left"/>
        </w:tabs>
        <w:numPr>
          <w:ilvl w:val="1"/>
          <w:numId w:val="67"/>
        </w:numPr>
        <w:rPr>
          <w:rFonts w:ascii="Arial" w:cs="Arial" w:eastAsia="Arial" w:hAnsi="Arial"/>
          <w:sz w:val="18"/>
          <w:szCs w:val="18"/>
          <w:color w:val="auto"/>
        </w:rPr>
      </w:pPr>
      <w:r>
        <w:rPr>
          <w:rFonts w:ascii="Arial" w:cs="Arial" w:eastAsia="Arial" w:hAnsi="Arial"/>
          <w:sz w:val="18"/>
          <w:szCs w:val="18"/>
          <w:color w:val="auto"/>
        </w:rPr>
        <w:t>market valuation risk, relating to the variability in the estimated fair value of investments associated with changes in market factors such as credit spreads and equity market levels. A widening of credit spreads will adversely impact the net unrealized gain (loss) position of the fixed income investment portfolio and will increase losses associated with credit-based non-qualifying derivatives where we assume credit exposure. Credit spread tightening will reduce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net investment income associated with new purchases of fixed maturity securities and will favorably impact the net unrealized gain (loss) position of the fixed income investment portfolio;</w:t>
      </w:r>
    </w:p>
    <w:p>
      <w:pPr>
        <w:spacing w:after="0" w:line="75" w:lineRule="exact"/>
        <w:rPr>
          <w:sz w:val="20"/>
          <w:szCs w:val="20"/>
          <w:color w:val="auto"/>
        </w:rPr>
      </w:pPr>
    </w:p>
    <w:p>
      <w:pPr>
        <w:ind w:left="640" w:hanging="31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liquidity risk, relating to the diminished ability to sell certain investments, in times of strained market conditions;</w:t>
      </w:r>
    </w:p>
    <w:p>
      <w:pPr>
        <w:spacing w:after="0" w:line="111"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real estate risk, relating to commercial, agricultural and residential real estate, and stemming from factors, which include, but are not limited to, market conditions, including the demand and supply of leasable commercial space, creditworthiness of borrowers and their tenants and joint venture partners, capital markets volatility and inherent interest rate movements;</w:t>
      </w:r>
    </w:p>
    <w:p>
      <w:pPr>
        <w:spacing w:after="0" w:line="82" w:lineRule="exact"/>
        <w:rPr>
          <w:rFonts w:ascii="Arial" w:cs="Arial" w:eastAsia="Arial" w:hAnsi="Arial"/>
          <w:sz w:val="18"/>
          <w:szCs w:val="18"/>
          <w:color w:val="auto"/>
        </w:rPr>
      </w:pPr>
    </w:p>
    <w:p>
      <w:pPr>
        <w:ind w:left="640" w:hanging="31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currency risk, relating to the variability in currency exchange rates for non-U.S. dollar denominated investments;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financial and operational risks related to using external investment managers.</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See also “Risk Factors — Economic Environment and Capital Markets-Related Risks — We are exposed to significant financial and capital markets risks which may adversely affect our financial condition, results of operations and liquidity, and may cause our net investment income and our profitability measures to vary from period to period” and “Risk Factors — Investments-Related Risks” in our 2021 Annual Report.</w:t>
      </w:r>
    </w:p>
    <w:p>
      <w:pPr>
        <w:spacing w:after="0" w:line="6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manage these risks through asset-type allocation and industry and issuer diversification. Risk limits are also used to promote diversification by asset sector, avoid concentrations in any single issuer and limit overall aggregate credit and equity risk exposure. Real estate risk is managed through geographic and property type and product type diversification. Interest rate risk is managed as part of our Asset Liability Management (“ALM”) strategies. Product design, such as the use of market value adjustment features and surrender charges, is also utilized to manage interest rate risk. These strategies include maintaining an investment portfolio that targets a weighted average duration that reflects the duration of our estimated liability cash flow profile. For certain of our liability portfolios, it is not possible to invest assets to the full liability duration, thereby creating some asset/liability mismatch. We also use certain derivatives in the management of currency, credit, interest rate, and equity market risks.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than our derivatives trading, which we manage in-house, we have engaged a select group of experienced external asset management firms to manage the investment of the assets comprising our general account portfolio and certain separate account assets of our insurance subsidiaries, as well as assets of BHF and our reinsurance subsidiary BRCD.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Environment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business and results of operations are materially affected by conditions in capital markets and the economy, generally.</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a U.S. insurance company, we are affected by the monetary policy of the Federal Reserve Board (the “Federal Reserve”) in the U.S. The Federal Reserve may increase or decrease the federal funds rate in the future, which, in addition to impacting product sales, may have an impact on the valuation of risk-bearing investments. During the first six months of 2022, the Federal Reserve has increased the target range for the federal funds rate three times — from between 0% and 0.25% to between 0.25% and 0.50% on March 16, 2022; to between 0.75% and 1.00% on May 4, 2022; and to between 1.50% and 1.75% on June 15, 2022. On July 27, 2022, the Federal Reserve further increased the target range for the federal funds rate to between 2.25% and 2.50%. These target range increases have contributed to a decrease in the net unrealized gains in our investment portfolio. We are also affected by the monetary policy of central banks around the world due to the diversification of our investment portfolio.</w:t>
      </w:r>
    </w:p>
    <w:p>
      <w:pPr>
        <w:spacing w:after="0" w:line="7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“Management’s Discussion and Analysis of Financial Condition and Results of Operations — Industry Trends and Uncertainties — Financial and Economic Environment” included in our 2021 Annual Report.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Selected Sector Investments</w:t>
      </w:r>
    </w:p>
    <w:p>
      <w:pPr>
        <w:spacing w:after="0" w:line="111" w:lineRule="exact"/>
        <w:rPr>
          <w:sz w:val="20"/>
          <w:szCs w:val="20"/>
          <w:color w:val="auto"/>
        </w:rPr>
      </w:pPr>
    </w:p>
    <w:p>
      <w:pPr>
        <w:jc w:val="both"/>
        <w:ind w:left="160" w:firstLine="318"/>
        <w:spacing w:after="0" w:line="306" w:lineRule="auto"/>
        <w:rPr>
          <w:sz w:val="20"/>
          <w:szCs w:val="20"/>
          <w:color w:val="auto"/>
        </w:rPr>
      </w:pPr>
      <w:r>
        <w:rPr>
          <w:rFonts w:ascii="Arial" w:cs="Arial" w:eastAsia="Arial" w:hAnsi="Arial"/>
          <w:sz w:val="15"/>
          <w:szCs w:val="15"/>
          <w:color w:val="auto"/>
        </w:rPr>
        <w:t>Recent elevated levels of market volatility have affected the performance of various asset classes. Contributing factors include concerns about energy and oil prices, inflation, geopolitical events, ongoing military actions and the COVID-19 pandemic. See “Risk Factors — Risks Related to Our Business — The ongoing COVID-19 pandemic could materially adversely affect our business, financial condition and results of operations, including our capitalization and liquidity,” “Risk Factors — Economic Environment and Capital Markets-Related Risks — If difficult conditions in the capital markets and the U.S. economy generally persist or are perceived to persist, they may materially adversely affect our business and results of operations,” and “Risk Factors — Investments-Related Risks — Ongoing military actions, the continued threat of terrorism, climate change as well as other catastrophic events may adversely affect the value of our investment portfolio and the level of claim losses we incur” included in our 2021 Annual Report.</w:t>
      </w:r>
    </w:p>
    <w:p>
      <w:pPr>
        <w:spacing w:after="0" w:line="51" w:lineRule="exact"/>
        <w:rPr>
          <w:sz w:val="20"/>
          <w:szCs w:val="20"/>
          <w:color w:val="auto"/>
        </w:rPr>
      </w:pPr>
    </w:p>
    <w:p>
      <w:pPr>
        <w:jc w:val="both"/>
        <w:ind w:left="160" w:right="20" w:firstLine="318"/>
        <w:spacing w:after="0" w:line="264" w:lineRule="auto"/>
        <w:rPr>
          <w:sz w:val="20"/>
          <w:szCs w:val="20"/>
          <w:color w:val="auto"/>
        </w:rPr>
      </w:pPr>
      <w:r>
        <w:rPr>
          <w:rFonts w:ascii="Arial" w:cs="Arial" w:eastAsia="Arial" w:hAnsi="Arial"/>
          <w:sz w:val="18"/>
          <w:szCs w:val="18"/>
          <w:color w:val="auto"/>
        </w:rPr>
        <w:t>During the six months ended June 30, 2022, we sold positions with direct exposure to Russia with an amortized cost of $99 million and recorded a net investment realized loss of $8 million. At June 30, 2022, we did not have any direct exposure to Russia or Ukraine.</w:t>
      </w:r>
    </w:p>
    <w:p>
      <w:pPr>
        <w:spacing w:after="0" w:line="75"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There has been an increased market focus on energy sector investments as a result of energy and oil price volatility due to, among other factors, ongoing geopolitical events. We maintain a diversified energy sector fixed maturity securities portfolio across sub-sectors and issuers. Our exposure to energy sector fixed maturity securities was $2.7 billion, with net unrealized gains (losses) of ($218) million. Of the $2.7 billion exposure to energy sector fixed maturity securities, 89% were investment grade at June 30, 2022.</w:t>
      </w:r>
    </w:p>
    <w:p>
      <w:pPr>
        <w:spacing w:after="0" w:line="85"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There has also been an increased market focus on retail sector investments as a result of the COVID-19 pandemic and uncertainty regarding its duration and severity. Our exposure to retail sector corporate fixed maturity securities was $1.6 billion, with net unrealized gains (losses) of ($157) million. Of the $1.6 billion exposure to retail sector corporate fixed maturity securities, 94% were investment grade at June 30, 2022.</w:t>
      </w:r>
    </w:p>
    <w:p>
      <w:pPr>
        <w:spacing w:after="0" w:line="65"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In addition to the fixed maturity securities discussed above, we have exposure to mortgage loans and certain residential mortgage-backed securities (“RMBS”), commercial mortgage-backed securities (“CMBS”) and asset-backed securities (“ABS”) (collectively, “Structured Securities”) that may be impacted by the COVID-19 pandemic. See “— Investments — Mortgage Loans” and Note 4 of the Notes to the Interim Condensed Consolidated Financial Statements for information on mortgage loans, including credit quality by portfolio segment and commercial mortgage loans by property type. Additionally, see “— Investments — Fixed Maturity Securities Available-for-sale — Structured Securities” for information on Structured Securities, including security type, risk profile and ratings profile.</w:t>
      </w:r>
    </w:p>
    <w:p>
      <w:pPr>
        <w:spacing w:after="0" w:line="90"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We monitor direct and indirect investment exposure across sectors and asset classes and adjust our level of investment exposure, as appropriate. At this time, we do not expect that our general account investments in these sectors and asset classes will have a material adverse effect on our results of operations or financial condition.</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Investment Portfolio Results</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following summary yield table presents the yield and adjusted net investment income for our investment portfolio for the periods indicated. As described below, this table reflects certain differences from the presentation of net investment income presented in the GAAP statement of operations. This summary yield table presentation is consistent with how we measure our investment performance for management purposes, and we believe it enhances understanding of our investment portfolio results.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5"/>
        </w:trPr>
        <w:tc>
          <w:tcPr>
            <w:tcW w:w="32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425"/>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405"/>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79"/>
        </w:trPr>
        <w:tc>
          <w:tcPr>
            <w:tcW w:w="3200" w:type="dxa"/>
            <w:vAlign w:val="bottom"/>
          </w:tcPr>
          <w:p>
            <w:pPr>
              <w:spacing w:after="0"/>
              <w:rPr>
                <w:sz w:val="15"/>
                <w:szCs w:val="15"/>
                <w:color w:val="auto"/>
              </w:rPr>
            </w:pPr>
          </w:p>
        </w:tc>
        <w:tc>
          <w:tcPr>
            <w:tcW w:w="120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r>
      <w:tr>
        <w:trPr>
          <w:trHeight w:val="179"/>
        </w:trPr>
        <w:tc>
          <w:tcPr>
            <w:tcW w:w="3200" w:type="dxa"/>
            <w:vAlign w:val="bottom"/>
          </w:tcPr>
          <w:p>
            <w:pPr>
              <w:spacing w:after="0"/>
              <w:rPr>
                <w:sz w:val="15"/>
                <w:szCs w:val="15"/>
                <w:color w:val="auto"/>
              </w:rPr>
            </w:pPr>
          </w:p>
        </w:tc>
        <w:tc>
          <w:tcPr>
            <w:tcW w:w="10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Yield %</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Yield %</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Yield %</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Yield %</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4"/>
              </w:rPr>
              <w:t>Amount</w:t>
            </w:r>
          </w:p>
        </w:tc>
      </w:tr>
      <w:tr>
        <w:trPr>
          <w:trHeight w:val="179"/>
        </w:trPr>
        <w:tc>
          <w:tcPr>
            <w:tcW w:w="3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4"/>
          </w:tcPr>
          <w:p>
            <w:pPr>
              <w:ind w:left="18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3"/>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 (1)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2,476</w:t>
            </w:r>
          </w:p>
        </w:tc>
      </w:tr>
      <w:tr>
        <w:trPr>
          <w:trHeight w:val="209"/>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fees and expenses (2)</w:t>
            </w:r>
          </w:p>
        </w:tc>
        <w:tc>
          <w:tcPr>
            <w:tcW w:w="96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(0.14)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(0.14)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r>
      <w:tr>
        <w:trPr>
          <w:trHeight w:val="233"/>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investment income (3)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3.92 %</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5.08 %</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2,409</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Investment income yields are calculated as investment income as a percentage of average quarterly asset carrying values. Investment income excludes recognized gains and losses and reflects the adjustments presented in footnote 3 below to arrive at adjusted net investment income. Asset carrying values exclude unrealized gains (losses), collateral received in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connection with our securities lending program, freestanding derivative assets and collateral received from derivative counterparties.</w:t>
      </w:r>
    </w:p>
    <w:p>
      <w:pPr>
        <w:spacing w:after="0" w:line="111" w:lineRule="exact"/>
        <w:rPr>
          <w:sz w:val="20"/>
          <w:szCs w:val="20"/>
          <w:color w:val="auto"/>
        </w:rPr>
      </w:pPr>
    </w:p>
    <w:p>
      <w:pPr>
        <w:jc w:val="both"/>
        <w:ind w:left="320" w:hanging="314"/>
        <w:spacing w:after="0" w:line="255" w:lineRule="auto"/>
        <w:tabs>
          <w:tab w:leader="none" w:pos="314"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Investment fee and expense yields are calculated as investment fees and expenses as a percentage of average quarterly asset estimated fair values. Asset estimated fair values exclude collateral received in connection with our securities lending program, freestanding derivative assets and collateral received from derivative counterparties.</w:t>
      </w:r>
    </w:p>
    <w:p>
      <w:pPr>
        <w:spacing w:after="0" w:line="82"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Adjusted net investment income presented in the yield table varies from the most directly comparable GAAP measure due to certain reclassifications, as presented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980" w:type="dxa"/>
            <w:vAlign w:val="bottom"/>
            <w:gridSpan w:val="4"/>
          </w:tcPr>
          <w:p>
            <w:pPr>
              <w:jc w:val="right"/>
              <w:ind w:right="67"/>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63"/>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67"/>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79"/>
        </w:trPr>
        <w:tc>
          <w:tcPr>
            <w:tcW w:w="63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r>
      <w:tr>
        <w:trPr>
          <w:trHeight w:val="179"/>
        </w:trPr>
        <w:tc>
          <w:tcPr>
            <w:tcW w:w="6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72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1,061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1,212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w:t>
            </w:r>
          </w:p>
        </w:tc>
      </w:tr>
      <w:tr>
        <w:trPr>
          <w:trHeight w:val="21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Investment hedge adjustments</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3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investment income — in the above yield table</w:t>
            </w:r>
          </w:p>
        </w:tc>
        <w:tc>
          <w:tcPr>
            <w:tcW w:w="720" w:type="dxa"/>
            <w:vAlign w:val="bottom"/>
            <w:tcBorders>
              <w:bottom w:val="single" w:sz="8" w:color="auto"/>
            </w:tcBorders>
            <w:shd w:val="clear" w:color="auto" w:fill="CCEEFF"/>
          </w:tcPr>
          <w:p>
            <w:pPr>
              <w:jc w:val="right"/>
              <w:ind w:right="545"/>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1,070</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1,217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2,409</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left="160" w:right="20" w:firstLine="318"/>
        <w:spacing w:after="0" w:line="264" w:lineRule="auto"/>
        <w:rPr>
          <w:sz w:val="20"/>
          <w:szCs w:val="20"/>
          <w:color w:val="auto"/>
        </w:rPr>
      </w:pPr>
      <w:r>
        <w:rPr>
          <w:rFonts w:ascii="Arial" w:cs="Arial" w:eastAsia="Arial" w:hAnsi="Arial"/>
          <w:sz w:val="18"/>
          <w:szCs w:val="18"/>
          <w:color w:val="auto"/>
        </w:rPr>
        <w:t>See “— Results of Operations — Consolidated Results for the Three Months and Six Months Ended June 30, 2022 and 2021 for an analysis of the period over period changes in net investment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Fixed maturity securities held by type (public or private)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June 30, 2022</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3"/>
              </w:rPr>
              <w:t>December 31, 2021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gridSpan w:val="3"/>
          </w:tcPr>
          <w:p>
            <w:pPr>
              <w:ind w:left="200"/>
              <w:spacing w:after="0" w:line="131" w:lineRule="exact"/>
              <w:rPr>
                <w:sz w:val="20"/>
                <w:szCs w:val="20"/>
                <w:color w:val="auto"/>
              </w:rPr>
            </w:pPr>
            <w:r>
              <w:rPr>
                <w:rFonts w:ascii="Arial" w:cs="Arial" w:eastAsia="Arial" w:hAnsi="Arial"/>
                <w:sz w:val="14"/>
                <w:szCs w:val="14"/>
                <w:b w:val="1"/>
                <w:bCs w:val="1"/>
                <w:color w:val="auto"/>
              </w:rPr>
              <w:t>Estimated</w:t>
            </w:r>
          </w:p>
        </w:tc>
        <w:tc>
          <w:tcPr>
            <w:tcW w:w="1100" w:type="dxa"/>
            <w:vAlign w:val="bottom"/>
          </w:tcPr>
          <w:p>
            <w:pPr>
              <w:ind w:left="140"/>
              <w:spacing w:after="0" w:line="131"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20" w:type="dxa"/>
            <w:vAlign w:val="bottom"/>
            <w:gridSpan w:val="3"/>
          </w:tcPr>
          <w:p>
            <w:pPr>
              <w:ind w:left="220"/>
              <w:spacing w:after="0" w:line="131" w:lineRule="exact"/>
              <w:rPr>
                <w:sz w:val="20"/>
                <w:szCs w:val="20"/>
                <w:color w:val="auto"/>
              </w:rPr>
            </w:pPr>
            <w:r>
              <w:rPr>
                <w:rFonts w:ascii="Arial" w:cs="Arial" w:eastAsia="Arial" w:hAnsi="Arial"/>
                <w:sz w:val="14"/>
                <w:szCs w:val="14"/>
                <w:b w:val="1"/>
                <w:bCs w:val="1"/>
                <w:color w:val="auto"/>
              </w:rPr>
              <w:t>Estimated</w:t>
            </w:r>
          </w:p>
        </w:tc>
        <w:tc>
          <w:tcPr>
            <w:tcW w:w="1040" w:type="dxa"/>
            <w:vAlign w:val="bottom"/>
          </w:tcPr>
          <w:p>
            <w:pPr>
              <w:jc w:val="right"/>
              <w:ind w:right="584"/>
              <w:spacing w:after="0" w:line="131"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Fair Value</w:t>
            </w:r>
          </w:p>
        </w:tc>
        <w:tc>
          <w:tcPr>
            <w:tcW w:w="10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4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520" w:type="dxa"/>
            <w:vAlign w:val="bottom"/>
            <w:gridSpan w:val="6"/>
          </w:tcPr>
          <w:p>
            <w:pPr>
              <w:ind w:left="560"/>
              <w:spacing w:after="0"/>
              <w:rPr>
                <w:sz w:val="20"/>
                <w:szCs w:val="20"/>
                <w:color w:val="auto"/>
              </w:rPr>
            </w:pPr>
            <w:r>
              <w:rPr>
                <w:rFonts w:ascii="Arial" w:cs="Arial" w:eastAsia="Arial" w:hAnsi="Arial"/>
                <w:sz w:val="14"/>
                <w:szCs w:val="14"/>
                <w:b w:val="1"/>
                <w:bCs w:val="1"/>
                <w:color w:val="auto"/>
              </w:rPr>
              <w:t>(Dollars in millions)</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Publicly-traded</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65,267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72,925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83.3 %</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Privately-placed</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13,339</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14,657</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33"/>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fixed maturity securities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78,606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87,582</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Percentage of cash and invested assets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Arial" w:cs="Arial" w:eastAsia="Arial" w:hAnsi="Arial"/>
                <w:sz w:val="16"/>
                <w:szCs w:val="16"/>
                <w:color w:val="auto"/>
              </w:rPr>
              <w:t>68.1 %</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Arial" w:cs="Arial" w:eastAsia="Arial" w:hAnsi="Arial"/>
                <w:sz w:val="16"/>
                <w:szCs w:val="16"/>
                <w:color w:val="auto"/>
              </w:rPr>
              <w:t>71.4 %</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See Note 6 of the Notes to the Interim Condensed Consolidated Financial Statements for further information on our valuation controls and procedures including our formal process to challenge any prices received from independent pricing services that are not considered representative of estimated fair value.</w:t>
      </w:r>
    </w:p>
    <w:p>
      <w:pPr>
        <w:spacing w:after="0" w:line="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 4 of the Notes to the Interim Condensed Consolidated Financial Statements for further information about fixed maturity securities by sector, contractual maturities, continuous gross unrealized losses and the allowance for credit losses.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Fixed Maturity Securities Credit Quality — Ratings</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See “Management’s Discussion and Analysis of Financial Condition and Results of Operations — Investments — Fixed Maturity Securities Available-for-sale — Fixed Maturity Securities Credit Quality — Ratings” included in our 2021 Annual Report for a discussion of the credit quality ratings assigned by Nationally Recognized Statistical Rating Organizations (“NRSRO”), credit quality designations assigned by and methodologies used by the Securities Valuation Office of the National Association of Insurance Commissioners (“NAIC”) for fixed maturity securities and the methodologies adopted by the NAIC for certain Structured Securities.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following table presents total fixed maturity securities by NRSRO rating and the applicable NAIC designation from the NAIC published comparison of NRSRO ratings to NAIC designations, except for certain Structured Securities, which are presented using the NAIC methodologies, as well as the percentage, based on estimated fair value that each NAIC designation is comprised of at: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June 30, 2022</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gridSpan w:val="4"/>
          </w:tcPr>
          <w:p>
            <w:pPr>
              <w:ind w:left="100"/>
              <w:spacing w:after="0"/>
              <w:rPr>
                <w:sz w:val="20"/>
                <w:szCs w:val="20"/>
                <w:color w:val="auto"/>
              </w:rPr>
            </w:pPr>
            <w:r>
              <w:rPr>
                <w:rFonts w:ascii="Arial" w:cs="Arial" w:eastAsia="Arial" w:hAnsi="Arial"/>
                <w:sz w:val="11"/>
                <w:szCs w:val="11"/>
                <w:b w:val="1"/>
                <w:bCs w:val="1"/>
                <w:color w:val="auto"/>
              </w:rPr>
              <w:t>December 31, 2021</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NAIC</w:t>
            </w: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860" w:type="dxa"/>
            <w:vAlign w:val="bottom"/>
            <w:gridSpan w:val="2"/>
            <w:vMerge w:val="continue"/>
          </w:tcPr>
          <w:p>
            <w:pPr>
              <w:spacing w:after="0"/>
              <w:rPr>
                <w:sz w:val="8"/>
                <w:szCs w:val="8"/>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NRSRO Rating</w:t>
            </w:r>
          </w:p>
        </w:tc>
        <w:tc>
          <w:tcPr>
            <w:tcW w:w="120" w:type="dxa"/>
            <w:vAlign w:val="bottom"/>
          </w:tcPr>
          <w:p>
            <w:pPr>
              <w:spacing w:after="0"/>
              <w:rPr>
                <w:sz w:val="8"/>
                <w:szCs w:val="8"/>
                <w:color w:val="auto"/>
              </w:rPr>
            </w:pPr>
          </w:p>
        </w:tc>
        <w:tc>
          <w:tcPr>
            <w:tcW w:w="76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8"/>
                <w:szCs w:val="8"/>
                <w:color w:val="auto"/>
              </w:rPr>
            </w:pPr>
          </w:p>
        </w:tc>
        <w:tc>
          <w:tcPr>
            <w:tcW w:w="840" w:type="dxa"/>
            <w:vAlign w:val="bottom"/>
            <w:gridSpan w:val="2"/>
          </w:tcPr>
          <w:p>
            <w:pPr>
              <w:spacing w:after="0" w:line="100" w:lineRule="exact"/>
              <w:rPr>
                <w:sz w:val="20"/>
                <w:szCs w:val="20"/>
                <w:color w:val="auto"/>
              </w:rPr>
            </w:pPr>
            <w:r>
              <w:rPr>
                <w:rFonts w:ascii="Arial" w:cs="Arial" w:eastAsia="Arial" w:hAnsi="Arial"/>
                <w:sz w:val="11"/>
                <w:szCs w:val="11"/>
                <w:b w:val="1"/>
                <w:bCs w:val="1"/>
                <w:color w:val="auto"/>
              </w:rPr>
              <w:t>Allowance for</w:t>
            </w:r>
          </w:p>
        </w:tc>
        <w:tc>
          <w:tcPr>
            <w:tcW w:w="100" w:type="dxa"/>
            <w:vAlign w:val="bottom"/>
          </w:tcPr>
          <w:p>
            <w:pPr>
              <w:spacing w:after="0"/>
              <w:rPr>
                <w:sz w:val="8"/>
                <w:szCs w:val="8"/>
                <w:color w:val="auto"/>
              </w:rPr>
            </w:pPr>
          </w:p>
        </w:tc>
        <w:tc>
          <w:tcPr>
            <w:tcW w:w="880" w:type="dxa"/>
            <w:vAlign w:val="bottom"/>
            <w:gridSpan w:val="2"/>
          </w:tcPr>
          <w:p>
            <w:pPr>
              <w:jc w:val="center"/>
              <w:ind w:right="200"/>
              <w:spacing w:after="0" w:line="100" w:lineRule="exact"/>
              <w:rPr>
                <w:sz w:val="20"/>
                <w:szCs w:val="20"/>
                <w:color w:val="auto"/>
              </w:rPr>
            </w:pPr>
            <w:r>
              <w:rPr>
                <w:rFonts w:ascii="Arial" w:cs="Arial" w:eastAsia="Arial" w:hAnsi="Arial"/>
                <w:sz w:val="11"/>
                <w:szCs w:val="11"/>
                <w:b w:val="1"/>
                <w:bCs w:val="1"/>
                <w:color w:val="auto"/>
                <w:w w:val="86"/>
              </w:rPr>
              <w:t>Unrealized</w:t>
            </w:r>
          </w:p>
        </w:tc>
        <w:tc>
          <w:tcPr>
            <w:tcW w:w="900" w:type="dxa"/>
            <w:vAlign w:val="bottom"/>
            <w:gridSpan w:val="3"/>
          </w:tcPr>
          <w:p>
            <w:pPr>
              <w:jc w:val="center"/>
              <w:ind w:right="100"/>
              <w:spacing w:after="0" w:line="100" w:lineRule="exact"/>
              <w:rPr>
                <w:sz w:val="20"/>
                <w:szCs w:val="20"/>
                <w:color w:val="auto"/>
              </w:rPr>
            </w:pPr>
            <w:r>
              <w:rPr>
                <w:rFonts w:ascii="Arial" w:cs="Arial" w:eastAsia="Arial" w:hAnsi="Arial"/>
                <w:sz w:val="11"/>
                <w:szCs w:val="11"/>
                <w:b w:val="1"/>
                <w:bCs w:val="1"/>
                <w:color w:val="auto"/>
                <w:w w:val="89"/>
              </w:rPr>
              <w:t>Estimated Fair</w:t>
            </w:r>
          </w:p>
        </w:tc>
        <w:tc>
          <w:tcPr>
            <w:tcW w:w="640" w:type="dxa"/>
            <w:vAlign w:val="bottom"/>
          </w:tcPr>
          <w:p>
            <w:pPr>
              <w:jc w:val="right"/>
              <w:ind w:right="100"/>
              <w:spacing w:after="0" w:line="100" w:lineRule="exact"/>
              <w:rPr>
                <w:sz w:val="20"/>
                <w:szCs w:val="20"/>
                <w:color w:val="auto"/>
              </w:rPr>
            </w:pPr>
            <w:r>
              <w:rPr>
                <w:rFonts w:ascii="Arial" w:cs="Arial" w:eastAsia="Arial" w:hAnsi="Arial"/>
                <w:sz w:val="11"/>
                <w:szCs w:val="11"/>
                <w:b w:val="1"/>
                <w:bCs w:val="1"/>
                <w:color w:val="auto"/>
              </w:rPr>
              <w:t>% of</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89"/>
              </w:rPr>
              <w:t>Amortized</w:t>
            </w:r>
          </w:p>
        </w:tc>
        <w:tc>
          <w:tcPr>
            <w:tcW w:w="100" w:type="dxa"/>
            <w:vAlign w:val="bottom"/>
          </w:tcPr>
          <w:p>
            <w:pPr>
              <w:spacing w:after="0"/>
              <w:rPr>
                <w:sz w:val="8"/>
                <w:szCs w:val="8"/>
                <w:color w:val="auto"/>
              </w:rPr>
            </w:pPr>
          </w:p>
        </w:tc>
        <w:tc>
          <w:tcPr>
            <w:tcW w:w="740" w:type="dxa"/>
            <w:vAlign w:val="bottom"/>
          </w:tcPr>
          <w:p>
            <w:pPr>
              <w:jc w:val="right"/>
              <w:ind w:right="40"/>
              <w:spacing w:after="0" w:line="100" w:lineRule="exact"/>
              <w:rPr>
                <w:sz w:val="20"/>
                <w:szCs w:val="20"/>
                <w:color w:val="auto"/>
              </w:rPr>
            </w:pPr>
            <w:r>
              <w:rPr>
                <w:rFonts w:ascii="Arial" w:cs="Arial" w:eastAsia="Arial" w:hAnsi="Arial"/>
                <w:sz w:val="11"/>
                <w:szCs w:val="11"/>
                <w:b w:val="1"/>
                <w:bCs w:val="1"/>
                <w:color w:val="auto"/>
                <w:w w:val="85"/>
              </w:rPr>
              <w:t>Allowance for</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tcPr>
          <w:p>
            <w:pPr>
              <w:jc w:val="center"/>
              <w:ind w:right="260"/>
              <w:spacing w:after="0" w:line="100" w:lineRule="exact"/>
              <w:rPr>
                <w:sz w:val="20"/>
                <w:szCs w:val="20"/>
                <w:color w:val="auto"/>
              </w:rPr>
            </w:pPr>
            <w:r>
              <w:rPr>
                <w:rFonts w:ascii="Arial" w:cs="Arial" w:eastAsia="Arial" w:hAnsi="Arial"/>
                <w:sz w:val="11"/>
                <w:szCs w:val="11"/>
                <w:b w:val="1"/>
                <w:bCs w:val="1"/>
                <w:color w:val="auto"/>
                <w:w w:val="89"/>
              </w:rPr>
              <w:t>Unrealized</w:t>
            </w:r>
          </w:p>
        </w:tc>
        <w:tc>
          <w:tcPr>
            <w:tcW w:w="880" w:type="dxa"/>
            <w:vAlign w:val="bottom"/>
            <w:gridSpan w:val="3"/>
          </w:tcPr>
          <w:p>
            <w:pPr>
              <w:jc w:val="center"/>
              <w:ind w:right="120"/>
              <w:spacing w:after="0" w:line="100" w:lineRule="exact"/>
              <w:rPr>
                <w:sz w:val="20"/>
                <w:szCs w:val="20"/>
                <w:color w:val="auto"/>
              </w:rPr>
            </w:pPr>
            <w:r>
              <w:rPr>
                <w:rFonts w:ascii="Arial" w:cs="Arial" w:eastAsia="Arial" w:hAnsi="Arial"/>
                <w:sz w:val="11"/>
                <w:szCs w:val="11"/>
                <w:b w:val="1"/>
                <w:bCs w:val="1"/>
                <w:color w:val="auto"/>
                <w:w w:val="89"/>
              </w:rPr>
              <w:t>Estimated Fair</w:t>
            </w:r>
          </w:p>
        </w:tc>
        <w:tc>
          <w:tcPr>
            <w:tcW w:w="640" w:type="dxa"/>
            <w:vAlign w:val="bottom"/>
          </w:tcPr>
          <w:p>
            <w:pPr>
              <w:jc w:val="right"/>
              <w:ind w:right="100"/>
              <w:spacing w:after="0" w:line="100" w:lineRule="exact"/>
              <w:rPr>
                <w:sz w:val="20"/>
                <w:szCs w:val="20"/>
                <w:color w:val="auto"/>
              </w:rPr>
            </w:pPr>
            <w:r>
              <w:rPr>
                <w:rFonts w:ascii="Arial" w:cs="Arial" w:eastAsia="Arial" w:hAnsi="Arial"/>
                <w:sz w:val="11"/>
                <w:szCs w:val="11"/>
                <w:b w:val="1"/>
                <w:bCs w:val="1"/>
                <w:color w:val="auto"/>
              </w:rPr>
              <w:t>% of</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5"/>
              </w:rPr>
              <w:t>Designation</w:t>
            </w: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Credit Losses</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Gain (Loss)</w:t>
            </w:r>
          </w:p>
        </w:tc>
        <w:tc>
          <w:tcPr>
            <w:tcW w:w="180" w:type="dxa"/>
            <w:vAlign w:val="bottom"/>
          </w:tcPr>
          <w:p>
            <w:pPr>
              <w:spacing w:after="0"/>
              <w:rPr>
                <w:sz w:val="12"/>
                <w:szCs w:val="12"/>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1"/>
              </w:rPr>
              <w:t>Value</w:t>
            </w:r>
          </w:p>
        </w:tc>
        <w:tc>
          <w:tcPr>
            <w:tcW w:w="640" w:type="dxa"/>
            <w:vAlign w:val="bottom"/>
          </w:tcPr>
          <w:p>
            <w:pPr>
              <w:jc w:val="right"/>
              <w:ind w:right="8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Cost</w:t>
            </w:r>
          </w:p>
        </w:tc>
        <w:tc>
          <w:tcPr>
            <w:tcW w:w="100" w:type="dxa"/>
            <w:vAlign w:val="bottom"/>
          </w:tcPr>
          <w:p>
            <w:pPr>
              <w:spacing w:after="0"/>
              <w:rPr>
                <w:sz w:val="12"/>
                <w:szCs w:val="12"/>
                <w:color w:val="auto"/>
              </w:rPr>
            </w:pPr>
          </w:p>
        </w:tc>
        <w:tc>
          <w:tcPr>
            <w:tcW w:w="740" w:type="dxa"/>
            <w:vAlign w:val="bottom"/>
          </w:tcPr>
          <w:p>
            <w:pPr>
              <w:jc w:val="right"/>
              <w:ind w:right="60"/>
              <w:spacing w:after="0"/>
              <w:rPr>
                <w:sz w:val="20"/>
                <w:szCs w:val="20"/>
                <w:color w:val="auto"/>
              </w:rPr>
            </w:pPr>
            <w:r>
              <w:rPr>
                <w:rFonts w:ascii="Arial" w:cs="Arial" w:eastAsia="Arial" w:hAnsi="Arial"/>
                <w:sz w:val="11"/>
                <w:szCs w:val="11"/>
                <w:b w:val="1"/>
                <w:bCs w:val="1"/>
                <w:color w:val="auto"/>
                <w:w w:val="82"/>
              </w:rPr>
              <w:t>Credit Losses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Gain (Loss)</w:t>
            </w:r>
          </w:p>
        </w:tc>
        <w:tc>
          <w:tcPr>
            <w:tcW w:w="160" w:type="dxa"/>
            <w:vAlign w:val="bottom"/>
          </w:tcPr>
          <w:p>
            <w:pPr>
              <w:spacing w:after="0"/>
              <w:rPr>
                <w:sz w:val="12"/>
                <w:szCs w:val="12"/>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Value</w:t>
            </w:r>
          </w:p>
        </w:tc>
        <w:tc>
          <w:tcPr>
            <w:tcW w:w="640" w:type="dxa"/>
            <w:vAlign w:val="bottom"/>
          </w:tcPr>
          <w:p>
            <w:pPr>
              <w:jc w:val="right"/>
              <w:ind w:right="8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6"/>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6"/>
          </w:tcPr>
          <w:p>
            <w:pPr>
              <w:ind w:left="400"/>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Aaa/Aa/A</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53,390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51,380</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65.4 %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49,729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6,133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55,862</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63.8 %</w:t>
            </w:r>
          </w:p>
        </w:tc>
        <w:tc>
          <w:tcPr>
            <w:tcW w:w="0" w:type="dxa"/>
            <w:vAlign w:val="bottom"/>
          </w:tcPr>
          <w:p>
            <w:pPr>
              <w:spacing w:after="0"/>
              <w:rPr>
                <w:sz w:val="1"/>
                <w:szCs w:val="1"/>
                <w:color w:val="auto"/>
              </w:rPr>
            </w:pPr>
          </w:p>
        </w:tc>
      </w:tr>
      <w:tr>
        <w:trPr>
          <w:trHeight w:val="165"/>
        </w:trPr>
        <w:tc>
          <w:tcPr>
            <w:tcW w:w="760" w:type="dxa"/>
            <w:vAlign w:val="bottom"/>
          </w:tcPr>
          <w:p>
            <w:pPr>
              <w:jc w:val="center"/>
              <w:spacing w:after="0"/>
              <w:rPr>
                <w:sz w:val="20"/>
                <w:szCs w:val="20"/>
                <w:color w:val="auto"/>
              </w:rPr>
            </w:pPr>
            <w:r>
              <w:rPr>
                <w:rFonts w:ascii="Arial" w:cs="Arial" w:eastAsia="Arial" w:hAnsi="Arial"/>
                <w:sz w:val="12"/>
                <w:szCs w:val="12"/>
                <w:color w:val="auto"/>
                <w:w w:val="89"/>
              </w:rPr>
              <w:t>2</w:t>
            </w: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color w:val="auto"/>
              </w:rPr>
              <w:t>Baa</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26,678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(2,599)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24,079</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25,493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2,142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27,635</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Subtotal investment grade</w:t>
            </w: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80,068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(4,609)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75,459</w:t>
            </w:r>
          </w:p>
        </w:tc>
        <w:tc>
          <w:tcPr>
            <w:tcW w:w="1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96.0</w:t>
            </w: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75,222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8,275</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83,497</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95.4</w:t>
            </w:r>
          </w:p>
        </w:tc>
        <w:tc>
          <w:tcPr>
            <w:tcW w:w="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center"/>
              <w:spacing w:after="0"/>
              <w:rPr>
                <w:sz w:val="20"/>
                <w:szCs w:val="20"/>
                <w:color w:val="auto"/>
              </w:rPr>
            </w:pPr>
            <w:r>
              <w:rPr>
                <w:rFonts w:ascii="Arial" w:cs="Arial" w:eastAsia="Arial" w:hAnsi="Arial"/>
                <w:sz w:val="12"/>
                <w:szCs w:val="12"/>
                <w:color w:val="auto"/>
                <w:w w:val="89"/>
              </w:rPr>
              <w:t>3</w:t>
            </w: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color w:val="auto"/>
              </w:rPr>
              <w:t>Ba</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2,710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(288)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2,422</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2,634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2,699</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4</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640</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1,253</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center"/>
              <w:spacing w:after="0"/>
              <w:rPr>
                <w:sz w:val="20"/>
                <w:szCs w:val="20"/>
                <w:color w:val="auto"/>
              </w:rPr>
            </w:pPr>
            <w:r>
              <w:rPr>
                <w:rFonts w:ascii="Arial" w:cs="Arial" w:eastAsia="Arial" w:hAnsi="Arial"/>
                <w:sz w:val="12"/>
                <w:szCs w:val="12"/>
                <w:color w:val="auto"/>
                <w:w w:val="89"/>
              </w:rPr>
              <w:t>5</w:t>
            </w: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color w:val="auto"/>
              </w:rPr>
              <w:t>Caa and lower</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65</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130</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0.1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6</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 or near default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140" w:type="dxa"/>
            <w:vAlign w:val="bottom"/>
            <w:tcBorders>
              <w:bottom w:val="single" w:sz="8" w:color="CCEEFF"/>
            </w:tcBorders>
            <w:gridSpan w:val="4"/>
          </w:tcPr>
          <w:p>
            <w:pPr>
              <w:ind w:left="20"/>
              <w:spacing w:after="0"/>
              <w:rPr>
                <w:sz w:val="20"/>
                <w:szCs w:val="20"/>
                <w:color w:val="auto"/>
              </w:rPr>
            </w:pPr>
            <w:r>
              <w:rPr>
                <w:rFonts w:ascii="Arial" w:cs="Arial" w:eastAsia="Arial" w:hAnsi="Arial"/>
                <w:sz w:val="12"/>
                <w:szCs w:val="12"/>
                <w:color w:val="auto"/>
              </w:rPr>
              <w:t>Subtotal below investment grade</w:t>
            </w: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3,545</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(394)</w:t>
            </w: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3,147</w:t>
            </w:r>
          </w:p>
        </w:tc>
        <w:tc>
          <w:tcPr>
            <w:tcW w:w="12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4.0</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4,024</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72</w:t>
            </w:r>
          </w:p>
        </w:tc>
        <w:tc>
          <w:tcPr>
            <w:tcW w:w="1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4,085</w:t>
            </w:r>
          </w:p>
        </w:tc>
        <w:tc>
          <w:tcPr>
            <w:tcW w:w="10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4.6</w:t>
            </w:r>
          </w:p>
        </w:tc>
        <w:tc>
          <w:tcPr>
            <w:tcW w:w="14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Total fixed maturity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83,613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(5,003)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78,606</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79,246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8,347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87,582</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0" w:type="dxa"/>
            <w:vAlign w:val="bottom"/>
            <w:tcBorders>
              <w:bottom w:val="single" w:sz="8" w:color="auto"/>
            </w:tcBorders>
            <w:gridSpan w:val="14"/>
          </w:tcPr>
          <w:p>
            <w:pPr>
              <w:jc w:val="center"/>
              <w:ind w:right="320"/>
              <w:spacing w:after="0"/>
              <w:rPr>
                <w:sz w:val="20"/>
                <w:szCs w:val="20"/>
                <w:color w:val="auto"/>
              </w:rPr>
            </w:pPr>
            <w:r>
              <w:rPr>
                <w:rFonts w:ascii="Arial" w:cs="Arial" w:eastAsia="Arial" w:hAnsi="Arial"/>
                <w:sz w:val="14"/>
                <w:szCs w:val="14"/>
                <w:b w:val="1"/>
                <w:bCs w:val="1"/>
                <w:color w:val="auto"/>
                <w:w w:val="94"/>
              </w:rPr>
              <w:t>Fixed Maturity Securities — by Sector &amp; Credit Quality Rating</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NAIC Designation</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76"/>
              </w:rPr>
              <w:t>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76"/>
              </w:rPr>
              <w:t>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76"/>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39"/>
        </w:trPr>
        <w:tc>
          <w:tcPr>
            <w:tcW w:w="3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Caa and</w:t>
            </w:r>
          </w:p>
        </w:tc>
        <w:tc>
          <w:tcPr>
            <w:tcW w:w="140" w:type="dxa"/>
            <w:vAlign w:val="bottom"/>
          </w:tcPr>
          <w:p>
            <w:pPr>
              <w:spacing w:after="0"/>
              <w:rPr>
                <w:sz w:val="3"/>
                <w:szCs w:val="3"/>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In or Near</w:t>
            </w:r>
          </w:p>
        </w:tc>
        <w:tc>
          <w:tcPr>
            <w:tcW w:w="1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NRSRO Rating</w:t>
            </w: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Aaa/Aa/A</w:t>
            </w:r>
          </w:p>
        </w:tc>
        <w:tc>
          <w:tcPr>
            <w:tcW w:w="240" w:type="dxa"/>
            <w:vAlign w:val="bottom"/>
          </w:tcPr>
          <w:p>
            <w:pPr>
              <w:spacing w:after="0"/>
              <w:rPr>
                <w:sz w:val="11"/>
                <w:szCs w:val="11"/>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Baa</w:t>
            </w:r>
          </w:p>
        </w:tc>
        <w:tc>
          <w:tcPr>
            <w:tcW w:w="260" w:type="dxa"/>
            <w:vAlign w:val="bottom"/>
          </w:tcPr>
          <w:p>
            <w:pPr>
              <w:spacing w:after="0"/>
              <w:rPr>
                <w:sz w:val="11"/>
                <w:szCs w:val="11"/>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Ba</w:t>
            </w:r>
          </w:p>
        </w:tc>
        <w:tc>
          <w:tcPr>
            <w:tcW w:w="12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B</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42"/>
              <w:spacing w:after="0" w:line="13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85"/>
        </w:trPr>
        <w:tc>
          <w:tcPr>
            <w:tcW w:w="37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Lower</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Default</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9"/>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15,173</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15,777</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1,925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33,472</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corporate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10,547</w:t>
            </w:r>
          </w:p>
        </w:tc>
        <w:tc>
          <w:tcPr>
            <w:tcW w:w="0" w:type="dxa"/>
            <w:vAlign w:val="bottom"/>
          </w:tcPr>
          <w:p>
            <w:pPr>
              <w:spacing w:after="0"/>
              <w:rPr>
                <w:sz w:val="1"/>
                <w:szCs w:val="1"/>
                <w:color w:val="auto"/>
              </w:rPr>
            </w:pPr>
          </w:p>
        </w:tc>
      </w:tr>
      <w:tr>
        <w:trPr>
          <w:trHeight w:val="209"/>
        </w:trPr>
        <w:tc>
          <w:tcPr>
            <w:tcW w:w="3720" w:type="dxa"/>
            <w:vAlign w:val="bottom"/>
          </w:tcPr>
          <w:p>
            <w:pPr>
              <w:ind w:left="20"/>
              <w:spacing w:after="0"/>
              <w:rPr>
                <w:sz w:val="20"/>
                <w:szCs w:val="20"/>
                <w:color w:val="auto"/>
              </w:rPr>
            </w:pPr>
            <w:r>
              <w:rPr>
                <w:rFonts w:ascii="Arial" w:cs="Arial" w:eastAsia="Arial" w:hAnsi="Arial"/>
                <w:sz w:val="16"/>
                <w:szCs w:val="16"/>
                <w:color w:val="auto"/>
              </w:rPr>
              <w:t>U.S. government and agency</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9,607</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RMBS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8,343</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CMBS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6,714</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4,049</w:t>
            </w:r>
          </w:p>
        </w:tc>
        <w:tc>
          <w:tcPr>
            <w:tcW w:w="0" w:type="dxa"/>
            <w:vAlign w:val="bottom"/>
          </w:tcPr>
          <w:p>
            <w:pPr>
              <w:spacing w:after="0"/>
              <w:rPr>
                <w:sz w:val="1"/>
                <w:szCs w:val="1"/>
                <w:color w:val="auto"/>
              </w:rPr>
            </w:pPr>
          </w:p>
        </w:tc>
      </w:tr>
      <w:tr>
        <w:trPr>
          <w:trHeight w:val="209"/>
        </w:trPr>
        <w:tc>
          <w:tcPr>
            <w:tcW w:w="3720" w:type="dxa"/>
            <w:vAlign w:val="bottom"/>
          </w:tcPr>
          <w:p>
            <w:pPr>
              <w:ind w:left="20"/>
              <w:spacing w:after="0"/>
              <w:rPr>
                <w:sz w:val="20"/>
                <w:szCs w:val="20"/>
                <w:color w:val="auto"/>
              </w:rPr>
            </w:pPr>
            <w:r>
              <w:rPr>
                <w:rFonts w:ascii="Arial" w:cs="Arial" w:eastAsia="Arial" w:hAnsi="Arial"/>
                <w:sz w:val="16"/>
                <w:szCs w:val="16"/>
                <w:color w:val="auto"/>
              </w:rPr>
              <w:t>ABS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4,684</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208"/>
        </w:trPr>
        <w:tc>
          <w:tcPr>
            <w:tcW w:w="3720" w:type="dxa"/>
            <w:vAlign w:val="bottom"/>
          </w:tcPr>
          <w:p>
            <w:pPr>
              <w:ind w:left="180"/>
              <w:spacing w:after="0"/>
              <w:rPr>
                <w:sz w:val="20"/>
                <w:szCs w:val="20"/>
                <w:color w:val="auto"/>
              </w:rPr>
            </w:pPr>
            <w:r>
              <w:rPr>
                <w:rFonts w:ascii="Arial" w:cs="Arial" w:eastAsia="Arial" w:hAnsi="Arial"/>
                <w:sz w:val="16"/>
                <w:szCs w:val="16"/>
                <w:color w:val="auto"/>
              </w:rPr>
              <w:t>Total fixed maturity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51,380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24,079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78,606</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December 31, 2021</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17,828</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18,074</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2,008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1,103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39,081</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corporate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11,706</w:t>
            </w:r>
          </w:p>
        </w:tc>
        <w:tc>
          <w:tcPr>
            <w:tcW w:w="0" w:type="dxa"/>
            <w:vAlign w:val="bottom"/>
          </w:tcPr>
          <w:p>
            <w:pPr>
              <w:spacing w:after="0"/>
              <w:rPr>
                <w:sz w:val="1"/>
                <w:szCs w:val="1"/>
                <w:color w:val="auto"/>
              </w:rPr>
            </w:pPr>
          </w:p>
        </w:tc>
      </w:tr>
      <w:tr>
        <w:trPr>
          <w:trHeight w:val="209"/>
        </w:trPr>
        <w:tc>
          <w:tcPr>
            <w:tcW w:w="3720" w:type="dxa"/>
            <w:vAlign w:val="bottom"/>
          </w:tcPr>
          <w:p>
            <w:pPr>
              <w:ind w:left="20"/>
              <w:spacing w:after="0"/>
              <w:rPr>
                <w:sz w:val="20"/>
                <w:szCs w:val="20"/>
                <w:color w:val="auto"/>
              </w:rPr>
            </w:pPr>
            <w:r>
              <w:rPr>
                <w:rFonts w:ascii="Arial" w:cs="Arial" w:eastAsia="Arial" w:hAnsi="Arial"/>
                <w:sz w:val="16"/>
                <w:szCs w:val="16"/>
                <w:color w:val="auto"/>
              </w:rPr>
              <w:t>U.S. government and agency</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9,307</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RMBS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9,259</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CMBS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7,282</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4,835</w:t>
            </w:r>
          </w:p>
        </w:tc>
        <w:tc>
          <w:tcPr>
            <w:tcW w:w="0" w:type="dxa"/>
            <w:vAlign w:val="bottom"/>
          </w:tcPr>
          <w:p>
            <w:pPr>
              <w:spacing w:after="0"/>
              <w:rPr>
                <w:sz w:val="1"/>
                <w:szCs w:val="1"/>
                <w:color w:val="auto"/>
              </w:rPr>
            </w:pPr>
          </w:p>
        </w:tc>
      </w:tr>
      <w:tr>
        <w:trPr>
          <w:trHeight w:val="209"/>
        </w:trPr>
        <w:tc>
          <w:tcPr>
            <w:tcW w:w="3720" w:type="dxa"/>
            <w:vAlign w:val="bottom"/>
          </w:tcPr>
          <w:p>
            <w:pPr>
              <w:ind w:left="20"/>
              <w:spacing w:after="0"/>
              <w:rPr>
                <w:sz w:val="20"/>
                <w:szCs w:val="20"/>
                <w:color w:val="auto"/>
              </w:rPr>
            </w:pPr>
            <w:r>
              <w:rPr>
                <w:rFonts w:ascii="Arial" w:cs="Arial" w:eastAsia="Arial" w:hAnsi="Arial"/>
                <w:sz w:val="16"/>
                <w:szCs w:val="16"/>
                <w:color w:val="auto"/>
              </w:rPr>
              <w:t>ABS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4,280</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0" w:type="dxa"/>
            <w:vAlign w:val="bottom"/>
          </w:tcPr>
          <w:p>
            <w:pPr>
              <w:spacing w:after="0"/>
              <w:rPr>
                <w:sz w:val="1"/>
                <w:szCs w:val="1"/>
                <w:color w:val="auto"/>
              </w:rPr>
            </w:pPr>
          </w:p>
        </w:tc>
      </w:tr>
      <w:tr>
        <w:trPr>
          <w:trHeight w:val="208"/>
        </w:trPr>
        <w:tc>
          <w:tcPr>
            <w:tcW w:w="3720" w:type="dxa"/>
            <w:vAlign w:val="bottom"/>
          </w:tcPr>
          <w:p>
            <w:pPr>
              <w:ind w:left="180"/>
              <w:spacing w:after="0"/>
              <w:rPr>
                <w:sz w:val="20"/>
                <w:szCs w:val="20"/>
                <w:color w:val="auto"/>
              </w:rPr>
            </w:pPr>
            <w:r>
              <w:rPr>
                <w:rFonts w:ascii="Arial" w:cs="Arial" w:eastAsia="Arial" w:hAnsi="Arial"/>
                <w:sz w:val="16"/>
                <w:szCs w:val="16"/>
                <w:color w:val="auto"/>
              </w:rPr>
              <w:t>Total fixed maturity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55,862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27,635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1,253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87,582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U.S. and Foreign Corporate Fixed Maturity Securities</w:t>
      </w:r>
    </w:p>
    <w:p>
      <w:pPr>
        <w:spacing w:after="0" w:line="111"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We maintain a diversified portfolio of corporate fixed maturity securities across industries and issuers. Our portfolio does not have any exposure to any single issuer in excess of 1% of total investments and the top ten holdings in aggregate comprise less than 2% and 2% of total investments at June 30, 2022 and December 31, 2021, respectively. Our U.S. and foreign corporate fixed maturity securities holdings by industry were as follows at: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June 30, 2022</w:t>
            </w: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1"/>
              </w:rPr>
              <w:t>December 31, 2021</w:t>
            </w:r>
          </w:p>
        </w:tc>
        <w:tc>
          <w:tcPr>
            <w:tcW w:w="1020" w:type="dxa"/>
            <w:vAlign w:val="bottom"/>
            <w:tcBorders>
              <w:bottom w:val="single" w:sz="8" w:color="auto"/>
            </w:tcBorders>
          </w:tcPr>
          <w:p>
            <w:pPr>
              <w:spacing w:after="0"/>
              <w:rPr>
                <w:sz w:val="16"/>
                <w:szCs w:val="16"/>
                <w:color w:val="auto"/>
              </w:rPr>
            </w:pPr>
          </w:p>
        </w:tc>
      </w:tr>
      <w:tr>
        <w:trPr>
          <w:trHeight w:val="131"/>
        </w:trPr>
        <w:tc>
          <w:tcPr>
            <w:tcW w:w="4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00" w:type="dxa"/>
            <w:vAlign w:val="bottom"/>
            <w:gridSpan w:val="3"/>
          </w:tcPr>
          <w:p>
            <w:pPr>
              <w:ind w:left="200"/>
              <w:spacing w:after="0" w:line="131" w:lineRule="exact"/>
              <w:rPr>
                <w:sz w:val="20"/>
                <w:szCs w:val="20"/>
                <w:color w:val="auto"/>
              </w:rPr>
            </w:pPr>
            <w:r>
              <w:rPr>
                <w:rFonts w:ascii="Arial" w:cs="Arial" w:eastAsia="Arial" w:hAnsi="Arial"/>
                <w:sz w:val="14"/>
                <w:szCs w:val="14"/>
                <w:b w:val="1"/>
                <w:bCs w:val="1"/>
                <w:color w:val="auto"/>
              </w:rPr>
              <w:t>Estimated</w:t>
            </w:r>
          </w:p>
        </w:tc>
        <w:tc>
          <w:tcPr>
            <w:tcW w:w="1100" w:type="dxa"/>
            <w:vAlign w:val="bottom"/>
          </w:tcPr>
          <w:p>
            <w:pPr>
              <w:ind w:left="120"/>
              <w:spacing w:after="0" w:line="131"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80" w:type="dxa"/>
            <w:vAlign w:val="bottom"/>
            <w:gridSpan w:val="3"/>
          </w:tcPr>
          <w:p>
            <w:pPr>
              <w:ind w:left="180"/>
              <w:spacing w:after="0" w:line="131" w:lineRule="exact"/>
              <w:rPr>
                <w:sz w:val="20"/>
                <w:szCs w:val="20"/>
                <w:color w:val="auto"/>
              </w:rPr>
            </w:pPr>
            <w:r>
              <w:rPr>
                <w:rFonts w:ascii="Arial" w:cs="Arial" w:eastAsia="Arial" w:hAnsi="Arial"/>
                <w:sz w:val="14"/>
                <w:szCs w:val="14"/>
                <w:b w:val="1"/>
                <w:bCs w:val="1"/>
                <w:color w:val="auto"/>
              </w:rPr>
              <w:t>Estimated</w:t>
            </w:r>
          </w:p>
        </w:tc>
        <w:tc>
          <w:tcPr>
            <w:tcW w:w="1020" w:type="dxa"/>
            <w:vAlign w:val="bottom"/>
          </w:tcPr>
          <w:p>
            <w:pPr>
              <w:jc w:val="right"/>
              <w:ind w:right="603"/>
              <w:spacing w:after="0" w:line="131" w:lineRule="exact"/>
              <w:rPr>
                <w:sz w:val="20"/>
                <w:szCs w:val="20"/>
                <w:color w:val="auto"/>
              </w:rPr>
            </w:pPr>
            <w:r>
              <w:rPr>
                <w:rFonts w:ascii="Arial" w:cs="Arial" w:eastAsia="Arial" w:hAnsi="Arial"/>
                <w:sz w:val="14"/>
                <w:szCs w:val="14"/>
                <w:b w:val="1"/>
                <w:bCs w:val="1"/>
                <w:color w:val="auto"/>
              </w:rPr>
              <w:t>% of</w:t>
            </w:r>
          </w:p>
        </w:tc>
      </w:tr>
      <w:tr>
        <w:trPr>
          <w:trHeight w:val="185"/>
        </w:trPr>
        <w:tc>
          <w:tcPr>
            <w:tcW w:w="4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10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Total</w:t>
            </w:r>
          </w:p>
        </w:tc>
      </w:tr>
      <w:tr>
        <w:trPr>
          <w:trHeight w:val="179"/>
        </w:trPr>
        <w:tc>
          <w:tcPr>
            <w:tcW w:w="4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40" w:type="dxa"/>
            <w:vAlign w:val="bottom"/>
            <w:gridSpan w:val="6"/>
          </w:tcPr>
          <w:p>
            <w:pPr>
              <w:ind w:left="540"/>
              <w:spacing w:after="0"/>
              <w:rPr>
                <w:sz w:val="20"/>
                <w:szCs w:val="20"/>
                <w:color w:val="auto"/>
              </w:rPr>
            </w:pPr>
            <w:r>
              <w:rPr>
                <w:rFonts w:ascii="Arial" w:cs="Arial" w:eastAsia="Arial" w:hAnsi="Arial"/>
                <w:sz w:val="14"/>
                <w:szCs w:val="14"/>
                <w:b w:val="1"/>
                <w:bCs w:val="1"/>
                <w:color w:val="auto"/>
              </w:rPr>
              <w:t>(Dollars in millions)</w:t>
            </w:r>
          </w:p>
        </w:tc>
        <w:tc>
          <w:tcPr>
            <w:tcW w:w="1020" w:type="dxa"/>
            <w:vAlign w:val="bottom"/>
          </w:tcPr>
          <w:p>
            <w:pPr>
              <w:spacing w:after="0"/>
              <w:rPr>
                <w:sz w:val="15"/>
                <w:szCs w:val="15"/>
                <w:color w:val="auto"/>
              </w:rPr>
            </w:pPr>
          </w:p>
        </w:tc>
      </w:tr>
      <w:tr>
        <w:trPr>
          <w:trHeight w:val="213"/>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Industrial</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16,131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31.8 %</w:t>
            </w:r>
          </w:p>
        </w:tc>
      </w:tr>
      <w:tr>
        <w:trPr>
          <w:trHeight w:val="209"/>
        </w:trPr>
        <w:tc>
          <w:tcPr>
            <w:tcW w:w="4620" w:type="dxa"/>
            <w:vAlign w:val="bottom"/>
          </w:tcPr>
          <w:p>
            <w:pPr>
              <w:ind w:left="20"/>
              <w:spacing w:after="0"/>
              <w:rPr>
                <w:sz w:val="20"/>
                <w:szCs w:val="20"/>
                <w:color w:val="auto"/>
              </w:rPr>
            </w:pPr>
            <w:r>
              <w:rPr>
                <w:rFonts w:ascii="Arial" w:cs="Arial" w:eastAsia="Arial" w:hAnsi="Arial"/>
                <w:sz w:val="16"/>
                <w:szCs w:val="16"/>
                <w:color w:val="auto"/>
              </w:rPr>
              <w:t>Finance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11,878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ind w:right="123"/>
              <w:spacing w:after="0"/>
              <w:rPr>
                <w:sz w:val="20"/>
                <w:szCs w:val="20"/>
                <w:color w:val="auto"/>
              </w:rPr>
            </w:pPr>
            <w:r>
              <w:rPr>
                <w:rFonts w:ascii="Arial" w:cs="Arial" w:eastAsia="Arial" w:hAnsi="Arial"/>
                <w:sz w:val="16"/>
                <w:szCs w:val="16"/>
                <w:color w:val="auto"/>
              </w:rPr>
              <w:t>27.0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12,430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ind w:right="123"/>
              <w:spacing w:after="0"/>
              <w:rPr>
                <w:sz w:val="20"/>
                <w:szCs w:val="20"/>
                <w:color w:val="auto"/>
              </w:rPr>
            </w:pPr>
            <w:r>
              <w:rPr>
                <w:rFonts w:ascii="Arial" w:cs="Arial" w:eastAsia="Arial" w:hAnsi="Arial"/>
                <w:sz w:val="16"/>
                <w:szCs w:val="16"/>
                <w:color w:val="auto"/>
              </w:rPr>
              <w:t>24.4</w:t>
            </w:r>
          </w:p>
        </w:tc>
      </w:tr>
      <w:tr>
        <w:trPr>
          <w:trHeight w:val="215"/>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11,650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22.9</w:t>
            </w: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Utility</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5,963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ind w:right="123"/>
              <w:spacing w:after="0"/>
              <w:rPr>
                <w:sz w:val="20"/>
                <w:szCs w:val="20"/>
                <w:color w:val="auto"/>
              </w:rPr>
            </w:pPr>
            <w:r>
              <w:rPr>
                <w:rFonts w:ascii="Arial" w:cs="Arial" w:eastAsia="Arial" w:hAnsi="Arial"/>
                <w:sz w:val="16"/>
                <w:szCs w:val="16"/>
                <w:color w:val="auto"/>
              </w:rPr>
              <w:t>13.5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7,146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ind w:right="123"/>
              <w:spacing w:after="0"/>
              <w:rPr>
                <w:sz w:val="20"/>
                <w:szCs w:val="20"/>
                <w:color w:val="auto"/>
              </w:rPr>
            </w:pPr>
            <w:r>
              <w:rPr>
                <w:rFonts w:ascii="Arial" w:cs="Arial" w:eastAsia="Arial" w:hAnsi="Arial"/>
                <w:sz w:val="16"/>
                <w:szCs w:val="16"/>
                <w:color w:val="auto"/>
              </w:rPr>
              <w:t>14.1</w:t>
            </w:r>
          </w:p>
        </w:tc>
      </w:tr>
      <w:tr>
        <w:trPr>
          <w:trHeight w:val="212"/>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2,826</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6.4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3,430</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6.8</w:t>
            </w:r>
          </w:p>
        </w:tc>
      </w:tr>
      <w:tr>
        <w:trPr>
          <w:trHeight w:val="380"/>
        </w:trPr>
        <w:tc>
          <w:tcPr>
            <w:tcW w:w="4620" w:type="dxa"/>
            <w:vAlign w:val="bottom"/>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44,019</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50,787</w:t>
            </w:r>
          </w:p>
        </w:tc>
        <w:tc>
          <w:tcPr>
            <w:tcW w:w="1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Structured Securities</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We held $19.7 billion and $20.8 billion of Structured Securities, at estimated fair value, at June 30, 2022 and December 31, 2021, respectively, as presented in the RMBS, CMBS and ABS sections below.</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RMBS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RMBS holdings are diversified by security type, risk profile and ratings profile, which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96"/>
              </w:rPr>
              <w:t>June 30, 2022</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4"/>
                <w:szCs w:val="14"/>
                <w:b w:val="1"/>
                <w:bCs w:val="1"/>
                <w:color w:val="auto"/>
                <w:w w:val="99"/>
              </w:rPr>
              <w:t>December 31, 2021</w:t>
            </w:r>
          </w:p>
        </w:tc>
        <w:tc>
          <w:tcPr>
            <w:tcW w:w="1160" w:type="dxa"/>
            <w:vAlign w:val="bottom"/>
            <w:tcBorders>
              <w:bottom w:val="single" w:sz="8" w:color="auto"/>
            </w:tcBorders>
          </w:tcPr>
          <w:p>
            <w:pPr>
              <w:spacing w:after="0"/>
              <w:rPr>
                <w:sz w:val="16"/>
                <w:szCs w:val="16"/>
                <w:color w:val="auto"/>
              </w:rPr>
            </w:pPr>
          </w:p>
        </w:tc>
      </w:tr>
      <w:tr>
        <w:trPr>
          <w:trHeight w:val="131"/>
        </w:trPr>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Estimated</w:t>
            </w:r>
          </w:p>
        </w:tc>
        <w:tc>
          <w:tcPr>
            <w:tcW w:w="1220" w:type="dxa"/>
            <w:vAlign w:val="bottom"/>
            <w:gridSpan w:val="2"/>
          </w:tcPr>
          <w:p>
            <w:pPr>
              <w:ind w:left="420"/>
              <w:spacing w:after="0" w:line="131"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1160" w:type="dxa"/>
            <w:vAlign w:val="bottom"/>
          </w:tcPr>
          <w:p>
            <w:pPr>
              <w:ind w:left="60"/>
              <w:spacing w:after="0" w:line="131" w:lineRule="exact"/>
              <w:rPr>
                <w:sz w:val="20"/>
                <w:szCs w:val="20"/>
                <w:color w:val="auto"/>
              </w:rPr>
            </w:pPr>
            <w:r>
              <w:rPr>
                <w:rFonts w:ascii="Arial" w:cs="Arial" w:eastAsia="Arial" w:hAnsi="Arial"/>
                <w:sz w:val="14"/>
                <w:szCs w:val="14"/>
                <w:b w:val="1"/>
                <w:bCs w:val="1"/>
                <w:color w:val="auto"/>
              </w:rPr>
              <w:t>Net Unrealized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Estimated</w:t>
            </w:r>
          </w:p>
        </w:tc>
        <w:tc>
          <w:tcPr>
            <w:tcW w:w="1220" w:type="dxa"/>
            <w:vAlign w:val="bottom"/>
            <w:gridSpan w:val="2"/>
          </w:tcPr>
          <w:p>
            <w:pPr>
              <w:ind w:left="400"/>
              <w:spacing w:after="0" w:line="131"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1160" w:type="dxa"/>
            <w:vAlign w:val="bottom"/>
          </w:tcPr>
          <w:p>
            <w:pPr>
              <w:jc w:val="right"/>
              <w:ind w:right="122"/>
              <w:spacing w:after="0" w:line="131" w:lineRule="exact"/>
              <w:rPr>
                <w:sz w:val="20"/>
                <w:szCs w:val="20"/>
                <w:color w:val="auto"/>
              </w:rPr>
            </w:pPr>
            <w:r>
              <w:rPr>
                <w:rFonts w:ascii="Arial" w:cs="Arial" w:eastAsia="Arial" w:hAnsi="Arial"/>
                <w:sz w:val="14"/>
                <w:szCs w:val="14"/>
                <w:b w:val="1"/>
                <w:bCs w:val="1"/>
                <w:color w:val="auto"/>
                <w:w w:val="96"/>
              </w:rPr>
              <w:t>Net Unrealized</w:t>
            </w:r>
          </w:p>
        </w:tc>
      </w:tr>
      <w:tr>
        <w:trPr>
          <w:trHeight w:val="185"/>
        </w:trPr>
        <w:tc>
          <w:tcPr>
            <w:tcW w:w="3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2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Gains (Losses)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2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1"/>
              </w:rPr>
              <w:t>Gains (Losses)</w:t>
            </w:r>
          </w:p>
        </w:tc>
      </w:tr>
      <w:tr>
        <w:trPr>
          <w:trHeight w:val="179"/>
        </w:trPr>
        <w:tc>
          <w:tcPr>
            <w:tcW w:w="3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5"/>
          </w:tcPr>
          <w:p>
            <w:pPr>
              <w:ind w:left="640"/>
              <w:spacing w:after="0"/>
              <w:rPr>
                <w:sz w:val="20"/>
                <w:szCs w:val="20"/>
                <w:color w:val="auto"/>
              </w:rPr>
            </w:pPr>
            <w:r>
              <w:rPr>
                <w:rFonts w:ascii="Arial" w:cs="Arial" w:eastAsia="Arial" w:hAnsi="Arial"/>
                <w:sz w:val="14"/>
                <w:szCs w:val="14"/>
                <w:b w:val="1"/>
                <w:bCs w:val="1"/>
                <w:color w:val="auto"/>
              </w:rPr>
              <w:t>(Dollars in millions)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3"/>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Security type: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9"/>
        </w:trPr>
        <w:tc>
          <w:tcPr>
            <w:tcW w:w="3900" w:type="dxa"/>
            <w:vAlign w:val="bottom"/>
          </w:tcPr>
          <w:p>
            <w:pPr>
              <w:ind w:left="20"/>
              <w:spacing w:after="0"/>
              <w:rPr>
                <w:sz w:val="20"/>
                <w:szCs w:val="20"/>
                <w:color w:val="auto"/>
              </w:rPr>
            </w:pPr>
            <w:r>
              <w:rPr>
                <w:rFonts w:ascii="Arial" w:cs="Arial" w:eastAsia="Arial" w:hAnsi="Arial"/>
                <w:sz w:val="16"/>
                <w:szCs w:val="16"/>
                <w:color w:val="auto"/>
              </w:rPr>
              <w:t>Pass-through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4,162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49.9 %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4,688</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50.6 %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2"/>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Collateralized mortgage obligations</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4,181</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50.1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4,571</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08"/>
        </w:trPr>
        <w:tc>
          <w:tcPr>
            <w:tcW w:w="3900" w:type="dxa"/>
            <w:vAlign w:val="bottom"/>
          </w:tcPr>
          <w:p>
            <w:pPr>
              <w:ind w:left="180"/>
              <w:spacing w:after="0"/>
              <w:rPr>
                <w:sz w:val="20"/>
                <w:szCs w:val="20"/>
                <w:color w:val="auto"/>
              </w:rPr>
            </w:pPr>
            <w:r>
              <w:rPr>
                <w:rFonts w:ascii="Arial" w:cs="Arial" w:eastAsia="Arial" w:hAnsi="Arial"/>
                <w:sz w:val="16"/>
                <w:szCs w:val="16"/>
                <w:color w:val="auto"/>
              </w:rPr>
              <w:t>Total RMBS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8,343</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9,259</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8"/>
        </w:trPr>
        <w:tc>
          <w:tcPr>
            <w:tcW w:w="39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Risk profile:</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0"/>
        </w:trPr>
        <w:tc>
          <w:tcPr>
            <w:tcW w:w="3900" w:type="dxa"/>
            <w:vAlign w:val="bottom"/>
          </w:tcPr>
          <w:p>
            <w:pPr>
              <w:ind w:left="20"/>
              <w:spacing w:after="0"/>
              <w:rPr>
                <w:sz w:val="20"/>
                <w:szCs w:val="20"/>
                <w:color w:val="auto"/>
              </w:rPr>
            </w:pPr>
            <w:r>
              <w:rPr>
                <w:rFonts w:ascii="Arial" w:cs="Arial" w:eastAsia="Arial" w:hAnsi="Arial"/>
                <w:sz w:val="16"/>
                <w:szCs w:val="16"/>
                <w:color w:val="auto"/>
              </w:rPr>
              <w:t>Agency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6,722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80.6 %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7,563</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81.7 %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15"/>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3900" w:type="dxa"/>
            <w:vAlign w:val="bottom"/>
          </w:tcPr>
          <w:p>
            <w:pPr>
              <w:ind w:left="20"/>
              <w:spacing w:after="0"/>
              <w:rPr>
                <w:sz w:val="20"/>
                <w:szCs w:val="20"/>
                <w:color w:val="auto"/>
              </w:rPr>
            </w:pPr>
            <w:r>
              <w:rPr>
                <w:rFonts w:ascii="Arial" w:cs="Arial" w:eastAsia="Arial" w:hAnsi="Arial"/>
                <w:sz w:val="16"/>
                <w:szCs w:val="16"/>
                <w:color w:val="auto"/>
              </w:rPr>
              <w:t>Alt-A</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18"/>
                <w:szCs w:val="18"/>
                <w:color w:val="auto"/>
              </w:rPr>
            </w:pPr>
          </w:p>
        </w:tc>
        <w:tc>
          <w:tcPr>
            <w:tcW w:w="1100" w:type="dxa"/>
            <w:vAlign w:val="bottom"/>
          </w:tcPr>
          <w:p>
            <w:pPr>
              <w:jc w:val="right"/>
              <w:ind w:right="123"/>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18"/>
                <w:szCs w:val="18"/>
                <w:color w:val="auto"/>
              </w:rPr>
            </w:pPr>
          </w:p>
        </w:tc>
        <w:tc>
          <w:tcPr>
            <w:tcW w:w="1100" w:type="dxa"/>
            <w:vAlign w:val="bottom"/>
          </w:tcPr>
          <w:p>
            <w:pPr>
              <w:jc w:val="right"/>
              <w:ind w:right="123"/>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2"/>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Sub-prime</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08"/>
        </w:trPr>
        <w:tc>
          <w:tcPr>
            <w:tcW w:w="3900" w:type="dxa"/>
            <w:vAlign w:val="bottom"/>
          </w:tcPr>
          <w:p>
            <w:pPr>
              <w:ind w:left="180"/>
              <w:spacing w:after="0"/>
              <w:rPr>
                <w:sz w:val="20"/>
                <w:szCs w:val="20"/>
                <w:color w:val="auto"/>
              </w:rPr>
            </w:pPr>
            <w:r>
              <w:rPr>
                <w:rFonts w:ascii="Arial" w:cs="Arial" w:eastAsia="Arial" w:hAnsi="Arial"/>
                <w:sz w:val="16"/>
                <w:szCs w:val="16"/>
                <w:color w:val="auto"/>
              </w:rPr>
              <w:t>Total RMBS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8,343</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9,259</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8"/>
        </w:trPr>
        <w:tc>
          <w:tcPr>
            <w:tcW w:w="39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Ratings profile:</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0"/>
        </w:trPr>
        <w:tc>
          <w:tcPr>
            <w:tcW w:w="3900" w:type="dxa"/>
            <w:vAlign w:val="bottom"/>
          </w:tcPr>
          <w:p>
            <w:pPr>
              <w:ind w:left="180"/>
              <w:spacing w:after="0"/>
              <w:rPr>
                <w:sz w:val="20"/>
                <w:szCs w:val="20"/>
                <w:color w:val="auto"/>
              </w:rPr>
            </w:pPr>
            <w:r>
              <w:rPr>
                <w:rFonts w:ascii="Arial" w:cs="Arial" w:eastAsia="Arial" w:hAnsi="Arial"/>
                <w:sz w:val="16"/>
                <w:szCs w:val="16"/>
                <w:color w:val="auto"/>
              </w:rPr>
              <w:t>Rated Aaa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7,252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7,905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Designated NAIC 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226"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Historically, our exposure to sub-prime RMBS holdings has been managed by focusing primarily on senior tranche securities, stress-testing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CMBS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CMBS holdings are diversified by vintage year, which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5"/>
          </w:tcPr>
          <w:p>
            <w:pPr>
              <w:ind w:left="1160"/>
              <w:spacing w:after="0"/>
              <w:rPr>
                <w:sz w:val="20"/>
                <w:szCs w:val="20"/>
                <w:color w:val="auto"/>
              </w:rPr>
            </w:pPr>
            <w:r>
              <w:rPr>
                <w:rFonts w:ascii="Arial" w:cs="Arial" w:eastAsia="Arial" w:hAnsi="Arial"/>
                <w:sz w:val="14"/>
                <w:szCs w:val="14"/>
                <w:b w:val="1"/>
                <w:bCs w:val="1"/>
                <w:color w:val="auto"/>
              </w:rPr>
              <w:t>June 30, 2022</w:t>
            </w:r>
          </w:p>
        </w:tc>
        <w:tc>
          <w:tcPr>
            <w:tcW w:w="360" w:type="dxa"/>
            <w:vAlign w:val="bottom"/>
          </w:tcPr>
          <w:p>
            <w:pPr>
              <w:spacing w:after="0"/>
              <w:rPr>
                <w:sz w:val="16"/>
                <w:szCs w:val="16"/>
                <w:color w:val="auto"/>
              </w:rPr>
            </w:pPr>
          </w:p>
        </w:tc>
        <w:tc>
          <w:tcPr>
            <w:tcW w:w="3300" w:type="dxa"/>
            <w:vAlign w:val="bottom"/>
            <w:gridSpan w:val="4"/>
          </w:tcPr>
          <w:p>
            <w:pPr>
              <w:jc w:val="right"/>
              <w:ind w:right="1181"/>
              <w:spacing w:after="0"/>
              <w:rPr>
                <w:sz w:val="20"/>
                <w:szCs w:val="20"/>
                <w:color w:val="auto"/>
              </w:rPr>
            </w:pPr>
            <w:r>
              <w:rPr>
                <w:rFonts w:ascii="Arial" w:cs="Arial" w:eastAsia="Arial" w:hAnsi="Arial"/>
                <w:sz w:val="14"/>
                <w:szCs w:val="14"/>
                <w:b w:val="1"/>
                <w:bCs w:val="1"/>
                <w:color w:val="auto"/>
              </w:rPr>
              <w:t>December 31, 2021</w:t>
            </w:r>
          </w:p>
        </w:tc>
      </w:tr>
      <w:tr>
        <w:trPr>
          <w:trHeight w:val="183"/>
        </w:trPr>
        <w:tc>
          <w:tcPr>
            <w:tcW w:w="38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7"/>
              </w:rPr>
              <w:t>Estimated Fair Value</w:t>
            </w:r>
          </w:p>
        </w:tc>
        <w:tc>
          <w:tcPr>
            <w:tcW w:w="120" w:type="dxa"/>
            <w:vAlign w:val="bottom"/>
            <w:tcBorders>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7"/>
              </w:rPr>
              <w:t>Estimated Fair Value</w:t>
            </w:r>
          </w:p>
        </w:tc>
      </w:tr>
      <w:tr>
        <w:trPr>
          <w:trHeight w:val="179"/>
        </w:trPr>
        <w:tc>
          <w:tcPr>
            <w:tcW w:w="3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13"/>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2003 - 2011</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color w:val="auto"/>
              </w:rPr>
              <w:t>2012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5"/>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2013</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color w:val="auto"/>
              </w:rPr>
              <w:t>2014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334</w:t>
            </w:r>
          </w:p>
        </w:tc>
      </w:tr>
      <w:tr>
        <w:trPr>
          <w:trHeight w:val="214"/>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2015</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2016</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485</w:t>
            </w:r>
          </w:p>
        </w:tc>
      </w:tr>
      <w:tr>
        <w:trPr>
          <w:trHeight w:val="214"/>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2017</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2018</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1,827</w:t>
            </w:r>
          </w:p>
        </w:tc>
      </w:tr>
      <w:tr>
        <w:trPr>
          <w:trHeight w:val="214"/>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w:t>
            </w: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2020</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544</w:t>
            </w:r>
          </w:p>
        </w:tc>
      </w:tr>
      <w:tr>
        <w:trPr>
          <w:trHeight w:val="214"/>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w:t>
            </w: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3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7,282</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estimated fair value of CMBS rated Aaa using rating agency ratings was $4.6 billion, or 68.8% of total CMBS, and designated NAIC 1 was $6.4 billion, or 94.6% of total CMBS, at June 30, 2022. The estimated fair value of CMBS Aaa rating agency ratings was $5.0 billion, or 69.1% of total CMBS, and designated NAIC 1 was $6.9 billion, or 94.5% of total CMBS at December 31, 2021.</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ABS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Our ABS holdings are diversified by both collateral type and issuer. Our ABS holdings by collateral type and ratings profile were as follows at: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1"/>
              </w:rPr>
              <w:t>December 31, 2021</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31"/>
        </w:trPr>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ind w:left="80"/>
              <w:spacing w:after="0" w:line="131" w:lineRule="exact"/>
              <w:rPr>
                <w:sz w:val="20"/>
                <w:szCs w:val="20"/>
                <w:color w:val="auto"/>
              </w:rPr>
            </w:pPr>
            <w:r>
              <w:rPr>
                <w:rFonts w:ascii="Arial" w:cs="Arial" w:eastAsia="Arial" w:hAnsi="Arial"/>
                <w:sz w:val="14"/>
                <w:szCs w:val="14"/>
                <w:b w:val="1"/>
                <w:bCs w:val="1"/>
                <w:color w:val="auto"/>
              </w:rPr>
              <w:t>Estimated</w:t>
            </w:r>
          </w:p>
        </w:tc>
        <w:tc>
          <w:tcPr>
            <w:tcW w:w="1320" w:type="dxa"/>
            <w:vAlign w:val="bottom"/>
            <w:gridSpan w:val="2"/>
          </w:tcPr>
          <w:p>
            <w:pPr>
              <w:ind w:left="460"/>
              <w:spacing w:after="0" w:line="131"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1140" w:type="dxa"/>
            <w:vAlign w:val="bottom"/>
          </w:tcPr>
          <w:p>
            <w:pPr>
              <w:ind w:left="40"/>
              <w:spacing w:after="0" w:line="131" w:lineRule="exact"/>
              <w:rPr>
                <w:sz w:val="20"/>
                <w:szCs w:val="20"/>
                <w:color w:val="auto"/>
              </w:rPr>
            </w:pPr>
            <w:r>
              <w:rPr>
                <w:rFonts w:ascii="Arial" w:cs="Arial" w:eastAsia="Arial" w:hAnsi="Arial"/>
                <w:sz w:val="14"/>
                <w:szCs w:val="14"/>
                <w:b w:val="1"/>
                <w:bCs w:val="1"/>
                <w:color w:val="auto"/>
              </w:rPr>
              <w:t>Net Unrealized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ind w:left="80"/>
              <w:spacing w:after="0" w:line="131" w:lineRule="exact"/>
              <w:rPr>
                <w:sz w:val="20"/>
                <w:szCs w:val="20"/>
                <w:color w:val="auto"/>
              </w:rPr>
            </w:pPr>
            <w:r>
              <w:rPr>
                <w:rFonts w:ascii="Arial" w:cs="Arial" w:eastAsia="Arial" w:hAnsi="Arial"/>
                <w:sz w:val="14"/>
                <w:szCs w:val="14"/>
                <w:b w:val="1"/>
                <w:bCs w:val="1"/>
                <w:color w:val="auto"/>
              </w:rPr>
              <w:t>Estimated</w:t>
            </w:r>
          </w:p>
        </w:tc>
        <w:tc>
          <w:tcPr>
            <w:tcW w:w="1340" w:type="dxa"/>
            <w:vAlign w:val="bottom"/>
            <w:gridSpan w:val="2"/>
          </w:tcPr>
          <w:p>
            <w:pPr>
              <w:ind w:left="460"/>
              <w:spacing w:after="0" w:line="131"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1160" w:type="dxa"/>
            <w:vAlign w:val="bottom"/>
          </w:tcPr>
          <w:p>
            <w:pPr>
              <w:jc w:val="right"/>
              <w:ind w:right="122"/>
              <w:spacing w:after="0" w:line="131" w:lineRule="exact"/>
              <w:rPr>
                <w:sz w:val="20"/>
                <w:szCs w:val="20"/>
                <w:color w:val="auto"/>
              </w:rPr>
            </w:pPr>
            <w:r>
              <w:rPr>
                <w:rFonts w:ascii="Arial" w:cs="Arial" w:eastAsia="Arial" w:hAnsi="Arial"/>
                <w:sz w:val="14"/>
                <w:szCs w:val="14"/>
                <w:b w:val="1"/>
                <w:bCs w:val="1"/>
                <w:color w:val="auto"/>
                <w:w w:val="96"/>
              </w:rPr>
              <w:t>Net Unrealized</w:t>
            </w:r>
          </w:p>
        </w:tc>
      </w:tr>
      <w:tr>
        <w:trPr>
          <w:trHeight w:val="185"/>
        </w:trPr>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Gains (Losses)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34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1"/>
              </w:rPr>
              <w:t>Gains (Losses)</w:t>
            </w:r>
          </w:p>
        </w:tc>
      </w:tr>
      <w:tr>
        <w:trPr>
          <w:trHeight w:val="179"/>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5"/>
          </w:tcPr>
          <w:p>
            <w:pPr>
              <w:ind w:left="600"/>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 type: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color w:val="auto"/>
              </w:rPr>
              <w:t>Collateralized obligations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2,801</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59.8 %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2,659</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62.1 %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Student loans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color w:val="auto"/>
              </w:rPr>
              <w:t>Consumer loans</w:t>
            </w:r>
          </w:p>
        </w:tc>
        <w:tc>
          <w:tcPr>
            <w:tcW w:w="1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Automobile loans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rPr>
              <w:t>Credit card loans</w:t>
            </w:r>
          </w:p>
        </w:tc>
        <w:tc>
          <w:tcPr>
            <w:tcW w:w="1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2"/>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loans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804</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8"/>
        </w:trPr>
        <w:tc>
          <w:tcPr>
            <w:tcW w:w="3500" w:type="dxa"/>
            <w:vAlign w:val="bottom"/>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4,684</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4,280</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8"/>
        </w:trPr>
        <w:tc>
          <w:tcPr>
            <w:tcW w:w="35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Ratings profile:</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0"/>
        </w:trPr>
        <w:tc>
          <w:tcPr>
            <w:tcW w:w="3500" w:type="dxa"/>
            <w:vAlign w:val="bottom"/>
          </w:tcPr>
          <w:p>
            <w:pPr>
              <w:ind w:left="180"/>
              <w:spacing w:after="0"/>
              <w:rPr>
                <w:sz w:val="20"/>
                <w:szCs w:val="20"/>
                <w:color w:val="auto"/>
              </w:rPr>
            </w:pPr>
            <w:r>
              <w:rPr>
                <w:rFonts w:ascii="Arial" w:cs="Arial" w:eastAsia="Arial" w:hAnsi="Arial"/>
                <w:sz w:val="16"/>
                <w:szCs w:val="16"/>
                <w:color w:val="auto"/>
              </w:rPr>
              <w:t>Rated Aaa</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1,928</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1,837</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Designated NAIC 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4,004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 for Fixed Maturity Securities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 4 of the Notes to the Interim Condensed Consolidated Financial Statements for information about the evaluation of fixed maturity securities for an allowance for credit losses or write-offs due to uncollectibility.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The estimated fair value of the securities loaned is monitored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w:t>
      </w:r>
    </w:p>
    <w:p>
      <w:pPr>
        <w:spacing w:after="0" w:line="5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See “— Liquidity and Capital Resources — The Company — Primary Uses of Liquidity and Capital — Securities Lending” and Note 4 of the Notes to the Interim Condensed Consolidated Financial Statements for information regarding our securities lending program.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mortgage loans are principally collateralized by commercial, agricultural and residential properties. Information regarding mortgage loans by portfolio segment is summarized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 2022</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31"/>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3"/>
              </w:rPr>
              <w:t>Amortized</w:t>
            </w:r>
          </w:p>
        </w:tc>
        <w:tc>
          <w:tcPr>
            <w:tcW w:w="1160" w:type="dxa"/>
            <w:vAlign w:val="bottom"/>
            <w:gridSpan w:val="2"/>
          </w:tcPr>
          <w:p>
            <w:pPr>
              <w:ind w:left="380"/>
              <w:spacing w:after="0" w:line="131" w:lineRule="exact"/>
              <w:rPr>
                <w:sz w:val="20"/>
                <w:szCs w:val="20"/>
                <w:color w:val="auto"/>
              </w:rPr>
            </w:pPr>
            <w:r>
              <w:rPr>
                <w:rFonts w:ascii="Arial" w:cs="Arial" w:eastAsia="Arial" w:hAnsi="Arial"/>
                <w:sz w:val="14"/>
                <w:szCs w:val="14"/>
                <w:b w:val="1"/>
                <w:bCs w:val="1"/>
                <w:color w:val="auto"/>
              </w:rPr>
              <w:t>% of</w:t>
            </w:r>
          </w:p>
        </w:tc>
        <w:tc>
          <w:tcPr>
            <w:tcW w:w="96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w w:val="95"/>
              </w:rPr>
              <w:t>Allowance for</w:t>
            </w:r>
          </w:p>
        </w:tc>
        <w:tc>
          <w:tcPr>
            <w:tcW w:w="1220" w:type="dxa"/>
            <w:vAlign w:val="bottom"/>
          </w:tcPr>
          <w:p>
            <w:pPr>
              <w:jc w:val="center"/>
              <w:ind w:left="24"/>
              <w:spacing w:after="0" w:line="131" w:lineRule="exact"/>
              <w:rPr>
                <w:sz w:val="20"/>
                <w:szCs w:val="20"/>
                <w:color w:val="auto"/>
              </w:rPr>
            </w:pPr>
            <w:r>
              <w:rPr>
                <w:rFonts w:ascii="Arial" w:cs="Arial" w:eastAsia="Arial" w:hAnsi="Arial"/>
                <w:sz w:val="14"/>
                <w:szCs w:val="14"/>
                <w:b w:val="1"/>
                <w:bCs w:val="1"/>
                <w:color w:val="auto"/>
                <w:w w:val="94"/>
              </w:rPr>
              <w:t>% of Amortized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3"/>
              </w:rPr>
              <w:t>Amortized</w:t>
            </w:r>
          </w:p>
        </w:tc>
        <w:tc>
          <w:tcPr>
            <w:tcW w:w="1180" w:type="dxa"/>
            <w:vAlign w:val="bottom"/>
            <w:gridSpan w:val="2"/>
          </w:tcPr>
          <w:p>
            <w:pPr>
              <w:ind w:left="400"/>
              <w:spacing w:after="0" w:line="131" w:lineRule="exact"/>
              <w:rPr>
                <w:sz w:val="20"/>
                <w:szCs w:val="20"/>
                <w:color w:val="auto"/>
              </w:rPr>
            </w:pPr>
            <w:r>
              <w:rPr>
                <w:rFonts w:ascii="Arial" w:cs="Arial" w:eastAsia="Arial" w:hAnsi="Arial"/>
                <w:sz w:val="14"/>
                <w:szCs w:val="14"/>
                <w:b w:val="1"/>
                <w:bCs w:val="1"/>
                <w:color w:val="auto"/>
              </w:rPr>
              <w:t>% of</w:t>
            </w:r>
          </w:p>
        </w:tc>
        <w:tc>
          <w:tcPr>
            <w:tcW w:w="98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w w:val="97"/>
              </w:rPr>
              <w:t>Allowance for</w:t>
            </w:r>
          </w:p>
        </w:tc>
        <w:tc>
          <w:tcPr>
            <w:tcW w:w="12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 of Amortized</w:t>
            </w:r>
          </w:p>
        </w:tc>
      </w:tr>
      <w:tr>
        <w:trPr>
          <w:trHeight w:val="185"/>
        </w:trPr>
        <w:tc>
          <w:tcPr>
            <w:tcW w:w="2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Total</w:t>
            </w:r>
          </w:p>
        </w:tc>
        <w:tc>
          <w:tcPr>
            <w:tcW w:w="9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w w:val="92"/>
              </w:rPr>
              <w:t>Credit Losses</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1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w w:val="94"/>
              </w:rPr>
              <w:t>Credit Losses</w:t>
            </w:r>
          </w:p>
        </w:tc>
        <w:tc>
          <w:tcPr>
            <w:tcW w:w="12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Cost</w:t>
            </w:r>
          </w:p>
        </w:tc>
      </w:tr>
      <w:tr>
        <w:trPr>
          <w:trHeight w:val="179"/>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80" w:type="dxa"/>
            <w:vAlign w:val="bottom"/>
            <w:gridSpan w:val="5"/>
          </w:tcPr>
          <w:p>
            <w:pPr>
              <w:ind w:left="68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3"/>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13,046</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5"/>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5"/>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09"/>
        </w:trPr>
        <w:tc>
          <w:tcPr>
            <w:tcW w:w="230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4,144</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19.2 %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15</w:t>
            </w:r>
          </w:p>
        </w:tc>
        <w:tc>
          <w:tcPr>
            <w:tcW w:w="1220" w:type="dxa"/>
            <w:vAlign w:val="bottom"/>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4,163</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20.9 %</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12</w:t>
            </w:r>
          </w:p>
        </w:tc>
        <w:tc>
          <w:tcPr>
            <w:tcW w:w="1200" w:type="dxa"/>
            <w:vAlign w:val="bottom"/>
          </w:tcPr>
          <w:p>
            <w:pPr>
              <w:jc w:val="right"/>
              <w:spacing w:after="0"/>
              <w:rPr>
                <w:sz w:val="20"/>
                <w:szCs w:val="20"/>
                <w:color w:val="auto"/>
              </w:rPr>
            </w:pPr>
            <w:r>
              <w:rPr>
                <w:rFonts w:ascii="Arial" w:cs="Arial" w:eastAsia="Arial" w:hAnsi="Arial"/>
                <w:sz w:val="16"/>
                <w:szCs w:val="16"/>
                <w:color w:val="auto"/>
              </w:rPr>
              <w:t>0.3 %</w:t>
            </w:r>
          </w:p>
        </w:tc>
      </w:tr>
      <w:tr>
        <w:trPr>
          <w:trHeight w:val="212"/>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4,421</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3,623</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18.1 %</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08"/>
        </w:trPr>
        <w:tc>
          <w:tcPr>
            <w:tcW w:w="2300" w:type="dxa"/>
            <w:vAlign w:val="bottom"/>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21,611</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220" w:type="dxa"/>
            <w:vAlign w:val="bottom"/>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19,973</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25"/>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20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0"/>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mortgage loan portfolio is diversified by both geographic region and property type to reduce the risk of concentration. The percentage of our commercial and agricultural mortgage loan portfolios collateralized by properties located in the U.S. were 97% at both June 30, 2022 and December 31, 2021. The remainder was collateralized by properties located outside of the U.S. At June 30, 2022, the carrying value as a percentage of total commercial and agricultural mortgage loans for the top three states in the U.S. was 19% for California, 10% for Texas and 10% for New York. Additionally, we manage risk when originating commercial and agricultural mortgage loans by generally lending up to 75% of the estimated fair value of the underlying real estate collateral.</w:t>
      </w:r>
    </w:p>
    <w:p>
      <w:pPr>
        <w:spacing w:after="0" w:line="9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residential mortgage loan portfolio is managed in a similar manner to reduce risk of concentration. All residential mortgage loans were collateralized by properties located in the U.S. at both June 30, 2022 and December 31, 2021. At June 30, 2022, the carrying value as a percentage of total residential mortgage loans for the top three states in the U.S. was 40% for California, 10% for Florida and 7% for New York.</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i w:val="1"/>
          <w:iCs w:val="1"/>
          <w:color w:val="auto"/>
        </w:rPr>
        <w:t>Commercial Mortgage Loans by Geographic Region and Property Type</w:t>
      </w:r>
      <w:r>
        <w:rPr>
          <w:rFonts w:ascii="Arial" w:cs="Arial" w:eastAsia="Arial" w:hAnsi="Arial"/>
          <w:sz w:val="17"/>
          <w:szCs w:val="17"/>
          <w:color w:val="auto"/>
        </w:rPr>
        <w:t>. Commercial mortgage loans are the largest component of the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asset class. The diversification across geographic regions and property types of commercial mortgage loans was as follows at: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6"/>
              </w:rPr>
              <w:t>June 30, 2022</w:t>
            </w:r>
          </w:p>
        </w:tc>
        <w:tc>
          <w:tcPr>
            <w:tcW w:w="3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85"/>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31"/>
        </w:trPr>
        <w:tc>
          <w:tcPr>
            <w:tcW w:w="5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ind w:left="80"/>
              <w:spacing w:after="0" w:line="131" w:lineRule="exact"/>
              <w:rPr>
                <w:sz w:val="20"/>
                <w:szCs w:val="20"/>
                <w:color w:val="auto"/>
              </w:rPr>
            </w:pPr>
            <w:r>
              <w:rPr>
                <w:rFonts w:ascii="Arial" w:cs="Arial" w:eastAsia="Arial" w:hAnsi="Arial"/>
                <w:sz w:val="14"/>
                <w:szCs w:val="14"/>
                <w:b w:val="1"/>
                <w:bCs w:val="1"/>
                <w:color w:val="auto"/>
                <w:w w:val="94"/>
              </w:rPr>
              <w:t>% of</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1440" w:type="dxa"/>
            <w:vAlign w:val="bottom"/>
          </w:tcPr>
          <w:p>
            <w:pPr>
              <w:jc w:val="right"/>
              <w:ind w:right="505"/>
              <w:spacing w:after="0" w:line="131"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5"/>
        </w:trPr>
        <w:tc>
          <w:tcPr>
            <w:tcW w:w="5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9"/>
              </w:rPr>
              <w:t>Total</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5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80" w:type="dxa"/>
            <w:vAlign w:val="bottom"/>
            <w:gridSpan w:val="4"/>
          </w:tcPr>
          <w:p>
            <w:pPr>
              <w:jc w:val="right"/>
              <w:ind w:right="681"/>
              <w:spacing w:after="0"/>
              <w:rPr>
                <w:sz w:val="20"/>
                <w:szCs w:val="20"/>
                <w:color w:val="auto"/>
              </w:rPr>
            </w:pPr>
            <w:r>
              <w:rPr>
                <w:rFonts w:ascii="Arial" w:cs="Arial" w:eastAsia="Arial" w:hAnsi="Arial"/>
                <w:sz w:val="14"/>
                <w:szCs w:val="14"/>
                <w:b w:val="1"/>
                <w:bCs w:val="1"/>
                <w:color w:val="auto"/>
                <w:w w:val="92"/>
              </w:rPr>
              <w:t>(Dollars in millions)</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Geographic region:</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Pacific</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2,785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21.3 %</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2,601</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21.3 %</w:t>
            </w: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Atlantic</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2,383</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6"/>
                <w:szCs w:val="16"/>
                <w:color w:val="auto"/>
              </w:rPr>
              <w:t>Middle Atlantic</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2,311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2,115</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West South Central</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1,425</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Mountain</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1,062</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England</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789</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East North Central</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717</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495</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6"/>
                <w:szCs w:val="16"/>
                <w:color w:val="auto"/>
              </w:rPr>
              <w:t>West North Central</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318</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5"/>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East South Central</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Multi-region and Other</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28"/>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recorded investment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8"/>
              </w:rPr>
              <w:t>100.0 %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12,187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allowance for credit losses</w:t>
            </w: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ind w:right="1"/>
              <w:spacing w:after="0"/>
              <w:rPr>
                <w:sz w:val="20"/>
                <w:szCs w:val="20"/>
                <w:color w:val="auto"/>
              </w:rPr>
            </w:pPr>
            <w:r>
              <w:rPr>
                <w:rFonts w:ascii="Arial" w:cs="Arial" w:eastAsia="Arial" w:hAnsi="Arial"/>
                <w:sz w:val="16"/>
                <w:szCs w:val="16"/>
                <w:color w:val="auto"/>
              </w:rPr>
              <w:t>67</w:t>
            </w: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42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420" w:type="dxa"/>
            <w:vAlign w:val="bottom"/>
            <w:tcBorders>
              <w:bottom w:val="single" w:sz="8" w:color="CCEEFF"/>
            </w:tcBorders>
            <w:shd w:val="clear" w:color="auto" w:fill="CCEEFF"/>
          </w:tcPr>
          <w:p>
            <w:pPr>
              <w:ind w:left="180"/>
              <w:spacing w:after="0" w:line="206" w:lineRule="exact"/>
              <w:rPr>
                <w:sz w:val="20"/>
                <w:szCs w:val="20"/>
                <w:color w:val="auto"/>
              </w:rPr>
            </w:pPr>
            <w:r>
              <w:rPr>
                <w:rFonts w:ascii="Arial" w:cs="Arial" w:eastAsia="Arial" w:hAnsi="Arial"/>
                <w:sz w:val="18"/>
                <w:szCs w:val="18"/>
                <w:color w:val="auto"/>
              </w:rPr>
              <w:t>Carrying value, net of allowance for credit losses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13,002</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12,120</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Property type: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Apartment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3,895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32.0 %</w:t>
            </w: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6"/>
                <w:szCs w:val="16"/>
                <w:color w:val="auto"/>
              </w:rPr>
              <w:t>Office</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3,530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3,566</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15"/>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1,863</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Industrial</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1,847</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Hotel</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8"/>
        </w:trPr>
        <w:tc>
          <w:tcPr>
            <w:tcW w:w="5420" w:type="dxa"/>
            <w:vAlign w:val="bottom"/>
          </w:tcPr>
          <w:p>
            <w:pPr>
              <w:ind w:left="20"/>
              <w:spacing w:after="0"/>
              <w:rPr>
                <w:sz w:val="20"/>
                <w:szCs w:val="20"/>
                <w:color w:val="auto"/>
              </w:rPr>
            </w:pPr>
            <w:r>
              <w:rPr>
                <w:rFonts w:ascii="Arial" w:cs="Arial" w:eastAsia="Arial" w:hAnsi="Arial"/>
                <w:sz w:val="16"/>
                <w:szCs w:val="16"/>
                <w:color w:val="auto"/>
              </w:rPr>
              <w:t>Total recorded investment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13,046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8"/>
              </w:rPr>
              <w:t>100.0 %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12,187</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2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Less: allowance for credit losses</w:t>
            </w: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
              <w:spacing w:after="0" w:line="176" w:lineRule="exact"/>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420" w:type="dxa"/>
            <w:vAlign w:val="bottom"/>
          </w:tcPr>
          <w:p>
            <w:pPr>
              <w:ind w:left="180"/>
              <w:spacing w:after="0"/>
              <w:rPr>
                <w:sz w:val="20"/>
                <w:szCs w:val="20"/>
                <w:color w:val="auto"/>
              </w:rPr>
            </w:pPr>
            <w:r>
              <w:rPr>
                <w:rFonts w:ascii="Arial" w:cs="Arial" w:eastAsia="Arial" w:hAnsi="Arial"/>
                <w:sz w:val="16"/>
                <w:szCs w:val="16"/>
                <w:color w:val="auto"/>
              </w:rPr>
              <w:t>Carrying value, net of allowance for credit losses</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12,120</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Mortgage Loan Credit Quality — Monitoring Process. </w:t>
      </w:r>
      <w:r>
        <w:rPr>
          <w:rFonts w:ascii="Arial" w:cs="Arial" w:eastAsia="Arial" w:hAnsi="Arial"/>
          <w:sz w:val="18"/>
          <w:szCs w:val="18"/>
          <w:color w:val="auto"/>
        </w:rPr>
        <w:t>Our mortgage loan investments are monitored on an ongoing basis, including a review of loans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current, past due, restructured and under foreclosure. Quarterly, we conduct a formal review of the portfolio with our investment managers. See Note 4 of the Notes to the Interim Condensed Consolidated Financial Statements for information on mortgage loans by credit quality indicator, past due status, nonaccrual status and modified mortgage loans.</w:t>
      </w:r>
    </w:p>
    <w:p>
      <w:pPr>
        <w:spacing w:after="0" w:line="8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commercial mortgage loans are reviewed on an ongoing basis. These reviews may include an analysis of the property financial statements and rent roll, lease rollover analysis, property inspections, market analysis, estimated valuations of the underlying collateral, loan-to-value ratios, debt-service coverage ratios and tenant creditworthiness. The monitoring process focuses on higher risk loans, which include those that are classified as restructured, delinquent or in foreclosure, as well as loans with higher loan-to-value ratios and lower debt-service coverage ratios. The monitoring process for agricultural mortgage loans is generally similar, with a focus on higher risk loans, such as loans with higher loan-to-value ratios, including reviews on a geographic and sector basis. Our residential mortgage loans are reviewed on an ongoing basis. See Note 4 of the Notes to the Interim Condensed Consolidated Financial Statements for information on our evaluation of residential mortgage loans and related measurement of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Loan-to-value ratios and debt-service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debt-service coverage ratio compares a property’s net operating income to amounts needed to service the principal and interest due under the loan. Generally, the lower the debt-service coverage ratio, the higher the risk of experiencing a credit loss. For our commercial mortgage loans, our average loan-to-value ratio was 58% at both June 30, 2022 and December 31, 2021, and our average debt-service coverage ratio was 2.2x at both June 30, 2022 and December 31, 2021. The debt-service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48% and 46% at June 30, 2022 and December 31, 2021, respectively. The values utilized in calculating the agricultural mortgage loan loan-to-value ratio are developed in connection with the ongoing review of the agricultural loan portfolio and are routinely updated.</w:t>
      </w:r>
    </w:p>
    <w:p>
      <w:pPr>
        <w:spacing w:after="0" w:line="27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i w:val="1"/>
          <w:iCs w:val="1"/>
          <w:color w:val="auto"/>
        </w:rPr>
        <w:t xml:space="preserve">Loan Modifications Related to the COVID-19 Pandemic. </w:t>
      </w:r>
      <w:r>
        <w:rPr>
          <w:rFonts w:ascii="Arial" w:cs="Arial" w:eastAsia="Arial" w:hAnsi="Arial"/>
          <w:sz w:val="15"/>
          <w:szCs w:val="15"/>
          <w:color w:val="auto"/>
        </w:rPr>
        <w:t>Our investment managers’ underwriting and credit management practices are proactively refined</w:t>
      </w:r>
      <w:r>
        <w:rPr>
          <w:rFonts w:ascii="Arial" w:cs="Arial" w:eastAsia="Arial" w:hAnsi="Arial"/>
          <w:sz w:val="15"/>
          <w:szCs w:val="15"/>
          <w:i w:val="1"/>
          <w:iCs w:val="1"/>
          <w:color w:val="auto"/>
        </w:rPr>
        <w:t xml:space="preserve"> </w:t>
      </w:r>
      <w:r>
        <w:rPr>
          <w:rFonts w:ascii="Arial" w:cs="Arial" w:eastAsia="Arial" w:hAnsi="Arial"/>
          <w:sz w:val="15"/>
          <w:szCs w:val="15"/>
          <w:color w:val="auto"/>
        </w:rPr>
        <w:t>to meet the changing economic environment. Since March 1, 2020, we have completed loan modifications and have provided waivers to certain covenants, including the furniture, fixture and expense reserves, tenant rent payment deferrals or lease modifications, rate reductions, maturity date extensions, and other actions with a number of our borrowers impacted by the COVID-19 pandemic. A subset of these modifications included short-term principal and interest forbearance. At June 30, 2022, the recorded investment on mortgage loans where borrowers were offered debt-service forbearance and were not making payments was $6 million, comprised entirely of residential mortgage loans. At December 31, 2021, the recorded investment on mortgage loans where borrowers were offered debt-service forbearance and were not making payments was $55 million, comprised of $31 million of agricultural mortgage loans and $24 million of residential mortgage loans. These types of modifications are generally not considered troubled debt restructurings (“TDR”) due to certain relief granted by U.S. federal legislation in March 2020. For more information on TDRs, see Note 4 to the Interim Condensed Consolidated Financial Statements.</w:t>
      </w:r>
    </w:p>
    <w:p>
      <w:pPr>
        <w:spacing w:after="0" w:line="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Mortgage Loan Allowance for Credit Losses</w:t>
      </w:r>
      <w:r>
        <w:rPr>
          <w:rFonts w:ascii="Arial" w:cs="Arial" w:eastAsia="Arial" w:hAnsi="Arial"/>
          <w:sz w:val="18"/>
          <w:szCs w:val="18"/>
          <w:color w:val="auto"/>
        </w:rPr>
        <w:t>. See Notes 4 and 6 of the Notes to the Interim Condensed Consolidated Financial Statements for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about how the allowance for credit losses is established and monitored, as well as activity in and balances of the allowance for credit losses for the six months ended June 30, 2022 and 2021.</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Partnerships and Limited Liability Companies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values of our limited partnerships and LLCs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4"/>
                <w:szCs w:val="14"/>
                <w:b w:val="1"/>
                <w:bCs w:val="1"/>
                <w:color w:val="auto"/>
              </w:rPr>
              <w:t>December 31, 2021</w:t>
            </w:r>
          </w:p>
        </w:tc>
      </w:tr>
      <w:tr>
        <w:trPr>
          <w:trHeight w:val="183"/>
        </w:trPr>
        <w:tc>
          <w:tcPr>
            <w:tcW w:w="7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gridSpan w:val="3"/>
          </w:tcPr>
          <w:p>
            <w:pPr>
              <w:jc w:val="right"/>
              <w:ind w:right="443"/>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5"/>
                <w:szCs w:val="15"/>
                <w:color w:val="auto"/>
              </w:rPr>
            </w:pPr>
          </w:p>
        </w:tc>
      </w:tr>
      <w:tr>
        <w:trPr>
          <w:trHeight w:val="213"/>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limited partnerships</w:t>
            </w:r>
          </w:p>
        </w:tc>
        <w:tc>
          <w:tcPr>
            <w:tcW w:w="1320" w:type="dxa"/>
            <w:vAlign w:val="bottom"/>
            <w:shd w:val="clear" w:color="auto" w:fill="CCEEFF"/>
          </w:tcPr>
          <w:p>
            <w:pPr>
              <w:jc w:val="right"/>
              <w:ind w:right="1143"/>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4,037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3"/>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3,786</w:t>
            </w:r>
          </w:p>
        </w:tc>
      </w:tr>
      <w:tr>
        <w:trPr>
          <w:trHeight w:val="21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Real estate limited partnerships and LLCs (1)</w:t>
            </w: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r>
      <w:tr>
        <w:trPr>
          <w:trHeight w:val="233"/>
        </w:trPr>
        <w:tc>
          <w:tcPr>
            <w:tcW w:w="7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shd w:val="clear" w:color="auto" w:fill="CCEEFF"/>
          </w:tcPr>
          <w:p>
            <w:pPr>
              <w:jc w:val="right"/>
              <w:ind w:right="114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4,683</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63"/>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4,271</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estimated fair value of real estate limited partnerships and LLCs was $785 million and $595 million at June 30, 2022 and December 31, 2021, respectively.</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Cash distributions on these investments are generated from investment gains, operating income from the underlying investments of the funds and liquidation of the underlying investments of the funds. We estimate that the underlying investment of the private equity funds will typically be liquidated over the next 10 to 20 years.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 of our other invested assets by type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8"/>
              </w:rPr>
              <w:t>June 30, 2022</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1"/>
              </w:rPr>
              <w:t>December 31, 2021</w:t>
            </w:r>
          </w:p>
        </w:tc>
        <w:tc>
          <w:tcPr>
            <w:tcW w:w="940" w:type="dxa"/>
            <w:vAlign w:val="bottom"/>
            <w:tcBorders>
              <w:bottom w:val="single" w:sz="8" w:color="auto"/>
            </w:tcBorders>
          </w:tcPr>
          <w:p>
            <w:pPr>
              <w:spacing w:after="0"/>
              <w:rPr>
                <w:sz w:val="16"/>
                <w:szCs w:val="16"/>
                <w:color w:val="auto"/>
              </w:rPr>
            </w:pPr>
          </w:p>
        </w:tc>
      </w:tr>
      <w:tr>
        <w:trPr>
          <w:trHeight w:val="131"/>
        </w:trPr>
        <w:tc>
          <w:tcPr>
            <w:tcW w:w="4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gridSpan w:val="3"/>
          </w:tcPr>
          <w:p>
            <w:pPr>
              <w:jc w:val="center"/>
              <w:ind w:right="900"/>
              <w:spacing w:after="0" w:line="131" w:lineRule="exact"/>
              <w:rPr>
                <w:sz w:val="20"/>
                <w:szCs w:val="20"/>
                <w:color w:val="auto"/>
              </w:rPr>
            </w:pPr>
            <w:r>
              <w:rPr>
                <w:rFonts w:ascii="Arial" w:cs="Arial" w:eastAsia="Arial" w:hAnsi="Arial"/>
                <w:sz w:val="14"/>
                <w:szCs w:val="14"/>
                <w:b w:val="1"/>
                <w:bCs w:val="1"/>
                <w:color w:val="auto"/>
                <w:w w:val="97"/>
              </w:rPr>
              <w:t>Carrying</w:t>
            </w:r>
          </w:p>
        </w:tc>
        <w:tc>
          <w:tcPr>
            <w:tcW w:w="1020" w:type="dxa"/>
            <w:vAlign w:val="bottom"/>
          </w:tcPr>
          <w:p>
            <w:pPr>
              <w:ind w:left="100"/>
              <w:spacing w:after="0" w:line="131"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80" w:type="dxa"/>
            <w:vAlign w:val="bottom"/>
            <w:gridSpan w:val="3"/>
          </w:tcPr>
          <w:p>
            <w:pPr>
              <w:jc w:val="center"/>
              <w:ind w:right="980"/>
              <w:spacing w:after="0" w:line="131" w:lineRule="exact"/>
              <w:rPr>
                <w:sz w:val="20"/>
                <w:szCs w:val="20"/>
                <w:color w:val="auto"/>
              </w:rPr>
            </w:pPr>
            <w:r>
              <w:rPr>
                <w:rFonts w:ascii="Arial" w:cs="Arial" w:eastAsia="Arial" w:hAnsi="Arial"/>
                <w:sz w:val="14"/>
                <w:szCs w:val="14"/>
                <w:b w:val="1"/>
                <w:bCs w:val="1"/>
                <w:color w:val="auto"/>
                <w:w w:val="93"/>
              </w:rPr>
              <w:t>Carrying</w:t>
            </w:r>
          </w:p>
        </w:tc>
        <w:tc>
          <w:tcPr>
            <w:tcW w:w="940" w:type="dxa"/>
            <w:vAlign w:val="bottom"/>
          </w:tcPr>
          <w:p>
            <w:pPr>
              <w:jc w:val="right"/>
              <w:ind w:right="543"/>
              <w:spacing w:after="0" w:line="131" w:lineRule="exact"/>
              <w:rPr>
                <w:sz w:val="20"/>
                <w:szCs w:val="20"/>
                <w:color w:val="auto"/>
              </w:rPr>
            </w:pPr>
            <w:r>
              <w:rPr>
                <w:rFonts w:ascii="Arial" w:cs="Arial" w:eastAsia="Arial" w:hAnsi="Arial"/>
                <w:sz w:val="14"/>
                <w:szCs w:val="14"/>
                <w:b w:val="1"/>
                <w:bCs w:val="1"/>
                <w:color w:val="auto"/>
              </w:rPr>
              <w:t>% of</w:t>
            </w:r>
          </w:p>
        </w:tc>
      </w:tr>
      <w:tr>
        <w:trPr>
          <w:trHeight w:val="185"/>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right="88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right="980"/>
              <w:spacing w:after="0"/>
              <w:rPr>
                <w:sz w:val="20"/>
                <w:szCs w:val="20"/>
                <w:color w:val="auto"/>
              </w:rPr>
            </w:pPr>
            <w:r>
              <w:rPr>
                <w:rFonts w:ascii="Arial" w:cs="Arial" w:eastAsia="Arial" w:hAnsi="Arial"/>
                <w:sz w:val="14"/>
                <w:szCs w:val="14"/>
                <w:b w:val="1"/>
                <w:bCs w:val="1"/>
                <w:color w:val="auto"/>
                <w:w w:val="90"/>
              </w:rPr>
              <w:t>Value</w:t>
            </w:r>
          </w:p>
        </w:tc>
        <w:tc>
          <w:tcPr>
            <w:tcW w:w="9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w w:val="89"/>
              </w:rPr>
              <w:t>Total</w:t>
            </w:r>
          </w:p>
        </w:tc>
      </w:tr>
      <w:tr>
        <w:trPr>
          <w:trHeight w:val="179"/>
        </w:trPr>
        <w:tc>
          <w:tcPr>
            <w:tcW w:w="4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80" w:type="dxa"/>
            <w:vAlign w:val="bottom"/>
            <w:gridSpan w:val="6"/>
          </w:tcPr>
          <w:p>
            <w:pPr>
              <w:ind w:left="48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spacing w:after="0"/>
              <w:rPr>
                <w:sz w:val="15"/>
                <w:szCs w:val="15"/>
                <w:color w:val="auto"/>
              </w:rPr>
            </w:pPr>
          </w:p>
        </w:tc>
      </w:tr>
      <w:tr>
        <w:trPr>
          <w:trHeight w:val="425"/>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Freestanding derivatives with positive estimated fair values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3,095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92.5 %</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94.3 %</w:t>
            </w:r>
          </w:p>
        </w:tc>
      </w:tr>
      <w:tr>
        <w:trPr>
          <w:trHeight w:val="210"/>
        </w:trPr>
        <w:tc>
          <w:tcPr>
            <w:tcW w:w="4980" w:type="dxa"/>
            <w:vAlign w:val="bottom"/>
          </w:tcPr>
          <w:p>
            <w:pPr>
              <w:ind w:left="20"/>
              <w:spacing w:after="0"/>
              <w:rPr>
                <w:sz w:val="20"/>
                <w:szCs w:val="20"/>
                <w:color w:val="auto"/>
              </w:rPr>
            </w:pPr>
            <w:r>
              <w:rPr>
                <w:rFonts w:ascii="Arial" w:cs="Arial" w:eastAsia="Arial" w:hAnsi="Arial"/>
                <w:sz w:val="16"/>
                <w:szCs w:val="16"/>
                <w:color w:val="auto"/>
              </w:rPr>
              <w:t>FHLB Stock</w:t>
            </w:r>
          </w:p>
        </w:tc>
        <w:tc>
          <w:tcPr>
            <w:tcW w:w="26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03"/>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ind w:right="123"/>
              <w:spacing w:after="0"/>
              <w:rPr>
                <w:sz w:val="20"/>
                <w:szCs w:val="20"/>
                <w:color w:val="auto"/>
              </w:rPr>
            </w:pPr>
            <w:r>
              <w:rPr>
                <w:rFonts w:ascii="Arial" w:cs="Arial" w:eastAsia="Arial" w:hAnsi="Arial"/>
                <w:sz w:val="16"/>
                <w:szCs w:val="16"/>
                <w:color w:val="auto"/>
              </w:rPr>
              <w:t>2.1</w:t>
            </w:r>
          </w:p>
        </w:tc>
      </w:tr>
      <w:tr>
        <w:trPr>
          <w:trHeight w:val="214"/>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credit and renewable energy partnerships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1.8</w:t>
            </w:r>
          </w:p>
        </w:tc>
      </w:tr>
      <w:tr>
        <w:trPr>
          <w:trHeight w:val="209"/>
        </w:trPr>
        <w:tc>
          <w:tcPr>
            <w:tcW w:w="4980" w:type="dxa"/>
            <w:vAlign w:val="bottom"/>
          </w:tcPr>
          <w:p>
            <w:pPr>
              <w:ind w:left="20"/>
              <w:spacing w:after="0"/>
              <w:rPr>
                <w:sz w:val="20"/>
                <w:szCs w:val="20"/>
                <w:color w:val="auto"/>
              </w:rPr>
            </w:pPr>
            <w:r>
              <w:rPr>
                <w:rFonts w:ascii="Arial" w:cs="Arial" w:eastAsia="Arial" w:hAnsi="Arial"/>
                <w:sz w:val="16"/>
                <w:szCs w:val="16"/>
                <w:color w:val="auto"/>
              </w:rPr>
              <w:t>Leveraged leases, net of non-recourse debt</w:t>
            </w:r>
          </w:p>
        </w:tc>
        <w:tc>
          <w:tcPr>
            <w:tcW w:w="26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03"/>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ind w:right="123"/>
              <w:spacing w:after="0"/>
              <w:rPr>
                <w:sz w:val="20"/>
                <w:szCs w:val="20"/>
                <w:color w:val="auto"/>
              </w:rPr>
            </w:pPr>
            <w:r>
              <w:rPr>
                <w:rFonts w:ascii="Arial" w:cs="Arial" w:eastAsia="Arial" w:hAnsi="Arial"/>
                <w:sz w:val="16"/>
                <w:szCs w:val="16"/>
                <w:color w:val="auto"/>
              </w:rPr>
              <w:t>1.5</w:t>
            </w:r>
          </w:p>
        </w:tc>
      </w:tr>
      <w:tr>
        <w:trPr>
          <w:trHeight w:val="212"/>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0.3</w:t>
            </w:r>
          </w:p>
        </w:tc>
      </w:tr>
      <w:tr>
        <w:trPr>
          <w:trHeight w:val="208"/>
        </w:trPr>
        <w:tc>
          <w:tcPr>
            <w:tcW w:w="4980" w:type="dxa"/>
            <w:vAlign w:val="bottom"/>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3,345</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3,316</w:t>
            </w:r>
          </w:p>
        </w:tc>
        <w:tc>
          <w:tcPr>
            <w:tcW w:w="120" w:type="dxa"/>
            <w:vAlign w:val="bottom"/>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Risks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exposed to various risks relating to our ongoing business operations, including interest rate, foreign currency exchange rate, credit and equity market. We use a variety of strategies to manage these risks, including the use of derivatives. See Note 5 of the Notes to the Interim Condensed Consolidated Financial Statements:</w:t>
      </w:r>
    </w:p>
    <w:p>
      <w:pPr>
        <w:spacing w:after="0" w:line="82" w:lineRule="exact"/>
        <w:rPr>
          <w:sz w:val="20"/>
          <w:szCs w:val="20"/>
          <w:color w:val="auto"/>
        </w:rPr>
      </w:pPr>
    </w:p>
    <w:p>
      <w:pPr>
        <w:ind w:left="640" w:hanging="316"/>
        <w:spacing w:after="0" w:line="264"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Information about the gross notional amount, estimated fair value, and primary underlying risk exposure of our derivatives by type of hedge designation, excluding embedded derivatives held at June 30, 2022 and December 31, 2021.</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statement of operations effects of derivatives in cash flow, fair value, or non-qualifying hedge relationships for the three months and six months ended June 30, 2022 and 2021.</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See “Business — Segments and Corporate &amp; Other — Annuities,” “Management’s Discussion and Analysis of Financial Condition and Results of Operations — Risk Management Strategies — ULSG Market Risk Exposure Management” and “Management’s Discussion and Analysis of Financial Condition and Results of Operations — Results of Operations — Annual Actuarial Review” included in our 2021 Annual Report for more information about our use of derivatives by major hedging programs.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Note 6 of the Notes to the Interim Condensed Consolidated Financial Statements for derivatives measured at estimated fair value on a recurring basis and their corresponding fair value hierarchy, as well as a rollforward of the fair value measurements for derivatives measured at estimated fair value on a recurring basis using significant unobservable (Level 3) inputs as discussed below.</w:t>
      </w:r>
    </w:p>
    <w:p>
      <w:pPr>
        <w:spacing w:after="0" w:line="8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spacing w:after="0" w:line="4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Derivatives categorized as Level 3 at June 30, 2022 include: credit default swaps priced using unobservable credit spreads, or that are priced through independent broker quotations; equity variance swaps with unobservable volatility inputs; foreign currency swaps with certain unobservable inputs and equity index options with unobservable correlation inputs.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Note 5 of the Notes to the Interim Condensed Consolidated Financial Statements for information about how we manage credit risk related to derivatives and for the estimated fair value of our net derivative assets and net derivative liabilities after the application of master netting agreements and collateral.</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Derivatives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gross notional amount and estimated fair value of credit default swaps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745"/>
              <w:spacing w:after="0"/>
              <w:rPr>
                <w:sz w:val="20"/>
                <w:szCs w:val="20"/>
                <w:color w:val="auto"/>
              </w:rPr>
            </w:pPr>
            <w:r>
              <w:rPr>
                <w:rFonts w:ascii="Arial" w:cs="Arial" w:eastAsia="Arial" w:hAnsi="Arial"/>
                <w:sz w:val="14"/>
                <w:szCs w:val="14"/>
                <w:b w:val="1"/>
                <w:bCs w:val="1"/>
                <w:color w:val="auto"/>
              </w:rPr>
              <w:t>June 30, 2022</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964"/>
              <w:spacing w:after="0"/>
              <w:rPr>
                <w:sz w:val="20"/>
                <w:szCs w:val="20"/>
                <w:color w:val="auto"/>
              </w:rPr>
            </w:pPr>
            <w:r>
              <w:rPr>
                <w:rFonts w:ascii="Arial" w:cs="Arial" w:eastAsia="Arial" w:hAnsi="Arial"/>
                <w:sz w:val="14"/>
                <w:szCs w:val="14"/>
                <w:b w:val="1"/>
                <w:bCs w:val="1"/>
                <w:color w:val="auto"/>
              </w:rPr>
              <w:t>December 31, 2021</w:t>
            </w:r>
          </w:p>
        </w:tc>
      </w:tr>
      <w:tr>
        <w:trPr>
          <w:trHeight w:val="131"/>
        </w:trPr>
        <w:tc>
          <w:tcPr>
            <w:tcW w:w="4700" w:type="dxa"/>
            <w:vAlign w:val="bottom"/>
          </w:tcPr>
          <w:p>
            <w:pPr>
              <w:spacing w:after="0"/>
              <w:rPr>
                <w:sz w:val="11"/>
                <w:szCs w:val="11"/>
                <w:color w:val="auto"/>
              </w:rPr>
            </w:pPr>
          </w:p>
        </w:tc>
        <w:tc>
          <w:tcPr>
            <w:tcW w:w="1660" w:type="dxa"/>
            <w:vAlign w:val="bottom"/>
            <w:gridSpan w:val="3"/>
          </w:tcPr>
          <w:p>
            <w:pPr>
              <w:ind w:left="340"/>
              <w:spacing w:after="0" w:line="131" w:lineRule="exact"/>
              <w:rPr>
                <w:sz w:val="20"/>
                <w:szCs w:val="20"/>
                <w:color w:val="auto"/>
              </w:rPr>
            </w:pPr>
            <w:r>
              <w:rPr>
                <w:rFonts w:ascii="Arial" w:cs="Arial" w:eastAsia="Arial" w:hAnsi="Arial"/>
                <w:sz w:val="14"/>
                <w:szCs w:val="14"/>
                <w:b w:val="1"/>
                <w:bCs w:val="1"/>
                <w:color w:val="auto"/>
              </w:rPr>
              <w:t>Gross Notional</w:t>
            </w:r>
          </w:p>
        </w:tc>
        <w:tc>
          <w:tcPr>
            <w:tcW w:w="1180" w:type="dxa"/>
            <w:vAlign w:val="bottom"/>
          </w:tcPr>
          <w:p>
            <w:pPr>
              <w:jc w:val="right"/>
              <w:ind w:right="25"/>
              <w:spacing w:after="0" w:line="131" w:lineRule="exact"/>
              <w:rPr>
                <w:sz w:val="20"/>
                <w:szCs w:val="20"/>
                <w:color w:val="auto"/>
              </w:rPr>
            </w:pPr>
            <w:r>
              <w:rPr>
                <w:rFonts w:ascii="Arial" w:cs="Arial" w:eastAsia="Arial" w:hAnsi="Arial"/>
                <w:sz w:val="14"/>
                <w:szCs w:val="14"/>
                <w:b w:val="1"/>
                <w:bCs w:val="1"/>
                <w:color w:val="auto"/>
              </w:rPr>
              <w:t>Estimated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2"/>
          </w:tcPr>
          <w:p>
            <w:pPr>
              <w:jc w:val="center"/>
              <w:ind w:right="440"/>
              <w:spacing w:after="0" w:line="131" w:lineRule="exact"/>
              <w:rPr>
                <w:sz w:val="20"/>
                <w:szCs w:val="20"/>
                <w:color w:val="auto"/>
              </w:rPr>
            </w:pPr>
            <w:r>
              <w:rPr>
                <w:rFonts w:ascii="Arial" w:cs="Arial" w:eastAsia="Arial" w:hAnsi="Arial"/>
                <w:sz w:val="14"/>
                <w:szCs w:val="14"/>
                <w:b w:val="1"/>
                <w:bCs w:val="1"/>
                <w:color w:val="auto"/>
                <w:w w:val="89"/>
              </w:rPr>
              <w:t>Gross Notional</w:t>
            </w:r>
          </w:p>
        </w:tc>
        <w:tc>
          <w:tcPr>
            <w:tcW w:w="280" w:type="dxa"/>
            <w:vAlign w:val="bottom"/>
          </w:tcPr>
          <w:p>
            <w:pPr>
              <w:spacing w:after="0"/>
              <w:rPr>
                <w:sz w:val="11"/>
                <w:szCs w:val="11"/>
                <w:color w:val="auto"/>
              </w:rPr>
            </w:pPr>
          </w:p>
        </w:tc>
        <w:tc>
          <w:tcPr>
            <w:tcW w:w="1280" w:type="dxa"/>
            <w:vAlign w:val="bottom"/>
          </w:tcPr>
          <w:p>
            <w:pPr>
              <w:jc w:val="right"/>
              <w:ind w:right="404"/>
              <w:spacing w:after="0" w:line="131" w:lineRule="exact"/>
              <w:rPr>
                <w:sz w:val="20"/>
                <w:szCs w:val="20"/>
                <w:color w:val="auto"/>
              </w:rPr>
            </w:pPr>
            <w:r>
              <w:rPr>
                <w:rFonts w:ascii="Arial" w:cs="Arial" w:eastAsia="Arial" w:hAnsi="Arial"/>
                <w:sz w:val="14"/>
                <w:szCs w:val="14"/>
                <w:b w:val="1"/>
                <w:bCs w:val="1"/>
                <w:color w:val="auto"/>
              </w:rPr>
              <w:t>Estimated</w:t>
            </w:r>
          </w:p>
        </w:tc>
      </w:tr>
      <w:tr>
        <w:trPr>
          <w:trHeight w:val="185"/>
        </w:trPr>
        <w:tc>
          <w:tcPr>
            <w:tcW w:w="47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Fair Value</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Fair Value</w:t>
            </w:r>
          </w:p>
        </w:tc>
      </w:tr>
      <w:tr>
        <w:trPr>
          <w:trHeight w:val="179"/>
        </w:trPr>
        <w:tc>
          <w:tcPr>
            <w:tcW w:w="4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w w:val="91"/>
              </w:rPr>
              <w:t>(In millions)</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Written</w:t>
            </w:r>
          </w:p>
        </w:tc>
        <w:tc>
          <w:tcPr>
            <w:tcW w:w="1080" w:type="dxa"/>
            <w:vAlign w:val="bottom"/>
            <w:shd w:val="clear" w:color="auto" w:fill="CCEEFF"/>
          </w:tcPr>
          <w:p>
            <w:pPr>
              <w:jc w:val="right"/>
              <w:ind w:right="90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1,923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5"/>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1,724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Purchased</w:t>
            </w: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080" w:type="dxa"/>
            <w:vAlign w:val="bottom"/>
            <w:shd w:val="clear" w:color="auto" w:fill="CCEEFF"/>
          </w:tcPr>
          <w:p>
            <w:pPr>
              <w:jc w:val="right"/>
              <w:ind w:right="90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1,923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05"/>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1,724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This can expose the Company to changes in credit spreads as the written credit default swap tenor is shorter than the maturity of Treasury bonds.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See Note 6 of the Notes to the Interim Condensed Consolidated Financial Statements for (i) information about embedded derivatives measured at estimated fair value on a recurring basis and their corresponding fair value hierarchy and (ii) a rollforward of the fair value measurements for net embedded derivatives measured at estimated fair value on a recurring basis using significant unobservable (Level 3) inputs.</w:t>
      </w:r>
    </w:p>
    <w:p>
      <w:pPr>
        <w:spacing w:after="0" w:line="6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 5 of the Notes to the Interim Condensed Consolidated Financial Statements for information about the nonperformance risk adjustment included in the valuation of guaranteed minimum benefits (“GMxB”) accounted for as embedded derivatives.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Policyholder Liabilities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establish, and carry as liabilities, actuarially determined amounts that are calculated to meet policy obligations or to provide for future annuity and life insurance benefit payments. Amounts for actuarial liabilities are computed and reported in the financial statements in conformity with GAAP. See “Management’s Discussion and Analysis of Financial Condition and Results of Operations — Summary of Critical Accounting Estimates” included in our 2021 Annual Report for more details on policyholder liabilities. Except as otherwise discussed below, there have been no material changes to our policyholder liabilities.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Policy Benefits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establish liabilities for amounts payable under insurance policies. See Note 3 of the Notes to the Interim Condensed Consolidated Financial Statements. A discussion of future policy benefits by segment, as well as Corporate &amp; Other, can be found in “Management’s Discussion and Analysis of Financial Condition and Results of Operations — Policyholder Liabilities” included in our 2021 Annual Report.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Policyholder Account Balances</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Policyholder account balances are generally equal to the account value, which includes accrued interest credited, but excludes the impact of any applicable charge that may be incurred upon surrender. See Note 3 of the Notes to the Interim Condensed Consolidated Financial Statements. A discussion of policyholder account balances by segment, as well as Corporate &amp; Other, can be found in “Management’s Discussion and Analysis of Financial Condition and Results of Operations — Policyholder Liabilities” included in our 2021 Annual Report. Policyholder account balances also include amounts associated with funding agreements issued in connection with our institutional spread margin business. See “— Liquidity and Capital Resources — The Company — Primary Sources of Liquidity and Capital — Funding Sources — Funding Agreements.”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Annuity Guarantees</w:t>
      </w:r>
    </w:p>
    <w:p>
      <w:pPr>
        <w:spacing w:after="0" w:line="11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issue certain variable annuity products with guaranteed minimum benefits that provide the policyholder a minimum return based on their initial deposit (the “Benefit Base”) less withdrawals. In some cases, the Benefit Base may be increased by additional deposits, bonus amounts, accruals or optional market value step-ups. See Note 3 of the Notes to the Interim Condensed Consolidated Financial Statements. See also “Quantitative and Qualitative Disclosures About Market Risk — Market Risk - Fair Value Exposures — Interest Rates” and “Business — Segments and Corporate &amp; Other — Annuities — Products — Variable Annuities” included in our 2021 Annual Report for additional information.</w:t>
      </w:r>
    </w:p>
    <w:p>
      <w:pPr>
        <w:spacing w:after="0" w:line="75" w:lineRule="exact"/>
        <w:rPr>
          <w:sz w:val="20"/>
          <w:szCs w:val="20"/>
          <w:color w:val="auto"/>
        </w:rPr>
      </w:pPr>
    </w:p>
    <w:p>
      <w:pPr>
        <w:ind w:right="660" w:firstLine="318"/>
        <w:spacing w:after="0" w:line="368" w:lineRule="auto"/>
        <w:rPr>
          <w:sz w:val="20"/>
          <w:szCs w:val="20"/>
          <w:color w:val="auto"/>
        </w:rPr>
      </w:pPr>
      <w:r>
        <w:rPr>
          <w:rFonts w:ascii="Arial" w:cs="Arial" w:eastAsia="Arial" w:hAnsi="Arial"/>
          <w:sz w:val="18"/>
          <w:szCs w:val="18"/>
          <w:color w:val="auto"/>
        </w:rPr>
        <w:t xml:space="preserve">Select information that management considers relevant to understanding our variable annuity risk management strategy has been included below. </w:t>
      </w:r>
      <w:r>
        <w:rPr>
          <w:rFonts w:ascii="Arial" w:cs="Arial" w:eastAsia="Arial" w:hAnsi="Arial"/>
          <w:sz w:val="18"/>
          <w:szCs w:val="18"/>
          <w:b w:val="1"/>
          <w:bCs w:val="1"/>
          <w:i w:val="1"/>
          <w:iCs w:val="1"/>
          <w:color w:val="auto"/>
        </w:rPr>
        <w:t>Net Amount at Risk</w:t>
      </w:r>
    </w:p>
    <w:p>
      <w:pPr>
        <w:spacing w:after="0" w:line="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net amount at risk (“NAR”) for the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 may not be annuitized until after the waiting period of the contract.</w:t>
      </w:r>
    </w:p>
    <w:p>
      <w:pPr>
        <w:spacing w:after="0" w:line="7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NAR for the guaranteed minimum withdrawal benefits (“GMWB”) is the amount of guaranteed benefits in excess of the account values (if any) as of the balance sheet date and assumes utilization of benefits by all contract holders as of the balance sheet date. Only a small portion of the Benefit Base is available for withdrawal on an annual basis.</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NAR for the guaranteed minimum accumulation benefits (“GMAB”) is the amount of guaranteed benefits in excess of the account values (if any) as of the balance sheet date and assumes utilization of benefits by all contract holders as of the balance sheet. The NAR for the GMAB is not available until the GMAB maturity date</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NAR for the GMDB is the amount of death benefit in excess of the account value (if any) as of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variable annuity account value and NAR by type of GMxB were as follows at:</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4"/>
                <w:szCs w:val="14"/>
                <w:b w:val="1"/>
                <w:bCs w:val="1"/>
                <w:color w:val="auto"/>
              </w:rPr>
              <w:t>June 30, 2022 (1)</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4"/>
                <w:szCs w:val="14"/>
                <w:b w:val="1"/>
                <w:bCs w:val="1"/>
                <w:color w:val="auto"/>
              </w:rPr>
              <w:t>December 31, 2021 (1)</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89"/>
              </w:rPr>
              <w:t>Account</w:t>
            </w:r>
          </w:p>
        </w:tc>
        <w:tc>
          <w:tcPr>
            <w:tcW w:w="1000" w:type="dxa"/>
            <w:vAlign w:val="bottom"/>
            <w:gridSpan w:val="3"/>
          </w:tcPr>
          <w:p>
            <w:pPr>
              <w:ind w:left="20"/>
              <w:spacing w:after="0" w:line="131" w:lineRule="exact"/>
              <w:rPr>
                <w:sz w:val="20"/>
                <w:szCs w:val="20"/>
                <w:color w:val="auto"/>
              </w:rPr>
            </w:pPr>
            <w:r>
              <w:rPr>
                <w:rFonts w:ascii="Arial" w:cs="Arial" w:eastAsia="Arial" w:hAnsi="Arial"/>
                <w:sz w:val="14"/>
                <w:szCs w:val="14"/>
                <w:b w:val="1"/>
                <w:bCs w:val="1"/>
                <w:color w:val="auto"/>
              </w:rPr>
              <w:t>Death Benefit</w:t>
            </w:r>
          </w:p>
        </w:tc>
        <w:tc>
          <w:tcPr>
            <w:tcW w:w="900" w:type="dxa"/>
            <w:vAlign w:val="bottom"/>
            <w:gridSpan w:val="2"/>
          </w:tcPr>
          <w:p>
            <w:pPr>
              <w:ind w:left="20"/>
              <w:spacing w:after="0" w:line="131" w:lineRule="exact"/>
              <w:rPr>
                <w:sz w:val="20"/>
                <w:szCs w:val="20"/>
                <w:color w:val="auto"/>
              </w:rPr>
            </w:pPr>
            <w:r>
              <w:rPr>
                <w:rFonts w:ascii="Arial" w:cs="Arial" w:eastAsia="Arial" w:hAnsi="Arial"/>
                <w:sz w:val="14"/>
                <w:szCs w:val="14"/>
                <w:b w:val="1"/>
                <w:bCs w:val="1"/>
                <w:color w:val="auto"/>
                <w:w w:val="92"/>
              </w:rPr>
              <w:t>Living Benefit</w:t>
            </w:r>
          </w:p>
        </w:tc>
        <w:tc>
          <w:tcPr>
            <w:tcW w:w="1380" w:type="dxa"/>
            <w:vAlign w:val="bottom"/>
          </w:tcPr>
          <w:p>
            <w:pPr>
              <w:jc w:val="center"/>
              <w:ind w:left="23"/>
              <w:spacing w:after="0" w:line="131" w:lineRule="exact"/>
              <w:rPr>
                <w:sz w:val="20"/>
                <w:szCs w:val="20"/>
                <w:color w:val="auto"/>
              </w:rPr>
            </w:pPr>
            <w:r>
              <w:rPr>
                <w:rFonts w:ascii="Arial" w:cs="Arial" w:eastAsia="Arial" w:hAnsi="Arial"/>
                <w:sz w:val="14"/>
                <w:szCs w:val="14"/>
                <w:b w:val="1"/>
                <w:bCs w:val="1"/>
                <w:color w:val="auto"/>
                <w:w w:val="91"/>
              </w:rPr>
              <w:t>% of Account Value</w:t>
            </w:r>
          </w:p>
        </w:tc>
        <w:tc>
          <w:tcPr>
            <w:tcW w:w="100" w:type="dxa"/>
            <w:vAlign w:val="bottom"/>
          </w:tcPr>
          <w:p>
            <w:pPr>
              <w:spacing w:after="0"/>
              <w:rPr>
                <w:sz w:val="11"/>
                <w:szCs w:val="11"/>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Account Value</w:t>
            </w:r>
          </w:p>
        </w:tc>
        <w:tc>
          <w:tcPr>
            <w:tcW w:w="1000" w:type="dxa"/>
            <w:vAlign w:val="bottom"/>
            <w:gridSpan w:val="3"/>
          </w:tcPr>
          <w:p>
            <w:pPr>
              <w:ind w:left="40"/>
              <w:spacing w:after="0" w:line="131" w:lineRule="exact"/>
              <w:rPr>
                <w:sz w:val="20"/>
                <w:szCs w:val="20"/>
                <w:color w:val="auto"/>
              </w:rPr>
            </w:pPr>
            <w:r>
              <w:rPr>
                <w:rFonts w:ascii="Arial" w:cs="Arial" w:eastAsia="Arial" w:hAnsi="Arial"/>
                <w:sz w:val="14"/>
                <w:szCs w:val="14"/>
                <w:b w:val="1"/>
                <w:bCs w:val="1"/>
                <w:color w:val="auto"/>
              </w:rPr>
              <w:t>Death Benefit</w:t>
            </w:r>
          </w:p>
        </w:tc>
        <w:tc>
          <w:tcPr>
            <w:tcW w:w="92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w w:val="92"/>
              </w:rPr>
              <w:t>Living Benefit</w:t>
            </w:r>
          </w:p>
        </w:tc>
        <w:tc>
          <w:tcPr>
            <w:tcW w:w="138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 of Account Value</w:t>
            </w:r>
          </w:p>
        </w:tc>
        <w:tc>
          <w:tcPr>
            <w:tcW w:w="0" w:type="dxa"/>
            <w:vAlign w:val="bottom"/>
          </w:tcPr>
          <w:p>
            <w:pPr>
              <w:spacing w:after="0"/>
              <w:rPr>
                <w:sz w:val="1"/>
                <w:szCs w:val="1"/>
                <w:color w:val="auto"/>
              </w:rPr>
            </w:pPr>
          </w:p>
        </w:tc>
      </w:tr>
      <w:tr>
        <w:trPr>
          <w:trHeight w:val="185"/>
        </w:trPr>
        <w:tc>
          <w:tcPr>
            <w:tcW w:w="2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NAR (1)</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NAR (1)</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In-the-Money (2)</w:t>
            </w:r>
          </w:p>
        </w:tc>
        <w:tc>
          <w:tcPr>
            <w:tcW w:w="10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NAR (1)</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NAR (1)</w:t>
            </w: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In-the-Money (2)</w:t>
            </w:r>
          </w:p>
        </w:tc>
        <w:tc>
          <w:tcPr>
            <w:tcW w:w="0" w:type="dxa"/>
            <w:vAlign w:val="bottom"/>
          </w:tcPr>
          <w:p>
            <w:pPr>
              <w:spacing w:after="0"/>
              <w:rPr>
                <w:sz w:val="1"/>
                <w:szCs w:val="1"/>
                <w:color w:val="auto"/>
              </w:rPr>
            </w:pPr>
          </w:p>
        </w:tc>
      </w:tr>
      <w:tr>
        <w:trPr>
          <w:trHeight w:val="179"/>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500" w:type="dxa"/>
            <w:vAlign w:val="bottom"/>
            <w:gridSpan w:val="5"/>
          </w:tcPr>
          <w:p>
            <w:pPr>
              <w:ind w:left="8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5,368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5,923</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5,056</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37.3 %</w:t>
            </w:r>
          </w:p>
        </w:tc>
        <w:tc>
          <w:tcPr>
            <w:tcW w:w="0" w:type="dxa"/>
            <w:vAlign w:val="bottom"/>
          </w:tcPr>
          <w:p>
            <w:pPr>
              <w:spacing w:after="0"/>
              <w:rPr>
                <w:sz w:val="1"/>
                <w:szCs w:val="1"/>
                <w:color w:val="auto"/>
              </w:rPr>
            </w:pPr>
          </w:p>
        </w:tc>
      </w:tr>
      <w:tr>
        <w:trPr>
          <w:trHeight w:val="210"/>
        </w:trPr>
        <w:tc>
          <w:tcPr>
            <w:tcW w:w="2520" w:type="dxa"/>
            <w:vAlign w:val="bottom"/>
          </w:tcPr>
          <w:p>
            <w:pPr>
              <w:ind w:left="20"/>
              <w:spacing w:after="0"/>
              <w:rPr>
                <w:sz w:val="20"/>
                <w:szCs w:val="20"/>
                <w:color w:val="auto"/>
              </w:rPr>
            </w:pPr>
            <w:r>
              <w:rPr>
                <w:rFonts w:ascii="Arial" w:cs="Arial" w:eastAsia="Arial" w:hAnsi="Arial"/>
                <w:sz w:val="16"/>
                <w:szCs w:val="16"/>
                <w:color w:val="auto"/>
              </w:rPr>
              <w:t>GMIB Max with EDB (3)</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8,697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5,273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382</w:t>
            </w:r>
          </w:p>
        </w:tc>
        <w:tc>
          <w:tcPr>
            <w:tcW w:w="1380" w:type="dxa"/>
            <w:vAlign w:val="bottom"/>
          </w:tcPr>
          <w:p>
            <w:pPr>
              <w:jc w:val="right"/>
              <w:spacing w:after="0"/>
              <w:rPr>
                <w:sz w:val="20"/>
                <w:szCs w:val="20"/>
                <w:color w:val="auto"/>
              </w:rPr>
            </w:pPr>
            <w:r>
              <w:rPr>
                <w:rFonts w:ascii="Arial" w:cs="Arial" w:eastAsia="Arial" w:hAnsi="Arial"/>
                <w:sz w:val="16"/>
                <w:szCs w:val="16"/>
                <w:color w:val="auto"/>
              </w:rPr>
              <w:t>34.1 %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155</w:t>
            </w:r>
          </w:p>
        </w:tc>
        <w:tc>
          <w:tcPr>
            <w:tcW w:w="1380" w:type="dxa"/>
            <w:vAlign w:val="bottom"/>
          </w:tcPr>
          <w:p>
            <w:pPr>
              <w:jc w:val="right"/>
              <w:spacing w:after="0"/>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214"/>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 Max without EDB</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10"/>
        </w:trPr>
        <w:tc>
          <w:tcPr>
            <w:tcW w:w="2520" w:type="dxa"/>
            <w:vAlign w:val="bottom"/>
          </w:tcPr>
          <w:p>
            <w:pPr>
              <w:ind w:left="20"/>
              <w:spacing w:after="0"/>
              <w:rPr>
                <w:sz w:val="20"/>
                <w:szCs w:val="20"/>
                <w:color w:val="auto"/>
              </w:rPr>
            </w:pPr>
            <w:r>
              <w:rPr>
                <w:rFonts w:ascii="Arial" w:cs="Arial" w:eastAsia="Arial" w:hAnsi="Arial"/>
                <w:sz w:val="16"/>
                <w:szCs w:val="16"/>
                <w:color w:val="auto"/>
              </w:rPr>
              <w:t>GMWB</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20,113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1,626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888</w:t>
            </w:r>
          </w:p>
        </w:tc>
        <w:tc>
          <w:tcPr>
            <w:tcW w:w="1380" w:type="dxa"/>
            <w:vAlign w:val="bottom"/>
          </w:tcPr>
          <w:p>
            <w:pPr>
              <w:jc w:val="right"/>
              <w:spacing w:after="0"/>
              <w:rPr>
                <w:sz w:val="20"/>
                <w:szCs w:val="20"/>
                <w:color w:val="auto"/>
              </w:rPr>
            </w:pPr>
            <w:r>
              <w:rPr>
                <w:rFonts w:ascii="Arial" w:cs="Arial" w:eastAsia="Arial" w:hAnsi="Arial"/>
                <w:sz w:val="16"/>
                <w:szCs w:val="16"/>
                <w:color w:val="auto"/>
              </w:rPr>
              <w:t>34.2 %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25,322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680</w:t>
            </w:r>
          </w:p>
        </w:tc>
        <w:tc>
          <w:tcPr>
            <w:tcW w:w="1380" w:type="dxa"/>
            <w:vAlign w:val="bottom"/>
          </w:tcPr>
          <w:p>
            <w:pPr>
              <w:jc w:val="right"/>
              <w:spacing w:after="0"/>
              <w:rPr>
                <w:sz w:val="20"/>
                <w:szCs w:val="20"/>
                <w:color w:val="auto"/>
              </w:rPr>
            </w:pPr>
            <w:r>
              <w:rPr>
                <w:rFonts w:ascii="Arial" w:cs="Arial" w:eastAsia="Arial" w:hAnsi="Arial"/>
                <w:sz w:val="16"/>
                <w:szCs w:val="16"/>
                <w:color w:val="auto"/>
              </w:rPr>
              <w:t>23.2 %</w:t>
            </w:r>
          </w:p>
        </w:tc>
        <w:tc>
          <w:tcPr>
            <w:tcW w:w="0" w:type="dxa"/>
            <w:vAlign w:val="bottom"/>
          </w:tcPr>
          <w:p>
            <w:pPr>
              <w:spacing w:after="0"/>
              <w:rPr>
                <w:sz w:val="1"/>
                <w:szCs w:val="1"/>
                <w:color w:val="auto"/>
              </w:rPr>
            </w:pPr>
          </w:p>
        </w:tc>
      </w:tr>
      <w:tr>
        <w:trPr>
          <w:trHeight w:val="215"/>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GMAB</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10"/>
        </w:trPr>
        <w:tc>
          <w:tcPr>
            <w:tcW w:w="2520" w:type="dxa"/>
            <w:vAlign w:val="bottom"/>
          </w:tcPr>
          <w:p>
            <w:pPr>
              <w:ind w:left="20"/>
              <w:spacing w:after="0"/>
              <w:rPr>
                <w:sz w:val="20"/>
                <w:szCs w:val="20"/>
                <w:color w:val="auto"/>
              </w:rPr>
            </w:pPr>
            <w:r>
              <w:rPr>
                <w:rFonts w:ascii="Arial" w:cs="Arial" w:eastAsia="Arial" w:hAnsi="Arial"/>
                <w:sz w:val="16"/>
                <w:szCs w:val="16"/>
                <w:color w:val="auto"/>
              </w:rPr>
              <w:t>GMDB only (other than EDB)</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16,161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1,795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20,233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EDB only</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1,298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8"/>
        </w:trPr>
        <w:tc>
          <w:tcPr>
            <w:tcW w:w="252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86,438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15,537</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7,296</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109,968</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6,361</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5,921</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“Death Benefit NAR” and “Living Benefit NAR” are not additive at the contract level.</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In-the-money is defined as any contract with a living benefit NAR in excess of zero.</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EDB is defined as enhanced death benefits.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Under GAAP, certain of our variable annuity guarantee features are accounted for as insurance liabilities and reported in future policy benefits on the consolidated balance sheets with changes reported in policyholder benefits and claims on the consolidated statements of operations. These liabilities are accounted for using long-term assumptions of equity and bond market returns and the level of interest rates. Therefore, these liabilities, valued at $6.6 billion at June 30, 2022, are less sensitive than derivative instruments to periodic changes to equity and fixed income market returns and the level of interest rates. Guarantees accounted for as insurance liabilities in future policy benefits include GMDBs, the life contingent portion of GMWBs and the portion of GMIBs that require annuitization, as well as the life contingent portion of the expected annuitization when the policyholder is required to annuitize upon depletion of their account value.</w:t>
      </w:r>
    </w:p>
    <w:p>
      <w:pPr>
        <w:spacing w:after="0" w:line="9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All other variable annuity guarantee features are accounted for as embedded derivatives and reported in policyholder account balances on the consolidated balance sheets with changes reported in net derivative gains (losses) on the consolidated statements of operations. These liabilities, valued at $1.7 billion at June 30, 2022, are accounted for at estimated fair value. In some cases, a guarantee will have multiple features or options that require separate accounting such that the guarantee is not fully accounted for under only one of the accounting models (known as “split accounting”). Additionally, the index protection and accumulation features of Shield Level Annuities are accounted for as embedded derivatives and reported in policyholder account balances on the consolidated balance sheets with changes reported in net derivative gains (losses) on the consolidated statements of operations. These liabilities, valued at $2.5 billion at June 30, 2022, are accounted for at estimated fair value.</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variable annuity reserves by type of GMxB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June 30, 2022</w:t>
            </w: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December 31, 2021</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Future Policy</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Policyholder</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2"/>
              </w:rPr>
              <w:t>Future Policy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0"/>
              </w:rPr>
              <w:t>Policyholder</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9"/>
              </w:rPr>
              <w:t>Account</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Reserves</w:t>
            </w: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Account</w:t>
            </w:r>
          </w:p>
        </w:tc>
        <w:tc>
          <w:tcPr>
            <w:tcW w:w="100" w:type="dxa"/>
            <w:vAlign w:val="bottom"/>
          </w:tcPr>
          <w:p>
            <w:pPr>
              <w:spacing w:after="0"/>
              <w:rPr>
                <w:sz w:val="11"/>
                <w:szCs w:val="11"/>
                <w:color w:val="auto"/>
              </w:rPr>
            </w:pPr>
          </w:p>
        </w:tc>
        <w:tc>
          <w:tcPr>
            <w:tcW w:w="98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w w:val="86"/>
              </w:rPr>
              <w:t>Total Reserves</w:t>
            </w:r>
          </w:p>
        </w:tc>
        <w:tc>
          <w:tcPr>
            <w:tcW w:w="0" w:type="dxa"/>
            <w:vAlign w:val="bottom"/>
          </w:tcPr>
          <w:p>
            <w:pPr>
              <w:spacing w:after="0"/>
              <w:rPr>
                <w:sz w:val="1"/>
                <w:szCs w:val="1"/>
                <w:color w:val="auto"/>
              </w:rPr>
            </w:pPr>
          </w:p>
        </w:tc>
      </w:tr>
      <w:tr>
        <w:trPr>
          <w:trHeight w:val="185"/>
        </w:trPr>
        <w:tc>
          <w:tcPr>
            <w:tcW w:w="4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6"/>
              </w:rPr>
              <w:t>Benefits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4"/>
              </w:rPr>
              <w:t>Balances</w:t>
            </w:r>
          </w:p>
        </w:tc>
        <w:tc>
          <w:tcPr>
            <w:tcW w:w="10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Balances</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gridSpan w:val="4"/>
          </w:tcPr>
          <w:p>
            <w:pPr>
              <w:jc w:val="right"/>
              <w:ind w:right="623"/>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3,503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5,161</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6"/>
                <w:szCs w:val="16"/>
                <w:color w:val="auto"/>
              </w:rPr>
              <w:t>GMIB Max</w:t>
            </w:r>
          </w:p>
        </w:tc>
        <w:tc>
          <w:tcPr>
            <w:tcW w:w="12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1,055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931</w:t>
            </w:r>
          </w:p>
        </w:tc>
        <w:tc>
          <w:tcPr>
            <w:tcW w:w="0" w:type="dxa"/>
            <w:vAlign w:val="bottom"/>
          </w:tcPr>
          <w:p>
            <w:pPr>
              <w:spacing w:after="0"/>
              <w:rPr>
                <w:sz w:val="1"/>
                <w:szCs w:val="1"/>
                <w:color w:val="auto"/>
              </w:rPr>
            </w:pPr>
          </w:p>
        </w:tc>
      </w:tr>
      <w:tr>
        <w:trPr>
          <w:trHeight w:val="214"/>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GMWB</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6"/>
                <w:szCs w:val="16"/>
                <w:color w:val="auto"/>
              </w:rPr>
              <w:t>GMAB</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GMDB</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1,712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1,535</w:t>
            </w:r>
          </w:p>
        </w:tc>
        <w:tc>
          <w:tcPr>
            <w:tcW w:w="0" w:type="dxa"/>
            <w:vAlign w:val="bottom"/>
          </w:tcPr>
          <w:p>
            <w:pPr>
              <w:spacing w:after="0"/>
              <w:rPr>
                <w:sz w:val="1"/>
                <w:szCs w:val="1"/>
                <w:color w:val="auto"/>
              </w:rPr>
            </w:pPr>
          </w:p>
        </w:tc>
      </w:tr>
      <w:tr>
        <w:trPr>
          <w:trHeight w:val="208"/>
        </w:trPr>
        <w:tc>
          <w:tcPr>
            <w:tcW w:w="4340" w:type="dxa"/>
            <w:vAlign w:val="bottom"/>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6,596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1,746</w:t>
            </w:r>
          </w:p>
        </w:tc>
        <w:tc>
          <w:tcPr>
            <w:tcW w:w="1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8,342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6,203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1,848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8,051</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carrying values of these guarantees can change significantly during periods of sizable and sustained shifts in equity market performance, equity market volatility, or interest rates. Carrying values are also affected by our assumptions around mortality, separate account returns and policyholder behavior, including lapse, annuitization and withdrawal rates. See “Risk Factors — Risks Related to Our Business — Guarantees within certain of our annuity products may decrease our earnings, decrease our capitalization, increase the volatility of our results, result in higher risk management costs and expose us to increased market risk” included in our 2021 Annual Report. Furthermore, changes in policyholder behavior assumptions can result in additional changes in accounting estimates.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Hedging Variable Annuity Guarantees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gross notional amount and estimated fair value of the derivatives held in our macro interest rate hedging program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June 30, 2022</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45"/>
        </w:trPr>
        <w:tc>
          <w:tcPr>
            <w:tcW w:w="3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Gross Notional</w:t>
            </w:r>
          </w:p>
        </w:tc>
        <w:tc>
          <w:tcPr>
            <w:tcW w:w="14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43"/>
              <w:spacing w:after="0"/>
              <w:rPr>
                <w:sz w:val="20"/>
                <w:szCs w:val="20"/>
                <w:color w:val="auto"/>
              </w:rPr>
            </w:pPr>
            <w:r>
              <w:rPr>
                <w:rFonts w:ascii="Arial" w:cs="Arial" w:eastAsia="Arial" w:hAnsi="Arial"/>
                <w:sz w:val="14"/>
                <w:szCs w:val="14"/>
                <w:b w:val="1"/>
                <w:bCs w:val="1"/>
                <w:color w:val="auto"/>
                <w:w w:val="87"/>
              </w:rPr>
              <w:t>Gross Notional</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Estimated Fair Value</w:t>
            </w:r>
          </w:p>
        </w:tc>
      </w:tr>
      <w:tr>
        <w:trPr>
          <w:trHeight w:val="197"/>
        </w:trPr>
        <w:tc>
          <w:tcPr>
            <w:tcW w:w="4000" w:type="dxa"/>
            <w:vAlign w:val="bottom"/>
            <w:gridSpan w:val="2"/>
          </w:tcPr>
          <w:p>
            <w:pPr>
              <w:ind w:left="1440"/>
              <w:spacing w:after="0"/>
              <w:rPr>
                <w:sz w:val="20"/>
                <w:szCs w:val="20"/>
                <w:color w:val="auto"/>
              </w:rPr>
            </w:pPr>
            <w:r>
              <w:rPr>
                <w:rFonts w:ascii="Arial" w:cs="Arial" w:eastAsia="Arial" w:hAnsi="Arial"/>
                <w:sz w:val="14"/>
                <w:szCs w:val="14"/>
                <w:b w:val="1"/>
                <w:bCs w:val="1"/>
                <w:color w:val="auto"/>
              </w:rPr>
              <w:t>Instrument Type</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 (1)</w:t>
            </w: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7"/>
                <w:szCs w:val="17"/>
                <w:color w:val="auto"/>
              </w:rPr>
            </w:pPr>
          </w:p>
        </w:tc>
        <w:tc>
          <w:tcPr>
            <w:tcW w:w="1020" w:type="dxa"/>
            <w:vAlign w:val="bottom"/>
          </w:tcPr>
          <w:p>
            <w:pPr>
              <w:jc w:val="right"/>
              <w:ind w:right="143"/>
              <w:spacing w:after="0"/>
              <w:rPr>
                <w:sz w:val="20"/>
                <w:szCs w:val="20"/>
                <w:color w:val="auto"/>
              </w:rPr>
            </w:pPr>
            <w:r>
              <w:rPr>
                <w:rFonts w:ascii="Arial" w:cs="Arial" w:eastAsia="Arial" w:hAnsi="Arial"/>
                <w:sz w:val="14"/>
                <w:szCs w:val="14"/>
                <w:b w:val="1"/>
                <w:bCs w:val="1"/>
                <w:color w:val="auto"/>
              </w:rPr>
              <w:t>Amount (1)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7"/>
                <w:szCs w:val="17"/>
                <w:color w:val="auto"/>
              </w:rPr>
            </w:pPr>
          </w:p>
        </w:tc>
        <w:tc>
          <w:tcPr>
            <w:tcW w:w="940" w:type="dxa"/>
            <w:vAlign w:val="bottom"/>
          </w:tcPr>
          <w:p>
            <w:pPr>
              <w:jc w:val="right"/>
              <w:ind w:right="182"/>
              <w:spacing w:after="0"/>
              <w:rPr>
                <w:sz w:val="20"/>
                <w:szCs w:val="20"/>
                <w:color w:val="auto"/>
              </w:rPr>
            </w:pPr>
            <w:r>
              <w:rPr>
                <w:rFonts w:ascii="Arial" w:cs="Arial" w:eastAsia="Arial" w:hAnsi="Arial"/>
                <w:sz w:val="14"/>
                <w:szCs w:val="14"/>
                <w:b w:val="1"/>
                <w:bCs w:val="1"/>
                <w:color w:val="auto"/>
              </w:rPr>
              <w:t>Liabilities</w:t>
            </w:r>
          </w:p>
        </w:tc>
      </w:tr>
      <w:tr>
        <w:trPr>
          <w:trHeight w:val="179"/>
        </w:trPr>
        <w:tc>
          <w:tcPr>
            <w:tcW w:w="3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180" w:type="dxa"/>
            <w:vAlign w:val="bottom"/>
            <w:tcBorders>
              <w:top w:val="single" w:sz="8" w:color="auto"/>
            </w:tcBorders>
            <w:gridSpan w:val="4"/>
          </w:tcPr>
          <w:p>
            <w:pPr>
              <w:jc w:val="right"/>
              <w:ind w:right="723"/>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1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1,780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Interest rate options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8,050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forwards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9,808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09"/>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Hybrid options (2)</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20,538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gross notional amounts presented do not necessarily represent the relative economic coverage provided by option instruments because certain positions were closed out by entering into offsetting positions that are not netted in the above table.</w:t>
      </w:r>
    </w:p>
    <w:p>
      <w:pPr>
        <w:spacing w:after="0" w:line="74" w:lineRule="exact"/>
        <w:rPr>
          <w:rFonts w:ascii="Arial" w:cs="Arial" w:eastAsia="Arial" w:hAnsi="Arial"/>
          <w:sz w:val="18"/>
          <w:szCs w:val="18"/>
          <w:color w:val="auto"/>
        </w:rPr>
      </w:pPr>
    </w:p>
    <w:p>
      <w:pPr>
        <w:ind w:left="320" w:hanging="314"/>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Hybrid options have equity exposure in addition to interest rate exposure.</w:t>
      </w:r>
    </w:p>
    <w:p>
      <w:pPr>
        <w:spacing w:after="0" w:line="111"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gross notional amount and estimated fair value of the derivatives held in our variable annuity hedging program, as well as the interest rate hedges allocated from our macro interest rate hedging program, were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June 30, 2022</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45"/>
        </w:trPr>
        <w:tc>
          <w:tcPr>
            <w:tcW w:w="3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Gross Notional</w:t>
            </w:r>
          </w:p>
        </w:tc>
        <w:tc>
          <w:tcPr>
            <w:tcW w:w="14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tcPr>
          <w:p>
            <w:pPr>
              <w:jc w:val="right"/>
              <w:ind w:right="462"/>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42"/>
              <w:spacing w:after="0"/>
              <w:rPr>
                <w:sz w:val="20"/>
                <w:szCs w:val="20"/>
                <w:color w:val="auto"/>
              </w:rPr>
            </w:pPr>
            <w:r>
              <w:rPr>
                <w:rFonts w:ascii="Arial" w:cs="Arial" w:eastAsia="Arial" w:hAnsi="Arial"/>
                <w:sz w:val="14"/>
                <w:szCs w:val="14"/>
                <w:b w:val="1"/>
                <w:bCs w:val="1"/>
                <w:color w:val="auto"/>
                <w:w w:val="87"/>
              </w:rPr>
              <w:t>Gross Notional</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14"/>
                <w:szCs w:val="14"/>
                <w:b w:val="1"/>
                <w:bCs w:val="1"/>
                <w:color w:val="auto"/>
              </w:rPr>
              <w:t>Estimated Fair Value</w:t>
            </w:r>
          </w:p>
        </w:tc>
      </w:tr>
      <w:tr>
        <w:trPr>
          <w:trHeight w:val="197"/>
        </w:trPr>
        <w:tc>
          <w:tcPr>
            <w:tcW w:w="4000" w:type="dxa"/>
            <w:vAlign w:val="bottom"/>
            <w:gridSpan w:val="2"/>
          </w:tcPr>
          <w:p>
            <w:pPr>
              <w:ind w:left="1440"/>
              <w:spacing w:after="0"/>
              <w:rPr>
                <w:sz w:val="20"/>
                <w:szCs w:val="20"/>
                <w:color w:val="auto"/>
              </w:rPr>
            </w:pPr>
            <w:r>
              <w:rPr>
                <w:rFonts w:ascii="Arial" w:cs="Arial" w:eastAsia="Arial" w:hAnsi="Arial"/>
                <w:sz w:val="14"/>
                <w:szCs w:val="14"/>
                <w:b w:val="1"/>
                <w:bCs w:val="1"/>
                <w:color w:val="auto"/>
              </w:rPr>
              <w:t>Instrument Type</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 (1)</w:t>
            </w: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7"/>
                <w:szCs w:val="17"/>
                <w:color w:val="auto"/>
              </w:rPr>
            </w:pPr>
          </w:p>
        </w:tc>
        <w:tc>
          <w:tcPr>
            <w:tcW w:w="1020" w:type="dxa"/>
            <w:vAlign w:val="bottom"/>
          </w:tcPr>
          <w:p>
            <w:pPr>
              <w:jc w:val="right"/>
              <w:ind w:right="142"/>
              <w:spacing w:after="0"/>
              <w:rPr>
                <w:sz w:val="20"/>
                <w:szCs w:val="20"/>
                <w:color w:val="auto"/>
              </w:rPr>
            </w:pPr>
            <w:r>
              <w:rPr>
                <w:rFonts w:ascii="Arial" w:cs="Arial" w:eastAsia="Arial" w:hAnsi="Arial"/>
                <w:sz w:val="14"/>
                <w:szCs w:val="14"/>
                <w:b w:val="1"/>
                <w:bCs w:val="1"/>
                <w:color w:val="auto"/>
              </w:rPr>
              <w:t>Amount (1)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7"/>
                <w:szCs w:val="17"/>
                <w:color w:val="auto"/>
              </w:rPr>
            </w:pPr>
          </w:p>
        </w:tc>
        <w:tc>
          <w:tcPr>
            <w:tcW w:w="940" w:type="dxa"/>
            <w:vAlign w:val="bottom"/>
          </w:tcPr>
          <w:p>
            <w:pPr>
              <w:jc w:val="right"/>
              <w:ind w:right="181"/>
              <w:spacing w:after="0"/>
              <w:rPr>
                <w:sz w:val="20"/>
                <w:szCs w:val="20"/>
                <w:color w:val="auto"/>
              </w:rPr>
            </w:pPr>
            <w:r>
              <w:rPr>
                <w:rFonts w:ascii="Arial" w:cs="Arial" w:eastAsia="Arial" w:hAnsi="Arial"/>
                <w:sz w:val="14"/>
                <w:szCs w:val="14"/>
                <w:b w:val="1"/>
                <w:bCs w:val="1"/>
                <w:color w:val="auto"/>
              </w:rPr>
              <w:t>Liabilities</w:t>
            </w:r>
          </w:p>
        </w:tc>
      </w:tr>
      <w:tr>
        <w:trPr>
          <w:trHeight w:val="187"/>
        </w:trPr>
        <w:tc>
          <w:tcPr>
            <w:tcW w:w="3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4"/>
          </w:tcPr>
          <w:p>
            <w:pPr>
              <w:jc w:val="right"/>
              <w:ind w:right="722"/>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217"/>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index options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20,695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Equity total return swaps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25,258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32,719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588</w:t>
            </w:r>
          </w:p>
        </w:tc>
      </w:tr>
      <w:tr>
        <w:trPr>
          <w:trHeight w:val="215"/>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variance swaps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1,780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options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Interest rate forwards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4,440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2"/>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Hybrid options</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73,301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2,004</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2,548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68,265</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1,874</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1,495</w:t>
            </w: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gross notional amounts presented do not necessarily represent the relative economic coverage provided by option instruments because certain positions were closed out by entering into offsetting positions that are not netted in the above table.</w:t>
      </w:r>
    </w:p>
    <w:p>
      <w:pPr>
        <w:spacing w:after="0" w:line="7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Period-to-period changes in the estimated fair value of these hedges affect our net income, as well as stockholders’ equity and these effects can be material in any given period. See “Risk Factors — Risks Related to Our Business — Our variable annuity exposure risk management strategy may not be effective, may result in significant volatility in our profitability measures and may negatively affect our statutory capital,” “Management’s Discussion and Analysis of Financial Condition and Results of Operations — Summary of Critical Accounting Estimates” and “Management’s Discussion and Analysis of Financial Condition and Results of Operations — Risk Management Strategies” included in our 2021 Annual Report.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including those related to the COVID-19 pandemic, see “— Industry Trends and Uncertainties</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COVID-19 Pandemic” and “— Investments — Current Environment,” herein, as well as “Management’s Discussion and Analysis of Financial Condition and Results of Operations — Industry Trends and Uncertainties,” and “Management’s Discussion and Analysis of Financial Condition and Results of Operations — Investments — Current Environment” included in our 2021 Annual Report.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Management</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Based upon our capitalization, expectations regarding maintaining our business mix, ratings, and funding sources available to us, we believe we have sufficient liquidity to meet business requirements in current market conditions and certain stress scenarios. Our Board of Directors and senior management are directly involved in the governance of the capital management process, including proposed changes to the annual capital plan and capital targets. We continuously monitor and adjust our liquidity and capital plans in light of market conditions, as well as changing needs and opportunities.</w:t>
      </w:r>
    </w:p>
    <w:p>
      <w:pPr>
        <w:spacing w:after="0" w:line="4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maintain a substantial short-term liquidity position, which was $4.0 billion and $3.8 billion at June 30, 2022 and December 31, 2021, respectively. Short-term liquidity is comprised of cash and cash equivalents and short-term investments, excluding assets that are pledged or otherwise committed. Assets pledged or otherwise committed include amounts received in connection with securities lending, derivatives and assets held on deposit or in trust.</w:t>
      </w:r>
    </w:p>
    <w:p>
      <w:pPr>
        <w:spacing w:after="0" w:line="3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An integral part of our liquidity management includes managing our level of liquid assets, which was $46.1 billion and $54.9 billion at June 30, 2022 and December 31, 2021,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funding agreements, derivatives and assets held on deposit or in trust.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Liquidity</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7"/>
          <w:szCs w:val="17"/>
          <w:color w:val="auto"/>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reflect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 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spacing w:after="0" w:line="76" w:lineRule="exact"/>
        <w:rPr>
          <w:sz w:val="20"/>
          <w:szCs w:val="20"/>
          <w:color w:val="auto"/>
        </w:rPr>
      </w:pPr>
    </w:p>
    <w:p>
      <w:pPr>
        <w:ind w:left="160" w:right="920" w:firstLine="318"/>
        <w:spacing w:after="0" w:line="368" w:lineRule="auto"/>
        <w:rPr>
          <w:sz w:val="20"/>
          <w:szCs w:val="20"/>
          <w:color w:val="auto"/>
        </w:rPr>
      </w:pPr>
      <w:r>
        <w:rPr>
          <w:rFonts w:ascii="Arial" w:cs="Arial" w:eastAsia="Arial" w:hAnsi="Arial"/>
          <w:sz w:val="18"/>
          <w:szCs w:val="18"/>
          <w:color w:val="auto"/>
        </w:rPr>
        <w:t xml:space="preserve">Under certain adverse market and economic conditions, our access to liquidity may deteriorate, or the cost to access liquidity may increase. </w:t>
      </w:r>
      <w:r>
        <w:rPr>
          <w:rFonts w:ascii="Arial" w:cs="Arial" w:eastAsia="Arial" w:hAnsi="Arial"/>
          <w:sz w:val="18"/>
          <w:szCs w:val="18"/>
          <w:b w:val="1"/>
          <w:bCs w:val="1"/>
          <w:i w:val="1"/>
          <w:iCs w:val="1"/>
          <w:u w:val="single" w:color="auto"/>
          <w:color w:val="auto"/>
        </w:rPr>
        <w:t>Capital</w:t>
      </w:r>
    </w:p>
    <w:p>
      <w:pPr>
        <w:spacing w:after="0" w:line="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We manage our capital position to maintain our financial strength and credit ratings. Our capital position is supported by our ability to generate cash flows within our insurance companies, our ability to effectively manage the risks of our businesses and our expected ability to borrow funds and raise additional capital to meet operating and growth needs under a variety of market and economic conditions.</w:t>
      </w:r>
    </w:p>
    <w:p>
      <w:pPr>
        <w:spacing w:after="0" w:line="82"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Under current GAAP, we target to maintain a debt-to-capital ratio of approximately 25%, which we monitor using an average of our key leverage ratios as calculated by A.M. Best, Fitch, Moody’s and S&amp;P. As such, we may opportunistically look to pursue additional financing over time, which may include borrowings under credit facilities, the issuance of debt,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60"/>
        <w:spacing w:after="0" w:line="264" w:lineRule="auto"/>
        <w:rPr>
          <w:sz w:val="20"/>
          <w:szCs w:val="20"/>
          <w:color w:val="auto"/>
        </w:rPr>
      </w:pPr>
      <w:r>
        <w:rPr>
          <w:rFonts w:ascii="Arial" w:cs="Arial" w:eastAsia="Arial" w:hAnsi="Arial"/>
          <w:sz w:val="18"/>
          <w:szCs w:val="18"/>
          <w:color w:val="auto"/>
        </w:rPr>
        <w:t>equity or hybrid securities, the incurrence of term loans, or the refinancing of existing indebtedness. There can be no assurance that we will be able to complete any such financing transactions on terms and conditions favorable to us or at all.</w:t>
      </w:r>
    </w:p>
    <w:p>
      <w:pPr>
        <w:spacing w:after="0" w:line="75"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In support of our target combined risk-based capital (“RBC”) ratio between 400% and 450% in normal market conditions, we expect to continue to maintain a capital and exposure risk management program that targets total assets supporting our variable annuity contracts at or above the average of the worst two percent of a set of capital markets scenarios over the life of the contracts level in normal market conditions.</w:t>
      </w:r>
    </w:p>
    <w:p>
      <w:pPr>
        <w:spacing w:after="0" w:line="65"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We have a share repurchase program under which repurchases may be made through open market purchases, including pursuant to 10b5-1 plans or pursuant to accelerated stock repurchase plans, or through privately negotiated transactions, from time to time at management’s discretion in accordance with applicable legal requirements.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spacing w:after="0" w:line="75"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We currently have no plans to declare and pay dividends on our common stock. Any future declaration and payment of dividends or other distributions or returns of capital will be at the discretion of our Board of Directors and will depend on and be subject to our financial condition, results of operations, cash needs, regulatory and other constraints, capital requirements (including capital requirements of our insurance subsidiaries), contractual restrictions and any other factors that our Board of Directors deems relevant in making such a determination. Therefore, there can be no assurance that we will pay any dividends or make other distributions or returns of capital on our common stock, or as to the amount of any such dividends, distributions or returns of capital.</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Sources and Uses of Liquidity and Capital</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primary sources and uses of liquidity and capital were as follows at:</w:t>
      </w:r>
    </w:p>
    <w:p>
      <w:pPr>
        <w:spacing w:after="0" w:line="234"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Six Months Ended</w:t>
      </w:r>
    </w:p>
    <w:p>
      <w:pPr>
        <w:jc w:val="center"/>
        <w:ind w:left="8380"/>
        <w:spacing w:after="0"/>
        <w:rPr>
          <w:sz w:val="20"/>
          <w:szCs w:val="20"/>
          <w:color w:val="auto"/>
        </w:rPr>
      </w:pPr>
      <w:r>
        <w:rPr>
          <w:rFonts w:ascii="Arial" w:cs="Arial" w:eastAsia="Arial" w:hAnsi="Arial"/>
          <w:sz w:val="14"/>
          <w:szCs w:val="14"/>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r>
      <w:tr>
        <w:trPr>
          <w:trHeight w:val="179"/>
        </w:trPr>
        <w:tc>
          <w:tcPr>
            <w:tcW w:w="8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gridSpan w:val="3"/>
          </w:tcPr>
          <w:p>
            <w:pPr>
              <w:jc w:val="right"/>
              <w:ind w:right="46"/>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5"/>
                <w:szCs w:val="15"/>
                <w:color w:val="auto"/>
              </w:rPr>
            </w:pPr>
          </w:p>
        </w:tc>
      </w:tr>
      <w:tr>
        <w:trPr>
          <w:trHeight w:val="21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Sources: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9"/>
        </w:trPr>
        <w:tc>
          <w:tcPr>
            <w:tcW w:w="8400" w:type="dxa"/>
            <w:vAlign w:val="bottom"/>
          </w:tcPr>
          <w:p>
            <w:pPr>
              <w:ind w:left="20"/>
              <w:spacing w:after="0"/>
              <w:rPr>
                <w:sz w:val="20"/>
                <w:szCs w:val="20"/>
                <w:color w:val="auto"/>
              </w:rPr>
            </w:pPr>
            <w:r>
              <w:rPr>
                <w:rFonts w:ascii="Arial" w:cs="Arial" w:eastAsia="Arial" w:hAnsi="Arial"/>
                <w:sz w:val="16"/>
                <w:szCs w:val="16"/>
                <w:color w:val="auto"/>
              </w:rPr>
              <w:t>Operating activities, net</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5"/>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policyholder account balances, net</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5,630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5,591</w:t>
            </w:r>
          </w:p>
        </w:tc>
      </w:tr>
      <w:tr>
        <w:trPr>
          <w:trHeight w:val="21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8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sources</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6,054</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5,660</w:t>
            </w:r>
          </w:p>
        </w:tc>
      </w:tr>
      <w:tr>
        <w:trPr>
          <w:trHeight w:val="19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Uses:</w:t>
            </w: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4"/>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 net</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5,019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4,412</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8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5"/>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repaid</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8400" w:type="dxa"/>
            <w:vAlign w:val="bottom"/>
          </w:tcPr>
          <w:p>
            <w:pPr>
              <w:ind w:left="20"/>
              <w:spacing w:after="0"/>
              <w:rPr>
                <w:sz w:val="20"/>
                <w:szCs w:val="20"/>
                <w:color w:val="auto"/>
              </w:rPr>
            </w:pPr>
            <w:r>
              <w:rPr>
                <w:rFonts w:ascii="Arial" w:cs="Arial" w:eastAsia="Arial" w:hAnsi="Arial"/>
                <w:sz w:val="16"/>
                <w:szCs w:val="16"/>
                <w:color w:val="auto"/>
              </w:rPr>
              <w:t>Dividends on preferred stock</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5"/>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acquired in connection with share repurchases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15"/>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3"/>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uses</w:t>
            </w: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5,457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4,886</w:t>
            </w:r>
          </w:p>
        </w:tc>
      </w:tr>
      <w:tr>
        <w:trPr>
          <w:trHeight w:val="233"/>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(decrease) in cash and cash equivalents</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Cash Flows from Operating Activities</w:t>
      </w:r>
    </w:p>
    <w:p>
      <w:pPr>
        <w:spacing w:after="0" w:line="111" w:lineRule="exact"/>
        <w:rPr>
          <w:sz w:val="20"/>
          <w:szCs w:val="20"/>
          <w:color w:val="auto"/>
        </w:rPr>
      </w:pPr>
    </w:p>
    <w:p>
      <w:pPr>
        <w:jc w:val="both"/>
        <w:ind w:left="320" w:firstLine="318"/>
        <w:spacing w:after="0" w:line="277" w:lineRule="auto"/>
        <w:rPr>
          <w:sz w:val="20"/>
          <w:szCs w:val="20"/>
          <w:color w:val="auto"/>
        </w:rPr>
      </w:pPr>
      <w:r>
        <w:rPr>
          <w:rFonts w:ascii="Arial" w:cs="Arial" w:eastAsia="Arial" w:hAnsi="Arial"/>
          <w:sz w:val="17"/>
          <w:szCs w:val="17"/>
          <w:color w:val="auto"/>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Cash Flows from Investing Activities</w:t>
      </w:r>
    </w:p>
    <w:p>
      <w:pPr>
        <w:spacing w:after="0" w:line="111" w:lineRule="exact"/>
        <w:rPr>
          <w:sz w:val="20"/>
          <w:szCs w:val="20"/>
          <w:color w:val="auto"/>
        </w:rPr>
      </w:pPr>
    </w:p>
    <w:p>
      <w:pPr>
        <w:jc w:val="both"/>
        <w:ind w:left="320" w:firstLine="318"/>
        <w:spacing w:after="0" w:line="312" w:lineRule="auto"/>
        <w:rPr>
          <w:sz w:val="20"/>
          <w:szCs w:val="20"/>
          <w:color w:val="auto"/>
        </w:rPr>
      </w:pPr>
      <w:r>
        <w:rPr>
          <w:rFonts w:ascii="Arial" w:cs="Arial" w:eastAsia="Arial" w:hAnsi="Arial"/>
          <w:sz w:val="15"/>
          <w:szCs w:val="15"/>
          <w:color w:val="auto"/>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Cash Flows from Financing Activities</w:t>
      </w:r>
    </w:p>
    <w:p>
      <w:pPr>
        <w:spacing w:after="0" w:line="111"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Primary Sources of Liquidity and Capital</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In addition to the summary description of liquidity and capital sources discussed in “— Sources and Uses of Liquidity and Capital,” the following additional information is provided regarding our primary sources of liquidity and capital:</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Funding Sources</w:t>
      </w:r>
    </w:p>
    <w:p>
      <w:pPr>
        <w:spacing w:after="0" w:line="111" w:lineRule="exact"/>
        <w:rPr>
          <w:sz w:val="20"/>
          <w:szCs w:val="20"/>
          <w:color w:val="auto"/>
        </w:rPr>
      </w:pPr>
    </w:p>
    <w:p>
      <w:pPr>
        <w:jc w:val="both"/>
        <w:ind w:left="320" w:firstLine="318"/>
        <w:spacing w:after="0" w:line="267" w:lineRule="auto"/>
        <w:rPr>
          <w:sz w:val="20"/>
          <w:szCs w:val="20"/>
          <w:color w:val="auto"/>
        </w:rPr>
      </w:pPr>
      <w:r>
        <w:rPr>
          <w:rFonts w:ascii="Arial" w:cs="Arial" w:eastAsia="Arial" w:hAnsi="Arial"/>
          <w:sz w:val="17"/>
          <w:szCs w:val="17"/>
          <w:color w:val="auto"/>
        </w:rPr>
        <w:t>Liquidity is provided by a variety of funding sources, including secured and unsecured funding agreements, unsecured credit facilities and secured committed facilities. Capital is provided by a variety of funding sources, including issuances of debt and equity securities, as well as borrowings under our credit facilities. We maintain a shelf registration statement with the SEC that permits the issuance of public debt, equity and hybrid securities. As a “Well-Known Seasoned Issuer” under SEC rules, our shelf registration statement provides for automatic effectiveness upon filing and has no stated issuance capacity. The diversity of our funding sources enhances our funding flexibility, limits dependence on any one market or source of funds and generally lowers the cost of funds. Our primary funding sources include:</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Preferred Stock</w:t>
      </w:r>
    </w:p>
    <w:p>
      <w:pPr>
        <w:spacing w:after="0" w:line="111" w:lineRule="exact"/>
        <w:rPr>
          <w:sz w:val="20"/>
          <w:szCs w:val="20"/>
          <w:color w:val="auto"/>
        </w:rPr>
      </w:pPr>
    </w:p>
    <w:p>
      <w:pPr>
        <w:jc w:val="both"/>
        <w:ind w:left="480" w:firstLine="318"/>
        <w:spacing w:after="0" w:line="264" w:lineRule="auto"/>
        <w:rPr>
          <w:sz w:val="20"/>
          <w:szCs w:val="20"/>
          <w:color w:val="auto"/>
        </w:rPr>
      </w:pPr>
      <w:r>
        <w:rPr>
          <w:rFonts w:ascii="Arial" w:cs="Arial" w:eastAsia="Arial" w:hAnsi="Arial"/>
          <w:sz w:val="18"/>
          <w:szCs w:val="18"/>
          <w:color w:val="auto"/>
        </w:rPr>
        <w:t>See Note 8 of the Notes to the Interim Condensed Consolidated Financial Statements and Note 10 of the Notes to the Consolidated Financial Statements included in our 2021 Annual Report for information on preferred stock issuances.</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Funding Agreements</w:t>
      </w:r>
    </w:p>
    <w:p>
      <w:pPr>
        <w:spacing w:after="0" w:line="111" w:lineRule="exact"/>
        <w:rPr>
          <w:sz w:val="20"/>
          <w:szCs w:val="20"/>
          <w:color w:val="auto"/>
        </w:rPr>
      </w:pPr>
    </w:p>
    <w:p>
      <w:pPr>
        <w:jc w:val="both"/>
        <w:ind w:left="480" w:firstLine="318"/>
        <w:spacing w:after="0" w:line="271" w:lineRule="auto"/>
        <w:rPr>
          <w:sz w:val="20"/>
          <w:szCs w:val="20"/>
          <w:color w:val="auto"/>
        </w:rPr>
      </w:pPr>
      <w:r>
        <w:rPr>
          <w:rFonts w:ascii="Arial" w:cs="Arial" w:eastAsia="Arial" w:hAnsi="Arial"/>
          <w:sz w:val="17"/>
          <w:szCs w:val="17"/>
          <w:color w:val="auto"/>
        </w:rPr>
        <w:t>From time to time, Brighthouse Life Insurance Company issues funding agreements and uses the proceeds from such issuances for spread lending purposes in connection with our institutional spread margin business or to provide additional liquidity. The institutional spread margin business is comprised of funding agreements issued in connection with the programs described in more detail below. See Note 3 of the Notes to the Consolidated Financial Statements included in our 2021 Annual Report for additional information on funding agreements.</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Funding Agreement-Backed Commercial Paper Program</w:t>
      </w:r>
    </w:p>
    <w:p>
      <w:pPr>
        <w:spacing w:after="0" w:line="111" w:lineRule="exact"/>
        <w:rPr>
          <w:sz w:val="20"/>
          <w:szCs w:val="20"/>
          <w:color w:val="auto"/>
        </w:rPr>
      </w:pPr>
    </w:p>
    <w:p>
      <w:pPr>
        <w:jc w:val="both"/>
        <w:ind w:left="640" w:firstLine="318"/>
        <w:spacing w:after="0" w:line="250" w:lineRule="auto"/>
        <w:rPr>
          <w:sz w:val="20"/>
          <w:szCs w:val="20"/>
          <w:color w:val="auto"/>
        </w:rPr>
      </w:pPr>
      <w:r>
        <w:rPr>
          <w:rFonts w:ascii="Arial" w:cs="Arial" w:eastAsia="Arial" w:hAnsi="Arial"/>
          <w:sz w:val="18"/>
          <w:szCs w:val="18"/>
          <w:color w:val="auto"/>
        </w:rPr>
        <w:t>In July 2021, Brighthouse Life Insurance Company established a funding agreement-backed commercial paper program (the “FABCP Program”) for spread lending purposes, pursuant to which a special purpose limited liability company (the “SPLLC”) may issue commercial paper and deposit the proceeds with Brighthouse Life Insurance Company under a funding agreement issued by Brighthouse Life Insurance Company to the SPLLC. The maximum aggregate principal amount permitted to be outstanding at any one time under the FABCP Program is $3.0 billion. Activity related to this funding agreement is reported in Corporate &amp; Other.</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Funding Agreement-Backed Notes Program</w:t>
      </w:r>
    </w:p>
    <w:p>
      <w:pPr>
        <w:spacing w:after="0" w:line="111" w:lineRule="exact"/>
        <w:rPr>
          <w:sz w:val="20"/>
          <w:szCs w:val="20"/>
          <w:color w:val="auto"/>
        </w:rPr>
      </w:pPr>
    </w:p>
    <w:p>
      <w:pPr>
        <w:jc w:val="both"/>
        <w:ind w:left="640" w:firstLine="318"/>
        <w:spacing w:after="0" w:line="252" w:lineRule="auto"/>
        <w:rPr>
          <w:sz w:val="20"/>
          <w:szCs w:val="20"/>
          <w:color w:val="auto"/>
        </w:rPr>
      </w:pPr>
      <w:r>
        <w:rPr>
          <w:rFonts w:ascii="Arial" w:cs="Arial" w:eastAsia="Arial" w:hAnsi="Arial"/>
          <w:sz w:val="18"/>
          <w:szCs w:val="18"/>
          <w:color w:val="auto"/>
        </w:rPr>
        <w:t>In April 2021, Brighthouse Life Insurance Company established a funding agreement-backed notes program (the “FABN Program”), pursuant to which Brighthouse Life Insurance Company may issue funding agreements to a special purpose statutory trust for spread lending purposes. The maximum aggregate principal amount permitted to be outstanding at any one time under the FABN Program is $5.0 billion. Activity related to these funding agreements is reported in Corporate &amp; Other.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Federal Home Loan Bank Funding Agreements</w:t>
      </w:r>
    </w:p>
    <w:p>
      <w:pPr>
        <w:spacing w:after="0" w:line="111" w:lineRule="exact"/>
        <w:rPr>
          <w:sz w:val="20"/>
          <w:szCs w:val="20"/>
          <w:color w:val="auto"/>
        </w:rPr>
      </w:pPr>
    </w:p>
    <w:p>
      <w:pPr>
        <w:jc w:val="both"/>
        <w:ind w:left="640" w:firstLine="318"/>
        <w:spacing w:after="0" w:line="255" w:lineRule="auto"/>
        <w:rPr>
          <w:sz w:val="20"/>
          <w:szCs w:val="20"/>
          <w:color w:val="auto"/>
        </w:rPr>
      </w:pPr>
      <w:r>
        <w:rPr>
          <w:rFonts w:ascii="Arial" w:cs="Arial" w:eastAsia="Arial" w:hAnsi="Arial"/>
          <w:sz w:val="18"/>
          <w:szCs w:val="18"/>
          <w:color w:val="auto"/>
        </w:rPr>
        <w:t>Brighthouse Life Insurance Company is a member of the Federal Home Loan Bank (“FHLB”) of Atlanta, where it maintains a secured funding agreement program, under which funding agreements may be issued either (i) for spread lending purposes or (ii) to provide additional liquidity. Activity related to these funding agreements is reported in Corporate &amp; Other.</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Farmer Mac Funding Agreements</w:t>
      </w:r>
    </w:p>
    <w:p>
      <w:pPr>
        <w:spacing w:after="0" w:line="111" w:lineRule="exact"/>
        <w:rPr>
          <w:sz w:val="20"/>
          <w:szCs w:val="20"/>
          <w:color w:val="auto"/>
        </w:rPr>
      </w:pPr>
    </w:p>
    <w:p>
      <w:pPr>
        <w:jc w:val="both"/>
        <w:ind w:left="640" w:firstLine="318"/>
        <w:spacing w:after="0" w:line="252" w:lineRule="auto"/>
        <w:rPr>
          <w:sz w:val="20"/>
          <w:szCs w:val="20"/>
          <w:color w:val="auto"/>
        </w:rPr>
      </w:pPr>
      <w:r>
        <w:rPr>
          <w:rFonts w:ascii="Arial" w:cs="Arial" w:eastAsia="Arial" w:hAnsi="Arial"/>
          <w:sz w:val="18"/>
          <w:szCs w:val="18"/>
          <w:color w:val="auto"/>
        </w:rPr>
        <w:t>Brighthouse Life Insurance Company has a secured funding agreement program with the Federal Agricultural Mortgage Corporation and its affiliate Farmer Mac Mortgage Securities Corporation (“Farmer Mac”) with a term ending on December 31, 2023, pursuant to which the parties may enter into funding agreements in an aggregate amount of up to $500 million either (i) for spread lending purposes or (ii) to provide additional liquidity. Activity related to these funding agreements is reported in Corporate &amp; Other.</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Information regarding funding agreements issued for spread lending purposes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Aggregate Principal Amount</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Issuances</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Repayments</w:t>
            </w:r>
          </w:p>
        </w:tc>
        <w:tc>
          <w:tcPr>
            <w:tcW w:w="760" w:type="dxa"/>
            <w:vAlign w:val="bottom"/>
            <w:tcBorders>
              <w:bottom w:val="single" w:sz="8" w:color="auto"/>
            </w:tcBorders>
          </w:tcPr>
          <w:p>
            <w:pPr>
              <w:spacing w:after="0"/>
              <w:rPr>
                <w:sz w:val="16"/>
                <w:szCs w:val="16"/>
                <w:color w:val="auto"/>
              </w:rPr>
            </w:pPr>
          </w:p>
        </w:tc>
      </w:tr>
      <w:tr>
        <w:trPr>
          <w:trHeight w:val="197"/>
        </w:trPr>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79"/>
        </w:trPr>
        <w:tc>
          <w:tcPr>
            <w:tcW w:w="29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r>
      <w:tr>
        <w:trPr>
          <w:trHeight w:val="179"/>
        </w:trPr>
        <w:tc>
          <w:tcPr>
            <w:tcW w:w="2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13"/>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FABCP Program</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r>
      <w:tr>
        <w:trPr>
          <w:trHeight w:val="210"/>
        </w:trPr>
        <w:tc>
          <w:tcPr>
            <w:tcW w:w="2940" w:type="dxa"/>
            <w:vAlign w:val="bottom"/>
          </w:tcPr>
          <w:p>
            <w:pPr>
              <w:ind w:left="20"/>
              <w:spacing w:after="0"/>
              <w:rPr>
                <w:sz w:val="20"/>
                <w:szCs w:val="20"/>
                <w:color w:val="auto"/>
              </w:rPr>
            </w:pPr>
            <w:r>
              <w:rPr>
                <w:rFonts w:ascii="Arial" w:cs="Arial" w:eastAsia="Arial" w:hAnsi="Arial"/>
                <w:sz w:val="16"/>
                <w:szCs w:val="16"/>
                <w:color w:val="auto"/>
              </w:rPr>
              <w:t>FABN Program</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2,900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14"/>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FHLB Funding Agreements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r>
      <w:tr>
        <w:trPr>
          <w:trHeight w:val="210"/>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Farmer Mac Funding Agreements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r>
      <w:tr>
        <w:trPr>
          <w:trHeight w:val="233"/>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5,773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Debt Issuances</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See Note 9 of the Notes to the Consolidated Financial Statements included in our 2021 Annual Report for information on debt issuances.</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Credit and Committed Facilities</w:t>
      </w:r>
    </w:p>
    <w:p>
      <w:pPr>
        <w:spacing w:after="0" w:line="111" w:lineRule="exact"/>
        <w:rPr>
          <w:sz w:val="20"/>
          <w:szCs w:val="20"/>
          <w:color w:val="auto"/>
        </w:rPr>
      </w:pPr>
    </w:p>
    <w:p>
      <w:pPr>
        <w:jc w:val="both"/>
        <w:ind w:left="480" w:firstLine="318"/>
        <w:spacing w:after="0" w:line="255" w:lineRule="auto"/>
        <w:rPr>
          <w:sz w:val="20"/>
          <w:szCs w:val="20"/>
          <w:color w:val="auto"/>
        </w:rPr>
      </w:pPr>
      <w:r>
        <w:rPr>
          <w:rFonts w:ascii="Arial" w:cs="Arial" w:eastAsia="Arial" w:hAnsi="Arial"/>
          <w:sz w:val="18"/>
          <w:szCs w:val="18"/>
          <w:color w:val="auto"/>
        </w:rPr>
        <w:t>See Notes 9 and 10 of the Notes to the Consolidated Financial Statements included in our 2021 Annual Report for information regarding our credit and committed facilities. See Note 7 of the Notes to the Interim Condensed Consolidated Financial Statements for information regarding our entry into a new revolving credit facility.</w:t>
      </w:r>
    </w:p>
    <w:p>
      <w:pPr>
        <w:spacing w:after="0" w:line="82" w:lineRule="exact"/>
        <w:rPr>
          <w:sz w:val="20"/>
          <w:szCs w:val="20"/>
          <w:color w:val="auto"/>
        </w:rPr>
      </w:pPr>
    </w:p>
    <w:p>
      <w:pPr>
        <w:jc w:val="both"/>
        <w:ind w:left="480" w:firstLine="318"/>
        <w:spacing w:after="0" w:line="255" w:lineRule="auto"/>
        <w:rPr>
          <w:sz w:val="20"/>
          <w:szCs w:val="20"/>
          <w:color w:val="auto"/>
        </w:rPr>
      </w:pPr>
      <w:r>
        <w:rPr>
          <w:rFonts w:ascii="Arial" w:cs="Arial" w:eastAsia="Arial" w:hAnsi="Arial"/>
          <w:sz w:val="18"/>
          <w:szCs w:val="18"/>
          <w:color w:val="auto"/>
        </w:rPr>
        <w:t>We have no reason to believe that our lending counterparties would be unable to fulfill their respective contractual obligations under these facilities. As commitments under our credit and committed facilities may expire unused, these amounts do not necessarily reflect our actual future cash funding requirements.</w:t>
      </w:r>
    </w:p>
    <w:p>
      <w:pPr>
        <w:spacing w:after="0" w:line="82" w:lineRule="exact"/>
        <w:rPr>
          <w:sz w:val="20"/>
          <w:szCs w:val="20"/>
          <w:color w:val="auto"/>
        </w:rPr>
      </w:pPr>
    </w:p>
    <w:p>
      <w:pPr>
        <w:jc w:val="both"/>
        <w:ind w:left="480" w:firstLine="318"/>
        <w:spacing w:after="0" w:line="252" w:lineRule="auto"/>
        <w:rPr>
          <w:sz w:val="20"/>
          <w:szCs w:val="20"/>
          <w:color w:val="auto"/>
        </w:rPr>
      </w:pPr>
      <w:r>
        <w:rPr>
          <w:rFonts w:ascii="Arial" w:cs="Arial" w:eastAsia="Arial" w:hAnsi="Arial"/>
          <w:sz w:val="18"/>
          <w:szCs w:val="18"/>
          <w:color w:val="auto"/>
        </w:rPr>
        <w:t>Our revolving credit facility contains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our subsidiaries, which could restrict our operations and use of funds. At June 30, 2022, we were in compliance with these financial covenants.</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Primary Uses of Liquidity and Capital</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In addition to the summarized description of liquidity and capital uses discussed in “— Sources and Uses of Liquidity and Capital,” the following additional information is provided regarding our primary uses of liquidity and capital:</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Common Stock Repurchases</w:t>
      </w:r>
    </w:p>
    <w:p>
      <w:pPr>
        <w:spacing w:after="0" w:line="11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See Note 8 of the Notes to the Interim Condensed Consolidated Financial Statements for information relating to authorizations to repurchase BHF common stock, amounts of common stock repurchased pursuant to such authorizations and the amount remaining under such authorizations at June 30, 2022. Subsequent to June 30, 2022 and through August 2, 2022, BHF repurchased an additional 1,279,660 shares of its common stock through open market purchases, pursuant to a 10b5-1 plan, for $52 million.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Preferred Stock Dividends</w:t>
      </w:r>
    </w:p>
    <w:p>
      <w:pPr>
        <w:spacing w:after="0" w:line="11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color w:val="auto"/>
        </w:rPr>
        <w:t>See Note 8 of the Notes to the Interim Condensed Consolidated Financial Statements for information relating to dividends declared and paid on our preferred stock.</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Debt Repayments, Repurchases, Redemptions and Exchanges</w:t>
      </w:r>
    </w:p>
    <w:p>
      <w:pPr>
        <w:spacing w:after="0" w:line="11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color w:val="auto"/>
        </w:rPr>
        <w:t>See Note 9 of the Notes to the Consolidated Financial Statements included in our 2021 Annual Report for information on debt repayments and repurchases, as well as debt maturities and the terms of our outstanding long-term debt.</w:t>
      </w:r>
    </w:p>
    <w:p>
      <w:pPr>
        <w:spacing w:after="0" w:line="75" w:lineRule="exact"/>
        <w:rPr>
          <w:sz w:val="20"/>
          <w:szCs w:val="20"/>
          <w:color w:val="auto"/>
        </w:rPr>
      </w:pPr>
    </w:p>
    <w:p>
      <w:pPr>
        <w:jc w:val="both"/>
        <w:ind w:left="320" w:firstLine="318"/>
        <w:spacing w:after="0" w:line="318" w:lineRule="auto"/>
        <w:rPr>
          <w:sz w:val="20"/>
          <w:szCs w:val="20"/>
          <w:color w:val="auto"/>
        </w:rPr>
      </w:pPr>
      <w:r>
        <w:rPr>
          <w:rFonts w:ascii="Arial" w:cs="Arial" w:eastAsia="Arial" w:hAnsi="Arial"/>
          <w:sz w:val="15"/>
          <w:szCs w:val="15"/>
          <w:color w:val="auto"/>
        </w:rPr>
        <w:t>We have, and may from time to time in the future, seek to retire or purchase our outstanding indebtedness through cash purchases or exchanges for other securities, purchases in the open market, privately negotiated transactions or otherwise. Any such repurchases or exchanges will be dependent upon several factors, including our liquidity requirements, contractual restrictions, general market conditions, as well as applicable regulatory, legal and accounting factors. Whether or not we repurchase any debt and the size and timing of any such repurchases will be determined at our discretion.</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Insurance Liabilities</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Liabilities arising from our insurance activities primarily relate to benefit payments under various annuity and life insurance products, as well as payments for policy surrenders, withdrawals and loans. During the six months ended June 30, 2022 and 2021, general account surrenders and withdrawals, including repayments of funding agreements in connection with our institutional spread margin business, totaled $5.6 billion and $1.4 billion, respectively. See “— Primary Sources of Liquidity and Capital — Funding Sources — Funding Agreements” for additional information regarding our institutional spread margin business.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Pledged Collateral</w:t>
      </w:r>
    </w:p>
    <w:p>
      <w:pPr>
        <w:spacing w:after="0" w:line="111" w:lineRule="exact"/>
        <w:rPr>
          <w:sz w:val="20"/>
          <w:szCs w:val="20"/>
          <w:color w:val="auto"/>
        </w:rPr>
      </w:pPr>
    </w:p>
    <w:p>
      <w:pPr>
        <w:jc w:val="both"/>
        <w:ind w:left="320" w:firstLine="318"/>
        <w:spacing w:after="0" w:line="312" w:lineRule="auto"/>
        <w:rPr>
          <w:sz w:val="20"/>
          <w:szCs w:val="20"/>
          <w:color w:val="auto"/>
        </w:rPr>
      </w:pPr>
      <w:r>
        <w:rPr>
          <w:rFonts w:ascii="Arial" w:cs="Arial" w:eastAsia="Arial" w:hAnsi="Arial"/>
          <w:sz w:val="15"/>
          <w:szCs w:val="15"/>
          <w:color w:val="auto"/>
        </w:rPr>
        <w:t>We enter into derivatives to manage various risks relating to our ongoing business operations. We pledge collateral to, and have collateral pledged to us by, counterparties in connection with our derivatives. At June 30, 2022, we pledged $2 million of cash collateral to counterparties. At December 31, 2021, we did not pledge any cash collateral to counterparties. At June 30, 2022 and December 31, 2021, we were obligated to return cash collateral pledged to us by counterparties of $1.3 billion and $1.7 billion, respectively. See Note 5 of the Notes to the Interim Condensed Consolidated Financial Statements for additional information about pledged collateral. We also pledge collateral from time to time in connection with funding agreements.</w:t>
      </w:r>
    </w:p>
    <w:p>
      <w:pPr>
        <w:spacing w:after="0" w:line="45"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We receive non-cash collateral from counterparties for derivatives, which can be sold or re-pledged subject to certain constraints, and which is not recorded on our consolidated balance sheets. The amount of this non-cash collateral at estimated fair value was $612 million and $593 million at June 30, 2022 and December 31, 2021, respectively.</w:t>
      </w:r>
    </w:p>
    <w:p>
      <w:pPr>
        <w:spacing w:after="0" w:line="82" w:lineRule="exact"/>
        <w:rPr>
          <w:sz w:val="20"/>
          <w:szCs w:val="20"/>
          <w:color w:val="auto"/>
        </w:rPr>
      </w:pPr>
    </w:p>
    <w:p>
      <w:pPr>
        <w:ind w:left="320" w:right="640" w:firstLine="318"/>
        <w:spacing w:after="0" w:line="368" w:lineRule="auto"/>
        <w:rPr>
          <w:sz w:val="20"/>
          <w:szCs w:val="20"/>
          <w:color w:val="auto"/>
        </w:rPr>
      </w:pPr>
      <w:r>
        <w:rPr>
          <w:rFonts w:ascii="Arial" w:cs="Arial" w:eastAsia="Arial" w:hAnsi="Arial"/>
          <w:sz w:val="18"/>
          <w:szCs w:val="18"/>
          <w:color w:val="auto"/>
        </w:rPr>
        <w:t xml:space="preserve">See Note 5 of the Notes to the Interim Condensed Consolidated Financial Statements for additional information regarding pledged collateral. </w:t>
      </w:r>
      <w:r>
        <w:rPr>
          <w:rFonts w:ascii="Arial" w:cs="Arial" w:eastAsia="Arial" w:hAnsi="Arial"/>
          <w:sz w:val="18"/>
          <w:szCs w:val="18"/>
          <w:i w:val="1"/>
          <w:iCs w:val="1"/>
          <w:u w:val="single" w:color="auto"/>
          <w:color w:val="auto"/>
        </w:rPr>
        <w:t>Securities Lending</w:t>
      </w:r>
    </w:p>
    <w:p>
      <w:pPr>
        <w:spacing w:after="0" w:line="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We have a securities lending program that aims to enhance the total return on our investment portfolio, whereby securities are loaned to third parties, primarily brokerage firms and commercial banks. We obtain collateral, usually cash, from the borrower, which must be returned to the borrower when the loaned securities are returned to us. Under our securities lending program, we were liable for cash collateral under our control of $5.4 billion and $4.6 billion at June 30, 2022 and December 31, 2021, respectively.</w:t>
      </w:r>
    </w:p>
    <w:p>
      <w:pPr>
        <w:spacing w:after="0" w:line="85"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We receive non-cash collateral for securities lending from counterparties, which cannot be sold or re-pledged, and which is not recorded on our consolidated balance sheets. We did not hold any non-cash collateral at June 30, 2022. The amount of this non-cash collateral was $2 million at estimated fair value at December 31, 2021.</w:t>
      </w:r>
    </w:p>
    <w:p>
      <w:pPr>
        <w:spacing w:after="0" w:line="82" w:lineRule="exact"/>
        <w:rPr>
          <w:sz w:val="20"/>
          <w:szCs w:val="20"/>
          <w:color w:val="auto"/>
        </w:rPr>
      </w:pPr>
    </w:p>
    <w:p>
      <w:pPr>
        <w:ind w:left="320" w:right="580" w:firstLine="318"/>
        <w:spacing w:after="0" w:line="368" w:lineRule="auto"/>
        <w:rPr>
          <w:sz w:val="20"/>
          <w:szCs w:val="20"/>
          <w:color w:val="auto"/>
        </w:rPr>
      </w:pPr>
      <w:r>
        <w:rPr>
          <w:rFonts w:ascii="Arial" w:cs="Arial" w:eastAsia="Arial" w:hAnsi="Arial"/>
          <w:sz w:val="18"/>
          <w:szCs w:val="18"/>
          <w:color w:val="auto"/>
        </w:rPr>
        <w:t xml:space="preserve">See Note 4 of the Notes to the Interim Condensed Consolidated Financial Statements for further discussion of our securities lending program. </w:t>
      </w:r>
      <w:r>
        <w:rPr>
          <w:rFonts w:ascii="Arial" w:cs="Arial" w:eastAsia="Arial" w:hAnsi="Arial"/>
          <w:sz w:val="18"/>
          <w:szCs w:val="18"/>
          <w:i w:val="1"/>
          <w:iCs w:val="1"/>
          <w:u w:val="single" w:color="auto"/>
          <w:color w:val="auto"/>
        </w:rPr>
        <w:t>Contingencies, Commitments and Guarantees</w:t>
      </w:r>
    </w:p>
    <w:p>
      <w:pPr>
        <w:spacing w:after="0" w:line="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We establish liabilities for litigation, regulatory and other loss contingencies when it is probable that a loss has been incurred and the amount of the loss can be reasonably estimated. See Note 11 of the Notes to the Interim Condensed Consolidated Financial Statements for additional information regarding contingencies.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320" w:firstLine="318"/>
        <w:spacing w:after="0" w:line="330" w:lineRule="auto"/>
        <w:rPr>
          <w:sz w:val="20"/>
          <w:szCs w:val="20"/>
          <w:color w:val="auto"/>
        </w:rPr>
      </w:pPr>
      <w:r>
        <w:rPr>
          <w:rFonts w:ascii="Arial" w:cs="Arial" w:eastAsia="Arial" w:hAnsi="Arial"/>
          <w:sz w:val="15"/>
          <w:szCs w:val="15"/>
          <w:color w:val="auto"/>
        </w:rPr>
        <w:t>We enter into commitments for the purpose of enhancing the total return on our investment portfolio consisting of commitments to fund partnership investments, bank credit facilities and private corporate bond investments, as well as commitments to lend funds under mortgage loan commitments. See Notes 4 and 11 of the Notes to the Interim Condensed Consolidated Financial Statements for additional information regarding commitments.</w:t>
      </w:r>
    </w:p>
    <w:p>
      <w:pPr>
        <w:spacing w:after="0" w:line="3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In the normal course of our business, we have provided certain indemnities, guarantees, and commitments to third parties such that we may be required to make payments now or in the future. See Note 11 of the Notes to the Interim Condensed Consolidated Financial Statements for additional information regarding guarantees.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Parent Company</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Liquidity and Capital</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or as a result of compliance with regulatory requirements.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Short-term Liquidity and Liquid Assets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At June 30, 2022 and December 31, 2021, BHF and certain of its non-insurance subsidiaries had short-term liquidity of $1.2 billion and $1.6 billion, respectively. Short-term liquidity is comprised of cash and cash equivalents and short-term investments, excluding assets that are pledged or otherwise committed. Assets pledged or otherwise committed include assets held in trust.</w:t>
      </w:r>
    </w:p>
    <w:p>
      <w:pPr>
        <w:spacing w:after="0" w:line="82"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At June 30, 2022 and December 31, 2021, BHF and certain of its non-insurance subsidiaries had liquid assets of $1.2 billion and $1.6 billion, respectively, of which $1.2 billion and $1.5 billion was held by BHF. Liquid assets are comprised of cash and cash equivalents, short-term investments and publicly-traded securities, excluding assets that are pledged or otherwise committed. Assets pledged or otherwise committed include assets held in trust.</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Statutory Capital and Dividends</w:t>
      </w:r>
    </w:p>
    <w:p>
      <w:pPr>
        <w:spacing w:after="0" w:line="111" w:lineRule="exact"/>
        <w:rPr>
          <w:sz w:val="20"/>
          <w:szCs w:val="20"/>
          <w:color w:val="auto"/>
        </w:rPr>
      </w:pPr>
    </w:p>
    <w:p>
      <w:pPr>
        <w:jc w:val="both"/>
        <w:ind w:left="320" w:firstLine="318"/>
        <w:spacing w:after="0" w:line="306" w:lineRule="auto"/>
        <w:rPr>
          <w:sz w:val="20"/>
          <w:szCs w:val="20"/>
          <w:color w:val="auto"/>
        </w:rPr>
      </w:pPr>
      <w:r>
        <w:rPr>
          <w:rFonts w:ascii="Arial" w:cs="Arial" w:eastAsia="Arial" w:hAnsi="Arial"/>
          <w:sz w:val="15"/>
          <w:szCs w:val="15"/>
          <w:color w:val="auto"/>
        </w:rPr>
        <w:t>The NAIC and state insurance departments have established regulations that provide minimum capitalization requirements based on RBC formulas for insurance companies. RBC is based on a formula calculated by applying factors to various asset, premium, claim, expense and statutory reserve items. The formula takes into account the risk characteristics of the insurer, including asset risk, insurance risk, interest rate risk, market risk and business risk and is calculated on an annual basis. The formula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total adjusted capital (“TAC”) does not meet or exceed certain RBC levels. As of the date of the most recent annual statutory financial statements filed with insurance regulators, the TAC of each of our insurance subsidiaries subject to these requirements was in excess of each of those RBC levels.</w:t>
      </w:r>
    </w:p>
    <w:p>
      <w:pPr>
        <w:spacing w:after="0" w:line="263" w:lineRule="exact"/>
        <w:rPr>
          <w:sz w:val="20"/>
          <w:szCs w:val="20"/>
          <w:color w:val="auto"/>
        </w:rPr>
      </w:pPr>
    </w:p>
    <w:p>
      <w:pPr>
        <w:jc w:val="both"/>
        <w:ind w:left="320" w:firstLine="318"/>
        <w:spacing w:after="0" w:line="309" w:lineRule="auto"/>
        <w:rPr>
          <w:sz w:val="20"/>
          <w:szCs w:val="20"/>
          <w:color w:val="auto"/>
        </w:rPr>
      </w:pPr>
      <w:r>
        <w:rPr>
          <w:rFonts w:ascii="Arial" w:cs="Arial" w:eastAsia="Arial" w:hAnsi="Arial"/>
          <w:sz w:val="15"/>
          <w:szCs w:val="15"/>
          <w:color w:val="auto"/>
        </w:rPr>
        <w:t>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 and other distributions by our insurance subsidiaries is governed by insurance laws and regulations. See Note 10 of the Notes to the Consolidated Financial Statements included in our 2021 Annual Report.</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Primary Sources and Uses of Liquidity and Capital</w:t>
      </w:r>
    </w:p>
    <w:p>
      <w:pPr>
        <w:spacing w:after="0" w:line="111"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The principal sources of funds available to BHF include distributions from Brighthouse Holdings, LLC (“BH Holdings”), dividends and returns of capital from its insurance subsidiaries and BRCD,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primary uses of liquidity of BHF include debt-service obligations (including interest expense and debt repayments), preferred stock dividends, capital contributions to subsidiaries, common stock repurchases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pay preferred stock dividends, contribute capital to its subsidiaries, repurchase its common stock, pay all general operating expenses and meet its cash needs.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auto"/>
        </w:rPr>
        <w:t>In addition to the liquidity and capital sources discussed in “— The Company — Primary Sources of Liquidity and Capital” and “— The Company —</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Primary Uses of Liquidity and Capital,” the following additional information is provided regarding BHF’s primary sources and uses of liquidity and capital:</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Distributions from and Capital Contributions to BH Holdings</w:t>
      </w:r>
    </w:p>
    <w:p>
      <w:pPr>
        <w:spacing w:after="0" w:line="111" w:lineRule="exact"/>
        <w:rPr>
          <w:sz w:val="20"/>
          <w:szCs w:val="20"/>
          <w:color w:val="auto"/>
        </w:rPr>
      </w:pPr>
    </w:p>
    <w:p>
      <w:pPr>
        <w:jc w:val="both"/>
        <w:ind w:left="320" w:firstLine="318"/>
        <w:spacing w:after="0" w:line="294" w:lineRule="auto"/>
        <w:rPr>
          <w:sz w:val="20"/>
          <w:szCs w:val="20"/>
          <w:color w:val="auto"/>
        </w:rPr>
      </w:pPr>
      <w:r>
        <w:rPr>
          <w:rFonts w:ascii="Arial" w:cs="Arial" w:eastAsia="Arial" w:hAnsi="Arial"/>
          <w:sz w:val="17"/>
          <w:szCs w:val="17"/>
          <w:color w:val="auto"/>
        </w:rPr>
        <w:t>During the six months ended June 30, 2022 and 2021, BHF received cash distributions of $350 million and $310 million, respectively, from BH Holdings. During the six months ended June 30, 2022 and 2021, BHF did not make any cash capital contributions to BH Holdings.</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Short-term Intercompany Loans</w:t>
      </w:r>
    </w:p>
    <w:p>
      <w:pPr>
        <w:spacing w:after="0" w:line="111" w:lineRule="exact"/>
        <w:rPr>
          <w:sz w:val="20"/>
          <w:szCs w:val="20"/>
          <w:color w:val="auto"/>
        </w:rPr>
      </w:pPr>
    </w:p>
    <w:p>
      <w:pPr>
        <w:jc w:val="both"/>
        <w:ind w:left="320" w:firstLine="318"/>
        <w:spacing w:after="0" w:line="248" w:lineRule="auto"/>
        <w:rPr>
          <w:sz w:val="20"/>
          <w:szCs w:val="20"/>
          <w:color w:val="auto"/>
        </w:rPr>
      </w:pPr>
      <w:r>
        <w:rPr>
          <w:rFonts w:ascii="Arial" w:cs="Arial" w:eastAsia="Arial" w:hAnsi="Arial"/>
          <w:sz w:val="18"/>
          <w:szCs w:val="18"/>
          <w:color w:val="auto"/>
        </w:rPr>
        <w:t>BHF, as borrower, has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six months ended June 30, 2022 and 2021, BHF borrowed $457 million and $352 million, respectively, from certain of its non-insurance subsidiaries and repaid $753 million and $481 million of such borrowings during the six months ended June 30, 2022 and 2021, respectively. At June 30, 2022 and December 31, 2021, BHF had total obligations outstanding of $416 million and $712 million, respectively, under such agreements.</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Intercompany Liquidity Facilities</w:t>
      </w:r>
    </w:p>
    <w:p>
      <w:pPr>
        <w:spacing w:after="0" w:line="111" w:lineRule="exact"/>
        <w:rPr>
          <w:sz w:val="20"/>
          <w:szCs w:val="20"/>
          <w:color w:val="auto"/>
        </w:rPr>
      </w:pPr>
    </w:p>
    <w:p>
      <w:pPr>
        <w:jc w:val="both"/>
        <w:ind w:left="320" w:firstLine="318"/>
        <w:spacing w:after="0" w:line="268" w:lineRule="auto"/>
        <w:rPr>
          <w:sz w:val="20"/>
          <w:szCs w:val="20"/>
          <w:color w:val="auto"/>
        </w:rPr>
      </w:pPr>
      <w:r>
        <w:rPr>
          <w:rFonts w:ascii="Arial" w:cs="Arial" w:eastAsia="Arial" w:hAnsi="Arial"/>
          <w:sz w:val="17"/>
          <w:szCs w:val="17"/>
          <w:color w:val="auto"/>
        </w:rPr>
        <w:t>BHF has established intercompany liquidity facilities with certain of its insurance and non-insurance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not more than 364 days. During both the six months ended June 30, 2022 and 2021, there were no borrowings or repayments by BHF under these facilities and, at both June 30, 2022 and December 31, 2021, BHF had no obligations outstanding under such facilities.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7" w:name="page88"/>
    <w:bookmarkEnd w:id="8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spacing w:after="0" w:line="1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Any or all forward-looking statements may turn out to be wrong. They can be affected by inaccurate assumptions or by known or unknown risks and uncertainties. Many such factors will be important in determining the actual future results of Brighthouse Financial.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45" w:lineRule="exact"/>
        <w:rPr>
          <w:sz w:val="20"/>
          <w:szCs w:val="20"/>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differences between actual experience and actuarial assumptions and the effectiveness of our actuarial models;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higher risk management costs and exposure to increased market risk due to guarantees within certain of our products;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effectiveness of our variable annuity exposure risk management strategy and the impact of such strategy on volatility in our profitability measures and negative effects on our statutory capital;</w:t>
      </w:r>
    </w:p>
    <w:p>
      <w:pPr>
        <w:spacing w:after="0" w:line="7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material differences from actual outcomes compared to the sensitivities calculated under certain scenarios and sensitivities that we may utilize in connection with our variable annuity risk management strategies;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impact of interest rates on our future ULSG policyholder obligations and net income volatility;</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impact of the ongoing COVID-19 pandemic;</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potential material adverse effect of changes in accounting standards, practices or policies applicable to us, including changes in the accounting for long-duration contracts;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loss of business and other negative impacts resulting from a downgrade or a potential downgrade in our financial strength or credit ratings;</w:t>
      </w:r>
    </w:p>
    <w:p>
      <w:pPr>
        <w:spacing w:after="0" w:line="122"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availability of reinsurance and the ability of the counterparties to our reinsurance or indemnification arrangements to perform their obligations thereunder;</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heightened competition, including with respect to service, product features, scale, price, actual or perceived financial strength, claims-paying ratings, credit ratings, e-business capabilities and name recognition;</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ability to market and distribute our products through distribution channels;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failure of third parties to provide services we need, any failure of the practices and procedures of such third parties and any inability to obtain information or assistance we need from third parties;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ability of our subsidiaries to pay dividends to us, and our ability to pay dividends to our shareholders and repurchase our common stock;</w:t>
      </w:r>
    </w:p>
    <w:p>
      <w:pPr>
        <w:spacing w:after="0" w:line="122" w:lineRule="exact"/>
        <w:rPr>
          <w:rFonts w:ascii="Arial" w:cs="Arial" w:eastAsia="Arial" w:hAnsi="Arial"/>
          <w:sz w:val="17"/>
          <w:szCs w:val="17"/>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risks associated with climate change;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adverse impact on liabilities for policyholder claims as a result of extreme mortality events;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impact of adverse capital and credit market conditions, including with respect to our ability to meet liquidity needs and access capital;</w:t>
      </w:r>
    </w:p>
    <w:p>
      <w:pPr>
        <w:spacing w:after="0" w:line="122"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impact of economic conditions in the capital markets and the U.S. and global economy, as well as geo-political events, military actions or catastrophic events, on our investment portfolio, including on realized and unrealized losses and impairments, net investment spread and net investment income;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8" w:name="page89"/>
    <w:bookmarkEnd w:id="8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hanging="316"/>
        <w:spacing w:after="0" w:line="294" w:lineRule="auto"/>
        <w:tabs>
          <w:tab w:leader="none" w:pos="635"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impact of events that adversely affect issuers, guarantors or collateral relating to our investments or our derivatives counterparties, on impairments, valuation allowances, reserves, net investment income and changes in unrealized gain or loss positions;</w:t>
      </w:r>
    </w:p>
    <w:p>
      <w:pPr>
        <w:spacing w:after="0" w:line="51" w:lineRule="exact"/>
        <w:rPr>
          <w:rFonts w:ascii="Arial" w:cs="Arial" w:eastAsia="Arial" w:hAnsi="Arial"/>
          <w:sz w:val="17"/>
          <w:szCs w:val="17"/>
          <w:color w:val="auto"/>
        </w:rPr>
      </w:pPr>
    </w:p>
    <w:p>
      <w:pPr>
        <w:ind w:left="640" w:hanging="31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impact of changes in regulation and in supervisory and enforcement policies on our insurance business or other operations;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potential material negative tax impact of potential future tax legislation that could make some of our products less attractive to consumers;</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effectiveness of our policies and procedures in managing risk;</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loss or disclosure of confidential information, damage to our reputation and impairment of our ability to conduct business effectively as a result of any failure in cyber- or other information security systems;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whether all or any portion of the tax consequences of our separation from MetLife, Inc. (together with its subsidiaries and affiliates, “MetLife”) are not as expected, leading to material additional taxes or material adverse consequences to tax attributes that impact us;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uncertainty of the outcome of any disputes with MetLife over tax-related or other matters and agreements or disagreements regarding MetLife’s or our obligations under our other agreements; and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 factors described in this report and from time to time in documents that we file with the SEC.</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our 2021 Annual Report,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routinely use our Investor Relations website to provide presentations, press releases and other information that may be deemed material to investors. Accordingly, we encourage investors and others interested in the Company to review the information that we share at http://investor.brighthousefinancial.com. In addition, our Investor Relations website allows interested persons to sign up to automatically receive e-mail alerts when we post financial information. Information contained on or connected to any website referenced in this report or any of our other filings with the SEC is not incorporated by reference in this report or in any other report or document we file with the SEC, and any website references are intended to be inactive textual references only unless expressly noted.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regularly analyze our market risk exposure to interest rate, equity market price, credit spreads and foreign currency exchange rate risks. As a result of that analysis, we have determined that the estimated fair values of certain assets and liabilities are significantly exposed to changes in interest rates, and to a lesser extent, to changes in equity market prices and foreign currency exchange rates. We have exposure to market risk through our insurance and annuity operations and general account investment activities. For purposes of this discussion, “market risk” is defined as changes in estimated fair value resulting from changes in interest rates, equity market prices, credit spreads and foreign currency exchange rates. We may have additional financial impacts other than changes in estimated fair value, which are beyond the scope of this discussion. A description of our market risk exposures may be found under “Quantitative and Qualitative Disclosures About Market Risk” in our 2021 Annual Report.</w:t>
      </w:r>
    </w:p>
    <w:p>
      <w:pPr>
        <w:spacing w:after="0" w:line="13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There have been no material changes to our market risk exposures from the market risk exposures previously disclosed in our 2021 Annual Report with the exception of sensitivity to changes in interest rates. Sensitivity to a 100 basis point rise in interest rates decreased by $1.0 billion, or 12%, to $7.9 billion as of June 30, 2022 from $8.9 billion as of December 31, 2021, primarily as a result of the impact of higher interest rates on the estimated fair value of fixed maturity securities, in line with management expectations.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9" w:name="page90"/>
    <w:bookmarkEnd w:id="8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Management, with the participation of the Chief Executive Officer and the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the Chief Financial Officer have concluded that these disclosure controls and procedures were effective as of June 30, 2022.</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MetLife provides certain services to the Company on a transitional basis through services agreements. The Company continues to change business processes, implement systems and establish new third-party arrangements. We consider these in aggregate to be material changes in our internal control over financial reporting.</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than as noted above, there were no changes to the Company’s internal control over financial reporting (as defined in Rules 13a-15(f) and 15d-15(f) under the Exchange Act) that occurred during the quarter ended June 30, 2022 that have materially affected, or are reasonably likely to materially affect, these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11 of the Notes to the Interim Condensed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discuss in this report, in our 2021 Annual Report and in our other filings with the SEC, various risks that may materially affect our business. In addition, see “Management’s Discussion and Analysis of Financial Condition and Results of Operations — Note Regarding Forward-Looking Statements” included herein. There have been no material changes to our risk factors from the risk factors previously disclosed in our 2021 Annual Report.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Purchases of BHF common stock made by or on behalf of BHF or its affiliates during the three months ended June 30, 2022 are set forth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00" w:type="dxa"/>
            <w:vAlign w:val="bottom"/>
          </w:tcPr>
          <w:p>
            <w:pPr>
              <w:spacing w:after="0"/>
              <w:rPr>
                <w:sz w:val="14"/>
                <w:szCs w:val="14"/>
                <w:color w:val="auto"/>
              </w:rPr>
            </w:pPr>
          </w:p>
        </w:tc>
        <w:tc>
          <w:tcPr>
            <w:tcW w:w="18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33"/>
        </w:trPr>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Average Price Paid per</w:t>
            </w:r>
          </w:p>
        </w:tc>
        <w:tc>
          <w:tcPr>
            <w:tcW w:w="1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Purchased as Part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jc w:val="center"/>
              <w:ind w:right="65"/>
              <w:spacing w:after="0" w:line="133" w:lineRule="exact"/>
              <w:rPr>
                <w:sz w:val="20"/>
                <w:szCs w:val="20"/>
                <w:color w:val="auto"/>
              </w:rPr>
            </w:pPr>
            <w:r>
              <w:rPr>
                <w:rFonts w:ascii="Arial" w:cs="Arial" w:eastAsia="Arial" w:hAnsi="Arial"/>
                <w:sz w:val="14"/>
                <w:szCs w:val="14"/>
                <w:b w:val="1"/>
                <w:bCs w:val="1"/>
                <w:color w:val="auto"/>
                <w:w w:val="90"/>
              </w:rPr>
              <w:t>Shares that May Yet Be</w:t>
            </w:r>
          </w:p>
        </w:tc>
        <w:tc>
          <w:tcPr>
            <w:tcW w:w="0" w:type="dxa"/>
            <w:vAlign w:val="bottom"/>
          </w:tcPr>
          <w:p>
            <w:pPr>
              <w:spacing w:after="0"/>
              <w:rPr>
                <w:sz w:val="1"/>
                <w:szCs w:val="1"/>
                <w:color w:val="auto"/>
              </w:rPr>
            </w:pPr>
          </w:p>
        </w:tc>
      </w:tr>
      <w:tr>
        <w:trPr>
          <w:trHeight w:val="133"/>
        </w:trPr>
        <w:tc>
          <w:tcPr>
            <w:tcW w:w="3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Publicly Announced Plans or</w:t>
            </w:r>
          </w:p>
        </w:tc>
        <w:tc>
          <w:tcPr>
            <w:tcW w:w="100" w:type="dxa"/>
            <w:vAlign w:val="bottom"/>
          </w:tcPr>
          <w:p>
            <w:pPr>
              <w:spacing w:after="0"/>
              <w:rPr>
                <w:sz w:val="11"/>
                <w:szCs w:val="11"/>
                <w:color w:val="auto"/>
              </w:rPr>
            </w:pPr>
          </w:p>
        </w:tc>
        <w:tc>
          <w:tcPr>
            <w:tcW w:w="18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Purchased Under the Plans</w:t>
            </w:r>
          </w:p>
        </w:tc>
        <w:tc>
          <w:tcPr>
            <w:tcW w:w="0" w:type="dxa"/>
            <w:vAlign w:val="bottom"/>
          </w:tcPr>
          <w:p>
            <w:pPr>
              <w:spacing w:after="0"/>
              <w:rPr>
                <w:sz w:val="1"/>
                <w:szCs w:val="1"/>
                <w:color w:val="auto"/>
              </w:rPr>
            </w:pPr>
          </w:p>
        </w:tc>
      </w:tr>
      <w:tr>
        <w:trPr>
          <w:trHeight w:val="185"/>
        </w:trPr>
        <w:tc>
          <w:tcPr>
            <w:tcW w:w="3760" w:type="dxa"/>
            <w:vAlign w:val="bottom"/>
            <w:gridSpan w:val="2"/>
            <w:vMerge w:val="continue"/>
          </w:tcPr>
          <w:p>
            <w:pPr>
              <w:spacing w:after="0"/>
              <w:rPr>
                <w:sz w:val="16"/>
                <w:szCs w:val="16"/>
                <w:color w:val="auto"/>
              </w:rPr>
            </w:pPr>
          </w:p>
        </w:tc>
        <w:tc>
          <w:tcPr>
            <w:tcW w:w="1780" w:type="dxa"/>
            <w:vAlign w:val="bottom"/>
          </w:tcPr>
          <w:p>
            <w:pPr>
              <w:jc w:val="right"/>
              <w:ind w:right="403"/>
              <w:spacing w:after="0"/>
              <w:rPr>
                <w:sz w:val="20"/>
                <w:szCs w:val="20"/>
                <w:color w:val="auto"/>
              </w:rPr>
            </w:pPr>
            <w:r>
              <w:rPr>
                <w:rFonts w:ascii="Arial" w:cs="Arial" w:eastAsia="Arial" w:hAnsi="Arial"/>
                <w:sz w:val="14"/>
                <w:szCs w:val="14"/>
                <w:b w:val="1"/>
                <w:bCs w:val="1"/>
                <w:color w:val="auto"/>
              </w:rPr>
              <w:t>Purchased (1)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0"/>
              </w:rPr>
              <w:t>Programs (2)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65"/>
              <w:spacing w:after="0"/>
              <w:rPr>
                <w:sz w:val="20"/>
                <w:szCs w:val="20"/>
                <w:color w:val="auto"/>
              </w:rPr>
            </w:pPr>
            <w:r>
              <w:rPr>
                <w:rFonts w:ascii="Arial" w:cs="Arial" w:eastAsia="Arial" w:hAnsi="Arial"/>
                <w:sz w:val="14"/>
                <w:szCs w:val="14"/>
                <w:b w:val="1"/>
                <w:bCs w:val="1"/>
                <w:color w:val="auto"/>
                <w:w w:val="91"/>
              </w:rPr>
              <w:t>or Programs</w:t>
            </w:r>
          </w:p>
        </w:tc>
        <w:tc>
          <w:tcPr>
            <w:tcW w:w="0" w:type="dxa"/>
            <w:vAlign w:val="bottom"/>
          </w:tcPr>
          <w:p>
            <w:pPr>
              <w:spacing w:after="0"/>
              <w:rPr>
                <w:sz w:val="1"/>
                <w:szCs w:val="1"/>
                <w:color w:val="auto"/>
              </w:rPr>
            </w:pPr>
          </w:p>
        </w:tc>
      </w:tr>
      <w:tr>
        <w:trPr>
          <w:trHeight w:val="179"/>
        </w:trPr>
        <w:tc>
          <w:tcPr>
            <w:tcW w:w="3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13"/>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April 1 — April 30, 2022</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776,371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52.59</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776,371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10"/>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May 1 — May 31, 2022</w:t>
            </w:r>
          </w:p>
        </w:tc>
        <w:tc>
          <w:tcPr>
            <w:tcW w:w="1780" w:type="dxa"/>
            <w:vAlign w:val="bottom"/>
          </w:tcPr>
          <w:p>
            <w:pPr>
              <w:jc w:val="right"/>
              <w:spacing w:after="0"/>
              <w:rPr>
                <w:sz w:val="20"/>
                <w:szCs w:val="20"/>
                <w:color w:val="auto"/>
              </w:rPr>
            </w:pPr>
            <w:r>
              <w:rPr>
                <w:rFonts w:ascii="Arial" w:cs="Arial" w:eastAsia="Arial" w:hAnsi="Arial"/>
                <w:sz w:val="16"/>
                <w:szCs w:val="16"/>
                <w:color w:val="auto"/>
              </w:rPr>
              <w:t>881,749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48.50</w:t>
            </w:r>
          </w:p>
        </w:tc>
        <w:tc>
          <w:tcPr>
            <w:tcW w:w="120" w:type="dxa"/>
            <w:vAlign w:val="bottom"/>
          </w:tcPr>
          <w:p>
            <w:pPr>
              <w:spacing w:after="0"/>
              <w:rPr>
                <w:sz w:val="18"/>
                <w:szCs w:val="18"/>
                <w:color w:val="auto"/>
              </w:rPr>
            </w:pPr>
          </w:p>
        </w:tc>
        <w:tc>
          <w:tcPr>
            <w:tcW w:w="1800" w:type="dxa"/>
            <w:vAlign w:val="bottom"/>
          </w:tcPr>
          <w:p>
            <w:pPr>
              <w:jc w:val="right"/>
              <w:ind w:right="5"/>
              <w:spacing w:after="0"/>
              <w:rPr>
                <w:sz w:val="20"/>
                <w:szCs w:val="20"/>
                <w:color w:val="auto"/>
              </w:rPr>
            </w:pPr>
            <w:r>
              <w:rPr>
                <w:rFonts w:ascii="Arial" w:cs="Arial" w:eastAsia="Arial" w:hAnsi="Arial"/>
                <w:sz w:val="16"/>
                <w:szCs w:val="16"/>
                <w:color w:val="auto"/>
              </w:rPr>
              <w:t>881,749</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12"/>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1 — June 30, 2022</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1,096,179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43.77</w:t>
            </w:r>
          </w:p>
        </w:tc>
        <w:tc>
          <w:tcPr>
            <w:tcW w:w="12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1,095,659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08"/>
        </w:trPr>
        <w:tc>
          <w:tcPr>
            <w:tcW w:w="376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2,754,299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2,753,779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365" w:lineRule="auto"/>
        <w:tabs>
          <w:tab w:leader="none" w:pos="314" w:val="left"/>
        </w:tabs>
        <w:numPr>
          <w:ilvl w:val="0"/>
          <w:numId w:val="79"/>
        </w:numPr>
        <w:rPr>
          <w:rFonts w:ascii="Arial" w:cs="Arial" w:eastAsia="Arial" w:hAnsi="Arial"/>
          <w:sz w:val="15"/>
          <w:szCs w:val="15"/>
          <w:color w:val="auto"/>
        </w:rPr>
      </w:pPr>
      <w:r>
        <w:rPr>
          <w:rFonts w:ascii="Arial" w:cs="Arial" w:eastAsia="Arial" w:hAnsi="Arial"/>
          <w:sz w:val="15"/>
          <w:szCs w:val="15"/>
          <w:color w:val="auto"/>
        </w:rPr>
        <w:t>Where applicable, total number of shares purchased includes shares of common stock withheld with respect to option exercise costs and tax withholding obligations associated with the exercise or vesting of share-based compensation awards under our publicly announced benefit plans or programs.</w:t>
      </w:r>
    </w:p>
    <w:p>
      <w:pPr>
        <w:spacing w:after="0" w:line="5" w:lineRule="exact"/>
        <w:rPr>
          <w:rFonts w:ascii="Arial" w:cs="Arial" w:eastAsia="Arial" w:hAnsi="Arial"/>
          <w:sz w:val="15"/>
          <w:szCs w:val="15"/>
          <w:color w:val="auto"/>
        </w:rPr>
      </w:pPr>
    </w:p>
    <w:p>
      <w:pPr>
        <w:jc w:val="both"/>
        <w:ind w:left="320" w:hanging="314"/>
        <w:spacing w:after="0" w:line="255" w:lineRule="auto"/>
        <w:tabs>
          <w:tab w:leader="none" w:pos="314"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See “Management’s Discussion and Analysis of Financial Condition and Results of Operations — Liquidity and Capital Resources — The Company — Primary Uses of Liquidity and Capital — Common Stock Repurchases” and Note 8 of the Notes to the Interim Condensed Consolidated Financial Statements for more information on common stock repurchases.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1" w:name="page92"/>
    <w:bookmarkEnd w:id="9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4" w:lineRule="exact"/>
        <w:rPr>
          <w:sz w:val="20"/>
          <w:szCs w:val="20"/>
          <w:color w:val="auto"/>
        </w:rPr>
      </w:pPr>
    </w:p>
    <w:p>
      <w:pPr>
        <w:jc w:val="both"/>
        <w:ind w:firstLine="159"/>
        <w:spacing w:after="0" w:line="263"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Note Regarding Reliance on Statements in Our Contracts:</w:t>
      </w:r>
      <w:r>
        <w:rPr>
          <w:rFonts w:ascii="Arial" w:cs="Arial" w:eastAsia="Arial" w:hAnsi="Arial"/>
          <w:sz w:val="17"/>
          <w:szCs w:val="17"/>
          <w:i w:val="1"/>
          <w:iCs w:val="1"/>
          <w:color w:val="auto"/>
        </w:rPr>
        <w:t xml:space="preserve"> In reviewing the agreements included as exhibits herein, 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herein and Brighthouse Financial, Inc.’s other public filings, which are available without charge through the U.S. Securities and Exchange Commission website at www.sec.gov.)</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Exhibit No.</w:t>
            </w:r>
          </w:p>
        </w:tc>
        <w:tc>
          <w:tcPr>
            <w:tcW w:w="10060" w:type="dxa"/>
            <w:vAlign w:val="bottom"/>
            <w:gridSpan w:val="5"/>
          </w:tcPr>
          <w:p>
            <w:pPr>
              <w:ind w:left="4680"/>
              <w:spacing w:after="0"/>
              <w:rPr>
                <w:sz w:val="20"/>
                <w:szCs w:val="20"/>
                <w:color w:val="auto"/>
              </w:rPr>
            </w:pPr>
            <w:r>
              <w:rPr>
                <w:rFonts w:ascii="Arial" w:cs="Arial" w:eastAsia="Arial" w:hAnsi="Arial"/>
                <w:sz w:val="14"/>
                <w:szCs w:val="14"/>
                <w:b w:val="1"/>
                <w:bCs w:val="1"/>
                <w:color w:val="auto"/>
              </w:rPr>
              <w:t>Description</w:t>
            </w:r>
          </w:p>
        </w:tc>
      </w:tr>
      <w:tr>
        <w:trPr>
          <w:trHeight w:val="24"/>
        </w:trPr>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79"/>
        </w:trPr>
        <w:tc>
          <w:tcPr>
            <w:tcW w:w="1060" w:type="dxa"/>
            <w:vAlign w:val="bottom"/>
          </w:tcPr>
          <w:p>
            <w:pPr>
              <w:jc w:val="center"/>
              <w:spacing w:after="0" w:line="179"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5"/>
                <w:szCs w:val="15"/>
                <w:color w:val="auto"/>
              </w:rPr>
            </w:pPr>
          </w:p>
        </w:tc>
        <w:tc>
          <w:tcPr>
            <w:tcW w:w="10060" w:type="dxa"/>
            <w:vAlign w:val="bottom"/>
            <w:gridSpan w:val="5"/>
          </w:tcPr>
          <w:p>
            <w:pPr>
              <w:spacing w:after="0" w:line="179"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Revolving Credit Agreement, dated as of April 15, 2022, among Brighthouse Financial, Inc., Bank of America, N.A., as administrative agent,</w:t>
              </w:r>
            </w:hyperlink>
          </w:p>
        </w:tc>
      </w:tr>
      <w:tr>
        <w:trPr>
          <w:trHeight w:val="152"/>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w w:val="95"/>
              </w:rPr>
            </w:pPr>
            <w:hyperlink r:id="rId107">
              <w:r>
                <w:rPr>
                  <w:rFonts w:ascii="Arial" w:cs="Arial" w:eastAsia="Arial" w:hAnsi="Arial"/>
                  <w:sz w:val="17"/>
                  <w:szCs w:val="17"/>
                  <w:color w:val="0000FF"/>
                  <w:w w:val="95"/>
                </w:rPr>
                <w:t>and the other lenders party thereto is incorporated by reference to Exhibit 10.1 to our Current Report on Form 8-K, filed on April 19, 2022.</w:t>
              </w:r>
            </w:hyperlink>
          </w:p>
        </w:tc>
        <w:tc>
          <w:tcPr>
            <w:tcW w:w="1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r>
      <w:tr>
        <w:trPr>
          <w:trHeight w:val="205"/>
        </w:trPr>
        <w:tc>
          <w:tcPr>
            <w:tcW w:w="1060" w:type="dxa"/>
            <w:vAlign w:val="bottom"/>
          </w:tcPr>
          <w:p>
            <w:pPr>
              <w:jc w:val="center"/>
              <w:spacing w:after="0" w:line="205" w:lineRule="exact"/>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17"/>
                <w:szCs w:val="17"/>
                <w:color w:val="auto"/>
              </w:rPr>
            </w:pPr>
          </w:p>
        </w:tc>
        <w:tc>
          <w:tcPr>
            <w:tcW w:w="10060" w:type="dxa"/>
            <w:vAlign w:val="bottom"/>
            <w:gridSpan w:val="5"/>
          </w:tcPr>
          <w:p>
            <w:pPr>
              <w:spacing w:after="0" w:line="205" w:lineRule="exact"/>
              <w:rPr>
                <w:rFonts w:ascii="Arial" w:cs="Arial" w:eastAsia="Arial" w:hAnsi="Arial"/>
                <w:sz w:val="18"/>
                <w:szCs w:val="18"/>
                <w:color w:val="0000FF"/>
              </w:rPr>
            </w:pPr>
            <w:hyperlink w:anchor="page94">
              <w:r>
                <w:rPr>
                  <w:rFonts w:ascii="Arial" w:cs="Arial" w:eastAsia="Arial" w:hAnsi="Arial"/>
                  <w:sz w:val="18"/>
                  <w:szCs w:val="18"/>
                  <w:color w:val="0000FF"/>
                </w:rPr>
                <w:t>Certification of Chief Executive Officer pursuant to Section 302 of the Sarbanes-Oxley Act of 2002.</w:t>
              </w:r>
            </w:hyperlink>
          </w:p>
        </w:tc>
      </w:tr>
      <w:tr>
        <w:trPr>
          <w:trHeight w:val="205"/>
        </w:trPr>
        <w:tc>
          <w:tcPr>
            <w:tcW w:w="1060" w:type="dxa"/>
            <w:vAlign w:val="bottom"/>
          </w:tcPr>
          <w:p>
            <w:pPr>
              <w:jc w:val="center"/>
              <w:spacing w:after="0" w:line="205" w:lineRule="exact"/>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7"/>
                <w:szCs w:val="17"/>
                <w:color w:val="auto"/>
              </w:rPr>
            </w:pPr>
          </w:p>
        </w:tc>
        <w:tc>
          <w:tcPr>
            <w:tcW w:w="7060" w:type="dxa"/>
            <w:vAlign w:val="bottom"/>
            <w:tcBorders>
              <w:top w:val="single" w:sz="8" w:color="0000FF"/>
              <w:bottom w:val="single" w:sz="8" w:color="0000FF"/>
            </w:tcBorders>
          </w:tcPr>
          <w:p>
            <w:pPr>
              <w:spacing w:after="0" w:line="205" w:lineRule="exact"/>
              <w:rPr>
                <w:rFonts w:ascii="Arial" w:cs="Arial" w:eastAsia="Arial" w:hAnsi="Arial"/>
                <w:sz w:val="18"/>
                <w:szCs w:val="18"/>
                <w:color w:val="0000FF"/>
                <w:w w:val="90"/>
              </w:rPr>
            </w:pPr>
            <w:hyperlink w:anchor="page95">
              <w:r>
                <w:rPr>
                  <w:rFonts w:ascii="Arial" w:cs="Arial" w:eastAsia="Arial" w:hAnsi="Arial"/>
                  <w:sz w:val="18"/>
                  <w:szCs w:val="18"/>
                  <w:color w:val="0000FF"/>
                  <w:w w:val="90"/>
                </w:rPr>
                <w:t>Certification of Chief Financial Officer pursuant to Section 302 of the Sarbanes-Oxley Act of 2002.</w:t>
              </w:r>
            </w:hyperlink>
          </w:p>
        </w:tc>
        <w:tc>
          <w:tcPr>
            <w:tcW w:w="40" w:type="dxa"/>
            <w:vAlign w:val="bottom"/>
            <w:tcBorders>
              <w:top w:val="single" w:sz="8" w:color="0000FF"/>
            </w:tcBorders>
          </w:tcPr>
          <w:p>
            <w:pPr>
              <w:spacing w:after="0"/>
              <w:rPr>
                <w:sz w:val="17"/>
                <w:szCs w:val="17"/>
                <w:color w:val="auto"/>
              </w:rPr>
            </w:pPr>
          </w:p>
        </w:tc>
        <w:tc>
          <w:tcPr>
            <w:tcW w:w="2960" w:type="dxa"/>
            <w:vAlign w:val="bottom"/>
            <w:gridSpan w:val="3"/>
          </w:tcPr>
          <w:p>
            <w:pPr>
              <w:spacing w:after="0"/>
              <w:rPr>
                <w:sz w:val="17"/>
                <w:szCs w:val="17"/>
                <w:color w:val="auto"/>
              </w:rPr>
            </w:pPr>
          </w:p>
        </w:tc>
      </w:tr>
      <w:tr>
        <w:trPr>
          <w:trHeight w:val="205"/>
        </w:trPr>
        <w:tc>
          <w:tcPr>
            <w:tcW w:w="1060" w:type="dxa"/>
            <w:vAlign w:val="bottom"/>
          </w:tcPr>
          <w:p>
            <w:pPr>
              <w:jc w:val="center"/>
              <w:spacing w:after="0" w:line="205" w:lineRule="exact"/>
              <w:rPr>
                <w:sz w:val="20"/>
                <w:szCs w:val="20"/>
                <w:color w:val="auto"/>
              </w:rPr>
            </w:pPr>
            <w:r>
              <w:rPr>
                <w:rFonts w:ascii="Arial" w:cs="Arial" w:eastAsia="Arial" w:hAnsi="Arial"/>
                <w:sz w:val="18"/>
                <w:szCs w:val="18"/>
                <w:color w:val="auto"/>
                <w:w w:val="97"/>
              </w:rPr>
              <w:t>32.1**</w:t>
            </w:r>
          </w:p>
        </w:tc>
        <w:tc>
          <w:tcPr>
            <w:tcW w:w="120" w:type="dxa"/>
            <w:vAlign w:val="bottom"/>
          </w:tcPr>
          <w:p>
            <w:pPr>
              <w:spacing w:after="0"/>
              <w:rPr>
                <w:sz w:val="17"/>
                <w:szCs w:val="17"/>
                <w:color w:val="auto"/>
              </w:rPr>
            </w:pPr>
          </w:p>
        </w:tc>
        <w:tc>
          <w:tcPr>
            <w:tcW w:w="10060" w:type="dxa"/>
            <w:vAlign w:val="bottom"/>
            <w:gridSpan w:val="5"/>
          </w:tcPr>
          <w:p>
            <w:pPr>
              <w:spacing w:after="0" w:line="205" w:lineRule="exact"/>
              <w:rPr>
                <w:rFonts w:ascii="Arial" w:cs="Arial" w:eastAsia="Arial" w:hAnsi="Arial"/>
                <w:sz w:val="18"/>
                <w:szCs w:val="18"/>
                <w:color w:val="0000FF"/>
              </w:rPr>
            </w:pPr>
            <w:hyperlink w:anchor="page96">
              <w:r>
                <w:rPr>
                  <w:rFonts w:ascii="Arial" w:cs="Arial" w:eastAsia="Arial" w:hAnsi="Arial"/>
                  <w:sz w:val="18"/>
                  <w:szCs w:val="18"/>
                  <w:color w:val="0000FF"/>
                </w:rPr>
                <w:t>Certification of Chief Executive Officer pursuant to Section 906 of the Sarbanes-Oxley Act of 2002.</w:t>
              </w:r>
            </w:hyperlink>
          </w:p>
        </w:tc>
      </w:tr>
      <w:tr>
        <w:trPr>
          <w:trHeight w:val="205"/>
        </w:trPr>
        <w:tc>
          <w:tcPr>
            <w:tcW w:w="1060" w:type="dxa"/>
            <w:vAlign w:val="bottom"/>
          </w:tcPr>
          <w:p>
            <w:pPr>
              <w:jc w:val="center"/>
              <w:spacing w:after="0" w:line="205" w:lineRule="exact"/>
              <w:rPr>
                <w:sz w:val="20"/>
                <w:szCs w:val="20"/>
                <w:color w:val="auto"/>
              </w:rPr>
            </w:pPr>
            <w:r>
              <w:rPr>
                <w:rFonts w:ascii="Arial" w:cs="Arial" w:eastAsia="Arial" w:hAnsi="Arial"/>
                <w:sz w:val="18"/>
                <w:szCs w:val="18"/>
                <w:color w:val="auto"/>
                <w:w w:val="97"/>
              </w:rPr>
              <w:t>32.2**</w:t>
            </w:r>
          </w:p>
        </w:tc>
        <w:tc>
          <w:tcPr>
            <w:tcW w:w="120" w:type="dxa"/>
            <w:vAlign w:val="bottom"/>
          </w:tcPr>
          <w:p>
            <w:pPr>
              <w:spacing w:after="0"/>
              <w:rPr>
                <w:sz w:val="17"/>
                <w:szCs w:val="17"/>
                <w:color w:val="auto"/>
              </w:rPr>
            </w:pPr>
          </w:p>
        </w:tc>
        <w:tc>
          <w:tcPr>
            <w:tcW w:w="7060" w:type="dxa"/>
            <w:vAlign w:val="bottom"/>
            <w:tcBorders>
              <w:top w:val="single" w:sz="8" w:color="0000FF"/>
              <w:bottom w:val="single" w:sz="8" w:color="0000FF"/>
            </w:tcBorders>
          </w:tcPr>
          <w:p>
            <w:pPr>
              <w:spacing w:after="0" w:line="205" w:lineRule="exact"/>
              <w:rPr>
                <w:rFonts w:ascii="Arial" w:cs="Arial" w:eastAsia="Arial" w:hAnsi="Arial"/>
                <w:sz w:val="18"/>
                <w:szCs w:val="18"/>
                <w:color w:val="0000FF"/>
                <w:w w:val="90"/>
              </w:rPr>
            </w:pPr>
            <w:hyperlink w:anchor="page97">
              <w:r>
                <w:rPr>
                  <w:rFonts w:ascii="Arial" w:cs="Arial" w:eastAsia="Arial" w:hAnsi="Arial"/>
                  <w:sz w:val="18"/>
                  <w:szCs w:val="18"/>
                  <w:color w:val="0000FF"/>
                  <w:w w:val="90"/>
                </w:rPr>
                <w:t>Certification of Chief Financial Officer pursuant to Section 906 of the Sarbanes-Oxley Act of 2002.</w:t>
              </w:r>
            </w:hyperlink>
          </w:p>
        </w:tc>
        <w:tc>
          <w:tcPr>
            <w:tcW w:w="40" w:type="dxa"/>
            <w:vAlign w:val="bottom"/>
            <w:tcBorders>
              <w:top w:val="single" w:sz="8" w:color="0000FF"/>
            </w:tcBorders>
          </w:tcPr>
          <w:p>
            <w:pPr>
              <w:spacing w:after="0"/>
              <w:rPr>
                <w:sz w:val="17"/>
                <w:szCs w:val="17"/>
                <w:color w:val="auto"/>
              </w:rPr>
            </w:pPr>
          </w:p>
        </w:tc>
        <w:tc>
          <w:tcPr>
            <w:tcW w:w="2960" w:type="dxa"/>
            <w:vAlign w:val="bottom"/>
            <w:gridSpan w:val="3"/>
          </w:tcPr>
          <w:p>
            <w:pPr>
              <w:spacing w:after="0"/>
              <w:rPr>
                <w:sz w:val="17"/>
                <w:szCs w:val="17"/>
                <w:color w:val="auto"/>
              </w:rPr>
            </w:pPr>
          </w:p>
        </w:tc>
      </w:tr>
      <w:tr>
        <w:trPr>
          <w:trHeight w:val="193"/>
        </w:trPr>
        <w:tc>
          <w:tcPr>
            <w:tcW w:w="1180" w:type="dxa"/>
            <w:vAlign w:val="bottom"/>
            <w:gridSpan w:val="2"/>
          </w:tcPr>
          <w:p>
            <w:pPr>
              <w:jc w:val="center"/>
              <w:ind w:right="100"/>
              <w:spacing w:after="0" w:line="193" w:lineRule="exact"/>
              <w:rPr>
                <w:sz w:val="20"/>
                <w:szCs w:val="20"/>
                <w:color w:val="auto"/>
              </w:rPr>
            </w:pPr>
            <w:r>
              <w:rPr>
                <w:rFonts w:ascii="Arial" w:cs="Arial" w:eastAsia="Arial" w:hAnsi="Arial"/>
                <w:sz w:val="18"/>
                <w:szCs w:val="18"/>
                <w:color w:val="auto"/>
                <w:w w:val="94"/>
              </w:rPr>
              <w:t>101.INS*</w:t>
            </w:r>
          </w:p>
        </w:tc>
        <w:tc>
          <w:tcPr>
            <w:tcW w:w="10060" w:type="dxa"/>
            <w:vAlign w:val="bottom"/>
            <w:gridSpan w:val="5"/>
          </w:tcPr>
          <w:p>
            <w:pPr>
              <w:spacing w:after="0" w:line="193" w:lineRule="exact"/>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23"/>
        </w:trPr>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the Inline XBRL document.</w:t>
            </w:r>
          </w:p>
        </w:tc>
      </w:tr>
      <w:tr>
        <w:trPr>
          <w:trHeight w:val="225"/>
        </w:trPr>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101.SCH*</w:t>
            </w:r>
          </w:p>
        </w:tc>
        <w:tc>
          <w:tcPr>
            <w:tcW w:w="1006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101.CAL*</w:t>
            </w:r>
          </w:p>
        </w:tc>
        <w:tc>
          <w:tcPr>
            <w:tcW w:w="1006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101.LAB*</w:t>
            </w:r>
          </w:p>
        </w:tc>
        <w:tc>
          <w:tcPr>
            <w:tcW w:w="1006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101.PRE*</w:t>
            </w:r>
          </w:p>
        </w:tc>
        <w:tc>
          <w:tcPr>
            <w:tcW w:w="1006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2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1006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174"/>
        </w:trPr>
        <w:tc>
          <w:tcPr>
            <w:tcW w:w="1060" w:type="dxa"/>
            <w:vAlign w:val="bottom"/>
          </w:tcPr>
          <w:p>
            <w:pPr>
              <w:jc w:val="center"/>
              <w:spacing w:after="0" w:line="174" w:lineRule="exact"/>
              <w:rPr>
                <w:sz w:val="20"/>
                <w:szCs w:val="20"/>
                <w:color w:val="auto"/>
              </w:rPr>
            </w:pPr>
            <w:r>
              <w:rPr>
                <w:rFonts w:ascii="Arial" w:cs="Arial" w:eastAsia="Arial" w:hAnsi="Arial"/>
                <w:sz w:val="18"/>
                <w:szCs w:val="18"/>
                <w:color w:val="auto"/>
                <w:w w:val="97"/>
              </w:rPr>
              <w:t>104*</w:t>
            </w:r>
          </w:p>
        </w:tc>
        <w:tc>
          <w:tcPr>
            <w:tcW w:w="120" w:type="dxa"/>
            <w:vAlign w:val="bottom"/>
          </w:tcPr>
          <w:p>
            <w:pPr>
              <w:spacing w:after="0"/>
              <w:rPr>
                <w:sz w:val="15"/>
                <w:szCs w:val="15"/>
                <w:color w:val="auto"/>
              </w:rPr>
            </w:pPr>
          </w:p>
        </w:tc>
        <w:tc>
          <w:tcPr>
            <w:tcW w:w="10060" w:type="dxa"/>
            <w:vAlign w:val="bottom"/>
            <w:gridSpan w:val="5"/>
          </w:tcPr>
          <w:p>
            <w:pPr>
              <w:spacing w:after="0" w:line="174" w:lineRule="exact"/>
              <w:rPr>
                <w:sz w:val="20"/>
                <w:szCs w:val="20"/>
                <w:color w:val="auto"/>
              </w:rPr>
            </w:pPr>
            <w:r>
              <w:rPr>
                <w:rFonts w:ascii="Arial" w:cs="Arial" w:eastAsia="Arial" w:hAnsi="Arial"/>
                <w:sz w:val="18"/>
                <w:szCs w:val="18"/>
                <w:color w:val="auto"/>
                <w:w w:val="93"/>
              </w:rPr>
              <w:t>The cover page of Brighthouse Financial, Inc.’s Quarterly Report on Form 10-Q for the quarter ended June 30, 2022, formatted in Inline</w:t>
            </w:r>
          </w:p>
        </w:tc>
      </w:tr>
      <w:tr>
        <w:trPr>
          <w:trHeight w:val="223"/>
        </w:trPr>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XBRL (included within the Exhibit 101 attachments).</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2" w:name="page93"/>
    <w:bookmarkEnd w:id="9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BRIGHTHOUSE FINANCIAL, INC.</w:t>
      </w:r>
    </w:p>
    <w:p>
      <w:pPr>
        <w:spacing w:after="0" w:line="111" w:lineRule="exact"/>
        <w:rPr>
          <w:sz w:val="20"/>
          <w:szCs w:val="20"/>
          <w:color w:val="auto"/>
        </w:rPr>
      </w:pPr>
    </w:p>
    <w:tbl>
      <w:tblPr>
        <w:tblLayout w:type="fixed"/>
        <w:tblInd w:w="3260" w:type="dxa"/>
        <w:tblCellMar>
          <w:top w:w="0" w:type="dxa"/>
          <w:left w:w="0" w:type="dxa"/>
          <w:bottom w:w="0" w:type="dxa"/>
          <w:right w:w="0" w:type="dxa"/>
        </w:tblCellMar>
      </w:tblPr>
      <w:tr>
        <w:trPr>
          <w:trHeight w:val="224"/>
        </w:trPr>
        <w:tc>
          <w:tcPr>
            <w:tcW w:w="960" w:type="dxa"/>
            <w:vAlign w:val="bottom"/>
            <w:gridSpan w:val="2"/>
          </w:tcPr>
          <w:p>
            <w:pPr>
              <w:spacing w:after="0"/>
              <w:rPr>
                <w:sz w:val="20"/>
                <w:szCs w:val="20"/>
                <w:color w:val="auto"/>
              </w:rPr>
            </w:pPr>
            <w:r>
              <w:rPr>
                <w:rFonts w:ascii="Arial" w:cs="Arial" w:eastAsia="Arial" w:hAnsi="Arial"/>
                <w:sz w:val="18"/>
                <w:szCs w:val="18"/>
                <w:color w:val="auto"/>
              </w:rPr>
              <w:t>By:</w:t>
            </w:r>
          </w:p>
        </w:tc>
        <w:tc>
          <w:tcPr>
            <w:tcW w:w="4100" w:type="dxa"/>
            <w:vAlign w:val="bottom"/>
          </w:tcPr>
          <w:p>
            <w:pPr>
              <w:ind w:left="1040"/>
              <w:spacing w:after="0"/>
              <w:rPr>
                <w:sz w:val="20"/>
                <w:szCs w:val="20"/>
                <w:color w:val="auto"/>
              </w:rPr>
            </w:pPr>
            <w:r>
              <w:rPr>
                <w:rFonts w:ascii="Arial" w:cs="Arial" w:eastAsia="Arial" w:hAnsi="Arial"/>
                <w:sz w:val="18"/>
                <w:szCs w:val="18"/>
                <w:color w:val="auto"/>
              </w:rPr>
              <w:t>/s/ Edward A. Spehar</w:t>
            </w:r>
          </w:p>
        </w:tc>
      </w:tr>
      <w:tr>
        <w:trPr>
          <w:trHeight w:val="244"/>
        </w:trPr>
        <w:tc>
          <w:tcPr>
            <w:tcW w:w="280" w:type="dxa"/>
            <w:vAlign w:val="bottom"/>
          </w:tcPr>
          <w:p>
            <w:pPr>
              <w:spacing w:after="0"/>
              <w:rPr>
                <w:sz w:val="21"/>
                <w:szCs w:val="21"/>
                <w:color w:val="auto"/>
              </w:rPr>
            </w:pPr>
          </w:p>
        </w:tc>
        <w:tc>
          <w:tcPr>
            <w:tcW w:w="680" w:type="dxa"/>
            <w:vAlign w:val="bottom"/>
            <w:tcBorders>
              <w:top w:val="single" w:sz="8" w:color="auto"/>
            </w:tcBorders>
          </w:tcPr>
          <w:p>
            <w:pPr>
              <w:jc w:val="center"/>
              <w:ind w:left="72"/>
              <w:spacing w:after="0"/>
              <w:rPr>
                <w:sz w:val="20"/>
                <w:szCs w:val="20"/>
                <w:color w:val="auto"/>
              </w:rPr>
            </w:pPr>
            <w:r>
              <w:rPr>
                <w:rFonts w:ascii="Arial" w:cs="Arial" w:eastAsia="Arial" w:hAnsi="Arial"/>
                <w:sz w:val="18"/>
                <w:szCs w:val="18"/>
                <w:color w:val="auto"/>
                <w:w w:val="90"/>
              </w:rPr>
              <w:t>Name:</w:t>
            </w:r>
          </w:p>
        </w:tc>
        <w:tc>
          <w:tcPr>
            <w:tcW w:w="41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Edward A. Spehar</w:t>
            </w:r>
          </w:p>
        </w:tc>
      </w:tr>
      <w:tr>
        <w:trPr>
          <w:trHeight w:val="265"/>
        </w:trPr>
        <w:tc>
          <w:tcPr>
            <w:tcW w:w="280" w:type="dxa"/>
            <w:vAlign w:val="bottom"/>
          </w:tcPr>
          <w:p>
            <w:pPr>
              <w:spacing w:after="0"/>
              <w:rPr>
                <w:sz w:val="23"/>
                <w:szCs w:val="23"/>
                <w:color w:val="auto"/>
              </w:rPr>
            </w:pPr>
          </w:p>
        </w:tc>
        <w:tc>
          <w:tcPr>
            <w:tcW w:w="680" w:type="dxa"/>
            <w:vAlign w:val="bottom"/>
          </w:tcPr>
          <w:p>
            <w:pPr>
              <w:jc w:val="center"/>
              <w:ind w:left="72"/>
              <w:spacing w:after="0"/>
              <w:rPr>
                <w:sz w:val="20"/>
                <w:szCs w:val="20"/>
                <w:color w:val="auto"/>
              </w:rPr>
            </w:pPr>
            <w:r>
              <w:rPr>
                <w:rFonts w:ascii="Arial" w:cs="Arial" w:eastAsia="Arial" w:hAnsi="Arial"/>
                <w:sz w:val="18"/>
                <w:szCs w:val="18"/>
                <w:color w:val="auto"/>
                <w:w w:val="92"/>
              </w:rPr>
              <w:t>Title:</w:t>
            </w:r>
          </w:p>
        </w:tc>
        <w:tc>
          <w:tcPr>
            <w:tcW w:w="4100" w:type="dxa"/>
            <w:vAlign w:val="bottom"/>
          </w:tcPr>
          <w:p>
            <w:pPr>
              <w:ind w:left="180"/>
              <w:spacing w:after="0"/>
              <w:rPr>
                <w:sz w:val="20"/>
                <w:szCs w:val="20"/>
                <w:color w:val="auto"/>
              </w:rPr>
            </w:pPr>
            <w:r>
              <w:rPr>
                <w:rFonts w:ascii="Arial" w:cs="Arial" w:eastAsia="Arial" w:hAnsi="Arial"/>
                <w:sz w:val="18"/>
                <w:szCs w:val="18"/>
                <w:color w:val="auto"/>
                <w:w w:val="93"/>
              </w:rPr>
              <w:t>Executive Vice President and Chief Financial Officer</w:t>
            </w:r>
          </w:p>
        </w:tc>
      </w:tr>
      <w:tr>
        <w:trPr>
          <w:trHeight w:val="174"/>
        </w:trPr>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100" w:type="dxa"/>
            <w:vAlign w:val="bottom"/>
          </w:tcPr>
          <w:p>
            <w:pPr>
              <w:ind w:left="180"/>
              <w:spacing w:after="0" w:line="174" w:lineRule="exact"/>
              <w:rPr>
                <w:sz w:val="20"/>
                <w:szCs w:val="20"/>
                <w:color w:val="auto"/>
              </w:rPr>
            </w:pPr>
            <w:r>
              <w:rPr>
                <w:rFonts w:ascii="Arial" w:cs="Arial" w:eastAsia="Arial" w:hAnsi="Arial"/>
                <w:sz w:val="18"/>
                <w:szCs w:val="18"/>
                <w:color w:val="auto"/>
              </w:rPr>
              <w:t>(Duly Authorized Officer and Principal Financial</w:t>
            </w:r>
          </w:p>
        </w:tc>
      </w:tr>
      <w:tr>
        <w:trPr>
          <w:trHeight w:val="223"/>
        </w:trPr>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Officer)</w:t>
            </w:r>
          </w:p>
        </w:tc>
      </w:tr>
    </w:tbl>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 August 5, 2022</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227" w:right="339" w:bottom="1440" w:gutter="0" w:footer="0" w:header="0"/>
        </w:sectPr>
      </w:pPr>
    </w:p>
    <w:bookmarkStart w:id="93" w:name="page94"/>
    <w:bookmarkEnd w:id="93"/>
    <w:p>
      <w:pPr>
        <w:ind w:left="10320"/>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 Eric T. Steigerwalt, certify that:</w:t>
      </w:r>
    </w:p>
    <w:p>
      <w:pPr>
        <w:spacing w:after="0" w:line="85" w:lineRule="exact"/>
        <w:rPr>
          <w:sz w:val="20"/>
          <w:szCs w:val="20"/>
          <w:color w:val="auto"/>
        </w:rPr>
      </w:pPr>
    </w:p>
    <w:p>
      <w:pPr>
        <w:ind w:left="180" w:hanging="174"/>
        <w:spacing w:after="0"/>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Brighthouse Financial, Inc.;</w:t>
      </w:r>
    </w:p>
    <w:p>
      <w:pPr>
        <w:spacing w:after="0" w:line="97" w:lineRule="exact"/>
        <w:rPr>
          <w:rFonts w:ascii="Arial" w:cs="Arial" w:eastAsia="Arial" w:hAnsi="Arial"/>
          <w:sz w:val="18"/>
          <w:szCs w:val="18"/>
          <w:color w:val="auto"/>
        </w:rPr>
      </w:pPr>
    </w:p>
    <w:p>
      <w:pPr>
        <w:ind w:firstLine="6"/>
        <w:spacing w:after="0" w:line="359" w:lineRule="auto"/>
        <w:tabs>
          <w:tab w:leader="none" w:pos="206" w:val="left"/>
        </w:tabs>
        <w:numPr>
          <w:ilvl w:val="0"/>
          <w:numId w:val="8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6"/>
        <w:spacing w:after="0" w:line="264" w:lineRule="auto"/>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firstLine="6"/>
        <w:spacing w:after="0" w:line="255" w:lineRule="auto"/>
        <w:tabs>
          <w:tab w:leader="none" w:pos="17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31"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2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ind w:left="640" w:hanging="316"/>
        <w:spacing w:after="0" w:line="294" w:lineRule="auto"/>
        <w:tabs>
          <w:tab w:leader="none" w:pos="631" w:val="left"/>
        </w:tabs>
        <w:numPr>
          <w:ilvl w:val="1"/>
          <w:numId w:val="8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7"/>
          <w:szCs w:val="17"/>
          <w:color w:val="auto"/>
        </w:rPr>
      </w:pPr>
    </w:p>
    <w:p>
      <w:pPr>
        <w:jc w:val="both"/>
        <w:ind w:left="640" w:hanging="316"/>
        <w:spacing w:after="0" w:line="255" w:lineRule="auto"/>
        <w:tabs>
          <w:tab w:leader="none" w:pos="62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firstLine="6"/>
        <w:spacing w:after="0" w:line="294" w:lineRule="auto"/>
        <w:tabs>
          <w:tab w:leader="none" w:pos="198"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40" w:hanging="316"/>
        <w:spacing w:after="0" w:line="264" w:lineRule="auto"/>
        <w:tabs>
          <w:tab w:leader="none" w:pos="631"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640" w:hanging="316"/>
        <w:spacing w:after="0" w:line="264" w:lineRule="auto"/>
        <w:tabs>
          <w:tab w:leader="none" w:pos="628"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2022</w:t>
      </w:r>
    </w:p>
    <w:p>
      <w:pPr>
        <w:spacing w:after="0" w:line="270"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10795</wp:posOffset>
            </wp:positionV>
            <wp:extent cx="30035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Eric T. Steigerwalt</w:t>
      </w:r>
    </w:p>
    <w:p>
      <w:pPr>
        <w:spacing w:after="0" w:line="18"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60" w:right="339" w:bottom="1440" w:gutter="0" w:footer="0" w:header="0"/>
        </w:sectPr>
      </w:pPr>
    </w:p>
    <w:bookmarkStart w:id="94" w:name="page95"/>
    <w:bookmarkEnd w:id="94"/>
    <w:p>
      <w:pPr>
        <w:ind w:left="10320"/>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 Edward A. Spehar, certify that:</w:t>
      </w:r>
    </w:p>
    <w:p>
      <w:pPr>
        <w:spacing w:after="0" w:line="85" w:lineRule="exact"/>
        <w:rPr>
          <w:sz w:val="20"/>
          <w:szCs w:val="20"/>
          <w:color w:val="auto"/>
        </w:rPr>
      </w:pPr>
    </w:p>
    <w:p>
      <w:pPr>
        <w:ind w:left="180" w:hanging="174"/>
        <w:spacing w:after="0"/>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Brighthouse Financial, Inc.;</w:t>
      </w:r>
    </w:p>
    <w:p>
      <w:pPr>
        <w:spacing w:after="0" w:line="97" w:lineRule="exact"/>
        <w:rPr>
          <w:rFonts w:ascii="Arial" w:cs="Arial" w:eastAsia="Arial" w:hAnsi="Arial"/>
          <w:sz w:val="18"/>
          <w:szCs w:val="18"/>
          <w:color w:val="auto"/>
        </w:rPr>
      </w:pPr>
    </w:p>
    <w:p>
      <w:pPr>
        <w:ind w:firstLine="6"/>
        <w:spacing w:after="0" w:line="359" w:lineRule="auto"/>
        <w:tabs>
          <w:tab w:leader="none" w:pos="206" w:val="left"/>
        </w:tabs>
        <w:numPr>
          <w:ilvl w:val="0"/>
          <w:numId w:val="8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6"/>
        <w:spacing w:after="0" w:line="264" w:lineRule="auto"/>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firstLine="6"/>
        <w:spacing w:after="0" w:line="255" w:lineRule="auto"/>
        <w:tabs>
          <w:tab w:leader="none" w:pos="17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31"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2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ind w:left="640" w:hanging="316"/>
        <w:spacing w:after="0" w:line="294" w:lineRule="auto"/>
        <w:tabs>
          <w:tab w:leader="none" w:pos="631" w:val="left"/>
        </w:tabs>
        <w:numPr>
          <w:ilvl w:val="1"/>
          <w:numId w:val="8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7"/>
          <w:szCs w:val="17"/>
          <w:color w:val="auto"/>
        </w:rPr>
      </w:pPr>
    </w:p>
    <w:p>
      <w:pPr>
        <w:jc w:val="both"/>
        <w:ind w:left="640" w:hanging="316"/>
        <w:spacing w:after="0" w:line="255" w:lineRule="auto"/>
        <w:tabs>
          <w:tab w:leader="none" w:pos="62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firstLine="6"/>
        <w:spacing w:after="0" w:line="294" w:lineRule="auto"/>
        <w:tabs>
          <w:tab w:leader="none" w:pos="198"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40" w:hanging="316"/>
        <w:spacing w:after="0" w:line="264" w:lineRule="auto"/>
        <w:tabs>
          <w:tab w:leader="none" w:pos="631"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640" w:hanging="316"/>
        <w:spacing w:after="0" w:line="264" w:lineRule="auto"/>
        <w:tabs>
          <w:tab w:leader="none" w:pos="628"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2022</w:t>
      </w:r>
    </w:p>
    <w:p>
      <w:pPr>
        <w:spacing w:after="0" w:line="270"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10795</wp:posOffset>
            </wp:positionV>
            <wp:extent cx="32226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Edward A. Spehar</w:t>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360"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1350 OF CHAPTER 63 OF TITLE 18 OF THE UNITED STATES CODE</w:t>
      </w:r>
    </w:p>
    <w:p>
      <w:pPr>
        <w:spacing w:after="0" w:line="151" w:lineRule="exact"/>
        <w:rPr>
          <w:sz w:val="20"/>
          <w:szCs w:val="20"/>
          <w:color w:val="auto"/>
        </w:rPr>
      </w:pPr>
    </w:p>
    <w:p>
      <w:pPr>
        <w:jc w:val="both"/>
        <w:ind w:firstLine="477"/>
        <w:spacing w:after="0" w:line="330" w:lineRule="auto"/>
        <w:rPr>
          <w:sz w:val="20"/>
          <w:szCs w:val="20"/>
          <w:color w:val="auto"/>
        </w:rPr>
      </w:pPr>
      <w:r>
        <w:rPr>
          <w:rFonts w:ascii="Arial" w:cs="Arial" w:eastAsia="Arial" w:hAnsi="Arial"/>
          <w:sz w:val="15"/>
          <w:szCs w:val="15"/>
          <w:color w:val="auto"/>
        </w:rPr>
        <w:t>I, Eric T. Steigerwalt, certify that, to my knowledge, (i) Brighthouse Financial, Inc.’s Quarterly Report on Form 10-Q for the quarter ended June 30, 2022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2022</w:t>
      </w:r>
    </w:p>
    <w:p>
      <w:pPr>
        <w:spacing w:after="0" w:line="200" w:lineRule="exact"/>
        <w:rPr>
          <w:sz w:val="20"/>
          <w:szCs w:val="20"/>
          <w:color w:val="auto"/>
        </w:rPr>
      </w:pPr>
    </w:p>
    <w:p>
      <w:pPr>
        <w:spacing w:after="0" w:line="282"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10795</wp:posOffset>
            </wp:positionV>
            <wp:extent cx="30035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Eric T. Steigerwalt</w:t>
      </w:r>
    </w:p>
    <w:p>
      <w:pPr>
        <w:spacing w:after="0" w:line="18"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 and Chief Executive Officer</w:t>
      </w:r>
    </w:p>
    <w:p>
      <w:pPr>
        <w:spacing w:after="0" w:line="217" w:lineRule="exact"/>
        <w:rPr>
          <w:sz w:val="20"/>
          <w:szCs w:val="20"/>
          <w:color w:val="auto"/>
        </w:rPr>
      </w:pPr>
    </w:p>
    <w:p>
      <w:pPr>
        <w:jc w:val="both"/>
        <w:ind w:firstLine="477"/>
        <w:spacing w:after="0" w:line="318" w:lineRule="auto"/>
        <w:rPr>
          <w:sz w:val="20"/>
          <w:szCs w:val="20"/>
          <w:color w:val="auto"/>
        </w:rPr>
      </w:pPr>
      <w:r>
        <w:rPr>
          <w:rFonts w:ascii="Arial" w:cs="Arial" w:eastAsia="Arial" w:hAnsi="Arial"/>
          <w:sz w:val="15"/>
          <w:szCs w:val="15"/>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360"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1350 OF CHAPTER 63 OF TITLE 18 OF THE UNITED STATES CODE</w:t>
      </w:r>
    </w:p>
    <w:p>
      <w:pPr>
        <w:spacing w:after="0" w:line="151" w:lineRule="exact"/>
        <w:rPr>
          <w:sz w:val="20"/>
          <w:szCs w:val="20"/>
          <w:color w:val="auto"/>
        </w:rPr>
      </w:pPr>
    </w:p>
    <w:p>
      <w:pPr>
        <w:jc w:val="both"/>
        <w:ind w:firstLine="477"/>
        <w:spacing w:after="0" w:line="330" w:lineRule="auto"/>
        <w:rPr>
          <w:sz w:val="20"/>
          <w:szCs w:val="20"/>
          <w:color w:val="auto"/>
        </w:rPr>
      </w:pPr>
      <w:r>
        <w:rPr>
          <w:rFonts w:ascii="Arial" w:cs="Arial" w:eastAsia="Arial" w:hAnsi="Arial"/>
          <w:sz w:val="15"/>
          <w:szCs w:val="15"/>
          <w:color w:val="auto"/>
        </w:rPr>
        <w:t>I, Edward A. Spehar, certify that, to my knowledge, (i) Brighthouse Financial, Inc.’s Quarterly Report on Form 10-Q for the quarter ended June 30, 2022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2022</w:t>
      </w:r>
    </w:p>
    <w:p>
      <w:pPr>
        <w:spacing w:after="0" w:line="200" w:lineRule="exact"/>
        <w:rPr>
          <w:sz w:val="20"/>
          <w:szCs w:val="20"/>
          <w:color w:val="auto"/>
        </w:rPr>
      </w:pPr>
    </w:p>
    <w:p>
      <w:pPr>
        <w:spacing w:after="0" w:line="282"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10795</wp:posOffset>
            </wp:positionV>
            <wp:extent cx="32226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Edward A. Spehar</w:t>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Executive Vice President and Chief Financial Officer</w:t>
      </w:r>
    </w:p>
    <w:p>
      <w:pPr>
        <w:spacing w:after="0" w:line="217" w:lineRule="exact"/>
        <w:rPr>
          <w:sz w:val="20"/>
          <w:szCs w:val="20"/>
          <w:color w:val="auto"/>
        </w:rPr>
      </w:pPr>
    </w:p>
    <w:p>
      <w:pPr>
        <w:jc w:val="both"/>
        <w:ind w:firstLine="477"/>
        <w:spacing w:after="0" w:line="318" w:lineRule="auto"/>
        <w:rPr>
          <w:sz w:val="20"/>
          <w:szCs w:val="20"/>
          <w:color w:val="auto"/>
        </w:rPr>
      </w:pPr>
      <w:r>
        <w:rPr>
          <w:rFonts w:ascii="Arial" w:cs="Arial" w:eastAsia="Arial" w:hAnsi="Arial"/>
          <w:sz w:val="15"/>
          <w:szCs w:val="15"/>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decimal"/>
      <w:start w:val="1"/>
    </w:lvl>
  </w:abstractNum>
  <w:abstractNum w:abstractNumId="3">
    <w:nsid w:val="6A2342EC"/>
    <w:multiLevelType w:val="hybridMultilevel"/>
    <w:lvl w:ilvl="0">
      <w:lvlJc w:val="left"/>
      <w:lvlText w:val="%1."/>
      <w:numFmt w:val="decimal"/>
      <w:start w:val="1"/>
    </w:lvl>
    <w:lvl w:ilvl="1">
      <w:lvlJc w:val="left"/>
      <w:lvlText w:val="(%2)"/>
      <w:numFmt w:val="decimal"/>
      <w:start w:val="2"/>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1)"/>
      <w:numFmt w:val="decimal"/>
      <w:start w:val="1"/>
    </w:lvl>
  </w:abstractNum>
  <w:abstractNum w:abstractNumId="7">
    <w:nsid w:val="2CD89A32"/>
    <w:multiLevelType w:val="hybridMultilevel"/>
    <w:lvl w:ilvl="0">
      <w:lvlJc w:val="left"/>
      <w:lvlText w:val="(%1)"/>
      <w:numFmt w:val="decimal"/>
      <w:start w:val="1"/>
    </w:lvl>
  </w:abstractNum>
  <w:abstractNum w:abstractNumId="8">
    <w:nsid w:val="57E4CCAF"/>
    <w:multiLevelType w:val="hybridMultilevel"/>
    <w:lvl w:ilvl="0">
      <w:lvlJc w:val="left"/>
      <w:lvlText w:val="(%1)"/>
      <w:numFmt w:val="decimal"/>
      <w:start w:val="1"/>
    </w:lvl>
  </w:abstractNum>
  <w:abstractNum w:abstractNumId="9">
    <w:nsid w:val="7A6D8D3C"/>
    <w:multiLevelType w:val="hybridMultilevel"/>
    <w:lvl w:ilvl="0">
      <w:lvlJc w:val="left"/>
      <w:lvlText w:val="%1."/>
      <w:numFmt w:val="decimal"/>
      <w:start w:val="4"/>
    </w:lvl>
  </w:abstractNum>
  <w:abstractNum w:abstractNumId="10">
    <w:nsid w:val="4B588F54"/>
    <w:multiLevelType w:val="hybridMultilevel"/>
    <w:lvl w:ilvl="0">
      <w:lvlJc w:val="left"/>
      <w:lvlText w:val="(%1)"/>
      <w:numFmt w:val="decimal"/>
      <w:start w:val="1"/>
    </w:lvl>
  </w:abstractNum>
  <w:abstractNum w:abstractNumId="11">
    <w:nsid w:val="542289EC"/>
    <w:multiLevelType w:val="hybridMultilevel"/>
    <w:lvl w:ilvl="0">
      <w:lvlJc w:val="left"/>
      <w:lvlText w:val="(%1)"/>
      <w:numFmt w:val="decimal"/>
      <w:start w:val="1"/>
    </w:lvl>
  </w:abstractNum>
  <w:abstractNum w:abstractNumId="12">
    <w:nsid w:val="6DE91B18"/>
    <w:multiLevelType w:val="hybridMultilevel"/>
    <w:lvl w:ilvl="0">
      <w:lvlJc w:val="left"/>
      <w:lvlText w:val="(%1)"/>
      <w:numFmt w:val="decimal"/>
      <w:start w:val="1"/>
    </w:lvl>
  </w:abstractNum>
  <w:abstractNum w:abstractNumId="13">
    <w:nsid w:val="38437FDB"/>
    <w:multiLevelType w:val="hybridMultilevel"/>
    <w:lvl w:ilvl="0">
      <w:lvlJc w:val="left"/>
      <w:lvlText w:val="(%1)"/>
      <w:numFmt w:val="decimal"/>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1)"/>
      <w:numFmt w:val="decimal"/>
      <w:start w:val="1"/>
    </w:lvl>
  </w:abstractNum>
  <w:abstractNum w:abstractNumId="16">
    <w:nsid w:val="684A481A"/>
    <w:multiLevelType w:val="hybridMultilevel"/>
    <w:lvl w:ilvl="0">
      <w:lvlJc w:val="left"/>
      <w:lvlText w:val="(%1)"/>
      <w:numFmt w:val="lowerRoman"/>
      <w:start w:val="2"/>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1)"/>
      <w:numFmt w:val="decimal"/>
      <w:start w:val="2"/>
    </w:lvl>
  </w:abstractNum>
  <w:abstractNum w:abstractNumId="19">
    <w:nsid w:val="3DC240FB"/>
    <w:multiLevelType w:val="hybridMultilevel"/>
    <w:lvl w:ilvl="0">
      <w:lvlJc w:val="left"/>
      <w:lvlText w:val="(%1)"/>
      <w:numFmt w:val="decimal"/>
      <w:start w:val="1"/>
    </w:lvl>
  </w:abstractNum>
  <w:abstractNum w:abstractNumId="20">
    <w:nsid w:val="1BA026FA"/>
    <w:multiLevelType w:val="hybridMultilevel"/>
    <w:lvl w:ilvl="0">
      <w:lvlJc w:val="left"/>
      <w:lvlText w:val="(%1)"/>
      <w:numFmt w:val="decimal"/>
      <w:start w:val="1"/>
    </w:lvl>
  </w:abstractNum>
  <w:abstractNum w:abstractNumId="21">
    <w:nsid w:val="79A1DEAA"/>
    <w:multiLevelType w:val="hybridMultilevel"/>
    <w:lvl w:ilvl="0">
      <w:lvlJc w:val="left"/>
      <w:lvlText w:val="(%1)"/>
      <w:numFmt w:val="decimal"/>
      <w:start w:val="1"/>
    </w:lvl>
  </w:abstractNum>
  <w:abstractNum w:abstractNumId="22">
    <w:nsid w:val="75C6C33A"/>
    <w:multiLevelType w:val="hybridMultilevel"/>
    <w:lvl w:ilvl="0">
      <w:lvlJc w:val="left"/>
      <w:lvlText w:val="(%1)"/>
      <w:numFmt w:val="decimal"/>
      <w:start w:val="1"/>
    </w:lvl>
  </w:abstractNum>
  <w:abstractNum w:abstractNumId="23">
    <w:nsid w:val="12E685FB"/>
    <w:multiLevelType w:val="hybridMultilevel"/>
    <w:lvl w:ilvl="0">
      <w:lvlJc w:val="left"/>
      <w:lvlText w:val="(%1)"/>
      <w:numFmt w:val="decimal"/>
      <w:start w:val="6"/>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1)"/>
      <w:numFmt w:val="decimal"/>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lvl w:ilvl="1">
      <w:lvlJc w:val="left"/>
      <w:lvlText w:val="◦"/>
      <w:numFmt w:val="bullet"/>
      <w:start w:val="1"/>
    </w:lvl>
  </w:abstractNum>
  <w:abstractNum w:abstractNumId="33">
    <w:nsid w:val="180115BE"/>
    <w:multiLevelType w:val="hybridMultilevel"/>
    <w:lvl w:ilvl="0">
      <w:lvlJc w:val="left"/>
      <w:lvlText w:val="•"/>
      <w:numFmt w:val="bullet"/>
      <w:start w:val="1"/>
    </w:lvl>
    <w:lvl w:ilvl="1">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lvl w:ilvl="1">
      <w:lvlJc w:val="left"/>
      <w:lvlText w:val="◦"/>
      <w:numFmt w:val="bullet"/>
      <w:start w:val="1"/>
    </w:lvl>
  </w:abstractNum>
  <w:abstractNum w:abstractNumId="36">
    <w:nsid w:val="354FE9F9"/>
    <w:multiLevelType w:val="hybridMultilevel"/>
    <w:lvl w:ilvl="0">
      <w:lvlJc w:val="left"/>
      <w:lvlText w:val="•"/>
      <w:numFmt w:val="bullet"/>
      <w:start w:val="1"/>
    </w:lvl>
    <w:lvl w:ilvl="1">
      <w:lvlJc w:val="left"/>
      <w:lvlText w:val="◦"/>
      <w:numFmt w:val="bullet"/>
      <w:start w:val="1"/>
    </w:lvl>
  </w:abstractNum>
  <w:abstractNum w:abstractNumId="37">
    <w:nsid w:val="15B5AF5C"/>
    <w:multiLevelType w:val="hybridMultilevel"/>
    <w:lvl w:ilvl="0">
      <w:lvlJc w:val="left"/>
      <w:lvlText w:val="•"/>
      <w:numFmt w:val="bullet"/>
      <w:start w:val="1"/>
    </w:lvl>
    <w:lvl w:ilvl="1">
      <w:lvlJc w:val="left"/>
      <w:lvlText w:val="◦"/>
      <w:numFmt w:val="bullet"/>
      <w:start w:val="1"/>
    </w:lvl>
  </w:abstractNum>
  <w:abstractNum w:abstractNumId="38">
    <w:nsid w:val="741226BB"/>
    <w:multiLevelType w:val="hybridMultilevel"/>
    <w:lvl w:ilvl="0">
      <w:lvlJc w:val="left"/>
      <w:lvlText w:val="•"/>
      <w:numFmt w:val="bullet"/>
      <w:start w:val="1"/>
    </w:lvl>
    <w:lvl w:ilvl="1">
      <w:lvlJc w:val="left"/>
      <w:lvlText w:val="◦"/>
      <w:numFmt w:val="bullet"/>
      <w:start w:val="1"/>
    </w:lvl>
  </w:abstractNum>
  <w:abstractNum w:abstractNumId="39">
    <w:nsid w:val="D34B6A8"/>
    <w:multiLevelType w:val="hybridMultilevel"/>
    <w:lvl w:ilvl="0">
      <w:lvlJc w:val="left"/>
      <w:lvlText w:val="•"/>
      <w:numFmt w:val="bullet"/>
      <w:start w:val="1"/>
    </w:lvl>
    <w:lvl w:ilvl="1">
      <w:lvlJc w:val="left"/>
      <w:lvlText w:val="◦"/>
      <w:numFmt w:val="bullet"/>
      <w:start w:val="1"/>
    </w:lvl>
  </w:abstractNum>
  <w:abstractNum w:abstractNumId="40">
    <w:nsid w:val="10233C99"/>
    <w:multiLevelType w:val="hybridMultilevel"/>
    <w:lvl w:ilvl="0">
      <w:lvlJc w:val="left"/>
      <w:lvlText w:val="•"/>
      <w:numFmt w:val="bullet"/>
      <w:start w:val="1"/>
    </w:lvl>
    <w:lvl w:ilvl="1">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lvl w:ilvl="1">
      <w:lvlJc w:val="left"/>
      <w:lvlText w:val="◦"/>
      <w:numFmt w:val="bullet"/>
      <w:start w:val="1"/>
    </w:lvl>
  </w:abstractNum>
  <w:abstractNum w:abstractNumId="43">
    <w:nsid w:val="7E0C57B1"/>
    <w:multiLevelType w:val="hybridMultilevel"/>
    <w:lvl w:ilvl="0">
      <w:lvlJc w:val="left"/>
      <w:lvlText w:val="•"/>
      <w:numFmt w:val="bullet"/>
      <w:start w:val="1"/>
    </w:lvl>
    <w:lvl w:ilvl="1">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lvl w:ilvl="1">
      <w:lvlJc w:val="left"/>
      <w:lvlText w:val="◦"/>
      <w:numFmt w:val="bullet"/>
      <w:start w:val="1"/>
    </w:lvl>
  </w:abstractNum>
  <w:abstractNum w:abstractNumId="46">
    <w:nsid w:val="310C50B3"/>
    <w:multiLevelType w:val="hybridMultilevel"/>
    <w:lvl w:ilvl="0">
      <w:lvlJc w:val="left"/>
      <w:lvlText w:val="•"/>
      <w:numFmt w:val="bullet"/>
      <w:start w:val="1"/>
    </w:lvl>
    <w:lvl w:ilvl="1">
      <w:lvlJc w:val="left"/>
      <w:lvlText w:val="◦"/>
      <w:numFmt w:val="bullet"/>
      <w:start w:val="1"/>
    </w:lvl>
  </w:abstractNum>
  <w:abstractNum w:abstractNumId="47">
    <w:nsid w:val="5FF87E05"/>
    <w:multiLevelType w:val="hybridMultilevel"/>
    <w:lvl w:ilvl="0">
      <w:lvlJc w:val="left"/>
      <w:lvlText w:val="•"/>
      <w:numFmt w:val="bullet"/>
      <w:start w:val="1"/>
    </w:lvl>
    <w:lvl w:ilvl="1">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lvl w:ilvl="1">
      <w:lvlJc w:val="left"/>
      <w:lvlText w:val="◦"/>
      <w:numFmt w:val="bullet"/>
      <w:start w:val="1"/>
    </w:lvl>
  </w:abstractNum>
  <w:abstractNum w:abstractNumId="50">
    <w:nsid w:val="1DBABF00"/>
    <w:multiLevelType w:val="hybridMultilevel"/>
    <w:lvl w:ilvl="0">
      <w:lvlJc w:val="left"/>
      <w:lvlText w:val="•"/>
      <w:numFmt w:val="bullet"/>
      <w:start w:val="1"/>
    </w:lvl>
    <w:lvl w:ilvl="1">
      <w:lvlJc w:val="left"/>
      <w:lvlText w:val="◦"/>
      <w:numFmt w:val="bullet"/>
      <w:start w:val="1"/>
    </w:lvl>
  </w:abstractNum>
  <w:abstractNum w:abstractNumId="51">
    <w:nsid w:val="4AD084E9"/>
    <w:multiLevelType w:val="hybridMultilevel"/>
    <w:lvl w:ilvl="0">
      <w:lvlJc w:val="left"/>
      <w:lvlText w:val="•"/>
      <w:numFmt w:val="bullet"/>
      <w:start w:val="1"/>
    </w:lvl>
    <w:lvl w:ilvl="1">
      <w:lvlJc w:val="left"/>
      <w:lvlText w:val="◦"/>
      <w:numFmt w:val="bullet"/>
      <w:start w:val="1"/>
    </w:lvl>
  </w:abstractNum>
  <w:abstractNum w:abstractNumId="52">
    <w:nsid w:val="1F48EAA1"/>
    <w:multiLevelType w:val="hybridMultilevel"/>
    <w:lvl w:ilvl="0">
      <w:lvlJc w:val="left"/>
      <w:lvlText w:val="•"/>
      <w:numFmt w:val="bullet"/>
      <w:start w:val="1"/>
    </w:lvl>
    <w:lvl w:ilvl="1">
      <w:lvlJc w:val="left"/>
      <w:lvlText w:val="◦"/>
      <w:numFmt w:val="bullet"/>
      <w:start w:val="1"/>
    </w:lvl>
  </w:abstractNum>
  <w:abstractNum w:abstractNumId="53">
    <w:nsid w:val="1381823A"/>
    <w:multiLevelType w:val="hybridMultilevel"/>
    <w:lvl w:ilvl="0">
      <w:lvlJc w:val="left"/>
      <w:lvlText w:val="•"/>
      <w:numFmt w:val="bullet"/>
      <w:start w:val="1"/>
    </w:lvl>
    <w:lvl w:ilvl="1">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emdash "/>
      <w:numFmt w:val="bullet"/>
      <w:start w:val="1"/>
    </w:lvl>
    <w:lvl w:ilvl="1">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1)"/>
      <w:numFmt w:val="decimal"/>
      <w:start w:val="1"/>
    </w:lvl>
  </w:abstractNum>
  <w:abstractNum w:abstractNumId="69">
    <w:nsid w:val="51D9C564"/>
    <w:multiLevelType w:val="hybridMultilevel"/>
    <w:lvl w:ilvl="0">
      <w:lvlJc w:val="left"/>
      <w:lvlText w:val="(%1)"/>
      <w:numFmt w:val="decimal"/>
      <w:start w:val="2"/>
    </w:lvl>
  </w:abstractNum>
  <w:abstractNum w:abstractNumId="70">
    <w:nsid w:val="613EFDC5"/>
    <w:multiLevelType w:val="hybridMultilevel"/>
    <w:lvl w:ilvl="0">
      <w:lvlJc w:val="left"/>
      <w:lvlText w:val="(%1)"/>
      <w:numFmt w:val="decimal"/>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1)"/>
      <w:numFmt w:val="decimal"/>
      <w:start w:val="1"/>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emdash "/>
      <w:numFmt w:val="bullet"/>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1)"/>
      <w:numFmt w:val="decimal"/>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07" Type="http://schemas.openxmlformats.org/officeDocument/2006/relationships/hyperlink" Target="https://www.sec.gov/Archives/edgar/data/1685040/000168504022000013/brighthouse-xcredit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2022-08-05T15:34:59Z</dcterms:created>
  <dcterms:modified xsi:type="dcterms:W3CDTF">2022-08-05T15:34:59Z</dcterms:modified>
</cp:coreProperties>
</file>