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60"/>
        <w:spacing w:after="0"/>
        <w:rPr>
          <w:sz w:val="20"/>
          <w:szCs w:val="20"/>
          <w:color w:val="auto"/>
        </w:rPr>
      </w:pPr>
      <w:r>
        <w:rPr>
          <w:rFonts w:ascii="Times New Roman" w:cs="Times New Roman" w:eastAsia="Times New Roman" w:hAnsi="Times New Roman"/>
          <w:sz w:val="12"/>
          <w:szCs w:val="12"/>
          <w:color w:val="auto"/>
        </w:rPr>
        <w:t>As filed with the Securities and Exchange Commission on April 20, 2026</w:t>
      </w:r>
    </w:p>
    <w:p>
      <w:pPr>
        <w:spacing w:after="0" w:line="6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1"/>
          <w:szCs w:val="11"/>
          <w:color w:val="auto"/>
        </w:rPr>
        <w:t>Registration Statement File No. 333-279315</w:t>
      </w:r>
    </w:p>
    <w:p>
      <w:pPr>
        <w:spacing w:after="0" w:line="113"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19"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ind w:left="24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7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2"/>
          <w:szCs w:val="12"/>
          <w:b w:val="1"/>
          <w:bCs w:val="1"/>
          <w:color w:val="auto"/>
        </w:rPr>
        <w:t>FORM N-4</w:t>
      </w:r>
    </w:p>
    <w:p>
      <w:pPr>
        <w:spacing w:after="0" w:line="42"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2"/>
          <w:szCs w:val="12"/>
          <w:b w:val="1"/>
          <w:bCs w:val="1"/>
          <w:color w:val="auto"/>
        </w:rPr>
        <w:t>REGISTRATION STATEMENT UNDER THE SECURITIES ACT OF 1933</w:t>
      </w:r>
    </w:p>
    <w:p>
      <w:pPr>
        <w:sectPr>
          <w:pgSz w:w="11900" w:h="16838" w:orient="portrait"/>
          <w:cols w:equalWidth="0" w:num="1">
            <w:col w:w="9799"/>
          </w:cols>
          <w:pgMar w:left="660" w:top="399" w:right="1440" w:bottom="1440" w:gutter="0" w:footer="0" w:header="0"/>
        </w:sectPr>
      </w:pPr>
    </w:p>
    <w:p>
      <w:pPr>
        <w:spacing w:after="0" w:line="78"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1"/>
          <w:szCs w:val="11"/>
          <w:b w:val="1"/>
          <w:bCs w:val="1"/>
          <w:color w:val="auto"/>
        </w:rPr>
        <w:t>Pre-Effective Amendment No.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15" w:lineRule="exact"/>
        <w:rPr>
          <w:sz w:val="24"/>
          <w:szCs w:val="24"/>
          <w:color w:val="auto"/>
        </w:rPr>
      </w:pPr>
    </w:p>
    <w:p>
      <w:pPr>
        <w:sectPr>
          <w:pgSz w:w="11900" w:h="16838" w:orient="portrait"/>
          <w:cols w:equalWidth="0" w:num="2">
            <w:col w:w="5220" w:space="720"/>
            <w:col w:w="3859"/>
          </w:cols>
          <w:pgMar w:left="660" w:top="399" w:right="1440" w:bottom="1440" w:gutter="0" w:footer="0" w:header="0"/>
          <w:type w:val="continuous"/>
        </w:sectPr>
      </w:pPr>
    </w:p>
    <w:p>
      <w:pPr>
        <w:spacing w:after="0" w:line="25" w:lineRule="exact"/>
        <w:rPr>
          <w:sz w:val="24"/>
          <w:szCs w:val="24"/>
          <w:color w:val="auto"/>
        </w:rPr>
      </w:pPr>
    </w:p>
    <w:p>
      <w:pPr>
        <w:jc w:val="center"/>
        <w:ind w:left="660"/>
        <w:spacing w:after="0"/>
        <w:rPr>
          <w:sz w:val="20"/>
          <w:szCs w:val="20"/>
          <w:color w:val="auto"/>
        </w:rPr>
      </w:pPr>
      <w:r>
        <w:rPr>
          <w:rFonts w:ascii="Times New Roman" w:cs="Times New Roman" w:eastAsia="Times New Roman" w:hAnsi="Times New Roman"/>
          <w:sz w:val="12"/>
          <w:szCs w:val="12"/>
          <w:b w:val="1"/>
          <w:bCs w:val="1"/>
          <w:color w:val="auto"/>
        </w:rPr>
        <w:t>Post-Effective Amendment No. 2</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26" w:lineRule="exact"/>
        <w:rPr>
          <w:sz w:val="24"/>
          <w:szCs w:val="24"/>
          <w:color w:val="auto"/>
        </w:rPr>
      </w:pPr>
    </w:p>
    <w:p>
      <w:pPr>
        <w:sectPr>
          <w:pgSz w:w="11900" w:h="16838" w:orient="portrait"/>
          <w:cols w:equalWidth="0" w:num="2">
            <w:col w:w="5220" w:space="720"/>
            <w:col w:w="3859"/>
          </w:cols>
          <w:pgMar w:left="660" w:top="399" w:right="1440" w:bottom="1440" w:gutter="0" w:footer="0" w:header="0"/>
          <w:type w:val="continuous"/>
        </w:sectPr>
      </w:pPr>
    </w:p>
    <w:p>
      <w:pPr>
        <w:jc w:val="center"/>
        <w:ind w:right="3739"/>
        <w:spacing w:after="0"/>
        <w:rPr>
          <w:sz w:val="20"/>
          <w:szCs w:val="20"/>
          <w:color w:val="auto"/>
        </w:rPr>
      </w:pPr>
      <w:r>
        <w:rPr>
          <w:rFonts w:ascii="Times New Roman" w:cs="Times New Roman" w:eastAsia="Times New Roman" w:hAnsi="Times New Roman"/>
          <w:sz w:val="12"/>
          <w:szCs w:val="12"/>
          <w:color w:val="auto"/>
        </w:rPr>
        <w:t>(Check Appropriate Box or Boxes)</w:t>
      </w:r>
    </w:p>
    <w:p>
      <w:pPr>
        <w:spacing w:after="0" w:line="74" w:lineRule="exact"/>
        <w:rPr>
          <w:sz w:val="24"/>
          <w:szCs w:val="24"/>
          <w:color w:val="auto"/>
        </w:rPr>
      </w:pPr>
    </w:p>
    <w:p>
      <w:pPr>
        <w:jc w:val="center"/>
        <w:ind w:right="3739"/>
        <w:spacing w:after="0"/>
        <w:rPr>
          <w:sz w:val="20"/>
          <w:szCs w:val="20"/>
          <w:color w:val="auto"/>
        </w:rPr>
      </w:pPr>
      <w:r>
        <w:rPr>
          <w:rFonts w:ascii="Times New Roman" w:cs="Times New Roman" w:eastAsia="Times New Roman" w:hAnsi="Times New Roman"/>
          <w:sz w:val="17"/>
          <w:szCs w:val="17"/>
          <w:color w:val="auto"/>
        </w:rPr>
        <w:t>Brighthouse Life Insurance Company of NY</w:t>
      </w:r>
    </w:p>
    <w:p>
      <w:pPr>
        <w:spacing w:after="0" w:line="9"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2"/>
          <w:szCs w:val="12"/>
          <w:color w:val="auto"/>
        </w:rPr>
        <w:t>(Name of Insurance Company)</w:t>
      </w:r>
    </w:p>
    <w:p>
      <w:pPr>
        <w:spacing w:after="0" w:line="71" w:lineRule="exact"/>
        <w:rPr>
          <w:sz w:val="24"/>
          <w:szCs w:val="24"/>
          <w:color w:val="auto"/>
        </w:rPr>
      </w:pPr>
    </w:p>
    <w:p>
      <w:pPr>
        <w:jc w:val="center"/>
        <w:ind w:right="3779"/>
        <w:spacing w:after="0"/>
        <w:rPr>
          <w:sz w:val="20"/>
          <w:szCs w:val="20"/>
          <w:color w:val="auto"/>
        </w:rPr>
      </w:pPr>
      <w:r>
        <w:rPr>
          <w:rFonts w:ascii="Times New Roman" w:cs="Times New Roman" w:eastAsia="Times New Roman" w:hAnsi="Times New Roman"/>
          <w:sz w:val="12"/>
          <w:szCs w:val="12"/>
          <w:b w:val="1"/>
          <w:bCs w:val="1"/>
          <w:color w:val="auto"/>
        </w:rPr>
        <w:t>285 Madison Avenue</w:t>
      </w:r>
    </w:p>
    <w:p>
      <w:pPr>
        <w:spacing w:after="0" w:line="19" w:lineRule="exact"/>
        <w:rPr>
          <w:sz w:val="24"/>
          <w:szCs w:val="24"/>
          <w:color w:val="auto"/>
        </w:rPr>
      </w:pPr>
    </w:p>
    <w:p>
      <w:pPr>
        <w:jc w:val="center"/>
        <w:ind w:right="3779"/>
        <w:spacing w:after="0"/>
        <w:rPr>
          <w:sz w:val="20"/>
          <w:szCs w:val="20"/>
          <w:color w:val="auto"/>
        </w:rPr>
      </w:pPr>
      <w:r>
        <w:rPr>
          <w:rFonts w:ascii="Times New Roman" w:cs="Times New Roman" w:eastAsia="Times New Roman" w:hAnsi="Times New Roman"/>
          <w:sz w:val="12"/>
          <w:szCs w:val="12"/>
          <w:b w:val="1"/>
          <w:bCs w:val="1"/>
          <w:color w:val="auto"/>
        </w:rPr>
        <w:t>New York, NY 10017</w:t>
      </w:r>
    </w:p>
    <w:p>
      <w:pPr>
        <w:jc w:val="center"/>
        <w:ind w:right="3739"/>
        <w:spacing w:after="0"/>
        <w:rPr>
          <w:sz w:val="20"/>
          <w:szCs w:val="20"/>
          <w:color w:val="auto"/>
        </w:rPr>
      </w:pPr>
      <w:r>
        <w:rPr>
          <w:rFonts w:ascii="Times New Roman" w:cs="Times New Roman" w:eastAsia="Times New Roman" w:hAnsi="Times New Roman"/>
          <w:sz w:val="12"/>
          <w:szCs w:val="12"/>
          <w:color w:val="auto"/>
        </w:rPr>
        <w:t>(Address of Insurance Company's Principal Executive Offices) (Zip Code)</w:t>
      </w:r>
    </w:p>
    <w:p>
      <w:pPr>
        <w:spacing w:after="0" w:line="80" w:lineRule="exact"/>
        <w:rPr>
          <w:sz w:val="24"/>
          <w:szCs w:val="24"/>
          <w:color w:val="auto"/>
        </w:rPr>
      </w:pPr>
    </w:p>
    <w:p>
      <w:pPr>
        <w:jc w:val="center"/>
        <w:ind w:right="3779"/>
        <w:spacing w:after="0"/>
        <w:rPr>
          <w:sz w:val="20"/>
          <w:szCs w:val="20"/>
          <w:color w:val="auto"/>
        </w:rPr>
      </w:pPr>
      <w:r>
        <w:rPr>
          <w:rFonts w:ascii="Times New Roman" w:cs="Times New Roman" w:eastAsia="Times New Roman" w:hAnsi="Times New Roman"/>
          <w:sz w:val="12"/>
          <w:szCs w:val="12"/>
          <w:b w:val="1"/>
          <w:bCs w:val="1"/>
          <w:color w:val="auto"/>
        </w:rPr>
        <w:t>(980) 365-7100</w:t>
      </w:r>
    </w:p>
    <w:p>
      <w:pPr>
        <w:spacing w:after="0" w:line="21" w:lineRule="exact"/>
        <w:rPr>
          <w:sz w:val="24"/>
          <w:szCs w:val="24"/>
          <w:color w:val="auto"/>
        </w:rPr>
      </w:pPr>
    </w:p>
    <w:p>
      <w:pPr>
        <w:jc w:val="center"/>
        <w:ind w:right="3779"/>
        <w:spacing w:after="0"/>
        <w:rPr>
          <w:sz w:val="20"/>
          <w:szCs w:val="20"/>
          <w:color w:val="auto"/>
        </w:rPr>
      </w:pPr>
      <w:r>
        <w:rPr>
          <w:rFonts w:ascii="Times New Roman" w:cs="Times New Roman" w:eastAsia="Times New Roman" w:hAnsi="Times New Roman"/>
          <w:sz w:val="12"/>
          <w:szCs w:val="12"/>
          <w:color w:val="auto"/>
        </w:rPr>
        <w:t>(Insurance Company's Telephone Number, including Area Code)</w:t>
      </w:r>
    </w:p>
    <w:p>
      <w:pPr>
        <w:spacing w:after="0" w:line="126" w:lineRule="exact"/>
        <w:rPr>
          <w:sz w:val="24"/>
          <w:szCs w:val="24"/>
          <w:color w:val="auto"/>
        </w:rPr>
      </w:pPr>
    </w:p>
    <w:p>
      <w:pPr>
        <w:jc w:val="center"/>
        <w:ind w:right="3779"/>
        <w:spacing w:after="0"/>
        <w:rPr>
          <w:sz w:val="20"/>
          <w:szCs w:val="20"/>
          <w:color w:val="auto"/>
        </w:rPr>
      </w:pPr>
      <w:r>
        <w:rPr>
          <w:rFonts w:ascii="Times New Roman" w:cs="Times New Roman" w:eastAsia="Times New Roman" w:hAnsi="Times New Roman"/>
          <w:sz w:val="12"/>
          <w:szCs w:val="12"/>
          <w:b w:val="1"/>
          <w:bCs w:val="1"/>
          <w:color w:val="auto"/>
        </w:rPr>
        <w:t>Brighthouse Life Insurance Company of NY</w:t>
      </w:r>
    </w:p>
    <w:p>
      <w:pPr>
        <w:spacing w:after="0" w:line="21" w:lineRule="exact"/>
        <w:rPr>
          <w:sz w:val="24"/>
          <w:szCs w:val="24"/>
          <w:color w:val="auto"/>
        </w:rPr>
      </w:pPr>
    </w:p>
    <w:p>
      <w:pPr>
        <w:jc w:val="center"/>
        <w:ind w:right="3779"/>
        <w:spacing w:after="0"/>
        <w:rPr>
          <w:sz w:val="20"/>
          <w:szCs w:val="20"/>
          <w:color w:val="auto"/>
        </w:rPr>
      </w:pPr>
      <w:r>
        <w:rPr>
          <w:rFonts w:ascii="Times New Roman" w:cs="Times New Roman" w:eastAsia="Times New Roman" w:hAnsi="Times New Roman"/>
          <w:sz w:val="12"/>
          <w:szCs w:val="12"/>
          <w:b w:val="1"/>
          <w:bCs w:val="1"/>
          <w:color w:val="auto"/>
        </w:rPr>
        <w:t>c/o C T Corporation Systems</w:t>
      </w:r>
    </w:p>
    <w:p>
      <w:pPr>
        <w:spacing w:after="0" w:line="6" w:lineRule="exact"/>
        <w:rPr>
          <w:sz w:val="24"/>
          <w:szCs w:val="24"/>
          <w:color w:val="auto"/>
        </w:rPr>
      </w:pPr>
    </w:p>
    <w:p>
      <w:pPr>
        <w:jc w:val="center"/>
        <w:ind w:right="3779"/>
        <w:spacing w:after="0"/>
        <w:rPr>
          <w:sz w:val="20"/>
          <w:szCs w:val="20"/>
          <w:color w:val="auto"/>
        </w:rPr>
      </w:pPr>
      <w:r>
        <w:rPr>
          <w:rFonts w:ascii="Times New Roman" w:cs="Times New Roman" w:eastAsia="Times New Roman" w:hAnsi="Times New Roman"/>
          <w:sz w:val="12"/>
          <w:szCs w:val="12"/>
          <w:b w:val="1"/>
          <w:bCs w:val="1"/>
          <w:color w:val="auto"/>
        </w:rPr>
        <w:t>28 Liberty Street</w:t>
      </w:r>
    </w:p>
    <w:p>
      <w:pPr>
        <w:spacing w:after="0" w:line="6" w:lineRule="exact"/>
        <w:rPr>
          <w:sz w:val="24"/>
          <w:szCs w:val="24"/>
          <w:color w:val="auto"/>
        </w:rPr>
      </w:pPr>
    </w:p>
    <w:p>
      <w:pPr>
        <w:jc w:val="center"/>
        <w:ind w:right="3779"/>
        <w:spacing w:after="0"/>
        <w:rPr>
          <w:sz w:val="20"/>
          <w:szCs w:val="20"/>
          <w:color w:val="auto"/>
        </w:rPr>
      </w:pPr>
      <w:r>
        <w:rPr>
          <w:rFonts w:ascii="Times New Roman" w:cs="Times New Roman" w:eastAsia="Times New Roman" w:hAnsi="Times New Roman"/>
          <w:sz w:val="12"/>
          <w:szCs w:val="12"/>
          <w:b w:val="1"/>
          <w:bCs w:val="1"/>
          <w:color w:val="auto"/>
        </w:rPr>
        <w:t>New York, NY 10005</w:t>
      </w:r>
    </w:p>
    <w:p>
      <w:pPr>
        <w:spacing w:after="0" w:line="4" w:lineRule="exact"/>
        <w:rPr>
          <w:sz w:val="24"/>
          <w:szCs w:val="24"/>
          <w:color w:val="auto"/>
        </w:rPr>
      </w:pPr>
    </w:p>
    <w:p>
      <w:pPr>
        <w:jc w:val="center"/>
        <w:ind w:right="3779"/>
        <w:spacing w:after="0"/>
        <w:rPr>
          <w:sz w:val="20"/>
          <w:szCs w:val="20"/>
          <w:color w:val="auto"/>
        </w:rPr>
      </w:pPr>
      <w:r>
        <w:rPr>
          <w:rFonts w:ascii="Times New Roman" w:cs="Times New Roman" w:eastAsia="Times New Roman" w:hAnsi="Times New Roman"/>
          <w:sz w:val="12"/>
          <w:szCs w:val="12"/>
          <w:b w:val="1"/>
          <w:bCs w:val="1"/>
          <w:color w:val="auto"/>
        </w:rPr>
        <w:t>(800) 448-5350</w:t>
      </w:r>
    </w:p>
    <w:p>
      <w:pPr>
        <w:jc w:val="center"/>
        <w:ind w:right="3739"/>
        <w:spacing w:after="0"/>
        <w:rPr>
          <w:sz w:val="20"/>
          <w:szCs w:val="20"/>
          <w:color w:val="auto"/>
        </w:rPr>
      </w:pPr>
      <w:r>
        <w:rPr>
          <w:rFonts w:ascii="Times New Roman" w:cs="Times New Roman" w:eastAsia="Times New Roman" w:hAnsi="Times New Roman"/>
          <w:sz w:val="12"/>
          <w:szCs w:val="12"/>
          <w:color w:val="auto"/>
        </w:rPr>
        <w:t>(Name and Address of Agent for Service)</w:t>
      </w:r>
    </w:p>
    <w:p>
      <w:pPr>
        <w:spacing w:after="0" w:line="73"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2"/>
          <w:szCs w:val="12"/>
          <w:i w:val="1"/>
          <w:iCs w:val="1"/>
          <w:color w:val="auto"/>
        </w:rPr>
        <w:t>Copies to:</w:t>
      </w:r>
    </w:p>
    <w:p>
      <w:pPr>
        <w:spacing w:after="0" w:line="17" w:lineRule="exact"/>
        <w:rPr>
          <w:sz w:val="24"/>
          <w:szCs w:val="24"/>
          <w:color w:val="auto"/>
        </w:rPr>
      </w:pPr>
    </w:p>
    <w:p>
      <w:pPr>
        <w:jc w:val="center"/>
        <w:ind w:right="3779"/>
        <w:spacing w:after="0"/>
        <w:rPr>
          <w:sz w:val="20"/>
          <w:szCs w:val="20"/>
          <w:color w:val="auto"/>
        </w:rPr>
      </w:pPr>
      <w:r>
        <w:rPr>
          <w:rFonts w:ascii="Times New Roman" w:cs="Times New Roman" w:eastAsia="Times New Roman" w:hAnsi="Times New Roman"/>
          <w:sz w:val="12"/>
          <w:szCs w:val="12"/>
          <w:color w:val="auto"/>
        </w:rPr>
        <w:t>W. Thomas Conner</w:t>
      </w:r>
    </w:p>
    <w:p>
      <w:pPr>
        <w:jc w:val="center"/>
        <w:ind w:right="3779"/>
        <w:spacing w:after="0" w:line="219" w:lineRule="auto"/>
        <w:rPr>
          <w:sz w:val="20"/>
          <w:szCs w:val="20"/>
          <w:color w:val="auto"/>
        </w:rPr>
      </w:pPr>
      <w:r>
        <w:rPr>
          <w:rFonts w:ascii="Times New Roman" w:cs="Times New Roman" w:eastAsia="Times New Roman" w:hAnsi="Times New Roman"/>
          <w:sz w:val="12"/>
          <w:szCs w:val="12"/>
          <w:color w:val="auto"/>
        </w:rPr>
        <w:t>Carlton Fields</w:t>
      </w:r>
    </w:p>
    <w:p>
      <w:pPr>
        <w:jc w:val="center"/>
        <w:ind w:right="3779"/>
        <w:spacing w:after="0" w:line="203" w:lineRule="auto"/>
        <w:rPr>
          <w:sz w:val="20"/>
          <w:szCs w:val="20"/>
          <w:color w:val="auto"/>
        </w:rPr>
      </w:pPr>
      <w:r>
        <w:rPr>
          <w:rFonts w:ascii="Times New Roman" w:cs="Times New Roman" w:eastAsia="Times New Roman" w:hAnsi="Times New Roman"/>
          <w:sz w:val="12"/>
          <w:szCs w:val="12"/>
          <w:color w:val="auto"/>
        </w:rPr>
        <w:t>1625 Eye Street, NW</w:t>
      </w:r>
    </w:p>
    <w:p>
      <w:pPr>
        <w:jc w:val="center"/>
        <w:ind w:right="3779"/>
        <w:spacing w:after="0" w:line="204" w:lineRule="auto"/>
        <w:rPr>
          <w:sz w:val="20"/>
          <w:szCs w:val="20"/>
          <w:color w:val="auto"/>
        </w:rPr>
      </w:pPr>
      <w:r>
        <w:rPr>
          <w:rFonts w:ascii="Times New Roman" w:cs="Times New Roman" w:eastAsia="Times New Roman" w:hAnsi="Times New Roman"/>
          <w:sz w:val="12"/>
          <w:szCs w:val="12"/>
          <w:color w:val="auto"/>
        </w:rPr>
        <w:t>Suite 800</w:t>
      </w:r>
    </w:p>
    <w:p>
      <w:pPr>
        <w:jc w:val="center"/>
        <w:ind w:right="3779"/>
        <w:spacing w:after="0"/>
        <w:rPr>
          <w:sz w:val="20"/>
          <w:szCs w:val="20"/>
          <w:color w:val="auto"/>
        </w:rPr>
      </w:pPr>
      <w:r>
        <w:rPr>
          <w:rFonts w:ascii="Times New Roman" w:cs="Times New Roman" w:eastAsia="Times New Roman" w:hAnsi="Times New Roman"/>
          <w:sz w:val="12"/>
          <w:szCs w:val="12"/>
          <w:color w:val="auto"/>
        </w:rPr>
        <w:t>Washington, DC 20006</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Approximate Date of Proposed Public Offering: On April 27, 2026 or as soon thereafter as practicable.</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 is proposed that this filing will become effective (check appropriate box):</w:t>
      </w:r>
    </w:p>
    <w:p>
      <w:pPr>
        <w:sectPr>
          <w:pgSz w:w="11900" w:h="16838" w:orient="portrait"/>
          <w:cols w:equalWidth="0" w:num="1">
            <w:col w:w="9799"/>
          </w:cols>
          <w:pgMar w:left="660" w:top="399" w:right="1440" w:bottom="1440" w:gutter="0" w:footer="0" w:header="0"/>
          <w:type w:val="continuous"/>
        </w:sectPr>
      </w:pPr>
    </w:p>
    <w:p>
      <w:pPr>
        <w:spacing w:after="0" w:line="3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immediately upon filing pursuant to paragraph (b)</w:t>
      </w:r>
    </w:p>
    <w:p>
      <w:pPr>
        <w:spacing w:after="0" w:line="51" w:lineRule="exact"/>
        <w:rPr>
          <w:sz w:val="24"/>
          <w:szCs w:val="24"/>
          <w:color w:val="auto"/>
        </w:rPr>
      </w:pPr>
    </w:p>
    <w:p>
      <w:pPr>
        <w:sectPr>
          <w:pgSz w:w="11900" w:h="16838" w:orient="portrait"/>
          <w:cols w:equalWidth="0" w:num="2">
            <w:col w:w="120" w:space="460"/>
            <w:col w:w="9219"/>
          </w:cols>
          <w:pgMar w:left="660" w:top="399" w:right="1440" w:bottom="1440" w:gutter="0" w:footer="0" w:header="0"/>
          <w:type w:val="continuous"/>
        </w:sectPr>
      </w:pPr>
    </w:p>
    <w:p>
      <w:pPr>
        <w:ind w:left="580" w:hanging="571"/>
        <w:spacing w:after="0"/>
        <w:tabs>
          <w:tab w:leader="none" w:pos="5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on April 27, 2026 pursuant to paragraph (b)</w:t>
      </w:r>
    </w:p>
    <w:p>
      <w:pPr>
        <w:spacing w:after="0" w:line="51" w:lineRule="exact"/>
        <w:rPr>
          <w:sz w:val="24"/>
          <w:szCs w:val="24"/>
          <w:color w:val="auto"/>
        </w:rPr>
      </w:pPr>
    </w:p>
    <w:p>
      <w:pPr>
        <w:ind w:left="580" w:hanging="571"/>
        <w:spacing w:after="0"/>
        <w:tabs>
          <w:tab w:leader="none" w:pos="58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60 days after filing pursuant to paragraph (a)(1)</w:t>
      </w:r>
    </w:p>
    <w:p>
      <w:pPr>
        <w:spacing w:after="0" w:line="60" w:lineRule="exact"/>
        <w:rPr>
          <w:rFonts w:ascii="MS PGothic" w:cs="MS PGothic" w:eastAsia="MS PGothic" w:hAnsi="MS PGothic"/>
          <w:sz w:val="12"/>
          <w:szCs w:val="12"/>
          <w:color w:val="auto"/>
        </w:rPr>
      </w:pPr>
    </w:p>
    <w:p>
      <w:pPr>
        <w:ind w:left="580" w:hanging="571"/>
        <w:spacing w:after="0"/>
        <w:tabs>
          <w:tab w:leader="none" w:pos="58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on (date) pursuant to paragraph (a)(1) of rule 485 under the Securities Act of 1933 (“Securities Act”).</w:t>
      </w:r>
    </w:p>
    <w:p>
      <w:pPr>
        <w:spacing w:after="0" w:line="47" w:lineRule="exact"/>
        <w:rPr>
          <w:rFonts w:ascii="MS PGothic" w:cs="MS PGothic" w:eastAsia="MS PGothic" w:hAnsi="MS PGothic"/>
          <w:sz w:val="12"/>
          <w:szCs w:val="12"/>
          <w:color w:val="auto"/>
        </w:rPr>
      </w:pPr>
    </w:p>
    <w:p>
      <w:pPr>
        <w:spacing w:after="0"/>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If appropriate, check the following box:</w:t>
      </w:r>
    </w:p>
    <w:p>
      <w:pPr>
        <w:spacing w:after="0" w:line="55" w:lineRule="exact"/>
        <w:rPr>
          <w:rFonts w:ascii="MS PGothic" w:cs="MS PGothic" w:eastAsia="MS PGothic" w:hAnsi="MS PGothic"/>
          <w:sz w:val="12"/>
          <w:szCs w:val="12"/>
          <w:color w:val="auto"/>
        </w:rPr>
      </w:pPr>
    </w:p>
    <w:p>
      <w:pPr>
        <w:ind w:left="580" w:hanging="571"/>
        <w:spacing w:after="0"/>
        <w:tabs>
          <w:tab w:leader="none" w:pos="58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This post-effective amendment designates a new effective date for a previously filed post-effective amendment.</w:t>
      </w:r>
    </w:p>
    <w:p>
      <w:pPr>
        <w:spacing w:after="0" w:line="56" w:lineRule="exact"/>
        <w:rPr>
          <w:rFonts w:ascii="MS PGothic" w:cs="MS PGothic" w:eastAsia="MS PGothic" w:hAnsi="MS PGothic"/>
          <w:sz w:val="12"/>
          <w:szCs w:val="12"/>
          <w:color w:val="auto"/>
        </w:rPr>
      </w:pPr>
    </w:p>
    <w:p>
      <w:pPr>
        <w:spacing w:after="0"/>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Check each box that appropriately characterizes the Registrant:</w:t>
      </w:r>
    </w:p>
    <w:p>
      <w:pPr>
        <w:spacing w:after="0" w:line="55" w:lineRule="exact"/>
        <w:rPr>
          <w:rFonts w:ascii="MS PGothic" w:cs="MS PGothic" w:eastAsia="MS PGothic" w:hAnsi="MS PGothic"/>
          <w:sz w:val="12"/>
          <w:szCs w:val="12"/>
          <w:color w:val="auto"/>
        </w:rPr>
      </w:pPr>
    </w:p>
    <w:p>
      <w:pPr>
        <w:ind w:left="580" w:right="3839" w:hanging="571"/>
        <w:spacing w:after="0" w:line="260" w:lineRule="auto"/>
        <w:tabs>
          <w:tab w:leader="none" w:pos="58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New Registrant (as applicable, a Registered Separate Account or Insurance Company that has not filed a Separate Account or Insurance Company that has not filed a Securities Act registration statement or amendment thereto within 3 years preceding this filing)</w:t>
      </w:r>
    </w:p>
    <w:p>
      <w:pPr>
        <w:spacing w:after="0" w:line="28" w:lineRule="exact"/>
        <w:rPr>
          <w:rFonts w:ascii="MS PGothic" w:cs="MS PGothic" w:eastAsia="MS PGothic" w:hAnsi="MS PGothic"/>
          <w:sz w:val="12"/>
          <w:szCs w:val="12"/>
          <w:color w:val="auto"/>
        </w:rPr>
      </w:pPr>
    </w:p>
    <w:p>
      <w:pPr>
        <w:ind w:left="580" w:right="3899" w:hanging="571"/>
        <w:spacing w:after="0" w:line="272" w:lineRule="auto"/>
        <w:tabs>
          <w:tab w:leader="none" w:pos="58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Emerging Growth Company (as defined by Rule 12b-2 under the Securities Exchange Act of 1934 (“Exchange Act”))</w:t>
      </w:r>
    </w:p>
    <w:p>
      <w:pPr>
        <w:spacing w:after="0" w:line="29" w:lineRule="exact"/>
        <w:rPr>
          <w:rFonts w:ascii="MS PGothic" w:cs="MS PGothic" w:eastAsia="MS PGothic" w:hAnsi="MS PGothic"/>
          <w:sz w:val="12"/>
          <w:szCs w:val="12"/>
          <w:color w:val="auto"/>
        </w:rPr>
      </w:pPr>
    </w:p>
    <w:p>
      <w:pPr>
        <w:ind w:left="580" w:right="3939" w:hanging="571"/>
        <w:spacing w:after="0" w:line="260" w:lineRule="auto"/>
        <w:tabs>
          <w:tab w:leader="none" w:pos="58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7(a)(2)(B) of Securities Act</w:t>
      </w:r>
    </w:p>
    <w:p>
      <w:pPr>
        <w:spacing w:after="0" w:line="29" w:lineRule="exact"/>
        <w:rPr>
          <w:sz w:val="24"/>
          <w:szCs w:val="24"/>
          <w:color w:val="auto"/>
        </w:rPr>
      </w:pPr>
    </w:p>
    <w:p>
      <w:pPr>
        <w:ind w:left="580" w:hanging="571"/>
        <w:spacing w:after="0"/>
        <w:tabs>
          <w:tab w:leader="none" w:pos="580"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Insurance Company relying on Rule 12h-7 under the Exchange Act</w:t>
      </w:r>
    </w:p>
    <w:p>
      <w:pPr>
        <w:spacing w:after="0" w:line="51" w:lineRule="exact"/>
        <w:rPr>
          <w:sz w:val="24"/>
          <w:szCs w:val="24"/>
          <w:color w:val="auto"/>
        </w:rPr>
      </w:pPr>
    </w:p>
    <w:p>
      <w:pPr>
        <w:ind w:left="580" w:hanging="571"/>
        <w:spacing w:after="0"/>
        <w:tabs>
          <w:tab w:leader="none" w:pos="580"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Smaller reporting company (as defined by Rule 12b-2 under the Exchange Act)</w:t>
      </w:r>
    </w:p>
    <w:p>
      <w:pPr>
        <w:sectPr>
          <w:pgSz w:w="11900" w:h="16838" w:orient="portrait"/>
          <w:cols w:equalWidth="0" w:num="1">
            <w:col w:w="9799"/>
          </w:cols>
          <w:pgMar w:left="660" w:top="399" w:right="1440" w:bottom="1440" w:gutter="0" w:footer="0" w:header="0"/>
          <w:type w:val="continuous"/>
        </w:sectPr>
      </w:pPr>
    </w:p>
    <w:bookmarkStart w:id="1" w:name="page2"/>
    <w:bookmarkEnd w:id="1"/>
    <w:p>
      <w:pPr>
        <w:jc w:val="center"/>
        <w:ind w:right="38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172720</wp:posOffset>
            </wp:positionH>
            <wp:positionV relativeFrom="page">
              <wp:posOffset>116205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t>BRIGHTHOUSE SHIELD</w:t>
      </w: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22"/>
          <w:szCs w:val="22"/>
          <w:b w:val="1"/>
          <w:bCs w:val="1"/>
          <w:color w:val="auto"/>
        </w:rPr>
        <w:t xml:space="preserve"> LEVEL II 6-YEAR</w:t>
      </w:r>
    </w:p>
    <w:p>
      <w:pPr>
        <w:jc w:val="center"/>
        <w:ind w:right="3839"/>
        <w:spacing w:after="0"/>
        <w:rPr>
          <w:sz w:val="20"/>
          <w:szCs w:val="20"/>
          <w:color w:val="auto"/>
        </w:rPr>
      </w:pPr>
      <w:r>
        <w:rPr>
          <w:rFonts w:ascii="Times New Roman" w:cs="Times New Roman" w:eastAsia="Times New Roman" w:hAnsi="Times New Roman"/>
          <w:sz w:val="22"/>
          <w:szCs w:val="22"/>
          <w:b w:val="1"/>
          <w:bCs w:val="1"/>
          <w:color w:val="auto"/>
        </w:rPr>
        <w:t>ANNUITY</w:t>
      </w:r>
    </w:p>
    <w:p>
      <w:pPr>
        <w:spacing w:after="0" w:line="123" w:lineRule="exact"/>
        <w:rPr>
          <w:sz w:val="20"/>
          <w:szCs w:val="20"/>
          <w:color w:val="auto"/>
        </w:rPr>
      </w:pPr>
    </w:p>
    <w:p>
      <w:pPr>
        <w:jc w:val="both"/>
        <w:ind w:right="3839" w:firstLine="240"/>
        <w:spacing w:after="0" w:line="245" w:lineRule="auto"/>
        <w:rPr>
          <w:sz w:val="20"/>
          <w:szCs w:val="20"/>
          <w:color w:val="auto"/>
        </w:rPr>
      </w:pPr>
      <w:r>
        <w:rPr>
          <w:rFonts w:ascii="Times New Roman" w:cs="Times New Roman" w:eastAsia="Times New Roman" w:hAnsi="Times New Roman"/>
          <w:sz w:val="12"/>
          <w:szCs w:val="12"/>
          <w:color w:val="auto"/>
        </w:rPr>
        <w:t>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is an individual single premium deferred index-linked annuity contract (the “Contract”) issued by Brighthouse Life Insurance Company of NY (“BLNY”, “we”, “our” or “us”). This means additional purchase payments will not be accepted.</w:t>
      </w:r>
    </w:p>
    <w:p>
      <w:pPr>
        <w:spacing w:after="0" w:line="140"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This Contract is available for use in connection with Non-Qualified Plans, Traditional IRAs and Roth IRAs. BLNY is located at 285 Madison Avenue, New York, NY 10017. The telephone number is 1-888-243-1932. Brighthouse Securities, LLC, 11225 North Community House Road, Charlotte, NC 28277, is the principal underwriter and distributor of the Contracts.</w:t>
      </w:r>
    </w:p>
    <w:p>
      <w:pPr>
        <w:spacing w:after="0" w:line="127"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b w:val="1"/>
          <w:bCs w:val="1"/>
          <w:color w:val="auto"/>
        </w:rPr>
        <w:t xml:space="preserve">Please read the prospectus carefully before investing and keep it for future reference. </w:t>
      </w:r>
      <w:r>
        <w:rPr>
          <w:rFonts w:ascii="Times New Roman" w:cs="Times New Roman" w:eastAsia="Times New Roman" w:hAnsi="Times New Roman"/>
          <w:sz w:val="12"/>
          <w:szCs w:val="12"/>
          <w:color w:val="auto"/>
        </w:rPr>
        <w:t>This prospectus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includes important information including a description of all material features, rights and obligations of the Contract. BLNY’s obligations under the Contract are subject to our financial strength and claims-paying ability. The investment options (“Allocation Options”) under the Contract include (1) the various Shield Options which credit positive, negative, or zero interest based on the performance of an underlying index, and provide certain protections in that BLNY will absorb specified levels of negative index returns; and (2) the Fixed Account, if available, which guarantees principal and interest. For more information about the types of Allocation Options available under the Contract, please see Appendix A – Investment Options Available Under the Contract. </w:t>
      </w:r>
      <w:r>
        <w:rPr>
          <w:rFonts w:ascii="Times New Roman" w:cs="Times New Roman" w:eastAsia="Times New Roman" w:hAnsi="Times New Roman"/>
          <w:sz w:val="12"/>
          <w:szCs w:val="12"/>
          <w:b w:val="1"/>
          <w:bCs w:val="1"/>
          <w:color w:val="auto"/>
        </w:rPr>
        <w:t>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availability of Allocation Options, Contract benefits, or other Contract features described in this prospectus may vary depending on the selling firm through which your Contract is sold. </w:t>
      </w:r>
      <w:r>
        <w:rPr>
          <w:rFonts w:ascii="Times New Roman" w:cs="Times New Roman" w:eastAsia="Times New Roman" w:hAnsi="Times New Roman"/>
          <w:sz w:val="12"/>
          <w:szCs w:val="12"/>
          <w:color w:val="auto"/>
        </w:rPr>
        <w:t>See Appendix G – Financial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Intermediary Variations. The Contract also includes the Performance Lock feature that allows you to lock the Interim Value of each Shield Option once during the Term.</w:t>
      </w:r>
    </w:p>
    <w:p>
      <w:pPr>
        <w:spacing w:after="0" w:line="54"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The currently offered Shield Options provide that we will absorb losses at least equal to 10%, 15%, and 25%. Under these Shield Options, the maximum amount of loss you could experience due to negative index performance at the end of a Term, after taking into account these levels of protection, would be: 90% for 10% downside protection; 85% for 15% downside protection; and 75% for 25% downside protection. We do not guarantee that there will always be a Shield Option under the Contract that provides this minimum amount of downside protection; however, there will always be at least one Shield Option available with a minimum of 10% downside protection. </w:t>
      </w:r>
      <w:r>
        <w:rPr>
          <w:rFonts w:ascii="Times New Roman" w:cs="Times New Roman" w:eastAsia="Times New Roman" w:hAnsi="Times New Roman"/>
          <w:sz w:val="12"/>
          <w:szCs w:val="12"/>
          <w:color w:val="auto"/>
        </w:rPr>
        <w:t>In return for downside protection, we may limit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positive index gains for the Shield Options.</w:t>
      </w:r>
    </w:p>
    <w:p>
      <w:pPr>
        <w:spacing w:after="0" w:line="64" w:lineRule="exact"/>
        <w:rPr>
          <w:sz w:val="20"/>
          <w:szCs w:val="20"/>
          <w:color w:val="auto"/>
        </w:rPr>
      </w:pPr>
    </w:p>
    <w:p>
      <w:pPr>
        <w:jc w:val="both"/>
        <w:ind w:right="3839" w:firstLine="240"/>
        <w:spacing w:after="0" w:line="259" w:lineRule="auto"/>
        <w:rPr>
          <w:sz w:val="20"/>
          <w:szCs w:val="20"/>
          <w:color w:val="auto"/>
        </w:rPr>
      </w:pPr>
      <w:r>
        <w:rPr>
          <w:rFonts w:ascii="Times New Roman" w:cs="Times New Roman" w:eastAsia="Times New Roman" w:hAnsi="Times New Roman"/>
          <w:sz w:val="12"/>
          <w:szCs w:val="12"/>
          <w:color w:val="auto"/>
        </w:rPr>
        <w:t>Each Shield Option also has a Rate Crediting Type (the Cap Rate, Step Rate, or Step Rate Edge), which are the ways in which we calculate any positive interest credited based on the performance of the underlying Index.</w:t>
      </w:r>
    </w:p>
    <w:p>
      <w:pPr>
        <w:spacing w:after="0" w:line="1" w:lineRule="exact"/>
        <w:rPr>
          <w:sz w:val="20"/>
          <w:szCs w:val="20"/>
          <w:color w:val="auto"/>
        </w:rPr>
      </w:pPr>
    </w:p>
    <w:p>
      <w:pPr>
        <w:jc w:val="both"/>
        <w:ind w:right="3839"/>
        <w:spacing w:after="0" w:line="252" w:lineRule="auto"/>
        <w:rPr>
          <w:sz w:val="20"/>
          <w:szCs w:val="20"/>
          <w:color w:val="auto"/>
        </w:rPr>
      </w:pPr>
      <w:r>
        <w:rPr>
          <w:rFonts w:ascii="Times New Roman" w:cs="Times New Roman" w:eastAsia="Times New Roman" w:hAnsi="Times New Roman"/>
          <w:sz w:val="12"/>
          <w:szCs w:val="12"/>
          <w:b w:val="1"/>
          <w:bCs w:val="1"/>
          <w:color w:val="auto"/>
        </w:rPr>
        <w:t>We limit the amount you can earn on a Shield Option through the Rate Crediting Type. The Minimum Guaranteed Cap Rate for your Contract is the amount shown in the Cap Rate Shield Option Rider attached to your Contract and may vary by Shield Rate, but will not be less than 3.5%. The Minimum Guaranteed Step Rate for your Contract is the amount shown in the Step Rate Shield Option Rider attached to your Contract and may vary by Shield Rate, but will not be less than 4.5%. The Minimum Guaranteed Edge Rate for your Contract is the amount shown in the Step Rate Edge Shield Option Rider attached to your Contract and may vary by Shield Rate, but will not be less than 4.5%.</w:t>
      </w:r>
    </w:p>
    <w:p>
      <w:pPr>
        <w:spacing w:after="0" w:line="55"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The Contract is a complex investment. Investment in the Contract involves investment risks, including potential loss of principal. You should not buy this Contract if you are not willing to assume these investment risks.</w:t>
      </w:r>
    </w:p>
    <w:p>
      <w:pPr>
        <w:spacing w:after="0" w:line="43"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b w:val="1"/>
          <w:bCs w:val="1"/>
          <w:color w:val="auto"/>
        </w:rPr>
        <w:t>The Contract is not a short-term investment and is not appropriate for an investor who needs ready access to cash. The Contract permits ongoing withdrawals from the Shield Options prior to the Term End Date. However, the Contract may not be appropriate for you if you plan to take withdrawals from a Shield Option prior to the Term End Date, especially if you plan to take ongoing withdrawals such as required minimum distributions or withdrawals under the systematic withdrawal program. Withdrawals (including required minimum distributions (“RMDs”) and systematic withdrawals) and Surrenders may be subject to Withdrawal Charges, income taxes, and income tax penalties if taken before age 59½, and, if taken from the Shield Options before the end of a Term, may be based on an Interim Value calculation. A negative Interim Value could result in loss beyond the protection of the Shield Rate. In extreme circumstances, you could lose up to 100% of the value of the Shield Option if you make a withdrawal or Surrender from the Shield Options or if you exercise the Performance Lock before the Term End Date. If you do intend to take ongoing withdrawals under the Contract, particularly from a Shield Option during the Term, you should consult with a financial professional about whether the Contract is appropriate for you.</w:t>
      </w:r>
    </w:p>
    <w:p>
      <w:pPr>
        <w:spacing w:after="0" w:line="57"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If you are a new investor in the Contract, you may cancel the Contract within 10 days after receiving it without paying fees or penalties by mailing or delivering the Contract to either us or the financial professional who sold it. You will receive (i) whatever your Contract is worth on the day that we receive your cancellation request (although we will apply an Interim</w:t>
      </w:r>
    </w:p>
    <w:p>
      <w:pPr>
        <w:sectPr>
          <w:pgSz w:w="11900" w:h="16838" w:orient="portrait"/>
          <w:cols w:equalWidth="0" w:num="1">
            <w:col w:w="9359"/>
          </w:cols>
          <w:pgMar w:left="1100" w:top="942" w:right="1440" w:bottom="1440" w:gutter="0" w:footer="0" w:header="0"/>
        </w:sectPr>
      </w:pPr>
    </w:p>
    <w:bookmarkStart w:id="2" w:name="page3"/>
    <w:bookmarkEnd w:id="2"/>
    <w:p>
      <w:pPr>
        <w:jc w:val="both"/>
        <w:ind w:right="383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116205</wp:posOffset>
            </wp:positionV>
            <wp:extent cx="455739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57395" cy="36830"/>
                    </a:xfrm>
                    <a:prstGeom prst="rect">
                      <a:avLst/>
                    </a:prstGeom>
                    <a:noFill/>
                  </pic:spPr>
                </pic:pic>
              </a:graphicData>
            </a:graphic>
          </wp:anchor>
        </w:drawing>
        <w:t>Value calculation), plus (ii) the sum of all fees, taxes and charges deducted from the Purchase Payment during the Free Look period. You should review this prospectus or consult with your financial professional, for additional information about the specific cancellation terms that apply.</w:t>
      </w:r>
    </w:p>
    <w:p>
      <w:pPr>
        <w:spacing w:after="0" w:line="115" w:lineRule="exact"/>
        <w:rPr>
          <w:sz w:val="20"/>
          <w:szCs w:val="20"/>
          <w:color w:val="auto"/>
        </w:rPr>
      </w:pPr>
    </w:p>
    <w:p>
      <w:pPr>
        <w:jc w:val="both"/>
        <w:ind w:right="3839" w:firstLine="240"/>
        <w:spacing w:after="0" w:line="259"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(the “SEC”) nor any state securities commission has approved or disapproved these securities or the adequacy of this prospectus. Any representation to the contrary is a criminal offense. Mutual funds, annuities and insurance products are not deposits of any bank and are not insured or guaranteed by the Federal Deposit Insurance Corporation (the “FDIC”) or any other government agency. You may lose money invested in the Contract.</w:t>
      </w:r>
    </w:p>
    <w:p>
      <w:pPr>
        <w:spacing w:after="0" w:line="119" w:lineRule="exact"/>
        <w:rPr>
          <w:sz w:val="20"/>
          <w:szCs w:val="20"/>
          <w:color w:val="auto"/>
        </w:rPr>
      </w:pPr>
    </w:p>
    <w:p>
      <w:pPr>
        <w:jc w:val="both"/>
        <w:ind w:right="3839" w:firstLine="240"/>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The Contracts may be distributed through broker-dealers that have relationships with banks or other financial institutions or by employees of such banks. However, the Contracts are not deposits or obligations of, or guaranteed by such institutions or any Federal regulatory agency. Additional information about certain investment products, including registered index-linked annuities, has been prepared by the SEC’s staff and is available at </w:t>
      </w:r>
      <w:r>
        <w:rPr>
          <w:rFonts w:ascii="Times New Roman" w:cs="Times New Roman" w:eastAsia="Times New Roman" w:hAnsi="Times New Roman"/>
          <w:sz w:val="12"/>
          <w:szCs w:val="12"/>
          <w:color w:val="auto"/>
        </w:rPr>
        <w:t>Investor.gov</w:t>
      </w:r>
      <w:r>
        <w:rPr>
          <w:rFonts w:ascii="Times New Roman" w:cs="Times New Roman" w:eastAsia="Times New Roman" w:hAnsi="Times New Roman"/>
          <w:sz w:val="12"/>
          <w:szCs w:val="12"/>
          <w:b w:val="1"/>
          <w:bCs w:val="1"/>
          <w:color w:val="auto"/>
        </w:rPr>
        <w:t>.</w:t>
      </w:r>
    </w:p>
    <w:p>
      <w:pPr>
        <w:spacing w:after="0" w:line="119" w:lineRule="exact"/>
        <w:rPr>
          <w:sz w:val="20"/>
          <w:szCs w:val="20"/>
          <w:color w:val="auto"/>
        </w:rPr>
      </w:pPr>
    </w:p>
    <w:p>
      <w:pPr>
        <w:jc w:val="both"/>
        <w:ind w:right="3839" w:firstLine="240"/>
        <w:spacing w:after="0" w:line="286" w:lineRule="auto"/>
        <w:rPr>
          <w:sz w:val="20"/>
          <w:szCs w:val="20"/>
          <w:color w:val="auto"/>
        </w:rPr>
      </w:pPr>
      <w:r>
        <w:rPr>
          <w:rFonts w:ascii="Times New Roman" w:cs="Times New Roman" w:eastAsia="Times New Roman" w:hAnsi="Times New Roman"/>
          <w:sz w:val="12"/>
          <w:szCs w:val="12"/>
          <w:b w:val="1"/>
          <w:bCs w:val="1"/>
          <w:color w:val="auto"/>
        </w:rPr>
        <w:t>The principal underwriter of the Contract is Brighthouse Securities, LLC. The offering of the Contract is intended to be continuous.</w:t>
      </w:r>
    </w:p>
    <w:p>
      <w:pPr>
        <w:spacing w:after="0" w:line="1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color w:val="auto"/>
        </w:rPr>
        <w:t>Prospectus dated April 27, 2026</w:t>
      </w:r>
    </w:p>
    <w:p>
      <w:pPr>
        <w:sectPr>
          <w:pgSz w:w="11900" w:h="16838" w:orient="portrait"/>
          <w:cols w:equalWidth="0" w:num="1">
            <w:col w:w="9359"/>
          </w:cols>
          <w:pgMar w:left="1100" w:top="54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0" w:type="dxa"/>
            <w:vAlign w:val="bottom"/>
            <w:gridSpan w:val="11"/>
          </w:tcPr>
          <w:p>
            <w:pPr>
              <w:ind w:left="2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80" w:type="dxa"/>
            <w:vAlign w:val="bottom"/>
            <w:gridSpan w:val="42"/>
          </w:tcPr>
          <w:p>
            <w:pPr>
              <w:spacing w:after="0"/>
              <w:rPr>
                <w:sz w:val="20"/>
                <w:szCs w:val="20"/>
                <w:color w:val="auto"/>
              </w:rPr>
            </w:pPr>
            <w:r>
              <w:rPr>
                <w:rFonts w:ascii="Times New Roman" w:cs="Times New Roman" w:eastAsia="Times New Roman" w:hAnsi="Times New Roman"/>
                <w:sz w:val="12"/>
                <w:szCs w:val="12"/>
                <w:color w:val="0000EE"/>
              </w:rPr>
              <w:t>SPECIAL TERMS</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4860" w:type="dxa"/>
            <w:vAlign w:val="bottom"/>
            <w:gridSpan w:val="41"/>
            <w:shd w:val="clear" w:color="auto" w:fill="F0FFFF"/>
          </w:tcPr>
          <w:p>
            <w:pPr>
              <w:spacing w:after="0" w:line="106" w:lineRule="exact"/>
              <w:rPr>
                <w:sz w:val="20"/>
                <w:szCs w:val="20"/>
                <w:color w:val="auto"/>
              </w:rPr>
            </w:pPr>
            <w:r>
              <w:rPr>
                <w:rFonts w:ascii="Times New Roman" w:cs="Times New Roman" w:eastAsia="Times New Roman" w:hAnsi="Times New Roman"/>
                <w:sz w:val="12"/>
                <w:szCs w:val="12"/>
                <w:color w:val="0000EE"/>
              </w:rPr>
              <w:t>OVERVIEW OF THE CONTRACT</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spacing w:after="0" w:line="88" w:lineRule="exact"/>
              <w:rPr>
                <w:sz w:val="20"/>
                <w:szCs w:val="20"/>
                <w:color w:val="auto"/>
              </w:rPr>
            </w:pPr>
            <w:r>
              <w:rPr>
                <w:rFonts w:ascii="Times New Roman" w:cs="Times New Roman" w:eastAsia="Times New Roman" w:hAnsi="Times New Roman"/>
                <w:sz w:val="10"/>
                <w:szCs w:val="10"/>
                <w:color w:val="0000EE"/>
              </w:rPr>
              <w:t>IMPORTANT INFORMATION YOU SHOULD CONSIDER ABOUT THE CONTRACT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FEE TABLE</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spacing w:after="0" w:line="88" w:lineRule="exact"/>
              <w:rPr>
                <w:sz w:val="20"/>
                <w:szCs w:val="20"/>
                <w:color w:val="auto"/>
              </w:rPr>
            </w:pPr>
            <w:r>
              <w:rPr>
                <w:rFonts w:ascii="Times New Roman" w:cs="Times New Roman" w:eastAsia="Times New Roman" w:hAnsi="Times New Roman"/>
                <w:sz w:val="10"/>
                <w:szCs w:val="10"/>
                <w:color w:val="0000EE"/>
              </w:rPr>
              <w:t>PRINCIPAL RISKS OF INVESTING IN THE CONTRACT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THE ANNUITY CONTRACT</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ind w:left="220"/>
              <w:spacing w:after="0" w:line="88" w:lineRule="exact"/>
              <w:rPr>
                <w:sz w:val="20"/>
                <w:szCs w:val="20"/>
                <w:color w:val="auto"/>
              </w:rPr>
            </w:pPr>
            <w:r>
              <w:rPr>
                <w:rFonts w:ascii="Times New Roman" w:cs="Times New Roman" w:eastAsia="Times New Roman" w:hAnsi="Times New Roman"/>
                <w:sz w:val="10"/>
                <w:szCs w:val="10"/>
                <w:color w:val="0000EE"/>
              </w:rPr>
              <w:t>Replacement of Contracts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220" w:type="dxa"/>
            <w:vAlign w:val="bottom"/>
            <w:shd w:val="clear" w:color="auto" w:fill="F0FFFF"/>
          </w:tcPr>
          <w:p>
            <w:pPr>
              <w:spacing w:after="0"/>
              <w:rPr>
                <w:sz w:val="9"/>
                <w:szCs w:val="9"/>
                <w:color w:val="auto"/>
              </w:rPr>
            </w:pPr>
          </w:p>
        </w:tc>
        <w:tc>
          <w:tcPr>
            <w:tcW w:w="100" w:type="dxa"/>
            <w:vAlign w:val="bottom"/>
            <w:shd w:val="clear" w:color="auto" w:fill="F0FFFF"/>
          </w:tcPr>
          <w:p>
            <w:pPr>
              <w:spacing w:after="0"/>
              <w:rPr>
                <w:sz w:val="9"/>
                <w:szCs w:val="9"/>
                <w:color w:val="auto"/>
              </w:rPr>
            </w:pPr>
          </w:p>
        </w:tc>
        <w:tc>
          <w:tcPr>
            <w:tcW w:w="140" w:type="dxa"/>
            <w:vAlign w:val="bottom"/>
            <w:shd w:val="clear" w:color="auto" w:fill="F0FFFF"/>
          </w:tcPr>
          <w:p>
            <w:pPr>
              <w:spacing w:after="0"/>
              <w:rPr>
                <w:sz w:val="9"/>
                <w:szCs w:val="9"/>
                <w:color w:val="auto"/>
              </w:rPr>
            </w:pPr>
          </w:p>
        </w:tc>
        <w:tc>
          <w:tcPr>
            <w:tcW w:w="4400" w:type="dxa"/>
            <w:vAlign w:val="bottom"/>
            <w:gridSpan w:val="38"/>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Exchanges.</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0" w:type="dxa"/>
            <w:vAlign w:val="bottom"/>
            <w:gridSpan w:val="38"/>
          </w:tcPr>
          <w:p>
            <w:pPr>
              <w:spacing w:after="0" w:line="88" w:lineRule="exact"/>
              <w:rPr>
                <w:sz w:val="20"/>
                <w:szCs w:val="20"/>
                <w:color w:val="auto"/>
              </w:rPr>
            </w:pPr>
            <w:r>
              <w:rPr>
                <w:rFonts w:ascii="Times New Roman" w:cs="Times New Roman" w:eastAsia="Times New Roman" w:hAnsi="Times New Roman"/>
                <w:sz w:val="10"/>
                <w:szCs w:val="10"/>
                <w:color w:val="0000EE"/>
              </w:rPr>
              <w:t>Exchange Programs.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PURCHASE</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ind w:left="220"/>
              <w:spacing w:after="0" w:line="88" w:lineRule="exact"/>
              <w:rPr>
                <w:sz w:val="20"/>
                <w:szCs w:val="20"/>
                <w:color w:val="auto"/>
              </w:rPr>
            </w:pPr>
            <w:r>
              <w:rPr>
                <w:rFonts w:ascii="Times New Roman" w:cs="Times New Roman" w:eastAsia="Times New Roman" w:hAnsi="Times New Roman"/>
                <w:sz w:val="10"/>
                <w:szCs w:val="10"/>
                <w:color w:val="0000EE"/>
              </w:rPr>
              <w:t>Purchase Payment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ind w:left="220"/>
              <w:spacing w:after="0" w:line="108" w:lineRule="exact"/>
              <w:rPr>
                <w:sz w:val="20"/>
                <w:szCs w:val="20"/>
                <w:color w:val="auto"/>
              </w:rPr>
            </w:pPr>
            <w:r>
              <w:rPr>
                <w:rFonts w:ascii="Times New Roman" w:cs="Times New Roman" w:eastAsia="Times New Roman" w:hAnsi="Times New Roman"/>
                <w:sz w:val="12"/>
                <w:szCs w:val="12"/>
                <w:color w:val="0000EE"/>
              </w:rPr>
              <w:t>Allocation of the Purchase Payment</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spacing w:after="0" w:line="88" w:lineRule="exact"/>
              <w:rPr>
                <w:sz w:val="20"/>
                <w:szCs w:val="20"/>
                <w:color w:val="auto"/>
              </w:rPr>
            </w:pPr>
            <w:r>
              <w:rPr>
                <w:rFonts w:ascii="Times New Roman" w:cs="Times New Roman" w:eastAsia="Times New Roman" w:hAnsi="Times New Roman"/>
                <w:sz w:val="10"/>
                <w:szCs w:val="10"/>
                <w:color w:val="0000EE"/>
              </w:rPr>
              <w:t>SHIELD OPTIONS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TERM</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ind w:left="220"/>
              <w:spacing w:after="0" w:line="88" w:lineRule="exact"/>
              <w:rPr>
                <w:sz w:val="20"/>
                <w:szCs w:val="20"/>
                <w:color w:val="auto"/>
              </w:rPr>
            </w:pPr>
            <w:r>
              <w:rPr>
                <w:rFonts w:ascii="Times New Roman" w:cs="Times New Roman" w:eastAsia="Times New Roman" w:hAnsi="Times New Roman"/>
                <w:sz w:val="10"/>
                <w:szCs w:val="10"/>
                <w:color w:val="0000EE"/>
              </w:rPr>
              <w:t>Term Start Date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ind w:left="220"/>
              <w:spacing w:after="0" w:line="108" w:lineRule="exact"/>
              <w:rPr>
                <w:sz w:val="20"/>
                <w:szCs w:val="20"/>
                <w:color w:val="auto"/>
              </w:rPr>
            </w:pPr>
            <w:r>
              <w:rPr>
                <w:rFonts w:ascii="Times New Roman" w:cs="Times New Roman" w:eastAsia="Times New Roman" w:hAnsi="Times New Roman"/>
                <w:sz w:val="12"/>
                <w:szCs w:val="12"/>
                <w:color w:val="0000EE"/>
              </w:rPr>
              <w:t>Term End Date</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spacing w:after="0" w:line="88" w:lineRule="exact"/>
              <w:rPr>
                <w:sz w:val="20"/>
                <w:szCs w:val="20"/>
                <w:color w:val="auto"/>
              </w:rPr>
            </w:pPr>
            <w:r>
              <w:rPr>
                <w:rFonts w:ascii="Times New Roman" w:cs="Times New Roman" w:eastAsia="Times New Roman" w:hAnsi="Times New Roman"/>
                <w:sz w:val="10"/>
                <w:szCs w:val="10"/>
                <w:color w:val="0000EE"/>
              </w:rPr>
              <w:t>INDICES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ind w:left="220"/>
              <w:spacing w:after="0" w:line="108" w:lineRule="exact"/>
              <w:rPr>
                <w:sz w:val="20"/>
                <w:szCs w:val="20"/>
                <w:color w:val="auto"/>
              </w:rPr>
            </w:pPr>
            <w:r>
              <w:rPr>
                <w:rFonts w:ascii="Times New Roman" w:cs="Times New Roman" w:eastAsia="Times New Roman" w:hAnsi="Times New Roman"/>
                <w:sz w:val="12"/>
                <w:szCs w:val="12"/>
                <w:color w:val="0000EE"/>
              </w:rPr>
              <w:t>Discontinuation or Substantial Change to an Index.</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60" w:type="dxa"/>
            <w:vAlign w:val="bottom"/>
            <w:tcBorders>
              <w:top w:val="single" w:sz="8" w:color="0000EE"/>
              <w:bottom w:val="single" w:sz="8" w:color="F0FFFF"/>
            </w:tcBorders>
            <w:shd w:val="clear" w:color="auto" w:fill="F0FFFF"/>
          </w:tcPr>
          <w:p>
            <w:pPr>
              <w:spacing w:after="0"/>
              <w:rPr>
                <w:sz w:val="2"/>
                <w:szCs w:val="2"/>
                <w:color w:val="auto"/>
              </w:rPr>
            </w:pPr>
          </w:p>
        </w:tc>
        <w:tc>
          <w:tcPr>
            <w:tcW w:w="20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ind w:left="220"/>
              <w:spacing w:after="0" w:line="88" w:lineRule="exact"/>
              <w:rPr>
                <w:sz w:val="20"/>
                <w:szCs w:val="20"/>
                <w:color w:val="auto"/>
              </w:rPr>
            </w:pPr>
            <w:r>
              <w:rPr>
                <w:rFonts w:ascii="Times New Roman" w:cs="Times New Roman" w:eastAsia="Times New Roman" w:hAnsi="Times New Roman"/>
                <w:sz w:val="10"/>
                <w:szCs w:val="10"/>
                <w:color w:val="0000EE"/>
              </w:rPr>
              <w:t>Index Value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ind w:left="220"/>
              <w:spacing w:after="0" w:line="108" w:lineRule="exact"/>
              <w:rPr>
                <w:sz w:val="20"/>
                <w:szCs w:val="20"/>
                <w:color w:val="auto"/>
              </w:rPr>
            </w:pPr>
            <w:r>
              <w:rPr>
                <w:rFonts w:ascii="Times New Roman" w:cs="Times New Roman" w:eastAsia="Times New Roman" w:hAnsi="Times New Roman"/>
                <w:sz w:val="12"/>
                <w:szCs w:val="12"/>
                <w:color w:val="0000EE"/>
              </w:rPr>
              <w:t>Index Performance</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ind w:left="220"/>
              <w:spacing w:after="0" w:line="88" w:lineRule="exact"/>
              <w:rPr>
                <w:sz w:val="20"/>
                <w:szCs w:val="20"/>
                <w:color w:val="auto"/>
              </w:rPr>
            </w:pPr>
            <w:r>
              <w:rPr>
                <w:rFonts w:ascii="Times New Roman" w:cs="Times New Roman" w:eastAsia="Times New Roman" w:hAnsi="Times New Roman"/>
                <w:sz w:val="10"/>
                <w:szCs w:val="10"/>
                <w:color w:val="0000EE"/>
              </w:rPr>
              <w:t>Index Examples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SHIELD RATES</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spacing w:after="0" w:line="88" w:lineRule="exact"/>
              <w:rPr>
                <w:sz w:val="20"/>
                <w:szCs w:val="20"/>
                <w:color w:val="auto"/>
              </w:rPr>
            </w:pPr>
            <w:r>
              <w:rPr>
                <w:rFonts w:ascii="Times New Roman" w:cs="Times New Roman" w:eastAsia="Times New Roman" w:hAnsi="Times New Roman"/>
                <w:sz w:val="10"/>
                <w:szCs w:val="10"/>
                <w:color w:val="0000EE"/>
              </w:rPr>
              <w:t>RATE CREDITING TYPES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ind w:left="220"/>
              <w:spacing w:after="0" w:line="108" w:lineRule="exact"/>
              <w:rPr>
                <w:sz w:val="20"/>
                <w:szCs w:val="20"/>
                <w:color w:val="auto"/>
              </w:rPr>
            </w:pPr>
            <w:r>
              <w:rPr>
                <w:rFonts w:ascii="Times New Roman" w:cs="Times New Roman" w:eastAsia="Times New Roman" w:hAnsi="Times New Roman"/>
                <w:sz w:val="12"/>
                <w:szCs w:val="12"/>
                <w:color w:val="0000EE"/>
              </w:rPr>
              <w:t>Cap Rate</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ind w:left="220"/>
              <w:spacing w:after="0" w:line="88" w:lineRule="exact"/>
              <w:rPr>
                <w:sz w:val="20"/>
                <w:szCs w:val="20"/>
                <w:color w:val="auto"/>
              </w:rPr>
            </w:pPr>
            <w:r>
              <w:rPr>
                <w:rFonts w:ascii="Times New Roman" w:cs="Times New Roman" w:eastAsia="Times New Roman" w:hAnsi="Times New Roman"/>
                <w:sz w:val="10"/>
                <w:szCs w:val="10"/>
                <w:color w:val="0000EE"/>
              </w:rPr>
              <w:t>Step Rate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ind w:left="220"/>
              <w:spacing w:after="0" w:line="108" w:lineRule="exact"/>
              <w:rPr>
                <w:sz w:val="20"/>
                <w:szCs w:val="20"/>
                <w:color w:val="auto"/>
              </w:rPr>
            </w:pPr>
            <w:r>
              <w:rPr>
                <w:rFonts w:ascii="Times New Roman" w:cs="Times New Roman" w:eastAsia="Times New Roman" w:hAnsi="Times New Roman"/>
                <w:sz w:val="12"/>
                <w:szCs w:val="12"/>
                <w:color w:val="0000EE"/>
              </w:rPr>
              <w:t>Step Rate Edge</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ind w:left="220"/>
              <w:spacing w:after="0" w:line="88" w:lineRule="exact"/>
              <w:rPr>
                <w:sz w:val="20"/>
                <w:szCs w:val="20"/>
                <w:color w:val="auto"/>
              </w:rPr>
            </w:pPr>
            <w:r>
              <w:rPr>
                <w:rFonts w:ascii="Times New Roman" w:cs="Times New Roman" w:eastAsia="Times New Roman" w:hAnsi="Times New Roman"/>
                <w:sz w:val="10"/>
                <w:szCs w:val="10"/>
                <w:color w:val="0000EE"/>
              </w:rPr>
              <w:t>Rate Crediting Type Considerations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ADDITION OR DISCONTINUANCE OF A SHIELD OPTION</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60" w:type="dxa"/>
            <w:vAlign w:val="bottom"/>
            <w:tcBorders>
              <w:top w:val="single" w:sz="8" w:color="0000EE"/>
              <w:bottom w:val="single" w:sz="8" w:color="F0FFFF"/>
            </w:tcBorders>
            <w:shd w:val="clear" w:color="auto" w:fill="F0FFFF"/>
          </w:tcPr>
          <w:p>
            <w:pPr>
              <w:spacing w:after="0"/>
              <w:rPr>
                <w:sz w:val="2"/>
                <w:szCs w:val="2"/>
                <w:color w:val="auto"/>
              </w:rPr>
            </w:pPr>
          </w:p>
        </w:tc>
        <w:tc>
          <w:tcPr>
            <w:tcW w:w="20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16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spacing w:after="0" w:line="88" w:lineRule="exact"/>
              <w:rPr>
                <w:sz w:val="20"/>
                <w:szCs w:val="20"/>
                <w:color w:val="auto"/>
              </w:rPr>
            </w:pPr>
            <w:r>
              <w:rPr>
                <w:rFonts w:ascii="Times New Roman" w:cs="Times New Roman" w:eastAsia="Times New Roman" w:hAnsi="Times New Roman"/>
                <w:sz w:val="10"/>
                <w:szCs w:val="10"/>
                <w:color w:val="0000EE"/>
              </w:rPr>
              <w:t>ACCOUNT VALUE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INVESTMENT AMOUNT</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spacing w:after="0" w:line="88" w:lineRule="exact"/>
              <w:rPr>
                <w:sz w:val="20"/>
                <w:szCs w:val="20"/>
                <w:color w:val="auto"/>
              </w:rPr>
            </w:pPr>
            <w:r>
              <w:rPr>
                <w:rFonts w:ascii="Times New Roman" w:cs="Times New Roman" w:eastAsia="Times New Roman" w:hAnsi="Times New Roman"/>
                <w:sz w:val="10"/>
                <w:szCs w:val="10"/>
                <w:color w:val="0000EE"/>
              </w:rPr>
              <w:t>CALCULATING YOUR INVESTMENT AMOUNT ON A TERM END DATE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CHARGES, FEES, AND ADJUSTMENTS</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ind w:left="220"/>
              <w:spacing w:after="0" w:line="88" w:lineRule="exact"/>
              <w:rPr>
                <w:sz w:val="20"/>
                <w:szCs w:val="20"/>
                <w:color w:val="auto"/>
              </w:rPr>
            </w:pPr>
            <w:r>
              <w:rPr>
                <w:rFonts w:ascii="Times New Roman" w:cs="Times New Roman" w:eastAsia="Times New Roman" w:hAnsi="Times New Roman"/>
                <w:sz w:val="10"/>
                <w:szCs w:val="10"/>
                <w:color w:val="0000EE"/>
              </w:rPr>
              <w:t>Interim Value Calculation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ind w:left="220"/>
              <w:spacing w:after="0" w:line="108" w:lineRule="exact"/>
              <w:rPr>
                <w:sz w:val="20"/>
                <w:szCs w:val="20"/>
                <w:color w:val="auto"/>
              </w:rPr>
            </w:pPr>
            <w:r>
              <w:rPr>
                <w:rFonts w:ascii="Times New Roman" w:cs="Times New Roman" w:eastAsia="Times New Roman" w:hAnsi="Times New Roman"/>
                <w:sz w:val="12"/>
                <w:szCs w:val="12"/>
                <w:color w:val="0000EE"/>
              </w:rPr>
              <w:t>Withdrawal Charge</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ind w:left="220"/>
              <w:spacing w:after="0" w:line="88" w:lineRule="exact"/>
              <w:rPr>
                <w:sz w:val="20"/>
                <w:szCs w:val="20"/>
                <w:color w:val="auto"/>
              </w:rPr>
            </w:pPr>
            <w:r>
              <w:rPr>
                <w:rFonts w:ascii="Times New Roman" w:cs="Times New Roman" w:eastAsia="Times New Roman" w:hAnsi="Times New Roman"/>
                <w:sz w:val="10"/>
                <w:szCs w:val="10"/>
                <w:color w:val="0000EE"/>
              </w:rPr>
              <w:t>When No Withdrawal Charge Applies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220" w:type="dxa"/>
            <w:vAlign w:val="bottom"/>
            <w:shd w:val="clear" w:color="auto" w:fill="F0FFFF"/>
          </w:tcPr>
          <w:p>
            <w:pPr>
              <w:spacing w:after="0"/>
              <w:rPr>
                <w:sz w:val="9"/>
                <w:szCs w:val="9"/>
                <w:color w:val="auto"/>
              </w:rPr>
            </w:pPr>
          </w:p>
        </w:tc>
        <w:tc>
          <w:tcPr>
            <w:tcW w:w="100" w:type="dxa"/>
            <w:vAlign w:val="bottom"/>
            <w:shd w:val="clear" w:color="auto" w:fill="F0FFFF"/>
          </w:tcPr>
          <w:p>
            <w:pPr>
              <w:spacing w:after="0"/>
              <w:rPr>
                <w:sz w:val="9"/>
                <w:szCs w:val="9"/>
                <w:color w:val="auto"/>
              </w:rPr>
            </w:pPr>
          </w:p>
        </w:tc>
        <w:tc>
          <w:tcPr>
            <w:tcW w:w="140" w:type="dxa"/>
            <w:vAlign w:val="bottom"/>
            <w:shd w:val="clear" w:color="auto" w:fill="F0FFFF"/>
          </w:tcPr>
          <w:p>
            <w:pPr>
              <w:spacing w:after="0"/>
              <w:rPr>
                <w:sz w:val="9"/>
                <w:szCs w:val="9"/>
                <w:color w:val="auto"/>
              </w:rPr>
            </w:pPr>
          </w:p>
        </w:tc>
        <w:tc>
          <w:tcPr>
            <w:tcW w:w="4400" w:type="dxa"/>
            <w:vAlign w:val="bottom"/>
            <w:gridSpan w:val="38"/>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Free Withdrawal Amount.</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ind w:left="220"/>
              <w:spacing w:after="0" w:line="88" w:lineRule="exact"/>
              <w:rPr>
                <w:sz w:val="20"/>
                <w:szCs w:val="20"/>
                <w:color w:val="auto"/>
              </w:rPr>
            </w:pPr>
            <w:r>
              <w:rPr>
                <w:rFonts w:ascii="Times New Roman" w:cs="Times New Roman" w:eastAsia="Times New Roman" w:hAnsi="Times New Roman"/>
                <w:sz w:val="10"/>
                <w:szCs w:val="10"/>
                <w:color w:val="0000EE"/>
              </w:rPr>
              <w:t>Premium and Other Taxes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ind w:left="220"/>
              <w:spacing w:after="0" w:line="108" w:lineRule="exact"/>
              <w:rPr>
                <w:sz w:val="20"/>
                <w:szCs w:val="20"/>
                <w:color w:val="auto"/>
              </w:rPr>
            </w:pPr>
            <w:r>
              <w:rPr>
                <w:rFonts w:ascii="Times New Roman" w:cs="Times New Roman" w:eastAsia="Times New Roman" w:hAnsi="Times New Roman"/>
                <w:sz w:val="12"/>
                <w:szCs w:val="12"/>
                <w:color w:val="0000EE"/>
              </w:rPr>
              <w:t>Income Taxes</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spacing w:after="0" w:line="88" w:lineRule="exact"/>
              <w:rPr>
                <w:sz w:val="20"/>
                <w:szCs w:val="20"/>
                <w:color w:val="auto"/>
              </w:rPr>
            </w:pPr>
            <w:r>
              <w:rPr>
                <w:rFonts w:ascii="Times New Roman" w:cs="Times New Roman" w:eastAsia="Times New Roman" w:hAnsi="Times New Roman"/>
                <w:sz w:val="10"/>
                <w:szCs w:val="10"/>
                <w:color w:val="0000EE"/>
              </w:rPr>
              <w:t>WITHDRAWAL PROVISIONS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TRANSFERS</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ind w:left="220"/>
              <w:spacing w:after="0" w:line="88" w:lineRule="exact"/>
              <w:rPr>
                <w:sz w:val="20"/>
                <w:szCs w:val="20"/>
                <w:color w:val="auto"/>
              </w:rPr>
            </w:pPr>
            <w:r>
              <w:rPr>
                <w:rFonts w:ascii="Times New Roman" w:cs="Times New Roman" w:eastAsia="Times New Roman" w:hAnsi="Times New Roman"/>
                <w:sz w:val="10"/>
                <w:szCs w:val="10"/>
                <w:color w:val="0000EE"/>
              </w:rPr>
              <w:t>Transfers without the Performance Lock</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ind w:left="220"/>
              <w:spacing w:after="0" w:line="108" w:lineRule="exact"/>
              <w:rPr>
                <w:sz w:val="20"/>
                <w:szCs w:val="20"/>
                <w:color w:val="auto"/>
              </w:rPr>
            </w:pPr>
            <w:r>
              <w:rPr>
                <w:rFonts w:ascii="Times New Roman" w:cs="Times New Roman" w:eastAsia="Times New Roman" w:hAnsi="Times New Roman"/>
                <w:sz w:val="12"/>
                <w:szCs w:val="12"/>
                <w:color w:val="0000EE"/>
              </w:rPr>
              <w:t>Transfers with the Performance Lock</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60" w:type="dxa"/>
            <w:vAlign w:val="bottom"/>
            <w:tcBorders>
              <w:top w:val="single" w:sz="8" w:color="F0FFFF"/>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60" w:type="dxa"/>
            <w:vAlign w:val="bottom"/>
            <w:gridSpan w:val="41"/>
          </w:tcPr>
          <w:p>
            <w:pPr>
              <w:ind w:left="220"/>
              <w:spacing w:after="0" w:line="88" w:lineRule="exact"/>
              <w:rPr>
                <w:sz w:val="20"/>
                <w:szCs w:val="20"/>
                <w:color w:val="auto"/>
              </w:rPr>
            </w:pPr>
            <w:r>
              <w:rPr>
                <w:rFonts w:ascii="Times New Roman" w:cs="Times New Roman" w:eastAsia="Times New Roman" w:hAnsi="Times New Roman"/>
                <w:sz w:val="10"/>
                <w:szCs w:val="10"/>
                <w:color w:val="0000EE"/>
              </w:rPr>
              <w:t>Availability of Performance Lock with a New Shield Option</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gridSpan w:val="41"/>
            <w:shd w:val="clear" w:color="auto" w:fill="F0FFFF"/>
          </w:tcPr>
          <w:p>
            <w:pPr>
              <w:ind w:left="220"/>
              <w:spacing w:after="0" w:line="108" w:lineRule="exact"/>
              <w:rPr>
                <w:sz w:val="20"/>
                <w:szCs w:val="20"/>
                <w:color w:val="auto"/>
              </w:rPr>
            </w:pPr>
            <w:r>
              <w:rPr>
                <w:rFonts w:ascii="Times New Roman" w:cs="Times New Roman" w:eastAsia="Times New Roman" w:hAnsi="Times New Roman"/>
                <w:sz w:val="12"/>
                <w:szCs w:val="12"/>
                <w:color w:val="0000EE"/>
              </w:rPr>
              <w:t>Transfer Requirements for the Fixed Account</w:t>
            </w:r>
          </w:p>
        </w:tc>
        <w:tc>
          <w:tcPr>
            <w:tcW w:w="6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60" w:type="dxa"/>
            <w:vAlign w:val="bottom"/>
            <w:tcBorders>
              <w:top w:val="single" w:sz="8" w:color="0000EE"/>
              <w:bottom w:val="single" w:sz="8" w:color="F0FFFF"/>
            </w:tcBorders>
            <w:shd w:val="clear" w:color="auto" w:fill="F0FFFF"/>
          </w:tcPr>
          <w:p>
            <w:pPr>
              <w:spacing w:after="0"/>
              <w:rPr>
                <w:sz w:val="2"/>
                <w:szCs w:val="2"/>
                <w:color w:val="auto"/>
              </w:rPr>
            </w:pPr>
          </w:p>
        </w:tc>
        <w:tc>
          <w:tcPr>
            <w:tcW w:w="20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720" w:type="dxa"/>
            <w:vAlign w:val="bottom"/>
            <w:tcBorders>
              <w:top w:val="single" w:sz="8" w:color="F0FFFF"/>
              <w:bottom w:val="single" w:sz="8" w:color="F0FFFF"/>
            </w:tcBorders>
            <w:shd w:val="clear" w:color="auto" w:fill="F0FFFF"/>
          </w:tcPr>
          <w:p>
            <w:pPr>
              <w:spacing w:after="0"/>
              <w:rPr>
                <w:sz w:val="2"/>
                <w:szCs w:val="2"/>
                <w:color w:val="auto"/>
              </w:rPr>
            </w:pPr>
          </w:p>
        </w:tc>
        <w:tc>
          <w:tcPr>
            <w:tcW w:w="500" w:type="dxa"/>
            <w:vAlign w:val="bottom"/>
            <w:tcBorders>
              <w:top w:val="single" w:sz="8" w:color="F0FFFF"/>
              <w:bottom w:val="single" w:sz="8" w:color="F0FFFF"/>
            </w:tcBorders>
            <w:shd w:val="clear" w:color="auto" w:fill="F0FFFF"/>
          </w:tcPr>
          <w:p>
            <w:pPr>
              <w:spacing w:after="0"/>
              <w:rPr>
                <w:sz w:val="2"/>
                <w:szCs w:val="2"/>
                <w:color w:val="auto"/>
              </w:rPr>
            </w:pPr>
          </w:p>
        </w:tc>
        <w:tc>
          <w:tcPr>
            <w:tcW w:w="520" w:type="dxa"/>
            <w:vAlign w:val="bottom"/>
            <w:tcBorders>
              <w:top w:val="single" w:sz="8" w:color="F0FFFF"/>
              <w:bottom w:val="single" w:sz="8" w:color="F0FFFF"/>
            </w:tcBorders>
            <w:shd w:val="clear" w:color="auto" w:fill="F0FFFF"/>
          </w:tcPr>
          <w:p>
            <w:pPr>
              <w:spacing w:after="0"/>
              <w:rPr>
                <w:sz w:val="2"/>
                <w:szCs w:val="2"/>
                <w:color w:val="auto"/>
              </w:rPr>
            </w:pPr>
          </w:p>
        </w:tc>
        <w:tc>
          <w:tcPr>
            <w:tcW w:w="6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0000EE"/>
            </w:tcBorders>
          </w:tcPr>
          <w:p>
            <w:pPr>
              <w:spacing w:after="0"/>
              <w:rPr>
                <w:sz w:val="7"/>
                <w:szCs w:val="7"/>
                <w:color w:val="auto"/>
              </w:rPr>
            </w:pPr>
          </w:p>
        </w:tc>
        <w:tc>
          <w:tcPr>
            <w:tcW w:w="1240" w:type="dxa"/>
            <w:vAlign w:val="bottom"/>
            <w:tcBorders>
              <w:bottom w:val="single" w:sz="8" w:color="0000EE"/>
            </w:tcBorders>
            <w:gridSpan w:val="19"/>
          </w:tcPr>
          <w:p>
            <w:pPr>
              <w:spacing w:after="0" w:line="88" w:lineRule="exact"/>
              <w:rPr>
                <w:sz w:val="20"/>
                <w:szCs w:val="20"/>
                <w:color w:val="auto"/>
              </w:rPr>
            </w:pPr>
            <w:r>
              <w:rPr>
                <w:rFonts w:ascii="Times New Roman" w:cs="Times New Roman" w:eastAsia="Times New Roman" w:hAnsi="Times New Roman"/>
                <w:sz w:val="10"/>
                <w:szCs w:val="10"/>
                <w:color w:val="0000EE"/>
              </w:rPr>
              <w:t>PERFORMANCE LOCK</w:t>
            </w:r>
          </w:p>
        </w:tc>
        <w:tc>
          <w:tcPr>
            <w:tcW w:w="1380" w:type="dxa"/>
            <w:vAlign w:val="bottom"/>
            <w:gridSpan w:val="15"/>
            <w:vMerge w:val="restart"/>
          </w:tcPr>
          <w:p>
            <w:pPr>
              <w:spacing w:after="0"/>
              <w:rPr>
                <w:sz w:val="7"/>
                <w:szCs w:val="7"/>
                <w:color w:val="auto"/>
              </w:rPr>
            </w:pPr>
          </w:p>
        </w:tc>
        <w:tc>
          <w:tcPr>
            <w:tcW w:w="2240" w:type="dxa"/>
            <w:vAlign w:val="bottom"/>
            <w:gridSpan w:val="7"/>
            <w:vMerge w:val="restart"/>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40" w:type="dxa"/>
            <w:vAlign w:val="bottom"/>
            <w:gridSpan w:val="19"/>
          </w:tcPr>
          <w:p>
            <w:pPr>
              <w:spacing w:after="0"/>
              <w:rPr>
                <w:sz w:val="2"/>
                <w:szCs w:val="2"/>
                <w:color w:val="auto"/>
              </w:rPr>
            </w:pPr>
          </w:p>
        </w:tc>
        <w:tc>
          <w:tcPr>
            <w:tcW w:w="1380" w:type="dxa"/>
            <w:vAlign w:val="bottom"/>
            <w:gridSpan w:val="15"/>
            <w:vMerge w:val="continue"/>
          </w:tcPr>
          <w:p>
            <w:pPr>
              <w:spacing w:after="0"/>
              <w:rPr>
                <w:sz w:val="2"/>
                <w:szCs w:val="2"/>
                <w:color w:val="auto"/>
              </w:rPr>
            </w:pPr>
          </w:p>
        </w:tc>
        <w:tc>
          <w:tcPr>
            <w:tcW w:w="2240" w:type="dxa"/>
            <w:vAlign w:val="bottom"/>
            <w:gridSpan w:val="7"/>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Borders>
              <w:bottom w:val="single" w:sz="8" w:color="0000EE"/>
            </w:tcBorders>
          </w:tcPr>
          <w:p>
            <w:pPr>
              <w:spacing w:after="0"/>
              <w:rPr>
                <w:sz w:val="9"/>
                <w:szCs w:val="9"/>
                <w:color w:val="auto"/>
              </w:rPr>
            </w:pPr>
          </w:p>
        </w:tc>
        <w:tc>
          <w:tcPr>
            <w:tcW w:w="2620" w:type="dxa"/>
            <w:vAlign w:val="bottom"/>
            <w:tcBorders>
              <w:bottom w:val="single" w:sz="8" w:color="0000EE"/>
            </w:tcBorders>
            <w:gridSpan w:val="34"/>
            <w:shd w:val="clear" w:color="auto" w:fill="F0FFFF"/>
          </w:tcPr>
          <w:p>
            <w:pPr>
              <w:spacing w:after="0" w:line="88" w:lineRule="exact"/>
              <w:rPr>
                <w:sz w:val="20"/>
                <w:szCs w:val="20"/>
                <w:color w:val="auto"/>
              </w:rPr>
            </w:pPr>
            <w:r>
              <w:rPr>
                <w:rFonts w:ascii="Times New Roman" w:cs="Times New Roman" w:eastAsia="Times New Roman" w:hAnsi="Times New Roman"/>
                <w:sz w:val="10"/>
                <w:szCs w:val="10"/>
                <w:color w:val="0000EE"/>
              </w:rPr>
              <w:t>BENEFITS AVAILABLE UNDER THE CONTRACT</w:t>
            </w:r>
          </w:p>
        </w:tc>
        <w:tc>
          <w:tcPr>
            <w:tcW w:w="2240" w:type="dxa"/>
            <w:vAlign w:val="bottom"/>
            <w:tcBorders>
              <w:bottom w:val="single" w:sz="8" w:color="F0FFFF"/>
            </w:tcBorders>
            <w:gridSpan w:val="7"/>
            <w:shd w:val="clear" w:color="auto" w:fill="F0FFFF"/>
          </w:tcPr>
          <w:p>
            <w:pPr>
              <w:spacing w:after="0"/>
              <w:rPr>
                <w:sz w:val="9"/>
                <w:szCs w:val="9"/>
                <w:color w:val="auto"/>
              </w:rPr>
            </w:pPr>
          </w:p>
        </w:tc>
        <w:tc>
          <w:tcPr>
            <w:tcW w:w="640" w:type="dxa"/>
            <w:vAlign w:val="bottom"/>
            <w:tcBorders>
              <w:bottom w:val="single" w:sz="8" w:color="F0FFFF"/>
            </w:tcBorders>
            <w:shd w:val="clear" w:color="auto" w:fill="F0FFFF"/>
          </w:tcPr>
          <w:p>
            <w:pPr>
              <w:jc w:val="right"/>
              <w:spacing w:after="0" w:line="88" w:lineRule="exact"/>
              <w:rPr>
                <w:sz w:val="20"/>
                <w:szCs w:val="20"/>
                <w:color w:val="auto"/>
              </w:rPr>
            </w:pPr>
            <w:r>
              <w:rPr>
                <w:rFonts w:ascii="Times New Roman" w:cs="Times New Roman" w:eastAsia="Times New Roman" w:hAnsi="Times New Roman"/>
                <w:sz w:val="10"/>
                <w:szCs w:val="10"/>
                <w:color w:val="auto"/>
              </w:rPr>
              <w:t>53</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116205</wp:posOffset>
            </wp:positionV>
            <wp:extent cx="455739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5739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359"/>
          </w:cols>
          <w:pgMar w:left="1100" w:top="53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8"/>
        </w:trPr>
        <w:tc>
          <w:tcPr>
            <w:tcW w:w="5600" w:type="dxa"/>
            <w:vAlign w:val="bottom"/>
            <w:gridSpan w:val="47"/>
          </w:tcPr>
          <w:p>
            <w:pPr>
              <w:spacing w:after="0"/>
              <w:rPr>
                <w:sz w:val="20"/>
                <w:szCs w:val="20"/>
                <w:color w:val="auto"/>
              </w:rPr>
            </w:pPr>
            <w:r>
              <w:rPr>
                <w:rFonts w:ascii="Times New Roman" w:cs="Times New Roman" w:eastAsia="Times New Roman" w:hAnsi="Times New Roman"/>
                <w:sz w:val="12"/>
                <w:szCs w:val="12"/>
                <w:color w:val="0000EE"/>
              </w:rPr>
              <w:t>DEATH BENEFIT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5580" w:type="dxa"/>
            <w:vAlign w:val="bottom"/>
            <w:gridSpan w:val="46"/>
            <w:shd w:val="clear" w:color="auto" w:fill="F0FFFF"/>
          </w:tcPr>
          <w:p>
            <w:pPr>
              <w:ind w:left="220"/>
              <w:spacing w:after="0" w:line="106" w:lineRule="exact"/>
              <w:rPr>
                <w:sz w:val="20"/>
                <w:szCs w:val="20"/>
                <w:color w:val="auto"/>
              </w:rPr>
            </w:pPr>
            <w:r>
              <w:rPr>
                <w:rFonts w:ascii="Times New Roman" w:cs="Times New Roman" w:eastAsia="Times New Roman" w:hAnsi="Times New Roman"/>
                <w:sz w:val="12"/>
                <w:szCs w:val="12"/>
                <w:color w:val="0000EE"/>
              </w:rPr>
              <w:t>Standard Death Benefit</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ind w:left="220"/>
              <w:spacing w:after="0" w:line="88" w:lineRule="exact"/>
              <w:rPr>
                <w:sz w:val="20"/>
                <w:szCs w:val="20"/>
                <w:color w:val="auto"/>
              </w:rPr>
            </w:pPr>
            <w:r>
              <w:rPr>
                <w:rFonts w:ascii="Times New Roman" w:cs="Times New Roman" w:eastAsia="Times New Roman" w:hAnsi="Times New Roman"/>
                <w:sz w:val="10"/>
                <w:szCs w:val="10"/>
                <w:color w:val="0000EE"/>
              </w:rPr>
              <w:t>General Death Benefit Provisions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ind w:left="220"/>
              <w:spacing w:after="0" w:line="108" w:lineRule="exact"/>
              <w:rPr>
                <w:sz w:val="20"/>
                <w:szCs w:val="20"/>
                <w:color w:val="auto"/>
              </w:rPr>
            </w:pPr>
            <w:r>
              <w:rPr>
                <w:rFonts w:ascii="Times New Roman" w:cs="Times New Roman" w:eastAsia="Times New Roman" w:hAnsi="Times New Roman"/>
                <w:sz w:val="12"/>
                <w:szCs w:val="12"/>
                <w:color w:val="0000EE"/>
              </w:rPr>
              <w:t>Controlled Payout</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ind w:left="220"/>
              <w:spacing w:after="0" w:line="88" w:lineRule="exact"/>
              <w:rPr>
                <w:sz w:val="20"/>
                <w:szCs w:val="20"/>
                <w:color w:val="auto"/>
              </w:rPr>
            </w:pPr>
            <w:r>
              <w:rPr>
                <w:rFonts w:ascii="Times New Roman" w:cs="Times New Roman" w:eastAsia="Times New Roman" w:hAnsi="Times New Roman"/>
                <w:sz w:val="10"/>
                <w:szCs w:val="10"/>
                <w:color w:val="0000EE"/>
              </w:rPr>
              <w:t>Death of Owner During the Accumulation Period</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220" w:type="dxa"/>
            <w:vAlign w:val="bottom"/>
            <w:shd w:val="clear" w:color="auto" w:fill="F0FFFF"/>
          </w:tcPr>
          <w:p>
            <w:pPr>
              <w:spacing w:after="0"/>
              <w:rPr>
                <w:sz w:val="9"/>
                <w:szCs w:val="9"/>
                <w:color w:val="auto"/>
              </w:rPr>
            </w:pPr>
          </w:p>
        </w:tc>
        <w:tc>
          <w:tcPr>
            <w:tcW w:w="5360" w:type="dxa"/>
            <w:vAlign w:val="bottom"/>
            <w:gridSpan w:val="45"/>
            <w:shd w:val="clear" w:color="auto" w:fill="F0FFFF"/>
          </w:tcPr>
          <w:p>
            <w:pPr>
              <w:ind w:left="240"/>
              <w:spacing w:after="0" w:line="108" w:lineRule="exact"/>
              <w:rPr>
                <w:sz w:val="20"/>
                <w:szCs w:val="20"/>
                <w:color w:val="auto"/>
              </w:rPr>
            </w:pPr>
            <w:r>
              <w:rPr>
                <w:rFonts w:ascii="Times New Roman" w:cs="Times New Roman" w:eastAsia="Times New Roman" w:hAnsi="Times New Roman"/>
                <w:sz w:val="12"/>
                <w:szCs w:val="12"/>
                <w:color w:val="0000EE"/>
              </w:rPr>
              <w:t>Death of Annuitant During the Accumulation Period</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6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80" w:type="dxa"/>
            <w:vAlign w:val="bottom"/>
            <w:tcBorders>
              <w:top w:val="single" w:sz="8" w:color="0000EE"/>
              <w:bottom w:val="single" w:sz="8" w:color="F0FFFF"/>
            </w:tcBorders>
            <w:shd w:val="clear" w:color="auto" w:fill="F0FFFF"/>
          </w:tcPr>
          <w:p>
            <w:pPr>
              <w:spacing w:after="0"/>
              <w:rPr>
                <w:sz w:val="2"/>
                <w:szCs w:val="2"/>
                <w:color w:val="auto"/>
              </w:rPr>
            </w:pPr>
          </w:p>
        </w:tc>
        <w:tc>
          <w:tcPr>
            <w:tcW w:w="16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ind w:left="220"/>
              <w:spacing w:after="0" w:line="88" w:lineRule="exact"/>
              <w:rPr>
                <w:sz w:val="20"/>
                <w:szCs w:val="20"/>
                <w:color w:val="auto"/>
              </w:rPr>
            </w:pPr>
            <w:r>
              <w:rPr>
                <w:rFonts w:ascii="Times New Roman" w:cs="Times New Roman" w:eastAsia="Times New Roman" w:hAnsi="Times New Roman"/>
                <w:sz w:val="10"/>
                <w:szCs w:val="10"/>
                <w:color w:val="0000EE"/>
              </w:rPr>
              <w:t>Death Benefit Options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ANNUITY PAYMENTS (THE ANNUITY PERIOD)</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6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ind w:left="220"/>
              <w:spacing w:after="0" w:line="88" w:lineRule="exact"/>
              <w:rPr>
                <w:sz w:val="20"/>
                <w:szCs w:val="20"/>
                <w:color w:val="auto"/>
              </w:rPr>
            </w:pPr>
            <w:r>
              <w:rPr>
                <w:rFonts w:ascii="Times New Roman" w:cs="Times New Roman" w:eastAsia="Times New Roman" w:hAnsi="Times New Roman"/>
                <w:sz w:val="10"/>
                <w:szCs w:val="10"/>
                <w:color w:val="0000EE"/>
              </w:rPr>
              <w:t>Annuity Date</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ind w:left="220"/>
              <w:spacing w:after="0" w:line="108" w:lineRule="exact"/>
              <w:rPr>
                <w:sz w:val="20"/>
                <w:szCs w:val="20"/>
                <w:color w:val="auto"/>
              </w:rPr>
            </w:pPr>
            <w:r>
              <w:rPr>
                <w:rFonts w:ascii="Times New Roman" w:cs="Times New Roman" w:eastAsia="Times New Roman" w:hAnsi="Times New Roman"/>
                <w:sz w:val="12"/>
                <w:szCs w:val="12"/>
                <w:color w:val="0000EE"/>
              </w:rPr>
              <w:t>Maturity Date</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ind w:left="220"/>
              <w:spacing w:after="0" w:line="88" w:lineRule="exact"/>
              <w:rPr>
                <w:sz w:val="20"/>
                <w:szCs w:val="20"/>
                <w:color w:val="auto"/>
              </w:rPr>
            </w:pPr>
            <w:r>
              <w:rPr>
                <w:rFonts w:ascii="Times New Roman" w:cs="Times New Roman" w:eastAsia="Times New Roman" w:hAnsi="Times New Roman"/>
                <w:sz w:val="10"/>
                <w:szCs w:val="10"/>
                <w:color w:val="0000EE"/>
              </w:rPr>
              <w:t>Annuity Payments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ind w:left="220"/>
              <w:spacing w:after="0" w:line="108" w:lineRule="exact"/>
              <w:rPr>
                <w:sz w:val="20"/>
                <w:szCs w:val="20"/>
                <w:color w:val="auto"/>
              </w:rPr>
            </w:pPr>
            <w:r>
              <w:rPr>
                <w:rFonts w:ascii="Times New Roman" w:cs="Times New Roman" w:eastAsia="Times New Roman" w:hAnsi="Times New Roman"/>
                <w:sz w:val="12"/>
                <w:szCs w:val="12"/>
                <w:color w:val="0000EE"/>
              </w:rPr>
              <w:t>Annuity Options</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ind w:left="220"/>
              <w:spacing w:after="0" w:line="88" w:lineRule="exact"/>
              <w:rPr>
                <w:sz w:val="20"/>
                <w:szCs w:val="20"/>
                <w:color w:val="auto"/>
              </w:rPr>
            </w:pPr>
            <w:r>
              <w:rPr>
                <w:rFonts w:ascii="Times New Roman" w:cs="Times New Roman" w:eastAsia="Times New Roman" w:hAnsi="Times New Roman"/>
                <w:sz w:val="10"/>
                <w:szCs w:val="10"/>
                <w:color w:val="0000EE"/>
              </w:rPr>
              <w:t>Death of Owner During the Annuity Period</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FEDERAL TAX CONSIDERATIONS</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spacing w:after="0" w:line="88" w:lineRule="exact"/>
              <w:rPr>
                <w:sz w:val="20"/>
                <w:szCs w:val="20"/>
                <w:color w:val="auto"/>
              </w:rPr>
            </w:pPr>
            <w:r>
              <w:rPr>
                <w:rFonts w:ascii="Times New Roman" w:cs="Times New Roman" w:eastAsia="Times New Roman" w:hAnsi="Times New Roman"/>
                <w:sz w:val="10"/>
                <w:szCs w:val="10"/>
                <w:color w:val="0000EE"/>
              </w:rPr>
              <w:t>YOUR RIGHT TO CANCEL (FREE LOOK)</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OWNERSHIP PROVISIONS</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ind w:left="220"/>
              <w:spacing w:after="0" w:line="88" w:lineRule="exact"/>
              <w:rPr>
                <w:sz w:val="20"/>
                <w:szCs w:val="20"/>
                <w:color w:val="auto"/>
              </w:rPr>
            </w:pPr>
            <w:r>
              <w:rPr>
                <w:rFonts w:ascii="Times New Roman" w:cs="Times New Roman" w:eastAsia="Times New Roman" w:hAnsi="Times New Roman"/>
                <w:sz w:val="10"/>
                <w:szCs w:val="10"/>
                <w:color w:val="0000EE"/>
              </w:rPr>
              <w:t>Owner</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ind w:left="220"/>
              <w:spacing w:after="0" w:line="108" w:lineRule="exact"/>
              <w:rPr>
                <w:sz w:val="20"/>
                <w:szCs w:val="20"/>
                <w:color w:val="auto"/>
              </w:rPr>
            </w:pPr>
            <w:r>
              <w:rPr>
                <w:rFonts w:ascii="Times New Roman" w:cs="Times New Roman" w:eastAsia="Times New Roman" w:hAnsi="Times New Roman"/>
                <w:sz w:val="12"/>
                <w:szCs w:val="12"/>
                <w:color w:val="0000EE"/>
              </w:rPr>
              <w:t>Joint Owner</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ind w:left="220"/>
              <w:spacing w:after="0" w:line="88" w:lineRule="exact"/>
              <w:rPr>
                <w:sz w:val="20"/>
                <w:szCs w:val="20"/>
                <w:color w:val="auto"/>
              </w:rPr>
            </w:pPr>
            <w:r>
              <w:rPr>
                <w:rFonts w:ascii="Times New Roman" w:cs="Times New Roman" w:eastAsia="Times New Roman" w:hAnsi="Times New Roman"/>
                <w:sz w:val="10"/>
                <w:szCs w:val="10"/>
                <w:color w:val="0000EE"/>
              </w:rPr>
              <w:t>Annuitant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ind w:left="220"/>
              <w:spacing w:after="0" w:line="108" w:lineRule="exact"/>
              <w:rPr>
                <w:sz w:val="20"/>
                <w:szCs w:val="20"/>
                <w:color w:val="auto"/>
              </w:rPr>
            </w:pPr>
            <w:r>
              <w:rPr>
                <w:rFonts w:ascii="Times New Roman" w:cs="Times New Roman" w:eastAsia="Times New Roman" w:hAnsi="Times New Roman"/>
                <w:sz w:val="12"/>
                <w:szCs w:val="12"/>
                <w:color w:val="0000EE"/>
              </w:rPr>
              <w:t>Beneficiary</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ind w:left="220"/>
              <w:spacing w:after="0" w:line="88" w:lineRule="exact"/>
              <w:rPr>
                <w:sz w:val="20"/>
                <w:szCs w:val="20"/>
                <w:color w:val="auto"/>
              </w:rPr>
            </w:pPr>
            <w:r>
              <w:rPr>
                <w:rFonts w:ascii="Times New Roman" w:cs="Times New Roman" w:eastAsia="Times New Roman" w:hAnsi="Times New Roman"/>
                <w:sz w:val="10"/>
                <w:szCs w:val="10"/>
                <w:color w:val="0000EE"/>
              </w:rPr>
              <w:t>Assignment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ABANDONED PROPERTY REQUIREMENTS</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6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spacing w:after="0" w:line="88" w:lineRule="exact"/>
              <w:rPr>
                <w:sz w:val="20"/>
                <w:szCs w:val="20"/>
                <w:color w:val="auto"/>
              </w:rPr>
            </w:pPr>
            <w:r>
              <w:rPr>
                <w:rFonts w:ascii="Times New Roman" w:cs="Times New Roman" w:eastAsia="Times New Roman" w:hAnsi="Times New Roman"/>
                <w:sz w:val="10"/>
                <w:szCs w:val="10"/>
                <w:color w:val="0000EE"/>
              </w:rPr>
              <w:t>SUSPENSION OF PAYMENTS OR TRANSFERS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WHEN WE CAN CANCEL YOUR CONTRACT</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6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spacing w:after="0" w:line="88" w:lineRule="exact"/>
              <w:rPr>
                <w:sz w:val="20"/>
                <w:szCs w:val="20"/>
                <w:color w:val="auto"/>
              </w:rPr>
            </w:pPr>
            <w:r>
              <w:rPr>
                <w:rFonts w:ascii="Times New Roman" w:cs="Times New Roman" w:eastAsia="Times New Roman" w:hAnsi="Times New Roman"/>
                <w:sz w:val="10"/>
                <w:szCs w:val="10"/>
                <w:color w:val="0000EE"/>
              </w:rPr>
              <w:t>THE INSURANCE COMPANY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ind w:left="220"/>
              <w:spacing w:after="0" w:line="108" w:lineRule="exact"/>
              <w:rPr>
                <w:sz w:val="20"/>
                <w:szCs w:val="20"/>
                <w:color w:val="auto"/>
              </w:rPr>
            </w:pPr>
            <w:r>
              <w:rPr>
                <w:rFonts w:ascii="Times New Roman" w:cs="Times New Roman" w:eastAsia="Times New Roman" w:hAnsi="Times New Roman"/>
                <w:sz w:val="12"/>
                <w:szCs w:val="12"/>
                <w:color w:val="0000EE"/>
              </w:rPr>
              <w:t>Brighthouse Life Insurance Company of NY</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6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spacing w:after="0" w:line="88" w:lineRule="exact"/>
              <w:rPr>
                <w:sz w:val="20"/>
                <w:szCs w:val="20"/>
                <w:color w:val="auto"/>
              </w:rPr>
            </w:pPr>
            <w:r>
              <w:rPr>
                <w:rFonts w:ascii="Times New Roman" w:cs="Times New Roman" w:eastAsia="Times New Roman" w:hAnsi="Times New Roman"/>
                <w:sz w:val="10"/>
                <w:szCs w:val="10"/>
                <w:color w:val="0000EE"/>
              </w:rPr>
              <w:t>THE SEPARATE ACCOUNT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INVESTMENTS BY BLNY</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spacing w:after="0" w:line="88" w:lineRule="exact"/>
              <w:rPr>
                <w:sz w:val="20"/>
                <w:szCs w:val="20"/>
                <w:color w:val="auto"/>
              </w:rPr>
            </w:pPr>
            <w:r>
              <w:rPr>
                <w:rFonts w:ascii="Times New Roman" w:cs="Times New Roman" w:eastAsia="Times New Roman" w:hAnsi="Times New Roman"/>
                <w:sz w:val="10"/>
                <w:szCs w:val="10"/>
                <w:color w:val="0000EE"/>
              </w:rPr>
              <w:t>ANNUAL STATEMENT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DISTRIBUTION OF THE CONTRACTS</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spacing w:after="0" w:line="88" w:lineRule="exact"/>
              <w:rPr>
                <w:sz w:val="20"/>
                <w:szCs w:val="20"/>
                <w:color w:val="auto"/>
              </w:rPr>
            </w:pPr>
            <w:r>
              <w:rPr>
                <w:rFonts w:ascii="Times New Roman" w:cs="Times New Roman" w:eastAsia="Times New Roman" w:hAnsi="Times New Roman"/>
                <w:sz w:val="10"/>
                <w:szCs w:val="10"/>
                <w:color w:val="0000EE"/>
              </w:rPr>
              <w:t>THE FIXED ACCOUNT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THE HOLDING ACCOUNT</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spacing w:after="0" w:line="88" w:lineRule="exact"/>
              <w:rPr>
                <w:sz w:val="20"/>
                <w:szCs w:val="20"/>
                <w:color w:val="auto"/>
              </w:rPr>
            </w:pPr>
            <w:r>
              <w:rPr>
                <w:rFonts w:ascii="Times New Roman" w:cs="Times New Roman" w:eastAsia="Times New Roman" w:hAnsi="Times New Roman"/>
                <w:sz w:val="10"/>
                <w:szCs w:val="10"/>
                <w:color w:val="0000EE"/>
              </w:rPr>
              <w:t>RESTRICTIONS ON FINANCIAL TRANSACTIONS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REQUESTS AND ELECTIONS</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spacing w:after="0" w:line="88" w:lineRule="exact"/>
              <w:rPr>
                <w:sz w:val="20"/>
                <w:szCs w:val="20"/>
                <w:color w:val="auto"/>
              </w:rPr>
            </w:pPr>
            <w:r>
              <w:rPr>
                <w:rFonts w:ascii="Times New Roman" w:cs="Times New Roman" w:eastAsia="Times New Roman" w:hAnsi="Times New Roman"/>
                <w:sz w:val="10"/>
                <w:szCs w:val="10"/>
                <w:color w:val="0000EE"/>
              </w:rPr>
              <w:t>CONFIRMING TRANSACTIONS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LEGAL PROCEEDINGS</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spacing w:after="0" w:line="88" w:lineRule="exact"/>
              <w:rPr>
                <w:sz w:val="20"/>
                <w:szCs w:val="20"/>
                <w:color w:val="auto"/>
              </w:rPr>
            </w:pPr>
            <w:r>
              <w:rPr>
                <w:rFonts w:ascii="Times New Roman" w:cs="Times New Roman" w:eastAsia="Times New Roman" w:hAnsi="Times New Roman"/>
                <w:sz w:val="10"/>
                <w:szCs w:val="10"/>
                <w:color w:val="0000EE"/>
              </w:rPr>
              <w:t>EXPERTS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INDEPENDENT REGISTERED PUBLIC ACCOUNTING FIRM</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6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80" w:type="dxa"/>
            <w:vAlign w:val="bottom"/>
            <w:tcBorders>
              <w:top w:val="single" w:sz="8" w:color="0000EE"/>
              <w:bottom w:val="single" w:sz="8" w:color="F0FFFF"/>
            </w:tcBorders>
            <w:shd w:val="clear" w:color="auto" w:fill="F0FFFF"/>
          </w:tcPr>
          <w:p>
            <w:pPr>
              <w:spacing w:after="0"/>
              <w:rPr>
                <w:sz w:val="2"/>
                <w:szCs w:val="2"/>
                <w:color w:val="auto"/>
              </w:rPr>
            </w:pPr>
          </w:p>
        </w:tc>
        <w:tc>
          <w:tcPr>
            <w:tcW w:w="16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spacing w:after="0" w:line="88" w:lineRule="exact"/>
              <w:rPr>
                <w:sz w:val="20"/>
                <w:szCs w:val="20"/>
                <w:color w:val="auto"/>
              </w:rPr>
            </w:pPr>
            <w:r>
              <w:rPr>
                <w:rFonts w:ascii="Times New Roman" w:cs="Times New Roman" w:eastAsia="Times New Roman" w:hAnsi="Times New Roman"/>
                <w:sz w:val="10"/>
                <w:szCs w:val="10"/>
                <w:color w:val="0000EE"/>
              </w:rPr>
              <w:t>ELECTRONIC DELIVERY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AMENDMENT OF THE CONTRACT</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spacing w:after="0" w:line="88" w:lineRule="exact"/>
              <w:rPr>
                <w:sz w:val="20"/>
                <w:szCs w:val="20"/>
                <w:color w:val="auto"/>
              </w:rPr>
            </w:pPr>
            <w:r>
              <w:rPr>
                <w:rFonts w:ascii="Times New Roman" w:cs="Times New Roman" w:eastAsia="Times New Roman" w:hAnsi="Times New Roman"/>
                <w:sz w:val="10"/>
                <w:szCs w:val="10"/>
                <w:color w:val="0000EE"/>
              </w:rPr>
              <w:t>MISSTATEMENT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STATUS PURSUANT TO SECURITIES EXCHANGE ACT OF 1934</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6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80" w:type="dxa"/>
            <w:vAlign w:val="bottom"/>
            <w:tcBorders>
              <w:top w:val="single" w:sz="8" w:color="0000EE"/>
              <w:bottom w:val="single" w:sz="8" w:color="F0FFFF"/>
            </w:tcBorders>
            <w:shd w:val="clear" w:color="auto" w:fill="F0FFFF"/>
          </w:tcPr>
          <w:p>
            <w:pPr>
              <w:spacing w:after="0"/>
              <w:rPr>
                <w:sz w:val="2"/>
                <w:szCs w:val="2"/>
                <w:color w:val="auto"/>
              </w:rPr>
            </w:pPr>
          </w:p>
        </w:tc>
        <w:tc>
          <w:tcPr>
            <w:tcW w:w="16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spacing w:after="0" w:line="88" w:lineRule="exact"/>
              <w:rPr>
                <w:sz w:val="20"/>
                <w:szCs w:val="20"/>
                <w:color w:val="auto"/>
              </w:rPr>
            </w:pPr>
            <w:r>
              <w:rPr>
                <w:rFonts w:ascii="Times New Roman" w:cs="Times New Roman" w:eastAsia="Times New Roman" w:hAnsi="Times New Roman"/>
                <w:sz w:val="10"/>
                <w:szCs w:val="10"/>
                <w:color w:val="0000EE"/>
              </w:rPr>
              <w:t>DISCLOSURE OF COMMISSION POSITION ON INDEMNIFICATION FOR SECURITIES ACT LIABILITIES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1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Appendix A — Investment Options Available Under The Contract</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A-1</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6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80" w:type="dxa"/>
            <w:vAlign w:val="bottom"/>
            <w:tcBorders>
              <w:top w:val="single" w:sz="8" w:color="0000EE"/>
              <w:bottom w:val="single" w:sz="8" w:color="F0FFFF"/>
            </w:tcBorders>
            <w:shd w:val="clear" w:color="auto" w:fill="F0FFFF"/>
          </w:tcPr>
          <w:p>
            <w:pPr>
              <w:spacing w:after="0"/>
              <w:rPr>
                <w:sz w:val="2"/>
                <w:szCs w:val="2"/>
                <w:color w:val="auto"/>
              </w:rPr>
            </w:pPr>
          </w:p>
        </w:tc>
        <w:tc>
          <w:tcPr>
            <w:tcW w:w="16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spacing w:after="0" w:line="88" w:lineRule="exact"/>
              <w:rPr>
                <w:sz w:val="20"/>
                <w:szCs w:val="20"/>
                <w:color w:val="auto"/>
              </w:rPr>
            </w:pPr>
            <w:r>
              <w:rPr>
                <w:rFonts w:ascii="Times New Roman" w:cs="Times New Roman" w:eastAsia="Times New Roman" w:hAnsi="Times New Roman"/>
                <w:sz w:val="10"/>
                <w:szCs w:val="10"/>
                <w:color w:val="0000EE"/>
              </w:rPr>
              <w:t>Appendix B — Index Publishers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B-1</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Appendix C — Index Substitution Investment Amount Example</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C-1</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60" w:type="dxa"/>
            <w:vAlign w:val="bottom"/>
            <w:tcBorders>
              <w:top w:val="single" w:sz="8" w:color="0000EE"/>
              <w:bottom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180" w:type="dxa"/>
            <w:vAlign w:val="bottom"/>
            <w:tcBorders>
              <w:top w:val="single" w:sz="8" w:color="0000EE"/>
              <w:bottom w:val="single" w:sz="8" w:color="F0FFFF"/>
            </w:tcBorders>
            <w:shd w:val="clear" w:color="auto" w:fill="F0FFFF"/>
          </w:tcPr>
          <w:p>
            <w:pPr>
              <w:spacing w:after="0"/>
              <w:rPr>
                <w:sz w:val="2"/>
                <w:szCs w:val="2"/>
                <w:color w:val="auto"/>
              </w:rPr>
            </w:pPr>
          </w:p>
        </w:tc>
        <w:tc>
          <w:tcPr>
            <w:tcW w:w="16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580" w:type="dxa"/>
            <w:vAlign w:val="bottom"/>
            <w:gridSpan w:val="46"/>
          </w:tcPr>
          <w:p>
            <w:pPr>
              <w:spacing w:after="0" w:line="88" w:lineRule="exact"/>
              <w:rPr>
                <w:sz w:val="20"/>
                <w:szCs w:val="20"/>
                <w:color w:val="auto"/>
              </w:rPr>
            </w:pPr>
            <w:r>
              <w:rPr>
                <w:rFonts w:ascii="Times New Roman" w:cs="Times New Roman" w:eastAsia="Times New Roman" w:hAnsi="Times New Roman"/>
                <w:sz w:val="10"/>
                <w:szCs w:val="10"/>
                <w:color w:val="0000EE"/>
              </w:rPr>
              <w:t>Appendix D — Return of Premium Death Benefit Example</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D-1</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108" w:lineRule="exact"/>
              <w:rPr>
                <w:sz w:val="20"/>
                <w:szCs w:val="20"/>
                <w:color w:val="auto"/>
              </w:rPr>
            </w:pPr>
            <w:r>
              <w:rPr>
                <w:rFonts w:ascii="Times New Roman" w:cs="Times New Roman" w:eastAsia="Times New Roman" w:hAnsi="Times New Roman"/>
                <w:sz w:val="12"/>
                <w:szCs w:val="12"/>
                <w:color w:val="0000EE"/>
              </w:rPr>
              <w:t>Appendix E — The Fixed Account</w:t>
            </w:r>
          </w:p>
        </w:tc>
        <w:tc>
          <w:tcPr>
            <w:tcW w:w="240" w:type="dxa"/>
            <w:vAlign w:val="bottom"/>
            <w:vMerge w:val="restart"/>
            <w:shd w:val="clear" w:color="auto" w:fill="F0FFFF"/>
          </w:tcPr>
          <w:p>
            <w:pPr>
              <w:jc w:val="right"/>
              <w:spacing w:after="0"/>
              <w:rPr>
                <w:sz w:val="20"/>
                <w:szCs w:val="20"/>
                <w:color w:val="auto"/>
              </w:rPr>
            </w:pPr>
            <w:r>
              <w:rPr>
                <w:rFonts w:ascii="Times New Roman" w:cs="Times New Roman" w:eastAsia="Times New Roman" w:hAnsi="Times New Roman"/>
                <w:sz w:val="12"/>
                <w:szCs w:val="12"/>
                <w:color w:val="auto"/>
              </w:rPr>
              <w:t>E-1</w:t>
            </w: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220" w:type="dxa"/>
            <w:vAlign w:val="bottom"/>
            <w:tcBorders>
              <w:top w:val="single" w:sz="8" w:color="0000EE"/>
              <w:bottom w:val="single" w:sz="8" w:color="F0FFFF"/>
            </w:tcBorders>
            <w:shd w:val="clear" w:color="auto" w:fill="F0FFFF"/>
          </w:tcPr>
          <w:p>
            <w:pPr>
              <w:spacing w:after="0"/>
              <w:rPr>
                <w:sz w:val="2"/>
                <w:szCs w:val="2"/>
                <w:color w:val="auto"/>
              </w:rPr>
            </w:pPr>
          </w:p>
        </w:tc>
        <w:tc>
          <w:tcPr>
            <w:tcW w:w="240" w:type="dxa"/>
            <w:vAlign w:val="bottom"/>
            <w:tcBorders>
              <w:top w:val="single" w:sz="8" w:color="0000EE"/>
              <w:bottom w:val="single" w:sz="8" w:color="F0FFFF"/>
            </w:tcBorders>
            <w:shd w:val="clear" w:color="auto" w:fill="F0FFFF"/>
          </w:tcPr>
          <w:p>
            <w:pPr>
              <w:spacing w:after="0"/>
              <w:rPr>
                <w:sz w:val="2"/>
                <w:szCs w:val="2"/>
                <w:color w:val="auto"/>
              </w:rPr>
            </w:pPr>
          </w:p>
        </w:tc>
        <w:tc>
          <w:tcPr>
            <w:tcW w:w="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80" w:type="dxa"/>
            <w:vAlign w:val="bottom"/>
            <w:tcBorders>
              <w:top w:val="single" w:sz="8" w:color="0000EE"/>
              <w:bottom w:val="single" w:sz="8" w:color="F0FFFF"/>
              <w:right w:val="single" w:sz="8" w:color="F0FFFF"/>
            </w:tcBorders>
            <w:shd w:val="clear" w:color="auto" w:fill="F0FFFF"/>
          </w:tcPr>
          <w:p>
            <w:pPr>
              <w:spacing w:after="0"/>
              <w:rPr>
                <w:sz w:val="2"/>
                <w:szCs w:val="2"/>
                <w:color w:val="auto"/>
              </w:rPr>
            </w:pPr>
          </w:p>
        </w:tc>
        <w:tc>
          <w:tcPr>
            <w:tcW w:w="14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0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6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120" w:type="dxa"/>
            <w:vAlign w:val="bottom"/>
            <w:tcBorders>
              <w:top w:val="single" w:sz="8" w:color="0000EE"/>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14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20" w:type="dxa"/>
            <w:vAlign w:val="bottom"/>
            <w:tcBorders>
              <w:top w:val="single" w:sz="8" w:color="F0FFFF"/>
              <w:bottom w:val="single" w:sz="8" w:color="F0FFFF"/>
            </w:tcBorders>
            <w:shd w:val="clear" w:color="auto" w:fill="F0FFFF"/>
          </w:tcPr>
          <w:p>
            <w:pPr>
              <w:spacing w:after="0"/>
              <w:rPr>
                <w:sz w:val="2"/>
                <w:szCs w:val="2"/>
                <w:color w:val="auto"/>
              </w:rPr>
            </w:pPr>
          </w:p>
        </w:tc>
        <w:tc>
          <w:tcPr>
            <w:tcW w:w="20" w:type="dxa"/>
            <w:vAlign w:val="bottom"/>
            <w:tcBorders>
              <w:top w:val="single" w:sz="8" w:color="F0FFFF"/>
              <w:bottom w:val="single" w:sz="8" w:color="F0FFFF"/>
            </w:tcBorders>
            <w:shd w:val="clear" w:color="auto" w:fill="F0FFFF"/>
          </w:tcPr>
          <w:p>
            <w:pPr>
              <w:spacing w:after="0"/>
              <w:rPr>
                <w:sz w:val="2"/>
                <w:szCs w:val="2"/>
                <w:color w:val="auto"/>
              </w:rPr>
            </w:pPr>
          </w:p>
        </w:tc>
        <w:tc>
          <w:tcPr>
            <w:tcW w:w="60" w:type="dxa"/>
            <w:vAlign w:val="bottom"/>
            <w:tcBorders>
              <w:top w:val="single" w:sz="8" w:color="F0FFFF"/>
              <w:bottom w:val="single" w:sz="8" w:color="F0FFFF"/>
            </w:tcBorders>
            <w:shd w:val="clear" w:color="auto" w:fill="F0FFFF"/>
          </w:tcPr>
          <w:p>
            <w:pPr>
              <w:spacing w:after="0"/>
              <w:rPr>
                <w:sz w:val="2"/>
                <w:szCs w:val="2"/>
                <w:color w:val="auto"/>
              </w:rPr>
            </w:pPr>
          </w:p>
        </w:tc>
        <w:tc>
          <w:tcPr>
            <w:tcW w:w="180" w:type="dxa"/>
            <w:vAlign w:val="bottom"/>
            <w:tcBorders>
              <w:top w:val="single" w:sz="8" w:color="F0FFFF"/>
              <w:bottom w:val="single" w:sz="8" w:color="F0FFFF"/>
            </w:tcBorders>
            <w:shd w:val="clear" w:color="auto" w:fill="F0FFFF"/>
          </w:tcPr>
          <w:p>
            <w:pPr>
              <w:spacing w:after="0"/>
              <w:rPr>
                <w:sz w:val="2"/>
                <w:szCs w:val="2"/>
                <w:color w:val="auto"/>
              </w:rPr>
            </w:pPr>
          </w:p>
        </w:tc>
        <w:tc>
          <w:tcPr>
            <w:tcW w:w="160" w:type="dxa"/>
            <w:vAlign w:val="bottom"/>
            <w:tcBorders>
              <w:top w:val="single" w:sz="8" w:color="F0FFFF"/>
              <w:bottom w:val="single" w:sz="8" w:color="F0FFFF"/>
            </w:tcBorders>
            <w:shd w:val="clear" w:color="auto" w:fill="F0FFFF"/>
          </w:tcPr>
          <w:p>
            <w:pPr>
              <w:spacing w:after="0"/>
              <w:rPr>
                <w:sz w:val="2"/>
                <w:szCs w:val="2"/>
                <w:color w:val="auto"/>
              </w:rPr>
            </w:pPr>
          </w:p>
        </w:tc>
        <w:tc>
          <w:tcPr>
            <w:tcW w:w="80" w:type="dxa"/>
            <w:vAlign w:val="bottom"/>
            <w:tcBorders>
              <w:top w:val="single" w:sz="8" w:color="F0FFFF"/>
              <w:bottom w:val="single" w:sz="8" w:color="F0FFFF"/>
            </w:tcBorders>
            <w:shd w:val="clear" w:color="auto" w:fill="F0FFFF"/>
          </w:tcPr>
          <w:p>
            <w:pPr>
              <w:spacing w:after="0"/>
              <w:rPr>
                <w:sz w:val="2"/>
                <w:szCs w:val="2"/>
                <w:color w:val="auto"/>
              </w:rPr>
            </w:pPr>
          </w:p>
        </w:tc>
        <w:tc>
          <w:tcPr>
            <w:tcW w:w="100" w:type="dxa"/>
            <w:vAlign w:val="bottom"/>
            <w:tcBorders>
              <w:top w:val="single" w:sz="8" w:color="F0FFFF"/>
              <w:bottom w:val="single" w:sz="8" w:color="F0FFFF"/>
            </w:tcBorders>
            <w:shd w:val="clear" w:color="auto" w:fill="F0FFFF"/>
          </w:tcPr>
          <w:p>
            <w:pPr>
              <w:spacing w:after="0"/>
              <w:rPr>
                <w:sz w:val="2"/>
                <w:szCs w:val="2"/>
                <w:color w:val="auto"/>
              </w:rPr>
            </w:pPr>
          </w:p>
        </w:tc>
        <w:tc>
          <w:tcPr>
            <w:tcW w:w="220" w:type="dxa"/>
            <w:vAlign w:val="bottom"/>
            <w:tcBorders>
              <w:top w:val="single" w:sz="8" w:color="F0FFFF"/>
              <w:bottom w:val="single" w:sz="8" w:color="F0FFFF"/>
            </w:tcBorders>
            <w:shd w:val="clear" w:color="auto" w:fill="F0FFFF"/>
          </w:tcPr>
          <w:p>
            <w:pPr>
              <w:spacing w:after="0"/>
              <w:rPr>
                <w:sz w:val="2"/>
                <w:szCs w:val="2"/>
                <w:color w:val="auto"/>
              </w:rPr>
            </w:pPr>
          </w:p>
        </w:tc>
        <w:tc>
          <w:tcPr>
            <w:tcW w:w="2140" w:type="dxa"/>
            <w:vAlign w:val="bottom"/>
            <w:tcBorders>
              <w:top w:val="single" w:sz="8" w:color="F0FFFF"/>
              <w:bottom w:val="single" w:sz="8" w:color="F0FFFF"/>
            </w:tcBorders>
            <w:shd w:val="clear" w:color="auto" w:fill="F0FFFF"/>
          </w:tcPr>
          <w:p>
            <w:pPr>
              <w:spacing w:after="0"/>
              <w:rPr>
                <w:sz w:val="2"/>
                <w:szCs w:val="2"/>
                <w:color w:val="auto"/>
              </w:rPr>
            </w:pPr>
          </w:p>
        </w:tc>
        <w:tc>
          <w:tcPr>
            <w:tcW w:w="40" w:type="dxa"/>
            <w:vAlign w:val="bottom"/>
            <w:tcBorders>
              <w:top w:val="single" w:sz="8" w:color="F0FFFF"/>
              <w:bottom w:val="single" w:sz="8" w:color="F0FFFF"/>
            </w:tcBorders>
            <w:shd w:val="clear" w:color="auto" w:fill="F0FFFF"/>
          </w:tcPr>
          <w:p>
            <w:pPr>
              <w:spacing w:after="0"/>
              <w:rPr>
                <w:sz w:val="2"/>
                <w:szCs w:val="2"/>
                <w:color w:val="auto"/>
              </w:rPr>
            </w:pPr>
          </w:p>
        </w:tc>
        <w:tc>
          <w:tcPr>
            <w:tcW w:w="240" w:type="dxa"/>
            <w:vAlign w:val="bottom"/>
            <w:tcBorders>
              <w:top w:val="single" w:sz="8" w:color="F0FFFF"/>
              <w:bottom w:val="single" w:sz="8" w:color="F0FFFF"/>
            </w:tcBorders>
            <w:vMerge w:val="continue"/>
            <w:shd w:val="clear" w:color="auto" w:fill="F0FFFF"/>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0000EE"/>
            </w:tcBorders>
          </w:tcPr>
          <w:p>
            <w:pPr>
              <w:spacing w:after="0"/>
              <w:rPr>
                <w:sz w:val="7"/>
                <w:szCs w:val="7"/>
                <w:color w:val="auto"/>
              </w:rPr>
            </w:pPr>
          </w:p>
        </w:tc>
        <w:tc>
          <w:tcPr>
            <w:tcW w:w="560" w:type="dxa"/>
            <w:vAlign w:val="bottom"/>
            <w:tcBorders>
              <w:bottom w:val="single" w:sz="8" w:color="0000EE"/>
            </w:tcBorders>
            <w:gridSpan w:val="4"/>
          </w:tcPr>
          <w:p>
            <w:pPr>
              <w:spacing w:after="0" w:line="88" w:lineRule="exact"/>
              <w:rPr>
                <w:sz w:val="20"/>
                <w:szCs w:val="20"/>
                <w:color w:val="auto"/>
              </w:rPr>
            </w:pPr>
            <w:r>
              <w:rPr>
                <w:rFonts w:ascii="Times New Roman" w:cs="Times New Roman" w:eastAsia="Times New Roman" w:hAnsi="Times New Roman"/>
                <w:sz w:val="10"/>
                <w:szCs w:val="10"/>
                <w:color w:val="0000EE"/>
              </w:rPr>
              <w:t>Appendix F</w:t>
            </w:r>
          </w:p>
        </w:tc>
        <w:tc>
          <w:tcPr>
            <w:tcW w:w="20" w:type="dxa"/>
            <w:vAlign w:val="bottom"/>
            <w:vMerge w:val="restart"/>
          </w:tcPr>
          <w:p>
            <w:pPr>
              <w:spacing w:after="0"/>
              <w:rPr>
                <w:sz w:val="7"/>
                <w:szCs w:val="7"/>
                <w:color w:val="auto"/>
              </w:rPr>
            </w:pPr>
          </w:p>
        </w:tc>
        <w:tc>
          <w:tcPr>
            <w:tcW w:w="1200" w:type="dxa"/>
            <w:vAlign w:val="bottom"/>
            <w:tcBorders>
              <w:bottom w:val="single" w:sz="8" w:color="0000EE"/>
            </w:tcBorders>
            <w:gridSpan w:val="21"/>
          </w:tcPr>
          <w:p>
            <w:pPr>
              <w:spacing w:after="0" w:line="88" w:lineRule="exact"/>
              <w:rPr>
                <w:sz w:val="20"/>
                <w:szCs w:val="20"/>
                <w:color w:val="auto"/>
              </w:rPr>
            </w:pPr>
            <w:r>
              <w:rPr>
                <w:rFonts w:ascii="Times New Roman" w:cs="Times New Roman" w:eastAsia="Times New Roman" w:hAnsi="Times New Roman"/>
                <w:sz w:val="10"/>
                <w:szCs w:val="10"/>
                <w:color w:val="0000EE"/>
              </w:rPr>
              <w:t>— The Holding Account</w:t>
            </w:r>
          </w:p>
        </w:tc>
        <w:tc>
          <w:tcPr>
            <w:tcW w:w="580" w:type="dxa"/>
            <w:vAlign w:val="bottom"/>
            <w:gridSpan w:val="8"/>
            <w:vMerge w:val="restart"/>
          </w:tcPr>
          <w:p>
            <w:pPr>
              <w:spacing w:after="0"/>
              <w:rPr>
                <w:sz w:val="7"/>
                <w:szCs w:val="7"/>
                <w:color w:val="auto"/>
              </w:rPr>
            </w:pPr>
          </w:p>
        </w:tc>
        <w:tc>
          <w:tcPr>
            <w:tcW w:w="3220" w:type="dxa"/>
            <w:vAlign w:val="bottom"/>
            <w:gridSpan w:val="12"/>
            <w:vMerge w:val="restart"/>
          </w:tcPr>
          <w:p>
            <w:pPr>
              <w:spacing w:after="0"/>
              <w:rPr>
                <w:sz w:val="7"/>
                <w:szCs w:val="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F-1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1200" w:type="dxa"/>
            <w:vAlign w:val="bottom"/>
            <w:gridSpan w:val="21"/>
          </w:tcPr>
          <w:p>
            <w:pPr>
              <w:spacing w:after="0"/>
              <w:rPr>
                <w:sz w:val="2"/>
                <w:szCs w:val="2"/>
                <w:color w:val="auto"/>
              </w:rPr>
            </w:pPr>
          </w:p>
        </w:tc>
        <w:tc>
          <w:tcPr>
            <w:tcW w:w="580" w:type="dxa"/>
            <w:vAlign w:val="bottom"/>
            <w:gridSpan w:val="8"/>
            <w:vMerge w:val="continue"/>
          </w:tcPr>
          <w:p>
            <w:pPr>
              <w:spacing w:after="0"/>
              <w:rPr>
                <w:sz w:val="2"/>
                <w:szCs w:val="2"/>
                <w:color w:val="auto"/>
              </w:rPr>
            </w:pPr>
          </w:p>
        </w:tc>
        <w:tc>
          <w:tcPr>
            <w:tcW w:w="3220" w:type="dxa"/>
            <w:vAlign w:val="bottom"/>
            <w:gridSpan w:val="12"/>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gridSpan w:val="46"/>
            <w:shd w:val="clear" w:color="auto" w:fill="F0FFFF"/>
          </w:tcPr>
          <w:p>
            <w:pPr>
              <w:spacing w:after="0" w:line="88" w:lineRule="exact"/>
              <w:rPr>
                <w:sz w:val="20"/>
                <w:szCs w:val="20"/>
                <w:color w:val="auto"/>
              </w:rPr>
            </w:pPr>
            <w:r>
              <w:rPr>
                <w:rFonts w:ascii="Times New Roman" w:cs="Times New Roman" w:eastAsia="Times New Roman" w:hAnsi="Times New Roman"/>
                <w:sz w:val="10"/>
                <w:szCs w:val="10"/>
                <w:color w:val="0000EE"/>
              </w:rPr>
              <w:t>Appendix G — Financial Intermediary Variations</w:t>
            </w:r>
          </w:p>
        </w:tc>
        <w:tc>
          <w:tcPr>
            <w:tcW w:w="240" w:type="dxa"/>
            <w:vAlign w:val="bottom"/>
            <w:shd w:val="clear" w:color="auto" w:fill="F0FFFF"/>
          </w:tcPr>
          <w:p>
            <w:pPr>
              <w:jc w:val="right"/>
              <w:spacing w:after="0" w:line="88" w:lineRule="exact"/>
              <w:rPr>
                <w:sz w:val="20"/>
                <w:szCs w:val="20"/>
                <w:color w:val="auto"/>
              </w:rPr>
            </w:pPr>
            <w:r>
              <w:rPr>
                <w:rFonts w:ascii="Times New Roman" w:cs="Times New Roman" w:eastAsia="Times New Roman" w:hAnsi="Times New Roman"/>
                <w:sz w:val="10"/>
                <w:szCs w:val="10"/>
                <w:color w:val="auto"/>
              </w:rPr>
              <w:t>G-1</w:t>
            </w:r>
          </w:p>
        </w:tc>
        <w:tc>
          <w:tcPr>
            <w:tcW w:w="0" w:type="dxa"/>
            <w:vAlign w:val="bottom"/>
          </w:tcPr>
          <w:p>
            <w:pPr>
              <w:spacing w:after="0"/>
              <w:rPr>
                <w:sz w:val="1"/>
                <w:szCs w:val="1"/>
                <w:color w:val="auto"/>
              </w:rPr>
            </w:pPr>
          </w:p>
        </w:tc>
      </w:tr>
      <w:tr>
        <w:trPr>
          <w:trHeight w:val="664"/>
        </w:trPr>
        <w:tc>
          <w:tcPr>
            <w:tcW w:w="600" w:type="dxa"/>
            <w:vAlign w:val="bottom"/>
            <w:tcBorders>
              <w:top w:val="single" w:sz="8" w:color="0000EE"/>
            </w:tcBorders>
            <w:gridSpan w:val="6"/>
          </w:tcPr>
          <w:p>
            <w:pPr>
              <w:spacing w:after="0"/>
              <w:rPr>
                <w:sz w:val="24"/>
                <w:szCs w:val="24"/>
                <w:color w:val="auto"/>
              </w:rPr>
            </w:pPr>
          </w:p>
        </w:tc>
        <w:tc>
          <w:tcPr>
            <w:tcW w:w="20" w:type="dxa"/>
            <w:vAlign w:val="bottom"/>
            <w:tcBorders>
              <w:top w:val="single" w:sz="8" w:color="F0FFFF"/>
            </w:tcBorders>
          </w:tcPr>
          <w:p>
            <w:pPr>
              <w:spacing w:after="0"/>
              <w:rPr>
                <w:sz w:val="24"/>
                <w:szCs w:val="24"/>
                <w:color w:val="auto"/>
              </w:rPr>
            </w:pPr>
          </w:p>
        </w:tc>
        <w:tc>
          <w:tcPr>
            <w:tcW w:w="1760" w:type="dxa"/>
            <w:vAlign w:val="bottom"/>
            <w:tcBorders>
              <w:top w:val="single" w:sz="8" w:color="0000EE"/>
            </w:tcBorders>
            <w:gridSpan w:val="28"/>
          </w:tcPr>
          <w:p>
            <w:pPr>
              <w:spacing w:after="0"/>
              <w:rPr>
                <w:sz w:val="24"/>
                <w:szCs w:val="24"/>
                <w:color w:val="auto"/>
              </w:rPr>
            </w:pPr>
          </w:p>
        </w:tc>
        <w:tc>
          <w:tcPr>
            <w:tcW w:w="480" w:type="dxa"/>
            <w:vAlign w:val="bottom"/>
            <w:tcBorders>
              <w:top w:val="single" w:sz="8" w:color="F0FFFF"/>
            </w:tcBorders>
            <w:gridSpan w:val="6"/>
          </w:tcPr>
          <w:p>
            <w:pPr>
              <w:jc w:val="right"/>
              <w:ind w:right="60"/>
              <w:spacing w:after="0"/>
              <w:rPr>
                <w:sz w:val="20"/>
                <w:szCs w:val="20"/>
                <w:color w:val="auto"/>
              </w:rPr>
            </w:pPr>
            <w:r>
              <w:rPr>
                <w:rFonts w:ascii="Times New Roman" w:cs="Times New Roman" w:eastAsia="Times New Roman" w:hAnsi="Times New Roman"/>
                <w:sz w:val="12"/>
                <w:szCs w:val="12"/>
                <w:color w:val="auto"/>
              </w:rPr>
              <w:t>4</w:t>
            </w:r>
          </w:p>
        </w:tc>
        <w:tc>
          <w:tcPr>
            <w:tcW w:w="160" w:type="dxa"/>
            <w:vAlign w:val="bottom"/>
            <w:tcBorders>
              <w:top w:val="single" w:sz="8" w:color="F0FFFF"/>
            </w:tcBorders>
          </w:tcPr>
          <w:p>
            <w:pPr>
              <w:spacing w:after="0"/>
              <w:rPr>
                <w:sz w:val="24"/>
                <w:szCs w:val="24"/>
                <w:color w:val="auto"/>
              </w:rPr>
            </w:pPr>
          </w:p>
        </w:tc>
        <w:tc>
          <w:tcPr>
            <w:tcW w:w="80" w:type="dxa"/>
            <w:vAlign w:val="bottom"/>
            <w:tcBorders>
              <w:top w:val="single" w:sz="8" w:color="F0FFFF"/>
            </w:tcBorders>
          </w:tcPr>
          <w:p>
            <w:pPr>
              <w:spacing w:after="0"/>
              <w:rPr>
                <w:sz w:val="24"/>
                <w:szCs w:val="24"/>
                <w:color w:val="auto"/>
              </w:rPr>
            </w:pPr>
          </w:p>
        </w:tc>
        <w:tc>
          <w:tcPr>
            <w:tcW w:w="100" w:type="dxa"/>
            <w:vAlign w:val="bottom"/>
            <w:tcBorders>
              <w:top w:val="single" w:sz="8" w:color="F0FFFF"/>
            </w:tcBorders>
          </w:tcPr>
          <w:p>
            <w:pPr>
              <w:spacing w:after="0"/>
              <w:rPr>
                <w:sz w:val="24"/>
                <w:szCs w:val="24"/>
                <w:color w:val="auto"/>
              </w:rPr>
            </w:pPr>
          </w:p>
        </w:tc>
        <w:tc>
          <w:tcPr>
            <w:tcW w:w="220" w:type="dxa"/>
            <w:vAlign w:val="bottom"/>
            <w:tcBorders>
              <w:top w:val="single" w:sz="8" w:color="F0FFFF"/>
            </w:tcBorders>
          </w:tcPr>
          <w:p>
            <w:pPr>
              <w:spacing w:after="0"/>
              <w:rPr>
                <w:sz w:val="24"/>
                <w:szCs w:val="24"/>
                <w:color w:val="auto"/>
              </w:rPr>
            </w:pPr>
          </w:p>
        </w:tc>
        <w:tc>
          <w:tcPr>
            <w:tcW w:w="2140" w:type="dxa"/>
            <w:vAlign w:val="bottom"/>
            <w:tcBorders>
              <w:top w:val="single" w:sz="8" w:color="F0FFFF"/>
            </w:tcBorders>
          </w:tcPr>
          <w:p>
            <w:pPr>
              <w:spacing w:after="0"/>
              <w:rPr>
                <w:sz w:val="24"/>
                <w:szCs w:val="24"/>
                <w:color w:val="auto"/>
              </w:rPr>
            </w:pPr>
          </w:p>
        </w:tc>
        <w:tc>
          <w:tcPr>
            <w:tcW w:w="40" w:type="dxa"/>
            <w:vAlign w:val="bottom"/>
            <w:tcBorders>
              <w:top w:val="single" w:sz="8" w:color="F0FFFF"/>
            </w:tcBorders>
          </w:tcPr>
          <w:p>
            <w:pPr>
              <w:spacing w:after="0"/>
              <w:rPr>
                <w:sz w:val="24"/>
                <w:szCs w:val="24"/>
                <w:color w:val="auto"/>
              </w:rPr>
            </w:pPr>
          </w:p>
        </w:tc>
        <w:tc>
          <w:tcPr>
            <w:tcW w:w="240" w:type="dxa"/>
            <w:vAlign w:val="bottom"/>
            <w:tcBorders>
              <w:top w:val="single" w:sz="8" w:color="F0FF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359"/>
          </w:cols>
          <w:pgMar w:left="1100" w:top="927"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57395" cy="36830"/>
                    </a:xfrm>
                    <a:prstGeom prst="rect">
                      <a:avLst/>
                    </a:prstGeom>
                    <a:noFill/>
                  </pic:spPr>
                </pic:pic>
              </a:graphicData>
            </a:graphic>
          </wp:anchor>
        </w:drawing>
      </w:r>
    </w:p>
    <w:bookmarkStart w:id="5" w:name="page6"/>
    <w:bookmarkEnd w:id="5"/>
    <w:p>
      <w:pPr>
        <w:ind w:left="228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57395" cy="36830"/>
                    </a:xfrm>
                    <a:prstGeom prst="rect">
                      <a:avLst/>
                    </a:prstGeom>
                    <a:noFill/>
                  </pic:spPr>
                </pic:pic>
              </a:graphicData>
            </a:graphic>
          </wp:anchor>
        </w:drawing>
        <w:t>SPECIAL TERMS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this prospectus, the following capitalized terms have the indicated meanings:</w:t>
      </w:r>
    </w:p>
    <w:p>
      <w:pPr>
        <w:spacing w:after="0" w:line="74" w:lineRule="exact"/>
        <w:rPr>
          <w:sz w:val="20"/>
          <w:szCs w:val="20"/>
          <w:color w:val="auto"/>
        </w:rPr>
      </w:pPr>
    </w:p>
    <w:p>
      <w:pPr>
        <w:jc w:val="both"/>
        <w:ind w:right="3839"/>
        <w:spacing w:after="0" w:line="286" w:lineRule="auto"/>
        <w:rPr>
          <w:sz w:val="20"/>
          <w:szCs w:val="20"/>
          <w:color w:val="auto"/>
        </w:rPr>
      </w:pPr>
      <w:r>
        <w:rPr>
          <w:rFonts w:ascii="Times New Roman" w:cs="Times New Roman" w:eastAsia="Times New Roman" w:hAnsi="Times New Roman"/>
          <w:sz w:val="12"/>
          <w:szCs w:val="12"/>
          <w:b w:val="1"/>
          <w:bCs w:val="1"/>
          <w:color w:val="auto"/>
        </w:rPr>
        <w:t>Account Value.</w:t>
      </w:r>
      <w:r>
        <w:rPr>
          <w:rFonts w:ascii="Times New Roman" w:cs="Times New Roman" w:eastAsia="Times New Roman" w:hAnsi="Times New Roman"/>
          <w:sz w:val="12"/>
          <w:szCs w:val="12"/>
          <w:color w:val="auto"/>
        </w:rPr>
        <w:t xml:space="preserve">  The total of the Fixed Account Value, the value of the Shield Option(s), and the Holding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Account value under the Contract during the Accumulation Period.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Accumulation Period.</w:t>
      </w:r>
      <w:r>
        <w:rPr>
          <w:rFonts w:ascii="Times New Roman" w:cs="Times New Roman" w:eastAsia="Times New Roman" w:hAnsi="Times New Roman"/>
          <w:sz w:val="12"/>
          <w:szCs w:val="12"/>
          <w:color w:val="auto"/>
        </w:rPr>
        <w:t xml:space="preserve">   The period prior to the Annuity Date.</w:t>
      </w:r>
    </w:p>
    <w:p>
      <w:pPr>
        <w:spacing w:after="0" w:line="78" w:lineRule="exact"/>
        <w:rPr>
          <w:sz w:val="20"/>
          <w:szCs w:val="20"/>
          <w:color w:val="auto"/>
        </w:rPr>
      </w:pPr>
    </w:p>
    <w:p>
      <w:pPr>
        <w:jc w:val="both"/>
        <w:ind w:right="3839"/>
        <w:spacing w:after="0" w:line="262" w:lineRule="auto"/>
        <w:rPr>
          <w:sz w:val="20"/>
          <w:szCs w:val="20"/>
          <w:color w:val="auto"/>
        </w:rPr>
      </w:pPr>
      <w:r>
        <w:rPr>
          <w:rFonts w:ascii="Times New Roman" w:cs="Times New Roman" w:eastAsia="Times New Roman" w:hAnsi="Times New Roman"/>
          <w:sz w:val="12"/>
          <w:szCs w:val="12"/>
          <w:b w:val="1"/>
          <w:bCs w:val="1"/>
          <w:color w:val="auto"/>
        </w:rPr>
        <w:t>Allocation Option.</w:t>
      </w:r>
      <w:r>
        <w:rPr>
          <w:rFonts w:ascii="Times New Roman" w:cs="Times New Roman" w:eastAsia="Times New Roman" w:hAnsi="Times New Roman"/>
          <w:sz w:val="12"/>
          <w:szCs w:val="12"/>
          <w:color w:val="auto"/>
        </w:rPr>
        <w:t xml:space="preserve">  Includes the Shield Option(s), the Fixed Account, and Holding Account. The Holding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Account is not an allocation option that you can allocate your Purchase Payment or Account Value into and there are only certain circumstances where we will transfer amounts to the Holding Account. See “HOLDING ACCOUNT.”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Annuitant</w:t>
      </w:r>
      <w:r>
        <w:rPr>
          <w:rFonts w:ascii="Times New Roman" w:cs="Times New Roman" w:eastAsia="Times New Roman" w:hAnsi="Times New Roman"/>
          <w:sz w:val="12"/>
          <w:szCs w:val="12"/>
          <w:color w:val="auto"/>
        </w:rPr>
        <w:t>.   The natural person(s) listed on the Contract Schedule on whose life Annuity Payments are based.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reference to Annuitant will also include any Joint Annuitant under an Annuity Option.</w:t>
      </w:r>
    </w:p>
    <w:p>
      <w:pPr>
        <w:spacing w:after="0" w:line="63" w:lineRule="exact"/>
        <w:rPr>
          <w:sz w:val="20"/>
          <w:szCs w:val="20"/>
          <w:color w:val="auto"/>
        </w:rPr>
      </w:pPr>
    </w:p>
    <w:p>
      <w:pPr>
        <w:jc w:val="both"/>
        <w:ind w:right="3839"/>
        <w:spacing w:after="0" w:line="268" w:lineRule="auto"/>
        <w:rPr>
          <w:sz w:val="20"/>
          <w:szCs w:val="20"/>
          <w:color w:val="auto"/>
        </w:rPr>
      </w:pPr>
      <w:r>
        <w:rPr>
          <w:rFonts w:ascii="Times New Roman" w:cs="Times New Roman" w:eastAsia="Times New Roman" w:hAnsi="Times New Roman"/>
          <w:sz w:val="12"/>
          <w:szCs w:val="12"/>
          <w:b w:val="1"/>
          <w:bCs w:val="1"/>
          <w:color w:val="auto"/>
        </w:rPr>
        <w:t>Annuity Date.</w:t>
      </w:r>
      <w:r>
        <w:rPr>
          <w:rFonts w:ascii="Times New Roman" w:cs="Times New Roman" w:eastAsia="Times New Roman" w:hAnsi="Times New Roman"/>
          <w:sz w:val="12"/>
          <w:szCs w:val="12"/>
          <w:color w:val="auto"/>
        </w:rPr>
        <w:t xml:space="preserve">  A date on which you choose to begin receiving Annuity Payments. If we agree, you may change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Annuity Date, subject to certain requirements. If you do not choose an Annuity Date, the Annuity Date will be the Annuity Date indicated on the Contract Schedule.</w:t>
      </w:r>
    </w:p>
    <w:p>
      <w:pPr>
        <w:spacing w:after="0" w:line="42" w:lineRule="exact"/>
        <w:rPr>
          <w:sz w:val="20"/>
          <w:szCs w:val="20"/>
          <w:color w:val="auto"/>
        </w:rPr>
      </w:pPr>
    </w:p>
    <w:p>
      <w:pPr>
        <w:ind w:right="4119"/>
        <w:spacing w:after="0" w:line="286" w:lineRule="auto"/>
        <w:rPr>
          <w:sz w:val="20"/>
          <w:szCs w:val="20"/>
          <w:color w:val="auto"/>
        </w:rPr>
      </w:pPr>
      <w:r>
        <w:rPr>
          <w:rFonts w:ascii="Times New Roman" w:cs="Times New Roman" w:eastAsia="Times New Roman" w:hAnsi="Times New Roman"/>
          <w:sz w:val="12"/>
          <w:szCs w:val="12"/>
          <w:b w:val="1"/>
          <w:bCs w:val="1"/>
          <w:color w:val="auto"/>
        </w:rPr>
        <w:t>Annuity Payments.</w:t>
      </w:r>
      <w:r>
        <w:rPr>
          <w:rFonts w:ascii="Times New Roman" w:cs="Times New Roman" w:eastAsia="Times New Roman" w:hAnsi="Times New Roman"/>
          <w:sz w:val="12"/>
          <w:szCs w:val="12"/>
          <w:color w:val="auto"/>
        </w:rPr>
        <w:t xml:space="preserve">  A series of payments made by us during the Annuity Period, which we guarantee as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dollar amount.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Annuity Period.</w:t>
      </w:r>
      <w:r>
        <w:rPr>
          <w:rFonts w:ascii="Times New Roman" w:cs="Times New Roman" w:eastAsia="Times New Roman" w:hAnsi="Times New Roman"/>
          <w:sz w:val="12"/>
          <w:szCs w:val="12"/>
          <w:color w:val="auto"/>
        </w:rPr>
        <w:t xml:space="preserve">   A period starting on the Annuity Date during which Annuity Payments are payable.</w:t>
      </w:r>
    </w:p>
    <w:p>
      <w:pPr>
        <w:spacing w:after="0" w:line="78" w:lineRule="exact"/>
        <w:rPr>
          <w:sz w:val="20"/>
          <w:szCs w:val="20"/>
          <w:color w:val="auto"/>
        </w:rPr>
      </w:pPr>
    </w:p>
    <w:p>
      <w:pPr>
        <w:jc w:val="both"/>
        <w:ind w:right="3859"/>
        <w:spacing w:after="0" w:line="286" w:lineRule="auto"/>
        <w:rPr>
          <w:sz w:val="20"/>
          <w:szCs w:val="20"/>
          <w:color w:val="auto"/>
        </w:rPr>
      </w:pPr>
      <w:r>
        <w:rPr>
          <w:rFonts w:ascii="Times New Roman" w:cs="Times New Roman" w:eastAsia="Times New Roman" w:hAnsi="Times New Roman"/>
          <w:sz w:val="12"/>
          <w:szCs w:val="12"/>
          <w:b w:val="1"/>
          <w:bCs w:val="1"/>
          <w:color w:val="auto"/>
        </w:rPr>
        <w:t>Annuity Service Office.</w:t>
      </w:r>
      <w:r>
        <w:rPr>
          <w:rFonts w:ascii="Times New Roman" w:cs="Times New Roman" w:eastAsia="Times New Roman" w:hAnsi="Times New Roman"/>
          <w:sz w:val="12"/>
          <w:szCs w:val="12"/>
          <w:color w:val="auto"/>
        </w:rPr>
        <w:t xml:space="preserve">  The office indicated on the Contract Schedule to which notices and requests must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sent, or as otherwise changed by notification from us.</w:t>
      </w:r>
    </w:p>
    <w:p>
      <w:pPr>
        <w:spacing w:after="0" w:line="31"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2"/>
          <w:szCs w:val="12"/>
          <w:b w:val="1"/>
          <w:bCs w:val="1"/>
          <w:color w:val="auto"/>
        </w:rPr>
        <w:t>BLNY (“we,” “us,” “our”).</w:t>
      </w:r>
      <w:r>
        <w:rPr>
          <w:sz w:val="20"/>
          <w:szCs w:val="20"/>
          <w:color w:val="auto"/>
        </w:rPr>
        <w:tab/>
      </w:r>
      <w:r>
        <w:rPr>
          <w:rFonts w:ascii="Times New Roman" w:cs="Times New Roman" w:eastAsia="Times New Roman" w:hAnsi="Times New Roman"/>
          <w:sz w:val="11"/>
          <w:szCs w:val="11"/>
          <w:color w:val="auto"/>
        </w:rPr>
        <w:t>Brighthouse Life Insurance Company of NY.</w:t>
      </w:r>
    </w:p>
    <w:p>
      <w:pPr>
        <w:spacing w:after="0" w:line="78" w:lineRule="exact"/>
        <w:rPr>
          <w:sz w:val="20"/>
          <w:szCs w:val="20"/>
          <w:color w:val="auto"/>
        </w:rPr>
      </w:pPr>
    </w:p>
    <w:p>
      <w:pPr>
        <w:jc w:val="both"/>
        <w:ind w:right="3839"/>
        <w:spacing w:after="0" w:line="286" w:lineRule="auto"/>
        <w:rPr>
          <w:sz w:val="20"/>
          <w:szCs w:val="20"/>
          <w:color w:val="auto"/>
        </w:rPr>
      </w:pPr>
      <w:r>
        <w:rPr>
          <w:rFonts w:ascii="Times New Roman" w:cs="Times New Roman" w:eastAsia="Times New Roman" w:hAnsi="Times New Roman"/>
          <w:sz w:val="12"/>
          <w:szCs w:val="12"/>
          <w:b w:val="1"/>
          <w:bCs w:val="1"/>
          <w:color w:val="auto"/>
        </w:rPr>
        <w:t>Beneficiary.</w:t>
      </w:r>
      <w:r>
        <w:rPr>
          <w:rFonts w:ascii="Times New Roman" w:cs="Times New Roman" w:eastAsia="Times New Roman" w:hAnsi="Times New Roman"/>
          <w:sz w:val="12"/>
          <w:szCs w:val="12"/>
          <w:color w:val="auto"/>
        </w:rPr>
        <w:t xml:space="preserve">  The person(s) or entity(ies) you name to receive a death benefit payable under the Contract upon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death of the Owner or a Joint Owner, or in certain circumstances, an Annuitant.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Brighthouse Securities.</w:t>
      </w:r>
      <w:r>
        <w:rPr>
          <w:rFonts w:ascii="Times New Roman" w:cs="Times New Roman" w:eastAsia="Times New Roman" w:hAnsi="Times New Roman"/>
          <w:sz w:val="12"/>
          <w:szCs w:val="12"/>
          <w:color w:val="auto"/>
        </w:rPr>
        <w:t xml:space="preserve">   Brighthouse Securities, LLC.</w:t>
      </w:r>
    </w:p>
    <w:p>
      <w:pPr>
        <w:spacing w:after="0" w:line="78" w:lineRule="exact"/>
        <w:rPr>
          <w:sz w:val="20"/>
          <w:szCs w:val="20"/>
          <w:color w:val="auto"/>
        </w:rPr>
      </w:pPr>
    </w:p>
    <w:p>
      <w:pPr>
        <w:jc w:val="both"/>
        <w:ind w:right="3839"/>
        <w:spacing w:after="0" w:line="259" w:lineRule="auto"/>
        <w:rPr>
          <w:sz w:val="20"/>
          <w:szCs w:val="20"/>
          <w:color w:val="auto"/>
        </w:rPr>
      </w:pP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xml:space="preserve">  Our “business day” is generally any day the New York Stock Exchange (NYSE) is open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regular trading. For purposes of receipt of Notice for administrative requests and transactions, a Business Day ends at the earlier of 4:00 PM Eastern Standard Time or when the NYSE closes. If the SEC determines the existence of emergency conditions on any day, and consequently, the NYSE does not open, then that day is not a Business Day.</w:t>
      </w:r>
    </w:p>
    <w:p>
      <w:pPr>
        <w:spacing w:after="0" w:line="47" w:lineRule="exact"/>
        <w:rPr>
          <w:sz w:val="20"/>
          <w:szCs w:val="20"/>
          <w:color w:val="auto"/>
        </w:rPr>
      </w:pPr>
    </w:p>
    <w:p>
      <w:pPr>
        <w:jc w:val="both"/>
        <w:ind w:right="383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Cap Rate. </w:t>
      </w:r>
      <w:r>
        <w:rPr>
          <w:rFonts w:ascii="Times New Roman" w:cs="Times New Roman" w:eastAsia="Times New Roman" w:hAnsi="Times New Roman"/>
          <w:sz w:val="12"/>
          <w:szCs w:val="12"/>
          <w:color w:val="auto"/>
        </w:rPr>
        <w:t>The maximum rate that may be credited at the Term End Date based on Index Performance.</w:t>
      </w:r>
      <w:r>
        <w:rPr>
          <w:rFonts w:ascii="Times New Roman" w:cs="Times New Roman" w:eastAsia="Times New Roman" w:hAnsi="Times New Roman"/>
          <w:sz w:val="12"/>
          <w:szCs w:val="12"/>
          <w:b w:val="1"/>
          <w:bCs w:val="1"/>
          <w:color w:val="auto"/>
        </w:rPr>
        <w:t xml:space="preserve"> The Cap Rate may vary between Shield Options and, unless you have a Shield Option with a 1-year Term, is not an annual rate.</w:t>
      </w:r>
    </w:p>
    <w:p>
      <w:pPr>
        <w:spacing w:after="0" w:line="42" w:lineRule="exact"/>
        <w:rPr>
          <w:sz w:val="20"/>
          <w:szCs w:val="20"/>
          <w:color w:val="auto"/>
        </w:rPr>
      </w:pPr>
    </w:p>
    <w:p>
      <w:pPr>
        <w:jc w:val="both"/>
        <w:ind w:right="3839"/>
        <w:spacing w:after="0" w:line="286" w:lineRule="auto"/>
        <w:rPr>
          <w:sz w:val="20"/>
          <w:szCs w:val="20"/>
          <w:color w:val="auto"/>
        </w:rPr>
      </w:pP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xml:space="preserve">  The Internal Revenue Code of 1986, as amended, and all related laws and regulations, which are in effect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during the term of the Contract.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w:t>
      </w:r>
      <w:r>
        <w:rPr>
          <w:rFonts w:ascii="Times New Roman" w:cs="Times New Roman" w:eastAsia="Times New Roman" w:hAnsi="Times New Roman"/>
          <w:sz w:val="12"/>
          <w:szCs w:val="12"/>
          <w:color w:val="auto"/>
        </w:rPr>
        <w:t xml:space="preserve">   The legal agreement between you and BLNY. It contains relevant provisions of your deferred annuity.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 Anniversary.</w:t>
      </w:r>
      <w:r>
        <w:rPr>
          <w:rFonts w:ascii="Times New Roman" w:cs="Times New Roman" w:eastAsia="Times New Roman" w:hAnsi="Times New Roman"/>
          <w:sz w:val="12"/>
          <w:szCs w:val="12"/>
          <w:color w:val="auto"/>
        </w:rPr>
        <w:t xml:space="preserve">   An anniversary of the Issue Date of the Contract.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 Schedule.</w:t>
      </w:r>
      <w:r>
        <w:rPr>
          <w:rFonts w:ascii="Times New Roman" w:cs="Times New Roman" w:eastAsia="Times New Roman" w:hAnsi="Times New Roman"/>
          <w:sz w:val="12"/>
          <w:szCs w:val="12"/>
          <w:color w:val="auto"/>
        </w:rPr>
        <w:t xml:space="preserve">   The schedule attached to your Contract.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 Year.</w:t>
      </w:r>
      <w:r>
        <w:rPr>
          <w:rFonts w:ascii="Times New Roman" w:cs="Times New Roman" w:eastAsia="Times New Roman" w:hAnsi="Times New Roman"/>
          <w:sz w:val="12"/>
          <w:szCs w:val="12"/>
          <w:color w:val="auto"/>
        </w:rPr>
        <w:t xml:space="preserve">   A one-year period starting on the Issue Date and on each Contract Anniversary thereafter.</w:t>
      </w:r>
    </w:p>
    <w:p>
      <w:pPr>
        <w:spacing w:after="0" w:line="78" w:lineRule="exact"/>
        <w:rPr>
          <w:sz w:val="20"/>
          <w:szCs w:val="20"/>
          <w:color w:val="auto"/>
        </w:rPr>
      </w:pPr>
    </w:p>
    <w:p>
      <w:pPr>
        <w:jc w:val="both"/>
        <w:ind w:right="3839"/>
        <w:spacing w:after="0" w:line="256" w:lineRule="auto"/>
        <w:rPr>
          <w:sz w:val="20"/>
          <w:szCs w:val="20"/>
          <w:color w:val="auto"/>
        </w:rPr>
      </w:pPr>
      <w:r>
        <w:rPr>
          <w:rFonts w:ascii="Times New Roman" w:cs="Times New Roman" w:eastAsia="Times New Roman" w:hAnsi="Times New Roman"/>
          <w:sz w:val="12"/>
          <w:szCs w:val="12"/>
          <w:b w:val="1"/>
          <w:bCs w:val="1"/>
          <w:color w:val="auto"/>
        </w:rPr>
        <w:t xml:space="preserve">Death Benefit Amount. </w:t>
      </w:r>
      <w:r>
        <w:rPr>
          <w:rFonts w:ascii="Times New Roman" w:cs="Times New Roman" w:eastAsia="Times New Roman" w:hAnsi="Times New Roman"/>
          <w:sz w:val="12"/>
          <w:szCs w:val="12"/>
          <w:color w:val="auto"/>
        </w:rPr>
        <w:t>For Owners age 81 or older at the Issue Date of the Contract, the standard death benefit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 the Account Value. For Owners age 80 or younger at the Issue Date of the Contract, the standard death benefit (known as the Return of Premium death benefit) is the greater of the Account Value or your Purchase Payment (reduced proportionally by the percentage reduction in Account Value of the Shield Option(s), the Fixed Account, and the Holding Account for each partial withdrawal (including any applicable Withdrawal Charge)). The Death Benefit Amount is determined as of the end of the Business Day on which we have received Notice of due proof of death and an acceptable election for the payment method.</w:t>
      </w:r>
    </w:p>
    <w:p>
      <w:pPr>
        <w:spacing w:after="0" w:line="50" w:lineRule="exact"/>
        <w:rPr>
          <w:sz w:val="20"/>
          <w:szCs w:val="20"/>
          <w:color w:val="auto"/>
        </w:rPr>
      </w:pPr>
    </w:p>
    <w:p>
      <w:pPr>
        <w:jc w:val="both"/>
        <w:ind w:right="3839"/>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Edge Rate. </w:t>
      </w:r>
      <w:r>
        <w:rPr>
          <w:rFonts w:ascii="Times New Roman" w:cs="Times New Roman" w:eastAsia="Times New Roman" w:hAnsi="Times New Roman"/>
          <w:sz w:val="12"/>
          <w:szCs w:val="12"/>
          <w:color w:val="auto"/>
        </w:rPr>
        <w:t>The rate credited at the Term End Date if the Index Performance is equal to or greater than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Shield Rate. </w:t>
      </w:r>
      <w:r>
        <w:rPr>
          <w:rFonts w:ascii="Times New Roman" w:cs="Times New Roman" w:eastAsia="Times New Roman" w:hAnsi="Times New Roman"/>
          <w:sz w:val="12"/>
          <w:szCs w:val="12"/>
          <w:b w:val="1"/>
          <w:bCs w:val="1"/>
          <w:color w:val="auto"/>
        </w:rPr>
        <w:t>The Edge Rate may vary between Shield Options and, unless you have a Shield Option with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1-year Term, it is not an annual rate. </w:t>
      </w:r>
      <w:r>
        <w:rPr>
          <w:rFonts w:ascii="Times New Roman" w:cs="Times New Roman" w:eastAsia="Times New Roman" w:hAnsi="Times New Roman"/>
          <w:sz w:val="12"/>
          <w:szCs w:val="12"/>
          <w:color w:val="auto"/>
        </w:rPr>
        <w:t>A Shield Option with an Edge Rate may also be referred to as a “Shield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Option with Step Rate Edge” in the prospectus.</w:t>
      </w:r>
    </w:p>
    <w:p>
      <w:pPr>
        <w:spacing w:after="0" w:line="4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2"/>
          <w:szCs w:val="12"/>
          <w:b w:val="1"/>
          <w:bCs w:val="1"/>
          <w:color w:val="auto"/>
        </w:rPr>
        <w:t>ERISA.</w:t>
      </w:r>
      <w:r>
        <w:rPr>
          <w:sz w:val="20"/>
          <w:szCs w:val="20"/>
          <w:color w:val="auto"/>
        </w:rPr>
        <w:tab/>
      </w:r>
      <w:r>
        <w:rPr>
          <w:rFonts w:ascii="Times New Roman" w:cs="Times New Roman" w:eastAsia="Times New Roman" w:hAnsi="Times New Roman"/>
          <w:sz w:val="11"/>
          <w:szCs w:val="11"/>
          <w:color w:val="auto"/>
        </w:rPr>
        <w:t>Employee Retirement Income Security Act of 1974, as amended.</w:t>
      </w:r>
    </w:p>
    <w:p>
      <w:pPr>
        <w:spacing w:after="0" w:line="20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9359"/>
          </w:cols>
          <w:pgMar w:left="1100" w:top="962" w:right="1440" w:bottom="1440" w:gutter="0" w:footer="0" w:header="0"/>
        </w:sectPr>
      </w:pPr>
    </w:p>
    <w:bookmarkStart w:id="6" w:name="page7"/>
    <w:bookmarkEnd w:id="6"/>
    <w:p>
      <w:pPr>
        <w:jc w:val="both"/>
        <w:ind w:right="3839"/>
        <w:spacing w:after="0" w:line="262"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57395" cy="36830"/>
                    </a:xfrm>
                    <a:prstGeom prst="rect">
                      <a:avLst/>
                    </a:prstGeom>
                    <a:noFill/>
                  </pic:spPr>
                </pic:pic>
              </a:graphicData>
            </a:graphic>
          </wp:anchor>
        </w:drawing>
        <w:t>Fixed Account.</w:t>
      </w:r>
      <w:r>
        <w:rPr>
          <w:rFonts w:ascii="Times New Roman" w:cs="Times New Roman" w:eastAsia="Times New Roman" w:hAnsi="Times New Roman"/>
          <w:sz w:val="12"/>
          <w:szCs w:val="12"/>
          <w:color w:val="auto"/>
        </w:rPr>
        <w:t xml:space="preserve">  An account, if available, that consists of all of the assets under the Contract other than those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Separate Account or Holding Account. You may allocate your Purchase Payment to the Fixed Account, and you may make a transfer into or out of the Fixed Account. The Fixed Account is part of the General Account assets of BLNY.</w:t>
      </w:r>
    </w:p>
    <w:p>
      <w:pPr>
        <w:spacing w:after="0" w:line="54" w:lineRule="exact"/>
        <w:rPr>
          <w:sz w:val="20"/>
          <w:szCs w:val="20"/>
          <w:color w:val="auto"/>
        </w:rPr>
      </w:pPr>
    </w:p>
    <w:p>
      <w:pPr>
        <w:jc w:val="both"/>
        <w:ind w:right="3839"/>
        <w:spacing w:after="0" w:line="268" w:lineRule="auto"/>
        <w:rPr>
          <w:sz w:val="20"/>
          <w:szCs w:val="20"/>
          <w:color w:val="auto"/>
        </w:rPr>
      </w:pPr>
      <w:r>
        <w:rPr>
          <w:rFonts w:ascii="Times New Roman" w:cs="Times New Roman" w:eastAsia="Times New Roman" w:hAnsi="Times New Roman"/>
          <w:sz w:val="12"/>
          <w:szCs w:val="12"/>
          <w:b w:val="1"/>
          <w:bCs w:val="1"/>
          <w:color w:val="auto"/>
        </w:rPr>
        <w:t>Fixed Account Term.</w:t>
      </w:r>
      <w:r>
        <w:rPr>
          <w:rFonts w:ascii="Times New Roman" w:cs="Times New Roman" w:eastAsia="Times New Roman" w:hAnsi="Times New Roman"/>
          <w:sz w:val="12"/>
          <w:szCs w:val="12"/>
          <w:color w:val="auto"/>
        </w:rPr>
        <w:t xml:space="preserve">  The length of time over which the current Fixed Account interest rate is guaranteed. No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Fixed Account Term will extend beyond the Annuity Date. The minimum Fixed Account Term depends on the date your Contract is issued but will not be less than one (1) year.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Fixed Account Term End Date.</w:t>
      </w:r>
      <w:r>
        <w:rPr>
          <w:rFonts w:ascii="Times New Roman" w:cs="Times New Roman" w:eastAsia="Times New Roman" w:hAnsi="Times New Roman"/>
          <w:sz w:val="12"/>
          <w:szCs w:val="12"/>
          <w:color w:val="auto"/>
        </w:rPr>
        <w:t xml:space="preserve">   The Contract Anniversary on which a Fixed Account Term ends.</w:t>
      </w:r>
    </w:p>
    <w:p>
      <w:pPr>
        <w:spacing w:after="0" w:line="87" w:lineRule="exact"/>
        <w:rPr>
          <w:sz w:val="20"/>
          <w:szCs w:val="20"/>
          <w:color w:val="auto"/>
        </w:rPr>
      </w:pPr>
    </w:p>
    <w:p>
      <w:pPr>
        <w:jc w:val="both"/>
        <w:ind w:right="3839"/>
        <w:spacing w:after="0" w:line="268" w:lineRule="auto"/>
        <w:rPr>
          <w:sz w:val="20"/>
          <w:szCs w:val="20"/>
          <w:color w:val="auto"/>
        </w:rPr>
      </w:pPr>
      <w:r>
        <w:rPr>
          <w:rFonts w:ascii="Times New Roman" w:cs="Times New Roman" w:eastAsia="Times New Roman" w:hAnsi="Times New Roman"/>
          <w:sz w:val="12"/>
          <w:szCs w:val="12"/>
          <w:b w:val="1"/>
          <w:bCs w:val="1"/>
          <w:color w:val="auto"/>
        </w:rPr>
        <w:t>Fixed Account Term Start Date.</w:t>
      </w:r>
      <w:r>
        <w:rPr>
          <w:rFonts w:ascii="Times New Roman" w:cs="Times New Roman" w:eastAsia="Times New Roman" w:hAnsi="Times New Roman"/>
          <w:sz w:val="12"/>
          <w:szCs w:val="12"/>
          <w:color w:val="auto"/>
        </w:rPr>
        <w:t xml:space="preserve">  The Contract Anniversary on which a Fixed Account Term is established. If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chosen at issue, the initial Fixed Account Term Start Date begins on the Issue Date or otherwise it will begin on the first Contract Anniversary on which you allocate to the Fixed Account.</w:t>
      </w:r>
    </w:p>
    <w:p>
      <w:pPr>
        <w:spacing w:after="0" w:line="51" w:lineRule="exact"/>
        <w:rPr>
          <w:sz w:val="20"/>
          <w:szCs w:val="20"/>
          <w:color w:val="auto"/>
        </w:rPr>
      </w:pPr>
    </w:p>
    <w:p>
      <w:pPr>
        <w:jc w:val="both"/>
        <w:ind w:right="3839"/>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Fixed Account Value. </w:t>
      </w:r>
      <w:r>
        <w:rPr>
          <w:rFonts w:ascii="Times New Roman" w:cs="Times New Roman" w:eastAsia="Times New Roman" w:hAnsi="Times New Roman"/>
          <w:sz w:val="12"/>
          <w:szCs w:val="12"/>
          <w:color w:val="auto"/>
        </w:rPr>
        <w:t>The initial Fixed Account Value is the amount of your Purchase Payment initially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allocated to the Fixed Account. Thereafter, the Fixed Account Value equals: (a) the initial Fixed Account Value or the Fixed Account Value on the most recent Contract Anniversary, including any transfers, whichever is applicable; plus (b) any interest credited by us; less (c) the amount of any withdrawals (including any applicable Withdrawal Charges); and less (d) any Premium Tax or other taxes, if applicable.</w:t>
      </w:r>
    </w:p>
    <w:p>
      <w:pPr>
        <w:spacing w:after="0" w:line="47" w:lineRule="exact"/>
        <w:rPr>
          <w:sz w:val="20"/>
          <w:szCs w:val="20"/>
          <w:color w:val="auto"/>
        </w:rPr>
      </w:pPr>
    </w:p>
    <w:p>
      <w:pPr>
        <w:jc w:val="both"/>
        <w:ind w:right="3839"/>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Free Look. </w:t>
      </w:r>
      <w:r>
        <w:rPr>
          <w:rFonts w:ascii="Times New Roman" w:cs="Times New Roman" w:eastAsia="Times New Roman" w:hAnsi="Times New Roman"/>
          <w:sz w:val="12"/>
          <w:szCs w:val="12"/>
          <w:color w:val="auto"/>
        </w:rPr>
        <w:t>If you change your mind about owning the Contract, you may cancel the Contract within 10 days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after receiving it by mailing or delivering the Contract to either us or the financial professional who sold it. This is known as a “Free Look.” We ask that you submit your request to cancel in writing, signed by you, to us (e.g., the Annuity Service Office) or to the financial professional who sold it. When you cancel the Contract within this Free Look period, we will not assess a Withdrawal Charge. You will receive (i) whatever your Contract is worth on the day that we receive your cancellation request (although we will apply an Interim Value calculation), plus</w:t>
      </w:r>
    </w:p>
    <w:p>
      <w:pPr>
        <w:spacing w:after="0" w:line="3" w:lineRule="exact"/>
        <w:rPr>
          <w:sz w:val="20"/>
          <w:szCs w:val="20"/>
          <w:color w:val="auto"/>
        </w:rPr>
      </w:pPr>
    </w:p>
    <w:p>
      <w:pPr>
        <w:jc w:val="both"/>
        <w:ind w:right="3839" w:firstLine="8"/>
        <w:spacing w:after="0" w:line="253" w:lineRule="auto"/>
        <w:tabs>
          <w:tab w:leader="none" w:pos="182"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sum of all fees, taxes and charges deducted from the Purchase Payment during the Free Look period. The amount you receive may be more or less than your Purchase Payment depending upon the Shield Options you allocated your Purchase Payment to during the Free Look period. This means that you bear the risk of any decline in the Account Value of your Contract during the Free Look period.</w:t>
      </w:r>
    </w:p>
    <w:p>
      <w:pPr>
        <w:spacing w:after="0" w:line="60" w:lineRule="exact"/>
        <w:rPr>
          <w:sz w:val="20"/>
          <w:szCs w:val="20"/>
          <w:color w:val="auto"/>
        </w:rPr>
      </w:pPr>
    </w:p>
    <w:p>
      <w:pPr>
        <w:jc w:val="both"/>
        <w:ind w:right="3839" w:firstLine="39"/>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Free Withdrawal Amount. </w:t>
      </w:r>
      <w:r>
        <w:rPr>
          <w:rFonts w:ascii="Times New Roman" w:cs="Times New Roman" w:eastAsia="Times New Roman" w:hAnsi="Times New Roman"/>
          <w:sz w:val="12"/>
          <w:szCs w:val="12"/>
          <w:color w:val="auto"/>
        </w:rPr>
        <w:t>The Free Withdrawal Amount in the first Contract Year is zero. Thereafter,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Free Withdrawal Amount each Contract Year is equal to 10% of your Account Value as of the prior Contract Anniversary, less the total amount withdrawn from the Account Value in the current Contract Year. The Free Withdrawal Amount is non-cumulative and is not carried over to other Contract Years.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Account.</w:t>
      </w:r>
      <w:r>
        <w:rPr>
          <w:rFonts w:ascii="Times New Roman" w:cs="Times New Roman" w:eastAsia="Times New Roman" w:hAnsi="Times New Roman"/>
          <w:sz w:val="12"/>
          <w:szCs w:val="12"/>
          <w:color w:val="auto"/>
        </w:rPr>
        <w:t xml:space="preserve">   Comprised of BLNY’s assets, other than assets in any separate accounts it may maintain.</w:t>
      </w:r>
    </w:p>
    <w:p>
      <w:pPr>
        <w:spacing w:after="0" w:line="78" w:lineRule="exact"/>
        <w:rPr>
          <w:sz w:val="20"/>
          <w:szCs w:val="20"/>
          <w:color w:val="auto"/>
        </w:rPr>
      </w:pPr>
    </w:p>
    <w:p>
      <w:pPr>
        <w:jc w:val="both"/>
        <w:ind w:right="3839"/>
        <w:spacing w:after="0" w:line="253" w:lineRule="auto"/>
        <w:rPr>
          <w:sz w:val="20"/>
          <w:szCs w:val="20"/>
          <w:color w:val="auto"/>
        </w:rPr>
      </w:pPr>
      <w:r>
        <w:rPr>
          <w:rFonts w:ascii="Times New Roman" w:cs="Times New Roman" w:eastAsia="Times New Roman" w:hAnsi="Times New Roman"/>
          <w:sz w:val="12"/>
          <w:szCs w:val="12"/>
          <w:b w:val="1"/>
          <w:bCs w:val="1"/>
          <w:color w:val="auto"/>
        </w:rPr>
        <w:t>Good Order.</w:t>
      </w:r>
      <w:r>
        <w:rPr>
          <w:rFonts w:ascii="Times New Roman" w:cs="Times New Roman" w:eastAsia="Times New Roman" w:hAnsi="Times New Roman"/>
          <w:sz w:val="12"/>
          <w:szCs w:val="12"/>
          <w:color w:val="auto"/>
        </w:rPr>
        <w:t xml:space="preserve">  A request or transaction generally is considered in “Good Order” if it complies with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administrative procedures and the required information is complete and accurate. A request or transaction may be rejected or delayed if not in Good Order. Good Order generally means the actual receipt by us of the instructions relating to the requested transaction in writing (or, when permitted, by telephone) along with all forms, information and supporting legal documentation necessary to effect the transaction. This information and documentation generally includes to the extent applicable to the transaction: your completed application; your contract number; the transaction amount (in dollars or percentage terms); the names and allocations to and/or from the Shield Options, or the Fixed Account if applicable, affected by the requested transaction; the signatures of all Contract Owners (exactly as indicated on the contract), if necessary; Social Security Number or Tax I.D.; and any other information or supporting documentation that we may require, including any spousal or Joint Owner’s consents. With respect to Purchase Payments, Good Order also generally includes receipt by us of sufficient funds to effect the purchase. We may, in our sole discretion, determine whether any particular transaction request is in Good Order, and we reserve the right to change or waive any Good Order requirement at any time. If you have any questions, you should contact us or your financial professional before submitting the form or request.</w:t>
      </w:r>
    </w:p>
    <w:p>
      <w:pPr>
        <w:spacing w:after="0" w:line="60" w:lineRule="exact"/>
        <w:rPr>
          <w:sz w:val="20"/>
          <w:szCs w:val="20"/>
          <w:color w:val="auto"/>
        </w:rPr>
      </w:pPr>
    </w:p>
    <w:p>
      <w:pPr>
        <w:jc w:val="both"/>
        <w:ind w:right="3839"/>
        <w:spacing w:after="0" w:line="259" w:lineRule="auto"/>
        <w:rPr>
          <w:sz w:val="20"/>
          <w:szCs w:val="20"/>
          <w:color w:val="auto"/>
        </w:rPr>
      </w:pPr>
      <w:r>
        <w:rPr>
          <w:rFonts w:ascii="Times New Roman" w:cs="Times New Roman" w:eastAsia="Times New Roman" w:hAnsi="Times New Roman"/>
          <w:sz w:val="12"/>
          <w:szCs w:val="12"/>
          <w:b w:val="1"/>
          <w:bCs w:val="1"/>
          <w:color w:val="auto"/>
        </w:rPr>
        <w:t>Holding Account.</w:t>
      </w:r>
      <w:r>
        <w:rPr>
          <w:rFonts w:ascii="Times New Roman" w:cs="Times New Roman" w:eastAsia="Times New Roman" w:hAnsi="Times New Roman"/>
          <w:sz w:val="12"/>
          <w:szCs w:val="12"/>
          <w:color w:val="auto"/>
        </w:rPr>
        <w:t xml:space="preserve">  An account that may hold Account Value prior to being transferred to the Shield Option(s)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and/or the Fixed Account in accordance with your allocation instructions. Transfers can only occur on a Contract Anniversary. The Holding Account has its own Holding Account interest rate, which is a fixed interest rate, and interest is credited daily at an effective annual rate that we declare periodically. The Holding Account is part of the General Account assets of BLNY.</w:t>
      </w:r>
    </w:p>
    <w:p>
      <w:pPr>
        <w:spacing w:after="0" w:line="56" w:lineRule="exact"/>
        <w:rPr>
          <w:sz w:val="20"/>
          <w:szCs w:val="20"/>
          <w:color w:val="auto"/>
        </w:rPr>
      </w:pPr>
    </w:p>
    <w:p>
      <w:pPr>
        <w:jc w:val="both"/>
        <w:ind w:right="3839"/>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Index (Indices). </w:t>
      </w:r>
      <w:r>
        <w:rPr>
          <w:rFonts w:ascii="Times New Roman" w:cs="Times New Roman" w:eastAsia="Times New Roman" w:hAnsi="Times New Roman"/>
          <w:sz w:val="12"/>
          <w:szCs w:val="12"/>
          <w:color w:val="auto"/>
        </w:rPr>
        <w:t>The underlying index associated with a Shield Option which is used to determine the Index</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Performance on a Term End Date. We currently offer Shield Options with indices based on the performance of securities. In the future we may offer Shield Options based on other types of Indices. We may also add other indices at our discretion.</w:t>
      </w:r>
    </w:p>
    <w:p>
      <w:pPr>
        <w:spacing w:after="0" w:line="45" w:lineRule="exact"/>
        <w:rPr>
          <w:sz w:val="20"/>
          <w:szCs w:val="20"/>
          <w:color w:val="auto"/>
        </w:rPr>
      </w:pPr>
    </w:p>
    <w:p>
      <w:pPr>
        <w:jc w:val="both"/>
        <w:ind w:right="3839"/>
        <w:spacing w:after="0" w:line="286" w:lineRule="auto"/>
        <w:rPr>
          <w:sz w:val="20"/>
          <w:szCs w:val="20"/>
          <w:color w:val="auto"/>
        </w:rPr>
      </w:pPr>
      <w:r>
        <w:rPr>
          <w:rFonts w:ascii="Times New Roman" w:cs="Times New Roman" w:eastAsia="Times New Roman" w:hAnsi="Times New Roman"/>
          <w:sz w:val="12"/>
          <w:szCs w:val="12"/>
          <w:b w:val="1"/>
          <w:bCs w:val="1"/>
          <w:color w:val="auto"/>
        </w:rPr>
        <w:t>Index Performance.</w:t>
      </w:r>
      <w:r>
        <w:rPr>
          <w:rFonts w:ascii="Times New Roman" w:cs="Times New Roman" w:eastAsia="Times New Roman" w:hAnsi="Times New Roman"/>
          <w:sz w:val="12"/>
          <w:szCs w:val="12"/>
          <w:color w:val="auto"/>
        </w:rPr>
        <w:t xml:space="preserve">  The percentage change in the Index Value measured from the Term Start Date to any day,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including the Term End Date, within the Term. Index Performance can be positive, zero or negative.</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9359"/>
          </w:cols>
          <w:pgMar w:left="1100" w:top="962" w:right="1440" w:bottom="1440" w:gutter="0" w:footer="0" w:header="0"/>
        </w:sectPr>
      </w:pPr>
    </w:p>
    <w:bookmarkStart w:id="7" w:name="page8"/>
    <w:bookmarkEnd w:id="7"/>
    <w:p>
      <w:pPr>
        <w:jc w:val="both"/>
        <w:ind w:right="3839"/>
        <w:spacing w:after="0" w:line="262"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57395" cy="36830"/>
                    </a:xfrm>
                    <a:prstGeom prst="rect">
                      <a:avLst/>
                    </a:prstGeom>
                    <a:noFill/>
                  </pic:spPr>
                </pic:pic>
              </a:graphicData>
            </a:graphic>
          </wp:anchor>
        </w:drawing>
        <w:t>Index Value.</w:t>
      </w:r>
      <w:r>
        <w:rPr>
          <w:rFonts w:ascii="Times New Roman" w:cs="Times New Roman" w:eastAsia="Times New Roman" w:hAnsi="Times New Roman"/>
          <w:sz w:val="12"/>
          <w:szCs w:val="12"/>
          <w:color w:val="auto"/>
        </w:rPr>
        <w:t xml:space="preserve">  The Index Value of an Index, on a Business Day, is the published closing value of the Index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that Business Day. The Index Value on any day that is not a Business Day is the value as of the prior Business Day. If an Index Value is not published on a Business Day, the closing Index Value on the next Business Day on which the Index Value is published will be used.</w:t>
      </w:r>
    </w:p>
    <w:p>
      <w:pPr>
        <w:spacing w:after="0" w:line="45" w:lineRule="exact"/>
        <w:rPr>
          <w:sz w:val="20"/>
          <w:szCs w:val="20"/>
          <w:color w:val="auto"/>
        </w:rPr>
      </w:pPr>
    </w:p>
    <w:p>
      <w:pPr>
        <w:jc w:val="both"/>
        <w:ind w:right="3839"/>
        <w:spacing w:after="0" w:line="259" w:lineRule="auto"/>
        <w:rPr>
          <w:sz w:val="20"/>
          <w:szCs w:val="20"/>
          <w:color w:val="auto"/>
        </w:rPr>
      </w:pPr>
      <w:r>
        <w:rPr>
          <w:rFonts w:ascii="Times New Roman" w:cs="Times New Roman" w:eastAsia="Times New Roman" w:hAnsi="Times New Roman"/>
          <w:sz w:val="12"/>
          <w:szCs w:val="12"/>
          <w:b w:val="1"/>
          <w:bCs w:val="1"/>
          <w:color w:val="auto"/>
        </w:rPr>
        <w:t>Interim Value.</w:t>
      </w:r>
      <w:r>
        <w:rPr>
          <w:rFonts w:ascii="Times New Roman" w:cs="Times New Roman" w:eastAsia="Times New Roman" w:hAnsi="Times New Roman"/>
          <w:sz w:val="12"/>
          <w:szCs w:val="12"/>
          <w:color w:val="auto"/>
        </w:rPr>
        <w:t xml:space="preserve">  For each Shield Option, Interim Value is the value we assign on any Business Day other than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Term Start Date and the Term End Date. During the Transfer Period, the Interim Value of each Shield Option is equal to the Investment Amount at the Term End Date in that Shield Option. After the Transfer Period, the Interim Value is a calculated value (as described in the “Interim Value Calculation” section) and is the amount that is available for annuitization, death benefits, withdrawals, Surrenders, and Performance Lock.</w:t>
      </w:r>
    </w:p>
    <w:p>
      <w:pPr>
        <w:spacing w:after="0" w:line="47" w:lineRule="exact"/>
        <w:rPr>
          <w:sz w:val="20"/>
          <w:szCs w:val="20"/>
          <w:color w:val="auto"/>
        </w:rPr>
      </w:pPr>
    </w:p>
    <w:p>
      <w:pPr>
        <w:jc w:val="both"/>
        <w:ind w:right="3839"/>
        <w:spacing w:after="0" w:line="257" w:lineRule="auto"/>
        <w:rPr>
          <w:sz w:val="20"/>
          <w:szCs w:val="20"/>
          <w:color w:val="auto"/>
        </w:rPr>
      </w:pPr>
      <w:r>
        <w:rPr>
          <w:rFonts w:ascii="Times New Roman" w:cs="Times New Roman" w:eastAsia="Times New Roman" w:hAnsi="Times New Roman"/>
          <w:sz w:val="12"/>
          <w:szCs w:val="12"/>
          <w:b w:val="1"/>
          <w:bCs w:val="1"/>
          <w:color w:val="auto"/>
        </w:rPr>
        <w:t>Investment Amount.</w:t>
      </w:r>
      <w:r>
        <w:rPr>
          <w:rFonts w:ascii="Times New Roman" w:cs="Times New Roman" w:eastAsia="Times New Roman" w:hAnsi="Times New Roman"/>
          <w:sz w:val="12"/>
          <w:szCs w:val="12"/>
          <w:color w:val="auto"/>
        </w:rPr>
        <w:t xml:space="preserve">  The Investment Amount, for any Shield Option, is the amount that is allocated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Shield Option at the Term Start Date, reduced proportionately for any withdrawals at the time of such withdrawals (including any applicable Withdrawal Charge) by the same percentage that the withdrawal reduces the Interim Value attributable to that Shield Option, and then, at Term End Date, adjusted by the Performance Rate. The remaining Investment Amount after a withdrawal will be used as the new Investment Amount for the Term until the Term End Date or the next Interim Value calculation for that Shield Option.</w:t>
      </w:r>
    </w:p>
    <w:p>
      <w:pPr>
        <w:spacing w:after="0" w:line="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2"/>
          <w:szCs w:val="12"/>
          <w:b w:val="1"/>
          <w:bCs w:val="1"/>
          <w:color w:val="auto"/>
        </w:rPr>
        <w:t>Issue Date.</w:t>
      </w:r>
      <w:r>
        <w:rPr>
          <w:sz w:val="20"/>
          <w:szCs w:val="20"/>
          <w:color w:val="auto"/>
        </w:rPr>
        <w:tab/>
      </w:r>
      <w:r>
        <w:rPr>
          <w:rFonts w:ascii="Times New Roman" w:cs="Times New Roman" w:eastAsia="Times New Roman" w:hAnsi="Times New Roman"/>
          <w:sz w:val="11"/>
          <w:szCs w:val="11"/>
          <w:color w:val="auto"/>
        </w:rPr>
        <w:t>The date the Contract is issued.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Joint Annuitant.</w:t>
      </w:r>
      <w:r>
        <w:rPr>
          <w:rFonts w:ascii="Times New Roman" w:cs="Times New Roman" w:eastAsia="Times New Roman" w:hAnsi="Times New Roman"/>
          <w:sz w:val="12"/>
          <w:szCs w:val="12"/>
          <w:color w:val="auto"/>
        </w:rPr>
        <w:t xml:space="preserve">   If there is more than one Annuitant, each Annuitant will be a Joint Annuitant of the Contract.</w:t>
      </w:r>
    </w:p>
    <w:p>
      <w:pPr>
        <w:spacing w:after="0" w:line="78" w:lineRule="exact"/>
        <w:rPr>
          <w:sz w:val="20"/>
          <w:szCs w:val="20"/>
          <w:color w:val="auto"/>
        </w:rPr>
      </w:pPr>
    </w:p>
    <w:p>
      <w:pPr>
        <w:jc w:val="both"/>
        <w:ind w:right="3859"/>
        <w:spacing w:after="0" w:line="286" w:lineRule="auto"/>
        <w:rPr>
          <w:sz w:val="20"/>
          <w:szCs w:val="20"/>
          <w:color w:val="auto"/>
        </w:rPr>
      </w:pPr>
      <w:r>
        <w:rPr>
          <w:rFonts w:ascii="Times New Roman" w:cs="Times New Roman" w:eastAsia="Times New Roman" w:hAnsi="Times New Roman"/>
          <w:sz w:val="12"/>
          <w:szCs w:val="12"/>
          <w:b w:val="1"/>
          <w:bCs w:val="1"/>
          <w:color w:val="auto"/>
        </w:rPr>
        <w:t>Joint Owner.</w:t>
      </w:r>
      <w:r>
        <w:rPr>
          <w:rFonts w:ascii="Times New Roman" w:cs="Times New Roman" w:eastAsia="Times New Roman" w:hAnsi="Times New Roman"/>
          <w:sz w:val="12"/>
          <w:szCs w:val="12"/>
          <w:color w:val="auto"/>
        </w:rPr>
        <w:t xml:space="preserve">  If there is more than one Owner, each Owner will be a Joint Owner of the Contract. Joint Owners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are limited to natural persons.</w:t>
      </w:r>
    </w:p>
    <w:p>
      <w:pPr>
        <w:spacing w:after="0" w:line="31" w:lineRule="exact"/>
        <w:rPr>
          <w:sz w:val="20"/>
          <w:szCs w:val="20"/>
          <w:color w:val="auto"/>
        </w:rPr>
      </w:pPr>
    </w:p>
    <w:p>
      <w:pPr>
        <w:jc w:val="both"/>
        <w:ind w:right="3839"/>
        <w:spacing w:after="0" w:line="278" w:lineRule="auto"/>
        <w:rPr>
          <w:sz w:val="20"/>
          <w:szCs w:val="20"/>
          <w:color w:val="auto"/>
        </w:rPr>
      </w:pPr>
      <w:r>
        <w:rPr>
          <w:rFonts w:ascii="Times New Roman" w:cs="Times New Roman" w:eastAsia="Times New Roman" w:hAnsi="Times New Roman"/>
          <w:sz w:val="12"/>
          <w:szCs w:val="12"/>
          <w:b w:val="1"/>
          <w:bCs w:val="1"/>
          <w:color w:val="auto"/>
        </w:rPr>
        <w:t>Maturity Date.</w:t>
      </w:r>
      <w:r>
        <w:rPr>
          <w:rFonts w:ascii="Times New Roman" w:cs="Times New Roman" w:eastAsia="Times New Roman" w:hAnsi="Times New Roman"/>
          <w:sz w:val="12"/>
          <w:szCs w:val="12"/>
          <w:color w:val="auto"/>
        </w:rPr>
        <w:t xml:space="preserve">  The Maturity Date is the Contract Anniversary after the oldest Owner’s 90th birthday or 10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years from the date we issue your Contract, whichever is later. The Contract will be annuitized at the Maturity Date.</w:t>
      </w:r>
    </w:p>
    <w:p>
      <w:pPr>
        <w:spacing w:after="0" w:line="184" w:lineRule="exact"/>
        <w:rPr>
          <w:sz w:val="20"/>
          <w:szCs w:val="20"/>
          <w:color w:val="auto"/>
        </w:rPr>
      </w:pPr>
    </w:p>
    <w:p>
      <w:pPr>
        <w:jc w:val="both"/>
        <w:ind w:right="383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Minimum Account Value. </w:t>
      </w:r>
      <w:r>
        <w:rPr>
          <w:rFonts w:ascii="Times New Roman" w:cs="Times New Roman" w:eastAsia="Times New Roman" w:hAnsi="Times New Roman"/>
          <w:sz w:val="12"/>
          <w:szCs w:val="12"/>
          <w:color w:val="auto"/>
        </w:rPr>
        <w:t>$2,000. If your Account Value falls below the Minimum Account Value as a result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 withdrawal (including any applicable Withdrawal Charge) we will treat the withdrawal request as a request for a full withdrawal.</w:t>
      </w:r>
    </w:p>
    <w:p>
      <w:pPr>
        <w:spacing w:after="0" w:line="42" w:lineRule="exact"/>
        <w:rPr>
          <w:sz w:val="20"/>
          <w:szCs w:val="20"/>
          <w:color w:val="auto"/>
        </w:rPr>
      </w:pPr>
    </w:p>
    <w:p>
      <w:pPr>
        <w:jc w:val="both"/>
        <w:ind w:right="383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Minimum Guaranteed Cap Rate. </w:t>
      </w:r>
      <w:r>
        <w:rPr>
          <w:rFonts w:ascii="Times New Roman" w:cs="Times New Roman" w:eastAsia="Times New Roman" w:hAnsi="Times New Roman"/>
          <w:sz w:val="12"/>
          <w:szCs w:val="12"/>
          <w:color w:val="auto"/>
        </w:rPr>
        <w:t>The actual Minimum Guaranteed Cap Rate for your Contract is the amount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shown in the applicable Shield Option Rider attached to your Contract, but the rate will not be less than 3.5%. See “RATE CREDITING TYPES—Cap Rate."</w:t>
      </w:r>
    </w:p>
    <w:p>
      <w:pPr>
        <w:spacing w:after="0" w:line="42" w:lineRule="exact"/>
        <w:rPr>
          <w:sz w:val="20"/>
          <w:szCs w:val="20"/>
          <w:color w:val="auto"/>
        </w:rPr>
      </w:pPr>
    </w:p>
    <w:p>
      <w:pPr>
        <w:jc w:val="both"/>
        <w:ind w:right="383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Minimum Guaranteed Edge Rate. </w:t>
      </w:r>
      <w:r>
        <w:rPr>
          <w:rFonts w:ascii="Times New Roman" w:cs="Times New Roman" w:eastAsia="Times New Roman" w:hAnsi="Times New Roman"/>
          <w:sz w:val="12"/>
          <w:szCs w:val="12"/>
          <w:color w:val="auto"/>
        </w:rPr>
        <w:t>The actual Minimum Guaranteed Edge Rate for your Contract is the amount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shown in the Step Rate Edge Shield Option Rider attached to your Contract, but the rate will not be less than what is shown in the Minimum Guaranteed Edge Rates table. See “RATE CREDITING TYPES—Step Rate Edge."</w:t>
      </w:r>
    </w:p>
    <w:p>
      <w:pPr>
        <w:spacing w:after="0" w:line="42" w:lineRule="exact"/>
        <w:rPr>
          <w:sz w:val="20"/>
          <w:szCs w:val="20"/>
          <w:color w:val="auto"/>
        </w:rPr>
      </w:pPr>
    </w:p>
    <w:p>
      <w:pPr>
        <w:jc w:val="both"/>
        <w:ind w:right="3839"/>
        <w:spacing w:after="0" w:line="262" w:lineRule="auto"/>
        <w:rPr>
          <w:sz w:val="20"/>
          <w:szCs w:val="20"/>
          <w:color w:val="auto"/>
        </w:rPr>
      </w:pPr>
      <w:r>
        <w:rPr>
          <w:rFonts w:ascii="Times New Roman" w:cs="Times New Roman" w:eastAsia="Times New Roman" w:hAnsi="Times New Roman"/>
          <w:sz w:val="12"/>
          <w:szCs w:val="12"/>
          <w:b w:val="1"/>
          <w:bCs w:val="1"/>
          <w:color w:val="auto"/>
        </w:rPr>
        <w:t>Minimum Guaranteed Interest Rate.</w:t>
      </w:r>
      <w:r>
        <w:rPr>
          <w:rFonts w:ascii="Times New Roman" w:cs="Times New Roman" w:eastAsia="Times New Roman" w:hAnsi="Times New Roman"/>
          <w:sz w:val="12"/>
          <w:szCs w:val="12"/>
          <w:color w:val="auto"/>
        </w:rPr>
        <w:t xml:space="preserve">  The current Minimum Guaranteed Interest Rate will not be less than 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interest rate is guaranteed to be a rate not less than the minimum interest rate allowed by state law—see Appendix E. The actual Minimum Guaranteed Interest Rate for your Contract is the amount shown in the Fixed Account Rider attached to your Contract and applies only to amounts in the Fixed Account.</w:t>
      </w:r>
    </w:p>
    <w:p>
      <w:pPr>
        <w:spacing w:after="0" w:line="45" w:lineRule="exact"/>
        <w:rPr>
          <w:sz w:val="20"/>
          <w:szCs w:val="20"/>
          <w:color w:val="auto"/>
        </w:rPr>
      </w:pPr>
    </w:p>
    <w:p>
      <w:pPr>
        <w:jc w:val="both"/>
        <w:ind w:right="3839"/>
        <w:spacing w:after="0" w:line="268" w:lineRule="auto"/>
        <w:rPr>
          <w:sz w:val="20"/>
          <w:szCs w:val="20"/>
          <w:color w:val="auto"/>
        </w:rPr>
      </w:pPr>
      <w:r>
        <w:rPr>
          <w:rFonts w:ascii="Times New Roman" w:cs="Times New Roman" w:eastAsia="Times New Roman" w:hAnsi="Times New Roman"/>
          <w:sz w:val="12"/>
          <w:szCs w:val="12"/>
          <w:b w:val="1"/>
          <w:bCs w:val="1"/>
          <w:color w:val="auto"/>
        </w:rPr>
        <w:t>Minimum Guaranteed Step Rate.</w:t>
      </w:r>
      <w:r>
        <w:rPr>
          <w:rFonts w:ascii="Times New Roman" w:cs="Times New Roman" w:eastAsia="Times New Roman" w:hAnsi="Times New Roman"/>
          <w:sz w:val="12"/>
          <w:szCs w:val="12"/>
          <w:color w:val="auto"/>
        </w:rPr>
        <w:t xml:space="preserve">  The actual Minimum Guaranteed Step Rate for your Contract is the amount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shown in the Step Rate Shield Option Rider attached to your Contract, but the rate will not be less than what is shown in the Minimum Guaranteed Step Rates table. See “RATE CREDITING TYPES—Step Rate."</w:t>
      </w:r>
    </w:p>
    <w:p>
      <w:pPr>
        <w:spacing w:after="0" w:line="42" w:lineRule="exact"/>
        <w:rPr>
          <w:sz w:val="20"/>
          <w:szCs w:val="20"/>
          <w:color w:val="auto"/>
        </w:rPr>
      </w:pPr>
    </w:p>
    <w:p>
      <w:pPr>
        <w:jc w:val="both"/>
        <w:ind w:right="3839"/>
        <w:spacing w:after="0" w:line="262" w:lineRule="auto"/>
        <w:rPr>
          <w:sz w:val="20"/>
          <w:szCs w:val="20"/>
          <w:color w:val="auto"/>
        </w:rPr>
      </w:pPr>
      <w:r>
        <w:rPr>
          <w:rFonts w:ascii="Times New Roman" w:cs="Times New Roman" w:eastAsia="Times New Roman" w:hAnsi="Times New Roman"/>
          <w:sz w:val="12"/>
          <w:szCs w:val="12"/>
          <w:b w:val="1"/>
          <w:bCs w:val="1"/>
          <w:color w:val="auto"/>
        </w:rPr>
        <w:t>Notice.</w:t>
      </w:r>
      <w:r>
        <w:rPr>
          <w:rFonts w:ascii="Times New Roman" w:cs="Times New Roman" w:eastAsia="Times New Roman" w:hAnsi="Times New Roman"/>
          <w:sz w:val="12"/>
          <w:szCs w:val="12"/>
          <w:color w:val="auto"/>
        </w:rPr>
        <w:t xml:space="preserve">  Any form of communication providing information we need, either in a signed writing or another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manner that we approve in advance. All Notices to us must be sent to our Annuity Service Office and received in Good Order. To be effective for a Business Day, a Notice must be received in Good Order prior to the end of that Business Day.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NYSE.</w:t>
      </w:r>
      <w:r>
        <w:rPr>
          <w:rFonts w:ascii="Times New Roman" w:cs="Times New Roman" w:eastAsia="Times New Roman" w:hAnsi="Times New Roman"/>
          <w:sz w:val="12"/>
          <w:szCs w:val="12"/>
          <w:color w:val="auto"/>
        </w:rPr>
        <w:t xml:space="preserve">   New York Stock Exchange.</w:t>
      </w:r>
    </w:p>
    <w:p>
      <w:pPr>
        <w:spacing w:after="0" w:line="78" w:lineRule="exact"/>
        <w:rPr>
          <w:sz w:val="20"/>
          <w:szCs w:val="20"/>
          <w:color w:val="auto"/>
        </w:rPr>
      </w:pPr>
    </w:p>
    <w:p>
      <w:pPr>
        <w:jc w:val="both"/>
        <w:ind w:right="3839"/>
        <w:spacing w:after="0" w:line="268" w:lineRule="auto"/>
        <w:rPr>
          <w:sz w:val="20"/>
          <w:szCs w:val="20"/>
          <w:color w:val="auto"/>
        </w:rPr>
      </w:pPr>
      <w:r>
        <w:rPr>
          <w:rFonts w:ascii="Times New Roman" w:cs="Times New Roman" w:eastAsia="Times New Roman" w:hAnsi="Times New Roman"/>
          <w:sz w:val="12"/>
          <w:szCs w:val="12"/>
          <w:b w:val="1"/>
          <w:bCs w:val="1"/>
          <w:color w:val="auto"/>
        </w:rPr>
        <w:t>Owner (“you”, “yours”).</w:t>
      </w:r>
      <w:r>
        <w:rPr>
          <w:rFonts w:ascii="Times New Roman" w:cs="Times New Roman" w:eastAsia="Times New Roman" w:hAnsi="Times New Roman"/>
          <w:sz w:val="12"/>
          <w:szCs w:val="12"/>
          <w:color w:val="auto"/>
        </w:rPr>
        <w:t xml:space="preserve">  The person(s) entitled to the ownership rights under the Contract. Subject to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administrative procedures, we may also permit ownership by a corporation (a type of non-natural person) or certain other legal entities. If Joint Owners are named, all references to Owner shall mean Joint Owners.</w:t>
      </w:r>
    </w:p>
    <w:p>
      <w:pPr>
        <w:spacing w:after="0" w:line="42" w:lineRule="exact"/>
        <w:rPr>
          <w:sz w:val="20"/>
          <w:szCs w:val="20"/>
          <w:color w:val="auto"/>
        </w:rPr>
      </w:pPr>
    </w:p>
    <w:p>
      <w:pPr>
        <w:jc w:val="both"/>
        <w:ind w:right="3839"/>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Performance Lock. </w:t>
      </w:r>
      <w:r>
        <w:rPr>
          <w:rFonts w:ascii="Times New Roman" w:cs="Times New Roman" w:eastAsia="Times New Roman" w:hAnsi="Times New Roman"/>
          <w:sz w:val="12"/>
          <w:szCs w:val="12"/>
          <w:color w:val="auto"/>
        </w:rPr>
        <w:t>A feature that allows you the option to lock in the Interim Value of a Shield Option and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 automatically included with your Contract on the Issue Date for no additional charge.</w:t>
      </w:r>
    </w:p>
    <w:p>
      <w:pPr>
        <w:spacing w:after="0" w:line="31" w:lineRule="exact"/>
        <w:rPr>
          <w:sz w:val="20"/>
          <w:szCs w:val="20"/>
          <w:color w:val="auto"/>
        </w:rPr>
      </w:pPr>
    </w:p>
    <w:p>
      <w:pPr>
        <w:jc w:val="both"/>
        <w:ind w:right="383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Performance Lock Value. </w:t>
      </w:r>
      <w:r>
        <w:rPr>
          <w:rFonts w:ascii="Times New Roman" w:cs="Times New Roman" w:eastAsia="Times New Roman" w:hAnsi="Times New Roman"/>
          <w:sz w:val="12"/>
          <w:szCs w:val="12"/>
          <w:color w:val="auto"/>
        </w:rPr>
        <w:t>The value of a Shield Option after exercising Performance Lock. The Performance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Lock Value is equal to the Interim Value at the end of the Business Day that you exercise Performance Lock, reduced by the dollar amount of any subsequent withdrawals (including any applicable Withdrawal Charges).</w:t>
      </w:r>
    </w:p>
    <w:p>
      <w:pPr>
        <w:spacing w:after="0" w:line="17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9359"/>
          </w:cols>
          <w:pgMar w:left="1100" w:top="962" w:right="1440" w:bottom="1440" w:gutter="0" w:footer="0" w:header="0"/>
        </w:sectPr>
      </w:pPr>
    </w:p>
    <w:bookmarkStart w:id="8" w:name="page9"/>
    <w:bookmarkEnd w:id="8"/>
    <w:p>
      <w:pPr>
        <w:jc w:val="both"/>
        <w:ind w:right="3839"/>
        <w:spacing w:after="0" w:line="259"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57395" cy="36830"/>
                    </a:xfrm>
                    <a:prstGeom prst="rect">
                      <a:avLst/>
                    </a:prstGeom>
                    <a:noFill/>
                  </pic:spPr>
                </pic:pic>
              </a:graphicData>
            </a:graphic>
          </wp:anchor>
        </w:drawing>
        <w:t>Performance Rate.</w:t>
      </w:r>
      <w:r>
        <w:rPr>
          <w:rFonts w:ascii="Times New Roman" w:cs="Times New Roman" w:eastAsia="Times New Roman" w:hAnsi="Times New Roman"/>
          <w:sz w:val="12"/>
          <w:szCs w:val="12"/>
          <w:color w:val="auto"/>
        </w:rPr>
        <w:t xml:space="preserve">  The rate credited at the Term End Date and is based on the Index Performance, adjusted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applicable Shield Rate, Cap Rate, Step Rate, or Edge Rate. The Performance Rate represents a percentage that can be positive, zero or negative. At the Term End Date, any increase or reduction in the Investment Amount in a particular Shield Option is determined by multiplying the Performance Rate by the Investment Amount of the Shield Option on the last day of the Term.</w:t>
      </w:r>
    </w:p>
    <w:p>
      <w:pPr>
        <w:spacing w:after="0" w:line="47" w:lineRule="exact"/>
        <w:rPr>
          <w:sz w:val="20"/>
          <w:szCs w:val="20"/>
          <w:color w:val="auto"/>
        </w:rPr>
      </w:pPr>
    </w:p>
    <w:p>
      <w:pPr>
        <w:jc w:val="both"/>
        <w:ind w:right="3839"/>
        <w:spacing w:after="0" w:line="262" w:lineRule="auto"/>
        <w:rPr>
          <w:sz w:val="20"/>
          <w:szCs w:val="20"/>
          <w:color w:val="auto"/>
        </w:rPr>
      </w:pPr>
      <w:r>
        <w:rPr>
          <w:rFonts w:ascii="Times New Roman" w:cs="Times New Roman" w:eastAsia="Times New Roman" w:hAnsi="Times New Roman"/>
          <w:sz w:val="12"/>
          <w:szCs w:val="12"/>
          <w:b w:val="1"/>
          <w:bCs w:val="1"/>
          <w:color w:val="auto"/>
        </w:rPr>
        <w:t>Performance Rate Adjustment.</w:t>
      </w:r>
      <w:r>
        <w:rPr>
          <w:rFonts w:ascii="Times New Roman" w:cs="Times New Roman" w:eastAsia="Times New Roman" w:hAnsi="Times New Roman"/>
          <w:sz w:val="12"/>
          <w:szCs w:val="12"/>
          <w:color w:val="auto"/>
        </w:rPr>
        <w:t xml:space="preserve">  The adjustment made to the Investment Amount for each Shield Option on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Term End Date. The Performance Rate Adjustment represents a dollar amount that can be positive, zero or negative. When the Performance Rate Adjustment is positive we may also refer to this adjustment as “earnings.” When the Performance Rate Adjustment is negative we may also refer to this adjustment as “losses.”</w:t>
      </w:r>
    </w:p>
    <w:p>
      <w:pPr>
        <w:spacing w:after="0" w:line="45" w:lineRule="exact"/>
        <w:rPr>
          <w:sz w:val="20"/>
          <w:szCs w:val="20"/>
          <w:color w:val="auto"/>
        </w:rPr>
      </w:pPr>
    </w:p>
    <w:p>
      <w:pPr>
        <w:jc w:val="both"/>
        <w:ind w:right="3839"/>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Premium Tax. </w:t>
      </w:r>
      <w:r>
        <w:rPr>
          <w:rFonts w:ascii="Times New Roman" w:cs="Times New Roman" w:eastAsia="Times New Roman" w:hAnsi="Times New Roman"/>
          <w:sz w:val="12"/>
          <w:szCs w:val="12"/>
          <w:color w:val="auto"/>
        </w:rPr>
        <w:t>The amount of tax, if any, charged by the state or municipality. New York state does not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currently assess Premium Taxes on Purchase Payments.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Purchase Payment.</w:t>
      </w:r>
      <w:r>
        <w:rPr>
          <w:rFonts w:ascii="Times New Roman" w:cs="Times New Roman" w:eastAsia="Times New Roman" w:hAnsi="Times New Roman"/>
          <w:sz w:val="12"/>
          <w:szCs w:val="12"/>
          <w:color w:val="auto"/>
        </w:rPr>
        <w:t xml:space="preserve">   The amount paid to us under the Contract as consideration for the benefits it provides.</w:t>
      </w:r>
    </w:p>
    <w:p>
      <w:pPr>
        <w:spacing w:after="0" w:line="7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2"/>
          <w:szCs w:val="12"/>
          <w:b w:val="1"/>
          <w:bCs w:val="1"/>
          <w:color w:val="auto"/>
        </w:rPr>
        <w:t>Rate Crediting Type.</w:t>
      </w:r>
      <w:r>
        <w:rPr>
          <w:rFonts w:ascii="Times New Roman" w:cs="Times New Roman" w:eastAsia="Times New Roman" w:hAnsi="Times New Roman"/>
          <w:sz w:val="12"/>
          <w:szCs w:val="12"/>
          <w:color w:val="auto"/>
        </w:rPr>
        <w:t xml:space="preserve"> </w:t>
      </w:r>
      <w:r>
        <w:rPr>
          <w:sz w:val="20"/>
          <w:szCs w:val="20"/>
          <w:color w:val="auto"/>
        </w:rPr>
        <w:tab/>
      </w:r>
      <w:r>
        <w:rPr>
          <w:rFonts w:ascii="Times New Roman" w:cs="Times New Roman" w:eastAsia="Times New Roman" w:hAnsi="Times New Roman"/>
          <w:sz w:val="12"/>
          <w:szCs w:val="12"/>
          <w:color w:val="auto"/>
        </w:rPr>
        <w:t>Either the Cap Rate, Step Rate, or Step Rate Edge.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RMD.</w:t>
      </w:r>
      <w:r>
        <w:rPr>
          <w:rFonts w:ascii="Times New Roman" w:cs="Times New Roman" w:eastAsia="Times New Roman" w:hAnsi="Times New Roman"/>
          <w:sz w:val="12"/>
          <w:szCs w:val="12"/>
          <w:color w:val="auto"/>
        </w:rPr>
        <w:t xml:space="preserve">   Required Minimum Distribution.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xml:space="preserve">   Securities and Exchange Commission.</w:t>
      </w:r>
    </w:p>
    <w:p>
      <w:pPr>
        <w:spacing w:after="0" w:line="7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2"/>
          <w:szCs w:val="12"/>
          <w:b w:val="1"/>
          <w:bCs w:val="1"/>
          <w:color w:val="auto"/>
        </w:rPr>
        <w:t>Separate Account.</w:t>
      </w:r>
      <w:r>
        <w:rPr>
          <w:sz w:val="20"/>
          <w:szCs w:val="20"/>
          <w:color w:val="auto"/>
        </w:rPr>
        <w:tab/>
      </w:r>
      <w:r>
        <w:rPr>
          <w:rFonts w:ascii="Times New Roman" w:cs="Times New Roman" w:eastAsia="Times New Roman" w:hAnsi="Times New Roman"/>
          <w:sz w:val="11"/>
          <w:szCs w:val="11"/>
          <w:color w:val="auto"/>
        </w:rPr>
        <w:t>The separate account is Brighthouse Separate Account SA II.</w:t>
      </w:r>
    </w:p>
    <w:p>
      <w:pPr>
        <w:spacing w:after="0" w:line="78" w:lineRule="exact"/>
        <w:rPr>
          <w:sz w:val="20"/>
          <w:szCs w:val="20"/>
          <w:color w:val="auto"/>
        </w:rPr>
      </w:pPr>
    </w:p>
    <w:p>
      <w:pPr>
        <w:jc w:val="both"/>
        <w:ind w:right="3839"/>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Shield 10. </w:t>
      </w:r>
      <w:r>
        <w:rPr>
          <w:rFonts w:ascii="Times New Roman" w:cs="Times New Roman" w:eastAsia="Times New Roman" w:hAnsi="Times New Roman"/>
          <w:sz w:val="12"/>
          <w:szCs w:val="12"/>
          <w:color w:val="auto"/>
        </w:rPr>
        <w:t>The Contract provides downside protection through the Shield 10, which is a Shield Rate where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negative Index Performance of up to 10% of your Investment Amount is absorbed by us at the Term End Date, which would leave you to absorb any remaining negative Index Performance of up to 90% of your Investment Amount.</w:t>
      </w:r>
    </w:p>
    <w:p>
      <w:pPr>
        <w:spacing w:after="0" w:line="45" w:lineRule="exact"/>
        <w:rPr>
          <w:sz w:val="20"/>
          <w:szCs w:val="20"/>
          <w:color w:val="auto"/>
        </w:rPr>
      </w:pPr>
    </w:p>
    <w:p>
      <w:pPr>
        <w:jc w:val="both"/>
        <w:ind w:right="3839"/>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Shield 15. </w:t>
      </w:r>
      <w:r>
        <w:rPr>
          <w:rFonts w:ascii="Times New Roman" w:cs="Times New Roman" w:eastAsia="Times New Roman" w:hAnsi="Times New Roman"/>
          <w:sz w:val="12"/>
          <w:szCs w:val="12"/>
          <w:color w:val="auto"/>
        </w:rPr>
        <w:t>The Contract provides downside protection through the Shield 15, which is a Shield Rate where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negative Index Performance of up to 15% of your Investment Amount is absorbed by us at the Term End Date, which would leave you to absorb any remaining negative Index Performance of up to 85% of your Investment Amount.</w:t>
      </w:r>
    </w:p>
    <w:p>
      <w:pPr>
        <w:spacing w:after="0" w:line="45" w:lineRule="exact"/>
        <w:rPr>
          <w:sz w:val="20"/>
          <w:szCs w:val="20"/>
          <w:color w:val="auto"/>
        </w:rPr>
      </w:pPr>
    </w:p>
    <w:p>
      <w:pPr>
        <w:jc w:val="both"/>
        <w:ind w:right="3839"/>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Shield 25. </w:t>
      </w:r>
      <w:r>
        <w:rPr>
          <w:rFonts w:ascii="Times New Roman" w:cs="Times New Roman" w:eastAsia="Times New Roman" w:hAnsi="Times New Roman"/>
          <w:sz w:val="12"/>
          <w:szCs w:val="12"/>
          <w:color w:val="auto"/>
        </w:rPr>
        <w:t>The Contract provides downside protection through the Shield 25, which is a Shield Rate where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negative Index Performance of up to 25% of your Investment Amount is absorbed by us at the Term End Date, which would leave you to absorb any remaining negative Index Performance of up to 75% of your Investment Amount.</w:t>
      </w:r>
    </w:p>
    <w:p>
      <w:pPr>
        <w:spacing w:after="0" w:line="45" w:lineRule="exact"/>
        <w:rPr>
          <w:sz w:val="20"/>
          <w:szCs w:val="20"/>
          <w:color w:val="auto"/>
        </w:rPr>
      </w:pPr>
    </w:p>
    <w:p>
      <w:pPr>
        <w:jc w:val="both"/>
        <w:ind w:right="3839"/>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Shield Rate. </w:t>
      </w:r>
      <w:r>
        <w:rPr>
          <w:rFonts w:ascii="Times New Roman" w:cs="Times New Roman" w:eastAsia="Times New Roman" w:hAnsi="Times New Roman"/>
          <w:sz w:val="12"/>
          <w:szCs w:val="12"/>
          <w:color w:val="auto"/>
        </w:rPr>
        <w:t>A limited buffer where we absorb part of any negative Index Performance at the Term End Date.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Any negative Index Performance beyond the Shield Rate will reduce the Investment Amount associated with the Shield Option. </w:t>
      </w:r>
      <w:r>
        <w:rPr>
          <w:rFonts w:ascii="Times New Roman" w:cs="Times New Roman" w:eastAsia="Times New Roman" w:hAnsi="Times New Roman"/>
          <w:sz w:val="12"/>
          <w:szCs w:val="12"/>
          <w:b w:val="1"/>
          <w:bCs w:val="1"/>
          <w:color w:val="auto"/>
        </w:rPr>
        <w:t>The Shield Rate may vary between Shield Options and, unless you have a Shield Option with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 1-year Term, is not an annual rate</w:t>
      </w:r>
      <w:r>
        <w:rPr>
          <w:rFonts w:ascii="Times New Roman" w:cs="Times New Roman" w:eastAsia="Times New Roman" w:hAnsi="Times New Roman"/>
          <w:sz w:val="12"/>
          <w:szCs w:val="12"/>
          <w:color w:val="auto"/>
        </w:rPr>
        <w:t>. We currently offer the following Shield Rates: Shield 10, Shield 15,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Shield 25.</w:t>
      </w:r>
    </w:p>
    <w:p>
      <w:pPr>
        <w:spacing w:after="0" w:line="47" w:lineRule="exact"/>
        <w:rPr>
          <w:sz w:val="20"/>
          <w:szCs w:val="20"/>
          <w:color w:val="auto"/>
        </w:rPr>
      </w:pPr>
    </w:p>
    <w:p>
      <w:pPr>
        <w:jc w:val="both"/>
        <w:ind w:right="383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Shield Option. </w:t>
      </w:r>
      <w:r>
        <w:rPr>
          <w:rFonts w:ascii="Times New Roman" w:cs="Times New Roman" w:eastAsia="Times New Roman" w:hAnsi="Times New Roman"/>
          <w:sz w:val="12"/>
          <w:szCs w:val="12"/>
          <w:color w:val="auto"/>
        </w:rPr>
        <w:t>You may allocate your Purchase Payment or transfer your Investment Amount to one or more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available Shield Options. Each Shield Option offered through this Contract has an associated Term, Index, Shield Rate and a Rate Crediting Type.</w:t>
      </w:r>
    </w:p>
    <w:p>
      <w:pPr>
        <w:spacing w:after="0" w:line="42" w:lineRule="exact"/>
        <w:rPr>
          <w:sz w:val="20"/>
          <w:szCs w:val="20"/>
          <w:color w:val="auto"/>
        </w:rPr>
      </w:pPr>
    </w:p>
    <w:p>
      <w:pPr>
        <w:jc w:val="both"/>
        <w:ind w:right="383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Step Rate. </w:t>
      </w:r>
      <w:r>
        <w:rPr>
          <w:rFonts w:ascii="Times New Roman" w:cs="Times New Roman" w:eastAsia="Times New Roman" w:hAnsi="Times New Roman"/>
          <w:sz w:val="12"/>
          <w:szCs w:val="12"/>
          <w:color w:val="auto"/>
        </w:rPr>
        <w:t>The rate credited at the Term End Date if the Index Performance is equal to or greater than zero.</w:t>
      </w:r>
      <w:r>
        <w:rPr>
          <w:rFonts w:ascii="Times New Roman" w:cs="Times New Roman" w:eastAsia="Times New Roman" w:hAnsi="Times New Roman"/>
          <w:sz w:val="12"/>
          <w:szCs w:val="12"/>
          <w:b w:val="1"/>
          <w:bCs w:val="1"/>
          <w:color w:val="auto"/>
        </w:rPr>
        <w:t xml:space="preserve"> The Step Rate may vary between Shield Options and, unless you have a Shield Option with a 1-year Term, is not an annual rate.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Surrender.</w:t>
      </w:r>
      <w:r>
        <w:rPr>
          <w:rFonts w:ascii="Times New Roman" w:cs="Times New Roman" w:eastAsia="Times New Roman" w:hAnsi="Times New Roman"/>
          <w:sz w:val="12"/>
          <w:szCs w:val="12"/>
          <w:color w:val="auto"/>
        </w:rPr>
        <w:t xml:space="preserve">   A full withdrawal of your Account Value.</w:t>
      </w:r>
    </w:p>
    <w:p>
      <w:pPr>
        <w:spacing w:after="0" w:line="78" w:lineRule="exact"/>
        <w:rPr>
          <w:sz w:val="20"/>
          <w:szCs w:val="20"/>
          <w:color w:val="auto"/>
        </w:rPr>
      </w:pPr>
    </w:p>
    <w:p>
      <w:pPr>
        <w:jc w:val="both"/>
        <w:ind w:right="3839"/>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Term. </w:t>
      </w:r>
      <w:r>
        <w:rPr>
          <w:rFonts w:ascii="Times New Roman" w:cs="Times New Roman" w:eastAsia="Times New Roman" w:hAnsi="Times New Roman"/>
          <w:sz w:val="12"/>
          <w:szCs w:val="12"/>
          <w:color w:val="auto"/>
        </w:rPr>
        <w:t>The Term is the number of years that the Shield Option is in effect. We currently offer Terms of 1 year, 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years, 3 years or 6 years. The initial Term(s) begin on the Issue 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Term End Date.</w:t>
      </w:r>
      <w:r>
        <w:rPr>
          <w:rFonts w:ascii="Times New Roman" w:cs="Times New Roman" w:eastAsia="Times New Roman" w:hAnsi="Times New Roman"/>
          <w:sz w:val="12"/>
          <w:szCs w:val="12"/>
          <w:color w:val="auto"/>
        </w:rPr>
        <w:t xml:space="preserve">   The Contract Anniversary on which a Shield Option ends.</w:t>
      </w:r>
    </w:p>
    <w:p>
      <w:pPr>
        <w:spacing w:after="0" w:line="78" w:lineRule="exact"/>
        <w:rPr>
          <w:sz w:val="20"/>
          <w:szCs w:val="20"/>
          <w:color w:val="auto"/>
        </w:rPr>
      </w:pPr>
    </w:p>
    <w:p>
      <w:pPr>
        <w:jc w:val="both"/>
        <w:ind w:right="383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Term Start Date. </w:t>
      </w:r>
      <w:r>
        <w:rPr>
          <w:rFonts w:ascii="Times New Roman" w:cs="Times New Roman" w:eastAsia="Times New Roman" w:hAnsi="Times New Roman"/>
          <w:sz w:val="12"/>
          <w:szCs w:val="12"/>
          <w:color w:val="auto"/>
        </w:rPr>
        <w:t>The Contract Anniversary on which a Shield Option is established. The initial Term Start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Date(s) begins on the Issue Date, and thereafter, will be the Contract Anniversary coinciding with the duration of the current Term you have selected.</w:t>
      </w:r>
    </w:p>
    <w:p>
      <w:pPr>
        <w:spacing w:after="0" w:line="42" w:lineRule="exact"/>
        <w:rPr>
          <w:sz w:val="20"/>
          <w:szCs w:val="20"/>
          <w:color w:val="auto"/>
        </w:rPr>
      </w:pPr>
    </w:p>
    <w:p>
      <w:pPr>
        <w:jc w:val="both"/>
        <w:ind w:right="3839"/>
        <w:spacing w:after="0" w:line="268" w:lineRule="auto"/>
        <w:rPr>
          <w:sz w:val="20"/>
          <w:szCs w:val="20"/>
          <w:color w:val="auto"/>
        </w:rPr>
      </w:pPr>
      <w:r>
        <w:rPr>
          <w:rFonts w:ascii="Times New Roman" w:cs="Times New Roman" w:eastAsia="Times New Roman" w:hAnsi="Times New Roman"/>
          <w:sz w:val="12"/>
          <w:szCs w:val="12"/>
          <w:b w:val="1"/>
          <w:bCs w:val="1"/>
          <w:color w:val="auto"/>
        </w:rPr>
        <w:t>Transfer Period.</w:t>
      </w:r>
      <w:r>
        <w:rPr>
          <w:rFonts w:ascii="Times New Roman" w:cs="Times New Roman" w:eastAsia="Times New Roman" w:hAnsi="Times New Roman"/>
          <w:sz w:val="12"/>
          <w:szCs w:val="12"/>
          <w:color w:val="auto"/>
        </w:rPr>
        <w:t xml:space="preserve">  The five (5) calendar days following the Contract Anniversary coinciding with the Term End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Date for each applicable Shield Option and/or the Fixed Account Term End Date for the Fixed Account, during the Accumulation Period.</w:t>
      </w:r>
    </w:p>
    <w:p>
      <w:pPr>
        <w:spacing w:after="0" w:line="42" w:lineRule="exact"/>
        <w:rPr>
          <w:sz w:val="20"/>
          <w:szCs w:val="20"/>
          <w:color w:val="auto"/>
        </w:rPr>
      </w:pPr>
    </w:p>
    <w:p>
      <w:pPr>
        <w:jc w:val="both"/>
        <w:ind w:right="3839"/>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Withdrawal Charge. </w:t>
      </w:r>
      <w:r>
        <w:rPr>
          <w:rFonts w:ascii="Times New Roman" w:cs="Times New Roman" w:eastAsia="Times New Roman" w:hAnsi="Times New Roman"/>
          <w:sz w:val="12"/>
          <w:szCs w:val="12"/>
          <w:color w:val="auto"/>
        </w:rPr>
        <w:t>A charge applied to the percentage of the amount withdrawn from your Account Value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 Contract Year in excess of the Free Withdrawal Amount.</w:t>
      </w:r>
    </w:p>
    <w:p>
      <w:pPr>
        <w:spacing w:after="0" w:line="16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9359"/>
          </w:cols>
          <w:pgMar w:left="1100" w:top="962" w:right="1440" w:bottom="1440" w:gutter="0" w:footer="0" w:header="0"/>
        </w:sectPr>
      </w:pPr>
    </w:p>
    <w:bookmarkStart w:id="9" w:name="page10"/>
    <w:bookmarkEnd w:id="9"/>
    <w:p>
      <w:pPr>
        <w:ind w:left="18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57395" cy="36830"/>
                    </a:xfrm>
                    <a:prstGeom prst="rect">
                      <a:avLst/>
                    </a:prstGeom>
                    <a:noFill/>
                  </pic:spPr>
                </pic:pic>
              </a:graphicData>
            </a:graphic>
          </wp:anchor>
        </w:drawing>
        <w:t>OVERVIEW OF THE CONTRACT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the Contract</w:t>
      </w:r>
    </w:p>
    <w:p>
      <w:pPr>
        <w:spacing w:after="0" w:line="78" w:lineRule="exact"/>
        <w:rPr>
          <w:sz w:val="20"/>
          <w:szCs w:val="20"/>
          <w:color w:val="auto"/>
        </w:rPr>
      </w:pPr>
    </w:p>
    <w:p>
      <w:pPr>
        <w:jc w:val="both"/>
        <w:ind w:right="3839" w:firstLine="240"/>
        <w:spacing w:after="0" w:line="249" w:lineRule="auto"/>
        <w:rPr>
          <w:sz w:val="20"/>
          <w:szCs w:val="20"/>
          <w:color w:val="auto"/>
        </w:rPr>
      </w:pPr>
      <w:r>
        <w:rPr>
          <w:rFonts w:ascii="Times New Roman" w:cs="Times New Roman" w:eastAsia="Times New Roman" w:hAnsi="Times New Roman"/>
          <w:sz w:val="12"/>
          <w:szCs w:val="12"/>
          <w:color w:val="auto"/>
        </w:rPr>
        <w:t>The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is an individual single premium deferred index-linked annuity contract (the “Contract”) issued by BLNY, that provides for the potential accumulation of retirement savings on a tax-deferred basis through investment in the Contract’s Allocation Options, which include the Shield Options and the Fixed Account (if available). The Contract is designed generally for an investor who intends to hold the Contract for a long period of time and then use the Account Value for retirement savings or other long-term investment purposes, and also includes a death benefit which can be used to transfer assets to your beneficiaries. It may not be appropriate for you if you plan to take withdrawals from a Shield Option prior to the Term End Date, especially if you plan to take ongoing withdrawals such as RMDs and withdrawals taken under the systematic withdrawal program. Before you invest, be sure to ask your financial professional about the Contract’s features, benefits, risks and fees, and whether the Contract is appropriate for you based on your financial situation and objectives.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This version of the Contract is only available in New York state.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Phases of the Contract</w:t>
      </w:r>
    </w:p>
    <w:p>
      <w:pPr>
        <w:spacing w:after="0" w:line="82"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The Contract, like all deferred annuity contracts, has two periods: the Accumulation Period and the Annuity Period.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Accumulation Period</w:t>
      </w:r>
    </w:p>
    <w:p>
      <w:pPr>
        <w:spacing w:after="0" w:line="78"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During the Accumulation Period, Account Value accumulates on a tax-deferred basis and is taxed as income when you make a withdrawal. If you make a withdrawal or Surrender the Contract during the Accumulation Period, we may assess a Withdrawal Charge of up to 7%. Withdrawals (including any applicable Withdrawal Charge), depending on the amount and timing, may negatively impact the benefits and guarantees provided by your Contract. You should carefully consider whether a withdrawal under a particular circumstance will have any negative impact to your benefits or guarantees.</w:t>
      </w:r>
    </w:p>
    <w:p>
      <w:pPr>
        <w:spacing w:after="0" w:line="49" w:lineRule="exact"/>
        <w:rPr>
          <w:sz w:val="20"/>
          <w:szCs w:val="20"/>
          <w:color w:val="auto"/>
        </w:rPr>
      </w:pPr>
    </w:p>
    <w:p>
      <w:pPr>
        <w:jc w:val="both"/>
        <w:ind w:right="3839" w:firstLine="240"/>
        <w:spacing w:after="0" w:line="262" w:lineRule="auto"/>
        <w:rPr>
          <w:sz w:val="20"/>
          <w:szCs w:val="20"/>
          <w:color w:val="auto"/>
        </w:rPr>
      </w:pPr>
      <w:r>
        <w:rPr>
          <w:rFonts w:ascii="Times New Roman" w:cs="Times New Roman" w:eastAsia="Times New Roman" w:hAnsi="Times New Roman"/>
          <w:sz w:val="12"/>
          <w:szCs w:val="12"/>
          <w:b w:val="1"/>
          <w:bCs w:val="1"/>
          <w:color w:val="auto"/>
        </w:rPr>
        <w:t>To help you accumulate assets during the Accumulation Period, you can invest your Purchase Payments and Account Value in the Allocation Options under the Contract, which are (1) the Fixed Account (if available), and (2) the Shield Options. Additional information about each investment option is provided in Appendix A to this prospectus.</w:t>
      </w:r>
    </w:p>
    <w:p>
      <w:pPr>
        <w:spacing w:after="0" w:line="45" w:lineRule="exact"/>
        <w:rPr>
          <w:sz w:val="20"/>
          <w:szCs w:val="20"/>
          <w:color w:val="auto"/>
        </w:rPr>
      </w:pPr>
    </w:p>
    <w:p>
      <w:pPr>
        <w:jc w:val="both"/>
        <w:ind w:right="3839" w:firstLine="24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The Fixed Account. </w:t>
      </w:r>
      <w:r>
        <w:rPr>
          <w:rFonts w:ascii="Times New Roman" w:cs="Times New Roman" w:eastAsia="Times New Roman" w:hAnsi="Times New Roman"/>
          <w:sz w:val="12"/>
          <w:szCs w:val="12"/>
          <w:color w:val="auto"/>
        </w:rPr>
        <w:t>The Fixed Account (if available) guarantees principal and interest. The Minimum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Guaranteed Interest Rate depends on the date your Contract is issued and will not be less than 1% annually. Unless you allocate your entire Purchase Payment and earnings to the Fixed Account, you may lose money by investing in the Contract.</w:t>
      </w:r>
    </w:p>
    <w:p>
      <w:pPr>
        <w:spacing w:after="0" w:line="45" w:lineRule="exact"/>
        <w:rPr>
          <w:sz w:val="20"/>
          <w:szCs w:val="20"/>
          <w:color w:val="auto"/>
        </w:rPr>
      </w:pPr>
    </w:p>
    <w:p>
      <w:pPr>
        <w:jc w:val="both"/>
        <w:ind w:right="3839" w:firstLine="24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The Shield Options. </w:t>
      </w:r>
      <w:r>
        <w:rPr>
          <w:rFonts w:ascii="Times New Roman" w:cs="Times New Roman" w:eastAsia="Times New Roman" w:hAnsi="Times New Roman"/>
          <w:sz w:val="12"/>
          <w:szCs w:val="12"/>
          <w:color w:val="auto"/>
        </w:rPr>
        <w:t>We currently offer Shield Options based on Indices. Each Shield Option has a Term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 2, 3, or 6 years in length. The various Shield Options permit Owners to receive interest (positive, negative or zero) at the end of each Term based on the percentage returns of certain Securities Indices. You could lose a significant amount of money if the Index declines in value.</w:t>
      </w:r>
    </w:p>
    <w:p>
      <w:pPr>
        <w:spacing w:after="0" w:line="49"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The Shield Options offer guarantees against a specified level of negative interest—guarantees we call “Shield Rates.” We use the Shield Rates to limit the negative Index Performance used in calculating the interest rate credited to a Shield Option at the Term End Date (the “Performance Rate”).</w:t>
      </w:r>
    </w:p>
    <w:p>
      <w:pPr>
        <w:spacing w:after="0" w:line="47"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The protections specified by the Shield Rate and the level of positive investment experience that can be credited to the Account Value allowed by the Cap Rate or specified by the Step Rate or Edge Rate are only fully available for the amounts held until the end of the Term.</w:t>
      </w:r>
    </w:p>
    <w:p>
      <w:pPr>
        <w:spacing w:after="0" w:line="47"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We currently offer Shield Rates of 10% (“Shield 10”), 15% (“Shield 15”), or 25% (“Shield 25”). The Shield Rate is a limited buffer where we absorb any negative Index Performance on the Term End Date up to the Shield Rate. Any negative Index Performance beyond the Shield Rate will reduce the Investment Amount associated with the Shield Option. For example, -15% Index Performance with a 10% Shield Rate will result in a -5% Performance Rate (the amount of negative Index Performance that exceeds the Shield Rate), meaning that we will reduce the Investment Amount associated with the Shield Option by -5%.</w:t>
      </w:r>
    </w:p>
    <w:p>
      <w:pPr>
        <w:spacing w:after="0" w:line="49"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b w:val="1"/>
          <w:bCs w:val="1"/>
          <w:color w:val="auto"/>
        </w:rPr>
        <w:t>We do not guarantee that there will always be a Shield Option under the Contract that provides this minimum amount of downside protection; however, there will always be at least one Shield Option available with a minimum of 10% downside protection. Consequently, if we were to offer only one Shield Option, you would be limited to investing in that one Shield Option. If that Shield Option does not meet your investment objectives or financial goals, you could transfer to the Fixed Account (if available at that time and subject to applicable conditions described in the “TRANSFERS” section, including the requirement to remain invested in the Fixed Account until the Fixed Account Term End Date), Surrender your Contract and/or invest in another investment vehicle. If you Surrender your Contract,</w:t>
      </w:r>
    </w:p>
    <w:p>
      <w:pPr>
        <w:spacing w:after="0" w:line="18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9359"/>
          </w:cols>
          <w:pgMar w:left="1100" w:top="962" w:right="1440" w:bottom="1440" w:gutter="0" w:footer="0" w:header="0"/>
        </w:sectPr>
      </w:pPr>
    </w:p>
    <w:bookmarkStart w:id="10" w:name="page11"/>
    <w:bookmarkEnd w:id="10"/>
    <w:p>
      <w:pPr>
        <w:jc w:val="both"/>
        <w:ind w:right="3839"/>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57395" cy="36830"/>
                    </a:xfrm>
                    <a:prstGeom prst="rect">
                      <a:avLst/>
                    </a:prstGeom>
                    <a:noFill/>
                  </pic:spPr>
                </pic:pic>
              </a:graphicData>
            </a:graphic>
          </wp:anchor>
        </w:drawing>
        <w:t>you might incur taxes, tax penalties, or an Interim Value calculation. If you invest in another investment vehicle, that investment may have different features, fees and risks than your Contract.</w:t>
      </w:r>
    </w:p>
    <w:p>
      <w:pPr>
        <w:spacing w:after="0" w:line="35"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Each Shield Option also has a Rate Crediting Type. The Cap Rate, Step Rate, and Step Rate Edge (each, a “Rate Crediting Type”) are the three ways we offer that you can potentially receive positive interest based on the performance of an Index. We limit the positive Index Performance used in calculating the interest credited to a Shield Option at the Term End Date through the Cap Rate, Step Rate, or Step Rate Edge. Positive interest may be credited up to the specified Cap Rate or equal to the specified Step Rate or Edge Rate.</w:t>
      </w:r>
    </w:p>
    <w:p>
      <w:pPr>
        <w:spacing w:after="0" w:line="53" w:lineRule="exact"/>
        <w:rPr>
          <w:sz w:val="20"/>
          <w:szCs w:val="20"/>
          <w:color w:val="auto"/>
        </w:rPr>
      </w:pPr>
    </w:p>
    <w:p>
      <w:pPr>
        <w:jc w:val="both"/>
        <w:ind w:left="400" w:right="3899" w:hanging="152"/>
        <w:spacing w:after="0" w:line="257" w:lineRule="auto"/>
        <w:tabs>
          <w:tab w:leader="none" w:pos="4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Cap Rate is the maximum rate that may be credited at the Term End Date based on Index Performance. For example, if you invest in a Shield Option with a 10% Cap Rate, and the Index Performance is 15% at the end of the Term, the Performance Rate will be 10% (the Index Performance up to the Cap Rate), meaning that we will increase the Investment Amount associated with the Shield Option by 10%.</w:t>
      </w:r>
    </w:p>
    <w:p>
      <w:pPr>
        <w:spacing w:after="0" w:line="53" w:lineRule="exact"/>
        <w:rPr>
          <w:rFonts w:ascii="Times New Roman" w:cs="Times New Roman" w:eastAsia="Times New Roman" w:hAnsi="Times New Roman"/>
          <w:sz w:val="12"/>
          <w:szCs w:val="12"/>
          <w:color w:val="auto"/>
        </w:rPr>
      </w:pPr>
    </w:p>
    <w:p>
      <w:pPr>
        <w:jc w:val="both"/>
        <w:ind w:left="400" w:right="3899" w:hanging="152"/>
        <w:spacing w:after="0" w:line="260" w:lineRule="auto"/>
        <w:tabs>
          <w:tab w:leader="none" w:pos="4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Step Rate is the rate credited at the Term End Date if the Index Performance is equal to or greater than zero. For example, if you invest in a Shield Option with an 8% Step Rate, and the Index Performance is 15% at the end of the Term, the Performance Rate will be 8% (the Step Rate), meaning that we will increase the Investment Amount associated with the Shield Option by 8%.</w:t>
      </w:r>
    </w:p>
    <w:p>
      <w:pPr>
        <w:spacing w:after="0" w:line="50" w:lineRule="exact"/>
        <w:rPr>
          <w:rFonts w:ascii="Times New Roman" w:cs="Times New Roman" w:eastAsia="Times New Roman" w:hAnsi="Times New Roman"/>
          <w:sz w:val="12"/>
          <w:szCs w:val="12"/>
          <w:color w:val="auto"/>
        </w:rPr>
      </w:pPr>
    </w:p>
    <w:p>
      <w:pPr>
        <w:jc w:val="both"/>
        <w:ind w:left="400" w:right="3899" w:hanging="152"/>
        <w:spacing w:after="0" w:line="253" w:lineRule="auto"/>
        <w:tabs>
          <w:tab w:leader="none" w:pos="4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Shield Options with Step Rate Edge, the Edge Rate is the rate credited at the Term End Date if the Index Performance is equal to or greater than the Shield Rate. For example, if you invest in a Shield Option with a 10% Shield Rate and a 7% Edge Rate, and the Index Performance at the end of the Term is 3% (Index Performance greater than the Shield Rate), the Performance Rate will equal the Edge Rate, or 7%. This means that we will increase the Investment Amount associated with the Shield Option by 7%. Similarly, if the Index Performance is -10% (Index Performance equal to the Shield Rate), the Performance Rate will also equal the Edge Rate, or 7%. On the other hand, if the Index Performance is -15% (Index Performance is negative by more than the Shield Rate), the Performance Rate will equal -5% (the negative Index Performance in excess of the Shield Rate). This means that we will decrease the Investment Amount associated with the Shield Option by -5%.</w:t>
      </w:r>
    </w:p>
    <w:p>
      <w:pPr>
        <w:spacing w:after="0" w:line="57"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Shield Options with a Cap Rate are described in the Cap Rate Shield Option Rider attached to your Contract. Shield Options with a Step Rate are described in the Step Rate Shield Option Rider attached to your Contract. Shield Options with Step Rate Edge are described in the Step Rate Edge Shield Option Rider attached to your Contract.</w:t>
      </w:r>
    </w:p>
    <w:p>
      <w:pPr>
        <w:spacing w:after="0" w:line="50"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 xml:space="preserve">New Cap Rates, Step Rates, and Edge Rates are declared for each subsequent Term, subject to the minimum guaranteed rates for each Rate Crediting Type. </w:t>
      </w:r>
      <w:r>
        <w:rPr>
          <w:rFonts w:ascii="Times New Roman" w:cs="Times New Roman" w:eastAsia="Times New Roman" w:hAnsi="Times New Roman"/>
          <w:sz w:val="12"/>
          <w:szCs w:val="12"/>
          <w:b w:val="1"/>
          <w:bCs w:val="1"/>
          <w:color w:val="auto"/>
        </w:rPr>
        <w:t>The Minimum Guaranteed Cap Rate for your Contract is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amount shown in the Cap Rate Shield Option Rider attached to your Contract and may vary by Shield Rate</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but will not be less than 3.5%</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The Minimum Guaranteed Step Rate for your Contract is the amount shown in the Step Rate Shield Option Rider attached to your Contract and may vary by Shield Rate</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but will not be less than 4.5%</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The Minimum Guaranteed Edge Rate for your Contract is the amount shown in the Step Rate Edge Shield Option Rider attached to your Contract and may vary by Shield Rate</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but will not be less than 4.5%</w:t>
      </w:r>
      <w:r>
        <w:rPr>
          <w:rFonts w:ascii="Times New Roman" w:cs="Times New Roman" w:eastAsia="Times New Roman" w:hAnsi="Times New Roman"/>
          <w:sz w:val="12"/>
          <w:szCs w:val="12"/>
          <w:color w:val="auto"/>
        </w:rPr>
        <w:t>.</w:t>
      </w:r>
    </w:p>
    <w:p>
      <w:pPr>
        <w:spacing w:after="0" w:line="56"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There are two ways you may find out what the renewal Cap Rates, Step Rates, and Edge Rates will be for a subsequent Term. Thirty (30) days before the current Term expires, we will send you a notification, written or electronic depending on your selected preferences, indicating your maturing Shield Options and how you can obtain the different Shield Options available at the Term End Date, including the new Cap Rates, Step Rates, Edge Rates, and the interest rate for the Fixed Account. You may also access our website at https://www.brighthousefinancial.com/products/rates/ where at least two months of renewal rates for the Rate Crediting Types and the interest rate for the Fixed Account are posted – i.e., for the current month and the following month. See “RATE CREDITING TYPES” for more information.</w:t>
      </w:r>
    </w:p>
    <w:p>
      <w:pPr>
        <w:spacing w:after="0" w:line="56"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For each Shield Option, you select the Term, the Shield Rate and which Securities Index you want the performance of your Contract to be based on. For example, if you select Shield 10 with a 1-Year Term, you may also select whether you want your Contract performance based on the Cap Rate, Step Rate, or Edge Rate, when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Annuity Period</w:t>
      </w:r>
    </w:p>
    <w:p>
      <w:pPr>
        <w:spacing w:after="0" w:line="78"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The Annuity Period occurs when you or a designated payee begin receiving regular Annuity Payments from your Contract.</w:t>
      </w:r>
    </w:p>
    <w:p>
      <w:pPr>
        <w:spacing w:after="0" w:line="39"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You may withdraw a portion or all of your Account Value at any time until you commence the Annuity Period, subject to a Withdrawal Charge and applicable taxes, as well as an Interim Value calculation if you have not exercised Performance Lock on a Shield Option and amounts are removed from the Shield Option during a Term. All benefits, including death benefits,</w:t>
      </w:r>
    </w:p>
    <w:p>
      <w:pPr>
        <w:spacing w:after="0" w:line="17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9359"/>
          </w:cols>
          <w:pgMar w:left="1100" w:top="962" w:right="1440" w:bottom="1440" w:gutter="0" w:footer="0" w:header="0"/>
        </w:sectPr>
      </w:pPr>
    </w:p>
    <w:bookmarkStart w:id="11" w:name="page12"/>
    <w:bookmarkEnd w:id="11"/>
    <w:p>
      <w:pPr>
        <w:jc w:val="both"/>
        <w:ind w:right="383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57395" cy="36830"/>
                    </a:xfrm>
                    <a:prstGeom prst="rect">
                      <a:avLst/>
                    </a:prstGeom>
                    <a:noFill/>
                  </pic:spPr>
                </pic:pic>
              </a:graphicData>
            </a:graphic>
          </wp:anchor>
        </w:drawing>
        <w:t>terminate without value at the start of the Annuity Period. In addition, once the Annuity Period begins, you generally may no longer take withdrawals from or Surrender the Contract. Depending on the annuity option you elect, any remaining guarantee may be paid to your beneficiary (or beneficiaries).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 Features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is a brief description of the Contract’s primary features.</w:t>
      </w:r>
    </w:p>
    <w:p>
      <w:pPr>
        <w:spacing w:after="0" w:line="74" w:lineRule="exact"/>
        <w:rPr>
          <w:sz w:val="20"/>
          <w:szCs w:val="20"/>
          <w:color w:val="auto"/>
        </w:rPr>
      </w:pPr>
    </w:p>
    <w:p>
      <w:pPr>
        <w:jc w:val="both"/>
        <w:ind w:right="3839" w:firstLine="24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Accessing Your Money. </w:t>
      </w:r>
      <w:r>
        <w:rPr>
          <w:rFonts w:ascii="Times New Roman" w:cs="Times New Roman" w:eastAsia="Times New Roman" w:hAnsi="Times New Roman"/>
          <w:sz w:val="12"/>
          <w:szCs w:val="12"/>
          <w:color w:val="auto"/>
        </w:rPr>
        <w:t>Before you annuitize, you can withdraw money from your Contract at any time. If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you take a withdrawal (including systematic withdrawals), you may have to pay a Withdrawal Charge and/or income taxes, including a tax penalty if you are younger than age 59½. Withdrawals from the Shield Options prior to the Term End Date will be based on an Interim Value calculation.</w:t>
      </w:r>
    </w:p>
    <w:p>
      <w:pPr>
        <w:spacing w:after="0" w:line="45" w:lineRule="exact"/>
        <w:rPr>
          <w:sz w:val="20"/>
          <w:szCs w:val="20"/>
          <w:color w:val="auto"/>
        </w:rPr>
      </w:pPr>
    </w:p>
    <w:p>
      <w:pPr>
        <w:jc w:val="both"/>
        <w:ind w:right="3839" w:firstLine="2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Tax Treatment. </w:t>
      </w:r>
      <w:r>
        <w:rPr>
          <w:rFonts w:ascii="Times New Roman" w:cs="Times New Roman" w:eastAsia="Times New Roman" w:hAnsi="Times New Roman"/>
          <w:sz w:val="12"/>
          <w:szCs w:val="12"/>
          <w:color w:val="auto"/>
        </w:rPr>
        <w:t>You can transfer money among the Allocation Options without tax implications,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earnings (if any) on your investments are generally tax-deferred. You are only subject to taxes upon: (1) making a withdrawal; (2) receiving a payment from us; or (3) payment of a death benefit.</w:t>
      </w:r>
    </w:p>
    <w:p>
      <w:pPr>
        <w:spacing w:after="0" w:line="42" w:lineRule="exact"/>
        <w:rPr>
          <w:sz w:val="20"/>
          <w:szCs w:val="20"/>
          <w:color w:val="auto"/>
        </w:rPr>
      </w:pPr>
    </w:p>
    <w:p>
      <w:pPr>
        <w:jc w:val="both"/>
        <w:ind w:right="3839" w:firstLine="2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Death Benefit. </w:t>
      </w:r>
      <w:r>
        <w:rPr>
          <w:rFonts w:ascii="Times New Roman" w:cs="Times New Roman" w:eastAsia="Times New Roman" w:hAnsi="Times New Roman"/>
          <w:sz w:val="12"/>
          <w:szCs w:val="12"/>
          <w:color w:val="auto"/>
        </w:rPr>
        <w:t>The Contract includes, at no additional cost, a standard death benefit that will pay a death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benefit to your beneficiary(ies) if you die during the Accumulation Period.</w:t>
      </w:r>
    </w:p>
    <w:p>
      <w:pPr>
        <w:spacing w:after="0" w:line="31" w:lineRule="exact"/>
        <w:rPr>
          <w:sz w:val="20"/>
          <w:szCs w:val="20"/>
          <w:color w:val="auto"/>
        </w:rPr>
      </w:pPr>
    </w:p>
    <w:p>
      <w:pPr>
        <w:jc w:val="both"/>
        <w:ind w:right="3859" w:firstLine="2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Annuity Options. </w:t>
      </w:r>
      <w:r>
        <w:rPr>
          <w:rFonts w:ascii="Times New Roman" w:cs="Times New Roman" w:eastAsia="Times New Roman" w:hAnsi="Times New Roman"/>
          <w:sz w:val="12"/>
          <w:szCs w:val="12"/>
          <w:color w:val="auto"/>
        </w:rPr>
        <w:t>Like all annuity contracts the Contract offers a range of annuity options, which provide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Annuity Payments for your lifetime.</w:t>
      </w:r>
    </w:p>
    <w:p>
      <w:pPr>
        <w:spacing w:after="0" w:line="31"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Performance Lock. </w:t>
      </w:r>
      <w:r>
        <w:rPr>
          <w:rFonts w:ascii="Times New Roman" w:cs="Times New Roman" w:eastAsia="Times New Roman" w:hAnsi="Times New Roman"/>
          <w:sz w:val="12"/>
          <w:szCs w:val="12"/>
          <w:color w:val="auto"/>
        </w:rPr>
        <w:t>Each Shield Option comes with Performance Lock at no additional charge, which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allows you the option to lock the Interim Value, not the Index Performance, of your Shield Option(s) once during each Term prior to the Term End Date. If you lock the Interim Value, the Performance Lock Value will be used as the value of that Shield Option for the remainder of the Term, and the value of the Shield Option will not change due to positive or negative Index Performance for the remainder of the Term. There are significant risks associated with exercising the Performance Lock. The Interim Value calculated on the day you exercise the Performance Lock may be less than the Investment Amount, even if the current Index Value is higher than it was on the Term Start Date. A negative Interim Value could result in loss beyond the protection of the Shield Rate, and, in extreme circumstances, you could lose up to 100% of the value of the Shield Option.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Services and Features.</w:t>
      </w:r>
    </w:p>
    <w:p>
      <w:pPr>
        <w:spacing w:after="0" w:line="78" w:lineRule="exact"/>
        <w:rPr>
          <w:sz w:val="20"/>
          <w:szCs w:val="20"/>
          <w:color w:val="auto"/>
        </w:rPr>
      </w:pPr>
    </w:p>
    <w:p>
      <w:pPr>
        <w:ind w:left="400" w:right="3899" w:hanging="152"/>
        <w:spacing w:after="0" w:line="286" w:lineRule="auto"/>
        <w:tabs>
          <w:tab w:leader="none" w:pos="4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Free Withdrawal Amount. </w:t>
      </w:r>
      <w:r>
        <w:rPr>
          <w:rFonts w:ascii="Times New Roman" w:cs="Times New Roman" w:eastAsia="Times New Roman" w:hAnsi="Times New Roman"/>
          <w:sz w:val="12"/>
          <w:szCs w:val="12"/>
          <w:color w:val="auto"/>
        </w:rPr>
        <w:t>The Free Withdrawal Amount is the portion of your Account Value that you</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may withdraw each Contract Year without incurring Withdrawal Charges.</w:t>
      </w:r>
    </w:p>
    <w:p>
      <w:pPr>
        <w:spacing w:after="0" w:line="31" w:lineRule="exact"/>
        <w:rPr>
          <w:rFonts w:ascii="Times New Roman" w:cs="Times New Roman" w:eastAsia="Times New Roman" w:hAnsi="Times New Roman"/>
          <w:sz w:val="12"/>
          <w:szCs w:val="12"/>
          <w:color w:val="auto"/>
        </w:rPr>
      </w:pPr>
    </w:p>
    <w:p>
      <w:pPr>
        <w:jc w:val="both"/>
        <w:ind w:left="400" w:right="3899" w:hanging="152"/>
        <w:spacing w:after="0" w:line="279" w:lineRule="auto"/>
        <w:tabs>
          <w:tab w:leader="none" w:pos="40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 xml:space="preserve">Systematic Withdrawal Program. </w:t>
      </w:r>
      <w:r>
        <w:rPr>
          <w:rFonts w:ascii="Times New Roman" w:cs="Times New Roman" w:eastAsia="Times New Roman" w:hAnsi="Times New Roman"/>
          <w:sz w:val="11"/>
          <w:szCs w:val="11"/>
          <w:color w:val="auto"/>
        </w:rPr>
        <w:t>You may elect the Systematic Withdrawal Program to provide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automated processing of amounts withdrawn from your Contract, subject to program terms. For automated processing of Required Minimum Distribution (RMD) amounts withdrawn from an IRA Contract or qualified annuity Contract, you may elect this program in any Contract Year. However, for automated processing of amounts withdrawn for purposes other than RMDs, you may elect this program after the first Contract Year for up to 10% of your Account Value as of the prior Contract Anniversary. We do not assess a charge for this program. If you have not exercised Performance Lock, each withdrawal under the program, if taken from the Shield Options during a Term, will be based on Interim Values, and will cause a proportionate reduction to the Investment Amount for each Shield Option. If you have exercised Performance Lock and then take a withdrawal from the Shield Options, the Performance Lock Value for that Shield Option will be reduced by the dollar amount of each withdrawal.</w:t>
      </w:r>
    </w:p>
    <w:p>
      <w:pPr>
        <w:spacing w:after="0" w:line="185" w:lineRule="exact"/>
        <w:rPr>
          <w:rFonts w:ascii="Times New Roman" w:cs="Times New Roman" w:eastAsia="Times New Roman" w:hAnsi="Times New Roman"/>
          <w:sz w:val="11"/>
          <w:szCs w:val="11"/>
          <w:color w:val="auto"/>
        </w:rPr>
      </w:pPr>
    </w:p>
    <w:p>
      <w:pPr>
        <w:ind w:left="400" w:right="3899" w:hanging="152"/>
        <w:spacing w:after="0" w:line="286" w:lineRule="auto"/>
        <w:tabs>
          <w:tab w:leader="none" w:pos="40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Electronic Delivery. </w:t>
      </w:r>
      <w:r>
        <w:rPr>
          <w:rFonts w:ascii="Times New Roman" w:cs="Times New Roman" w:eastAsia="Times New Roman" w:hAnsi="Times New Roman"/>
          <w:sz w:val="12"/>
          <w:szCs w:val="12"/>
          <w:color w:val="auto"/>
        </w:rPr>
        <w:t>As a Contract Owner, you may elect to receive electronic delivery of current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prospectuses related to this Contract, as well as other Contract related documents.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 Adjustment</w:t>
      </w:r>
    </w:p>
    <w:p>
      <w:pPr>
        <w:spacing w:after="0" w:line="82"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You could lose a significant amount of money due to the Interim Value calculation if amounts are removed from a Shield Option or from the Contract. If you have not exercised the Performance Lock on a Shield Option, the Interim Value is the amount that is available for annuitization, death benefit payments, withdrawals (including RMDs and systematic withdrawals), Surrenders, and Performance Lock.  </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9359"/>
          </w:cols>
          <w:pgMar w:left="1100" w:top="966" w:right="1440"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57395" cy="36830"/>
                    </a:xfrm>
                    <a:prstGeom prst="rect">
                      <a:avLst/>
                    </a:prstGeom>
                    <a:noFill/>
                  </pic:spPr>
                </pic:pic>
              </a:graphicData>
            </a:graphic>
          </wp:anchor>
        </w:drawing>
        <w:t>IMPORTANT INFORMATION YOU SHOULD CONSIDER ABOUT THE CONTRACT</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1280" w:type="dxa"/>
            <w:vAlign w:val="bottom"/>
            <w:tcBorders>
              <w:top w:val="single" w:sz="8" w:color="auto"/>
              <w:left w:val="single" w:sz="8" w:color="auto"/>
              <w:right w:val="single" w:sz="8" w:color="CCCCCC"/>
            </w:tcBorders>
            <w:shd w:val="clear" w:color="auto" w:fill="CCCCCC"/>
          </w:tcPr>
          <w:p>
            <w:pPr>
              <w:spacing w:after="0"/>
              <w:rPr>
                <w:sz w:val="13"/>
                <w:szCs w:val="13"/>
                <w:color w:val="auto"/>
              </w:rPr>
            </w:pPr>
          </w:p>
        </w:tc>
        <w:tc>
          <w:tcPr>
            <w:tcW w:w="3560" w:type="dxa"/>
            <w:vAlign w:val="bottom"/>
            <w:tcBorders>
              <w:top w:val="single" w:sz="8" w:color="auto"/>
              <w:right w:val="single" w:sz="8" w:color="auto"/>
            </w:tcBorders>
            <w:shd w:val="clear" w:color="auto" w:fill="CCCCCC"/>
          </w:tcPr>
          <w:p>
            <w:pPr>
              <w:ind w:left="920"/>
              <w:spacing w:after="0"/>
              <w:rPr>
                <w:sz w:val="20"/>
                <w:szCs w:val="20"/>
                <w:color w:val="auto"/>
              </w:rPr>
            </w:pPr>
            <w:r>
              <w:rPr>
                <w:rFonts w:ascii="Times New Roman" w:cs="Times New Roman" w:eastAsia="Times New Roman" w:hAnsi="Times New Roman"/>
                <w:sz w:val="12"/>
                <w:szCs w:val="12"/>
                <w:b w:val="1"/>
                <w:bCs w:val="1"/>
                <w:color w:val="auto"/>
              </w:rPr>
              <w:t>Fees, Expenses and Adjustments</w:t>
            </w:r>
          </w:p>
        </w:tc>
        <w:tc>
          <w:tcPr>
            <w:tcW w:w="1040" w:type="dxa"/>
            <w:vAlign w:val="bottom"/>
            <w:tcBorders>
              <w:top w:val="single" w:sz="8" w:color="auto"/>
              <w:right w:val="single" w:sz="8" w:color="auto"/>
            </w:tcBorders>
            <w:shd w:val="clear" w:color="auto" w:fill="CCCCCC"/>
          </w:tcPr>
          <w:p>
            <w:pPr>
              <w:ind w:left="220"/>
              <w:spacing w:after="0"/>
              <w:rPr>
                <w:sz w:val="20"/>
                <w:szCs w:val="20"/>
                <w:color w:val="auto"/>
              </w:rPr>
            </w:pPr>
            <w:r>
              <w:rPr>
                <w:rFonts w:ascii="Times New Roman" w:cs="Times New Roman" w:eastAsia="Times New Roman" w:hAnsi="Times New Roman"/>
                <w:sz w:val="12"/>
                <w:szCs w:val="12"/>
                <w:b w:val="1"/>
                <w:bCs w:val="1"/>
                <w:color w:val="auto"/>
              </w:rPr>
              <w:t>Location in</w:t>
            </w: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bottom w:val="single" w:sz="8" w:color="auto"/>
              <w:right w:val="single" w:sz="8" w:color="CCCCCC"/>
            </w:tcBorders>
            <w:shd w:val="clear" w:color="auto" w:fill="CCCCCC"/>
          </w:tcPr>
          <w:p>
            <w:pPr>
              <w:spacing w:after="0"/>
              <w:rPr>
                <w:sz w:val="14"/>
                <w:szCs w:val="14"/>
                <w:color w:val="auto"/>
              </w:rPr>
            </w:pPr>
          </w:p>
        </w:tc>
        <w:tc>
          <w:tcPr>
            <w:tcW w:w="3560" w:type="dxa"/>
            <w:vAlign w:val="bottom"/>
            <w:tcBorders>
              <w:bottom w:val="single" w:sz="8" w:color="auto"/>
              <w:right w:val="single" w:sz="8" w:color="auto"/>
            </w:tcBorders>
            <w:shd w:val="clear" w:color="auto" w:fill="CCCCCC"/>
          </w:tcPr>
          <w:p>
            <w:pPr>
              <w:spacing w:after="0"/>
              <w:rPr>
                <w:sz w:val="14"/>
                <w:szCs w:val="14"/>
                <w:color w:val="auto"/>
              </w:rPr>
            </w:pPr>
          </w:p>
        </w:tc>
        <w:tc>
          <w:tcPr>
            <w:tcW w:w="104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2"/>
                <w:szCs w:val="12"/>
                <w:b w:val="1"/>
                <w:bCs w:val="1"/>
                <w:color w:val="auto"/>
              </w:rPr>
              <w:t>the Prospectus</w:t>
            </w:r>
          </w:p>
        </w:tc>
        <w:tc>
          <w:tcPr>
            <w:tcW w:w="0" w:type="dxa"/>
            <w:vAlign w:val="bottom"/>
          </w:tcPr>
          <w:p>
            <w:pPr>
              <w:spacing w:after="0"/>
              <w:rPr>
                <w:sz w:val="1"/>
                <w:szCs w:val="1"/>
                <w:color w:val="auto"/>
              </w:rPr>
            </w:pPr>
          </w:p>
        </w:tc>
      </w:tr>
      <w:tr>
        <w:trPr>
          <w:trHeight w:val="118"/>
        </w:trPr>
        <w:tc>
          <w:tcPr>
            <w:tcW w:w="1280" w:type="dxa"/>
            <w:vAlign w:val="bottom"/>
            <w:tcBorders>
              <w:left w:val="single" w:sz="8" w:color="auto"/>
              <w:right w:val="single" w:sz="8" w:color="auto"/>
            </w:tcBorders>
            <w:shd w:val="clear" w:color="auto" w:fill="CCCCCC"/>
          </w:tcPr>
          <w:p>
            <w:pPr>
              <w:ind w:left="40"/>
              <w:spacing w:after="0" w:line="118" w:lineRule="exact"/>
              <w:rPr>
                <w:sz w:val="20"/>
                <w:szCs w:val="20"/>
                <w:color w:val="auto"/>
              </w:rPr>
            </w:pPr>
            <w:r>
              <w:rPr>
                <w:rFonts w:ascii="Times New Roman" w:cs="Times New Roman" w:eastAsia="Times New Roman" w:hAnsi="Times New Roman"/>
                <w:sz w:val="12"/>
                <w:szCs w:val="12"/>
                <w:b w:val="1"/>
                <w:bCs w:val="1"/>
                <w:color w:val="auto"/>
              </w:rPr>
              <w:t>Are There Charges or</w:t>
            </w:r>
          </w:p>
        </w:tc>
        <w:tc>
          <w:tcPr>
            <w:tcW w:w="3560" w:type="dxa"/>
            <w:vAlign w:val="bottom"/>
            <w:tcBorders>
              <w:right w:val="single" w:sz="8" w:color="auto"/>
            </w:tcBorders>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Yes.</w:t>
            </w:r>
          </w:p>
        </w:tc>
        <w:tc>
          <w:tcPr>
            <w:tcW w:w="1040" w:type="dxa"/>
            <w:vAlign w:val="bottom"/>
            <w:tcBorders>
              <w:right w:val="single" w:sz="8" w:color="auto"/>
            </w:tcBorders>
          </w:tcPr>
          <w:p>
            <w:pPr>
              <w:ind w:left="40"/>
              <w:spacing w:after="0" w:line="118" w:lineRule="exact"/>
              <w:rPr>
                <w:sz w:val="20"/>
                <w:szCs w:val="20"/>
                <w:color w:val="auto"/>
              </w:rPr>
            </w:pPr>
            <w:r>
              <w:rPr>
                <w:rFonts w:ascii="Times New Roman" w:cs="Times New Roman" w:eastAsia="Times New Roman" w:hAnsi="Times New Roman"/>
                <w:sz w:val="12"/>
                <w:szCs w:val="12"/>
                <w:b w:val="1"/>
                <w:bCs w:val="1"/>
                <w:color w:val="auto"/>
              </w:rPr>
              <w:t>FEE TABLE</w:t>
            </w: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2"/>
                <w:szCs w:val="12"/>
                <w:b w:val="1"/>
                <w:bCs w:val="1"/>
                <w:color w:val="auto"/>
              </w:rPr>
              <w:t>Adjustments for Early</w:t>
            </w:r>
          </w:p>
        </w:tc>
        <w:tc>
          <w:tcPr>
            <w:tcW w:w="35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If you withdraw money from the Contract within the first 6 full</w:t>
            </w: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32"/>
        </w:trPr>
        <w:tc>
          <w:tcPr>
            <w:tcW w:w="1280" w:type="dxa"/>
            <w:vAlign w:val="bottom"/>
            <w:tcBorders>
              <w:left w:val="single" w:sz="8" w:color="auto"/>
              <w:right w:val="single" w:sz="8" w:color="auto"/>
            </w:tcBorders>
            <w:shd w:val="clear" w:color="auto" w:fill="CCCCCC"/>
          </w:tcPr>
          <w:p>
            <w:pPr>
              <w:ind w:left="40"/>
              <w:spacing w:after="0" w:line="132" w:lineRule="exact"/>
              <w:rPr>
                <w:sz w:val="20"/>
                <w:szCs w:val="20"/>
                <w:color w:val="auto"/>
              </w:rPr>
            </w:pPr>
            <w:r>
              <w:rPr>
                <w:rFonts w:ascii="Times New Roman" w:cs="Times New Roman" w:eastAsia="Times New Roman" w:hAnsi="Times New Roman"/>
                <w:sz w:val="12"/>
                <w:szCs w:val="12"/>
                <w:b w:val="1"/>
                <w:bCs w:val="1"/>
                <w:color w:val="auto"/>
              </w:rPr>
              <w:t>Withdrawals?</w:t>
            </w:r>
          </w:p>
        </w:tc>
        <w:tc>
          <w:tcPr>
            <w:tcW w:w="356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ind w:left="40"/>
              <w:spacing w:after="0" w:line="132" w:lineRule="exact"/>
              <w:rPr>
                <w:sz w:val="20"/>
                <w:szCs w:val="20"/>
                <w:color w:val="auto"/>
              </w:rPr>
            </w:pPr>
            <w:r>
              <w:rPr>
                <w:rFonts w:ascii="Times New Roman" w:cs="Times New Roman" w:eastAsia="Times New Roman" w:hAnsi="Times New Roman"/>
                <w:sz w:val="12"/>
                <w:szCs w:val="12"/>
                <w:b w:val="1"/>
                <w:bCs w:val="1"/>
                <w:color w:val="auto"/>
              </w:rPr>
              <w:t>CHARGES,</w:t>
            </w: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Contract Years</w:t>
            </w:r>
          </w:p>
        </w:tc>
        <w:tc>
          <w:tcPr>
            <w:tcW w:w="1040" w:type="dxa"/>
            <w:vAlign w:val="bottom"/>
            <w:tcBorders>
              <w:right w:val="single" w:sz="8" w:color="auto"/>
            </w:tcBorders>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FEES, AND</w:t>
            </w: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after the Issue Date of your Contract, you may be assessed a</w:t>
            </w: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Withdrawal</w:t>
            </w:r>
          </w:p>
        </w:tc>
        <w:tc>
          <w:tcPr>
            <w:tcW w:w="1040" w:type="dxa"/>
            <w:vAlign w:val="bottom"/>
            <w:tcBorders>
              <w:right w:val="single" w:sz="8" w:color="auto"/>
            </w:tcBorders>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42"/>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Charge of up to 7% of the amount withdrawn in excess of the Free</w:t>
            </w: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INTERIM</w:t>
            </w: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Withdrawal</w:t>
            </w: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0" w:type="dxa"/>
            <w:vAlign w:val="bottom"/>
          </w:tcPr>
          <w:p>
            <w:pPr>
              <w:spacing w:after="0"/>
              <w:rPr>
                <w:sz w:val="1"/>
                <w:szCs w:val="1"/>
                <w:color w:val="auto"/>
              </w:rPr>
            </w:pPr>
          </w:p>
        </w:tc>
      </w:tr>
      <w:tr>
        <w:trPr>
          <w:trHeight w:val="173"/>
        </w:trPr>
        <w:tc>
          <w:tcPr>
            <w:tcW w:w="1280" w:type="dxa"/>
            <w:vAlign w:val="bottom"/>
            <w:tcBorders>
              <w:left w:val="single" w:sz="8" w:color="auto"/>
              <w:right w:val="single" w:sz="8" w:color="auto"/>
            </w:tcBorders>
            <w:shd w:val="clear" w:color="auto" w:fill="CCCCCC"/>
          </w:tcPr>
          <w:p>
            <w:pPr>
              <w:spacing w:after="0"/>
              <w:rPr>
                <w:sz w:val="15"/>
                <w:szCs w:val="15"/>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Amount, declining to 0% over that time period.</w:t>
            </w: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CALCULATION</w:t>
            </w:r>
          </w:p>
        </w:tc>
        <w:tc>
          <w:tcPr>
            <w:tcW w:w="0" w:type="dxa"/>
            <w:vAlign w:val="bottom"/>
          </w:tcPr>
          <w:p>
            <w:pPr>
              <w:spacing w:after="0"/>
              <w:rPr>
                <w:sz w:val="1"/>
                <w:szCs w:val="1"/>
                <w:color w:val="auto"/>
              </w:rPr>
            </w:pPr>
          </w:p>
        </w:tc>
      </w:tr>
      <w:tr>
        <w:trPr>
          <w:trHeight w:val="205"/>
        </w:trPr>
        <w:tc>
          <w:tcPr>
            <w:tcW w:w="1280" w:type="dxa"/>
            <w:vAlign w:val="bottom"/>
            <w:tcBorders>
              <w:left w:val="single" w:sz="8" w:color="auto"/>
              <w:right w:val="single" w:sz="8" w:color="auto"/>
            </w:tcBorders>
            <w:shd w:val="clear" w:color="auto" w:fill="CCCCCC"/>
          </w:tcPr>
          <w:p>
            <w:pPr>
              <w:spacing w:after="0"/>
              <w:rPr>
                <w:sz w:val="17"/>
                <w:szCs w:val="17"/>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For example, if you make a withdrawal, you could pay a Withdrawal</w:t>
            </w: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Charge of</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up to $7,000 on a $100,000 investment. This loss will be greater if</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there is a</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negative Interim Value, taxes, or tax penalties.</w:t>
            </w: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280" w:type="dxa"/>
            <w:vAlign w:val="bottom"/>
            <w:tcBorders>
              <w:left w:val="single" w:sz="8" w:color="auto"/>
              <w:right w:val="single" w:sz="8" w:color="auto"/>
            </w:tcBorders>
            <w:shd w:val="clear" w:color="auto" w:fill="CCCCCC"/>
          </w:tcPr>
          <w:p>
            <w:pPr>
              <w:spacing w:after="0"/>
              <w:rPr>
                <w:sz w:val="20"/>
                <w:szCs w:val="20"/>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If you exercise the Performance Lock or all or a portion of the</w:t>
            </w: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Account Value is</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removed from a Shield Option or from the Contract before the end of a</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Term,</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we will apply an Interim Value calculation, which may be negative. In</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extreme</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circumstances, you could lose up to 100% of the value of your Shield</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Option if</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you exercise the Performance Lock, or if you make a withdrawal,</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Surrender,</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or otherwise remove amounts from the Shield Options before the Term</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End</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Date due to a negative Interim Value.</w:t>
            </w: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280" w:type="dxa"/>
            <w:vAlign w:val="bottom"/>
            <w:tcBorders>
              <w:left w:val="single" w:sz="8" w:color="auto"/>
              <w:right w:val="single" w:sz="8" w:color="auto"/>
            </w:tcBorders>
            <w:shd w:val="clear" w:color="auto" w:fill="CCCCCC"/>
          </w:tcPr>
          <w:p>
            <w:pPr>
              <w:spacing w:after="0"/>
              <w:rPr>
                <w:sz w:val="20"/>
                <w:szCs w:val="20"/>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For example, if you allocate $100,000 to a Shield Option with a 3-year</w:t>
            </w: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Term,</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and later withdraw the entire amount before the Term has ended, you</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could</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lose up to $100,000 of your investment. This loss will be greater if you</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also</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have to pay a Withdrawal Charge, taxes, and tax penalties.</w:t>
            </w: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right w:val="single" w:sz="8" w:color="auto"/>
            </w:tcBorders>
            <w:shd w:val="clear" w:color="auto" w:fill="CCCCCC"/>
          </w:tcPr>
          <w:p>
            <w:pPr>
              <w:spacing w:after="0"/>
              <w:rPr>
                <w:sz w:val="19"/>
                <w:szCs w:val="19"/>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Between the Term Start Date and the Term End Date, we use the</w:t>
            </w: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Interim Value</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to calculate the amount that is available for (1) annuitization; (2) death</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benefits; (3) withdrawals (including RMDs and systematic</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withdrawals); (4)</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280" w:type="dxa"/>
            <w:vAlign w:val="bottom"/>
            <w:tcBorders>
              <w:left w:val="single" w:sz="8" w:color="auto"/>
              <w:bottom w:val="single" w:sz="8" w:color="auto"/>
              <w:right w:val="single" w:sz="8" w:color="auto"/>
            </w:tcBorders>
            <w:shd w:val="clear" w:color="auto" w:fill="CCCCCC"/>
          </w:tcPr>
          <w:p>
            <w:pPr>
              <w:spacing w:after="0"/>
              <w:rPr>
                <w:sz w:val="14"/>
                <w:szCs w:val="14"/>
                <w:color w:val="auto"/>
              </w:rPr>
            </w:pPr>
          </w:p>
        </w:tc>
        <w:tc>
          <w:tcPr>
            <w:tcW w:w="3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Surrenders; and (5) Performance Lock.</w:t>
            </w:r>
          </w:p>
        </w:tc>
        <w:tc>
          <w:tcPr>
            <w:tcW w:w="10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80" w:type="dxa"/>
            <w:vAlign w:val="bottom"/>
            <w:tcBorders>
              <w:left w:val="single" w:sz="8" w:color="auto"/>
              <w:right w:val="single" w:sz="8" w:color="auto"/>
            </w:tcBorders>
            <w:shd w:val="clear" w:color="auto" w:fill="CCCCCC"/>
          </w:tcPr>
          <w:p>
            <w:pPr>
              <w:ind w:left="40"/>
              <w:spacing w:after="0" w:line="118" w:lineRule="exact"/>
              <w:rPr>
                <w:sz w:val="20"/>
                <w:szCs w:val="20"/>
                <w:color w:val="auto"/>
              </w:rPr>
            </w:pPr>
            <w:r>
              <w:rPr>
                <w:rFonts w:ascii="Times New Roman" w:cs="Times New Roman" w:eastAsia="Times New Roman" w:hAnsi="Times New Roman"/>
                <w:sz w:val="12"/>
                <w:szCs w:val="12"/>
                <w:b w:val="1"/>
                <w:bCs w:val="1"/>
                <w:color w:val="auto"/>
              </w:rPr>
              <w:t>Are There</w:t>
            </w:r>
          </w:p>
        </w:tc>
        <w:tc>
          <w:tcPr>
            <w:tcW w:w="3560" w:type="dxa"/>
            <w:vAlign w:val="bottom"/>
            <w:tcBorders>
              <w:right w:val="single" w:sz="8" w:color="auto"/>
            </w:tcBorders>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 xml:space="preserve">No. </w:t>
            </w:r>
            <w:r>
              <w:rPr>
                <w:rFonts w:ascii="Times New Roman" w:cs="Times New Roman" w:eastAsia="Times New Roman" w:hAnsi="Times New Roman"/>
                <w:sz w:val="12"/>
                <w:szCs w:val="12"/>
                <w:color w:val="auto"/>
              </w:rPr>
              <w:t>Other than the Withdrawal Charges and Interim Value calculation,</w:t>
            </w:r>
          </w:p>
        </w:tc>
        <w:tc>
          <w:tcPr>
            <w:tcW w:w="1040" w:type="dxa"/>
            <w:vAlign w:val="bottom"/>
            <w:tcBorders>
              <w:right w:val="single" w:sz="8" w:color="auto"/>
            </w:tcBorders>
          </w:tcPr>
          <w:p>
            <w:pPr>
              <w:ind w:left="40"/>
              <w:spacing w:after="0" w:line="118" w:lineRule="exact"/>
              <w:rPr>
                <w:sz w:val="20"/>
                <w:szCs w:val="20"/>
                <w:color w:val="auto"/>
              </w:rPr>
            </w:pPr>
            <w:r>
              <w:rPr>
                <w:rFonts w:ascii="Times New Roman" w:cs="Times New Roman" w:eastAsia="Times New Roman" w:hAnsi="Times New Roman"/>
                <w:sz w:val="12"/>
                <w:szCs w:val="12"/>
                <w:b w:val="1"/>
                <w:bCs w:val="1"/>
                <w:color w:val="auto"/>
              </w:rPr>
              <w:t>FEE TABLE</w:t>
            </w: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2"/>
                <w:szCs w:val="12"/>
                <w:b w:val="1"/>
                <w:bCs w:val="1"/>
                <w:color w:val="auto"/>
              </w:rPr>
              <w:t>Transaction</w:t>
            </w: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you will</w:t>
            </w: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2"/>
                <w:szCs w:val="12"/>
                <w:b w:val="1"/>
                <w:bCs w:val="1"/>
                <w:color w:val="auto"/>
              </w:rPr>
              <w:t>Charges?</w:t>
            </w: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not be charged for other transactions.</w:t>
            </w: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CHARGES,</w:t>
            </w: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FEES,</w:t>
            </w: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AND</w:t>
            </w: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bottom w:val="single" w:sz="8" w:color="auto"/>
              <w:right w:val="single" w:sz="8" w:color="auto"/>
            </w:tcBorders>
            <w:shd w:val="clear" w:color="auto" w:fill="CCCCCC"/>
          </w:tcPr>
          <w:p>
            <w:pPr>
              <w:spacing w:after="0"/>
              <w:rPr>
                <w:sz w:val="14"/>
                <w:szCs w:val="14"/>
                <w:color w:val="auto"/>
              </w:rPr>
            </w:pPr>
          </w:p>
        </w:tc>
        <w:tc>
          <w:tcPr>
            <w:tcW w:w="356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0" w:type="dxa"/>
            <w:vAlign w:val="bottom"/>
          </w:tcPr>
          <w:p>
            <w:pPr>
              <w:spacing w:after="0"/>
              <w:rPr>
                <w:sz w:val="1"/>
                <w:szCs w:val="1"/>
                <w:color w:val="auto"/>
              </w:rPr>
            </w:pPr>
          </w:p>
        </w:tc>
      </w:tr>
      <w:tr>
        <w:trPr>
          <w:trHeight w:val="118"/>
        </w:trPr>
        <w:tc>
          <w:tcPr>
            <w:tcW w:w="1280" w:type="dxa"/>
            <w:vAlign w:val="bottom"/>
            <w:tcBorders>
              <w:left w:val="single" w:sz="8" w:color="auto"/>
              <w:right w:val="single" w:sz="8" w:color="auto"/>
            </w:tcBorders>
            <w:shd w:val="clear" w:color="auto" w:fill="CCCCCC"/>
          </w:tcPr>
          <w:p>
            <w:pPr>
              <w:ind w:left="40"/>
              <w:spacing w:after="0" w:line="118" w:lineRule="exact"/>
              <w:rPr>
                <w:sz w:val="20"/>
                <w:szCs w:val="20"/>
                <w:color w:val="auto"/>
              </w:rPr>
            </w:pPr>
            <w:r>
              <w:rPr>
                <w:rFonts w:ascii="Times New Roman" w:cs="Times New Roman" w:eastAsia="Times New Roman" w:hAnsi="Times New Roman"/>
                <w:sz w:val="12"/>
                <w:szCs w:val="12"/>
                <w:b w:val="1"/>
                <w:bCs w:val="1"/>
                <w:color w:val="auto"/>
              </w:rPr>
              <w:t>Are There Ongoing</w:t>
            </w:r>
          </w:p>
        </w:tc>
        <w:tc>
          <w:tcPr>
            <w:tcW w:w="3560" w:type="dxa"/>
            <w:vAlign w:val="bottom"/>
            <w:tcBorders>
              <w:right w:val="single" w:sz="8" w:color="auto"/>
            </w:tcBorders>
          </w:tcPr>
          <w:p>
            <w:pPr>
              <w:ind w:left="60"/>
              <w:spacing w:after="0" w:line="118" w:lineRule="exact"/>
              <w:rPr>
                <w:sz w:val="20"/>
                <w:szCs w:val="20"/>
                <w:color w:val="auto"/>
              </w:rPr>
            </w:pPr>
            <w:r>
              <w:rPr>
                <w:rFonts w:ascii="Times New Roman" w:cs="Times New Roman" w:eastAsia="Times New Roman" w:hAnsi="Times New Roman"/>
                <w:sz w:val="12"/>
                <w:szCs w:val="12"/>
                <w:b w:val="1"/>
                <w:bCs w:val="1"/>
                <w:color w:val="auto"/>
              </w:rPr>
              <w:t>No.</w:t>
            </w:r>
          </w:p>
        </w:tc>
        <w:tc>
          <w:tcPr>
            <w:tcW w:w="1040" w:type="dxa"/>
            <w:vAlign w:val="bottom"/>
            <w:tcBorders>
              <w:right w:val="single" w:sz="8" w:color="auto"/>
            </w:tcBorders>
          </w:tcPr>
          <w:p>
            <w:pPr>
              <w:ind w:left="40"/>
              <w:spacing w:after="0" w:line="118" w:lineRule="exact"/>
              <w:rPr>
                <w:sz w:val="20"/>
                <w:szCs w:val="20"/>
                <w:color w:val="auto"/>
              </w:rPr>
            </w:pPr>
            <w:r>
              <w:rPr>
                <w:rFonts w:ascii="Times New Roman" w:cs="Times New Roman" w:eastAsia="Times New Roman" w:hAnsi="Times New Roman"/>
                <w:sz w:val="12"/>
                <w:szCs w:val="12"/>
                <w:b w:val="1"/>
                <w:bCs w:val="1"/>
                <w:color w:val="auto"/>
              </w:rPr>
              <w:t>FEE TABLE</w:t>
            </w: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2"/>
                <w:szCs w:val="12"/>
                <w:b w:val="1"/>
                <w:bCs w:val="1"/>
                <w:color w:val="auto"/>
              </w:rPr>
              <w:t>Fees</w:t>
            </w: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There is an implicit ongoing fee on the Shield Options to the extent</w:t>
            </w: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2"/>
                <w:szCs w:val="12"/>
                <w:b w:val="1"/>
                <w:bCs w:val="1"/>
                <w:color w:val="auto"/>
              </w:rPr>
              <w:t>and Expenses?</w:t>
            </w: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that</w:t>
            </w: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CHARGES,</w:t>
            </w: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your participation in Index gains is limited by us through the use</w:t>
            </w: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FEES,</w:t>
            </w: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of the</w:t>
            </w: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AND</w:t>
            </w:r>
          </w:p>
        </w:tc>
        <w:tc>
          <w:tcPr>
            <w:tcW w:w="0" w:type="dxa"/>
            <w:vAlign w:val="bottom"/>
          </w:tcPr>
          <w:p>
            <w:pPr>
              <w:spacing w:after="0"/>
              <w:rPr>
                <w:sz w:val="1"/>
                <w:szCs w:val="1"/>
                <w:color w:val="auto"/>
              </w:rPr>
            </w:pPr>
          </w:p>
        </w:tc>
      </w:tr>
      <w:tr>
        <w:trPr>
          <w:trHeight w:val="153"/>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Cap Rate, Step Rate, or Edge Rate. This means that your returns</w:t>
            </w: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may be</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lower than the Index’s returns. In return for accepting this limit</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on Index</w:t>
            </w: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bottom w:val="single" w:sz="8" w:color="auto"/>
              <w:right w:val="single" w:sz="8" w:color="auto"/>
            </w:tcBorders>
            <w:shd w:val="clear" w:color="auto" w:fill="CCCCCC"/>
          </w:tcPr>
          <w:p>
            <w:pPr>
              <w:spacing w:after="0"/>
              <w:rPr>
                <w:sz w:val="14"/>
                <w:szCs w:val="14"/>
                <w:color w:val="auto"/>
              </w:rPr>
            </w:pPr>
          </w:p>
        </w:tc>
        <w:tc>
          <w:tcPr>
            <w:tcW w:w="3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gains, you will receive some protection from Index losses.</w:t>
            </w:r>
          </w:p>
        </w:tc>
        <w:tc>
          <w:tcPr>
            <w:tcW w:w="10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80" w:type="dxa"/>
            <w:vAlign w:val="bottom"/>
            <w:tcBorders>
              <w:left w:val="single" w:sz="8" w:color="auto"/>
              <w:bottom w:val="single" w:sz="8" w:color="auto"/>
              <w:right w:val="single" w:sz="8" w:color="CCCCCC"/>
            </w:tcBorders>
            <w:shd w:val="clear" w:color="auto" w:fill="CCCCCC"/>
          </w:tcPr>
          <w:p>
            <w:pPr>
              <w:spacing w:after="0"/>
              <w:rPr>
                <w:sz w:val="14"/>
                <w:szCs w:val="14"/>
                <w:color w:val="auto"/>
              </w:rPr>
            </w:pPr>
          </w:p>
        </w:tc>
        <w:tc>
          <w:tcPr>
            <w:tcW w:w="3560" w:type="dxa"/>
            <w:vAlign w:val="bottom"/>
            <w:tcBorders>
              <w:bottom w:val="single" w:sz="8" w:color="auto"/>
              <w:right w:val="single" w:sz="8" w:color="auto"/>
            </w:tcBorders>
            <w:shd w:val="clear" w:color="auto" w:fill="CCCCCC"/>
          </w:tcPr>
          <w:p>
            <w:pPr>
              <w:ind w:left="1620"/>
              <w:spacing w:after="0"/>
              <w:rPr>
                <w:sz w:val="20"/>
                <w:szCs w:val="20"/>
                <w:color w:val="auto"/>
              </w:rPr>
            </w:pPr>
            <w:r>
              <w:rPr>
                <w:rFonts w:ascii="Times New Roman" w:cs="Times New Roman" w:eastAsia="Times New Roman" w:hAnsi="Times New Roman"/>
                <w:sz w:val="12"/>
                <w:szCs w:val="12"/>
                <w:b w:val="1"/>
                <w:bCs w:val="1"/>
                <w:color w:val="auto"/>
              </w:rPr>
              <w:t>Risks</w:t>
            </w:r>
          </w:p>
        </w:tc>
        <w:tc>
          <w:tcPr>
            <w:tcW w:w="1040" w:type="dxa"/>
            <w:vAlign w:val="bottom"/>
            <w:tcBorders>
              <w:bottom w:val="single" w:sz="8" w:color="auto"/>
              <w:right w:val="single" w:sz="8" w:color="auto"/>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80" w:type="dxa"/>
            <w:vAlign w:val="bottom"/>
            <w:tcBorders>
              <w:left w:val="single" w:sz="8" w:color="auto"/>
              <w:right w:val="single" w:sz="8" w:color="auto"/>
            </w:tcBorders>
            <w:shd w:val="clear" w:color="auto" w:fill="CCCCCC"/>
          </w:tcPr>
          <w:p>
            <w:pPr>
              <w:ind w:left="40"/>
              <w:spacing w:after="0" w:line="124" w:lineRule="exact"/>
              <w:rPr>
                <w:sz w:val="20"/>
                <w:szCs w:val="20"/>
                <w:color w:val="auto"/>
              </w:rPr>
            </w:pPr>
            <w:r>
              <w:rPr>
                <w:rFonts w:ascii="Times New Roman" w:cs="Times New Roman" w:eastAsia="Times New Roman" w:hAnsi="Times New Roman"/>
                <w:sz w:val="12"/>
                <w:szCs w:val="12"/>
                <w:b w:val="1"/>
                <w:bCs w:val="1"/>
                <w:color w:val="auto"/>
              </w:rPr>
              <w:t>Is there a Risk of Loss</w:t>
            </w:r>
          </w:p>
        </w:tc>
        <w:tc>
          <w:tcPr>
            <w:tcW w:w="3560" w:type="dxa"/>
            <w:vAlign w:val="bottom"/>
            <w:tcBorders>
              <w:right w:val="single" w:sz="8" w:color="auto"/>
            </w:tcBorders>
          </w:tcPr>
          <w:p>
            <w:pPr>
              <w:ind w:left="60"/>
              <w:spacing w:after="0" w:line="124" w:lineRule="exact"/>
              <w:rPr>
                <w:sz w:val="20"/>
                <w:szCs w:val="20"/>
                <w:color w:val="auto"/>
              </w:rPr>
            </w:pPr>
            <w:r>
              <w:rPr>
                <w:rFonts w:ascii="Times New Roman" w:cs="Times New Roman" w:eastAsia="Times New Roman" w:hAnsi="Times New Roman"/>
                <w:sz w:val="12"/>
                <w:szCs w:val="12"/>
                <w:b w:val="1"/>
                <w:bCs w:val="1"/>
                <w:color w:val="auto"/>
              </w:rPr>
              <w:t>Yes</w:t>
            </w:r>
            <w:r>
              <w:rPr>
                <w:rFonts w:ascii="Times New Roman" w:cs="Times New Roman" w:eastAsia="Times New Roman" w:hAnsi="Times New Roman"/>
                <w:sz w:val="12"/>
                <w:szCs w:val="12"/>
                <w:color w:val="auto"/>
              </w:rPr>
              <w:t>. You can lose money by investing in the Contract.</w:t>
            </w:r>
          </w:p>
        </w:tc>
        <w:tc>
          <w:tcPr>
            <w:tcW w:w="1040" w:type="dxa"/>
            <w:vAlign w:val="bottom"/>
            <w:tcBorders>
              <w:right w:val="single" w:sz="8" w:color="auto"/>
            </w:tcBorders>
          </w:tcPr>
          <w:p>
            <w:pPr>
              <w:ind w:left="40"/>
              <w:spacing w:after="0" w:line="124" w:lineRule="exact"/>
              <w:rPr>
                <w:sz w:val="20"/>
                <w:szCs w:val="20"/>
                <w:color w:val="auto"/>
              </w:rPr>
            </w:pPr>
            <w:r>
              <w:rPr>
                <w:rFonts w:ascii="Times New Roman" w:cs="Times New Roman" w:eastAsia="Times New Roman" w:hAnsi="Times New Roman"/>
                <w:sz w:val="12"/>
                <w:szCs w:val="12"/>
                <w:b w:val="1"/>
                <w:bCs w:val="1"/>
                <w:color w:val="auto"/>
              </w:rPr>
              <w:t>PRINCIPAL</w:t>
            </w: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ind w:left="40"/>
              <w:spacing w:after="0" w:line="126" w:lineRule="exact"/>
              <w:rPr>
                <w:sz w:val="20"/>
                <w:szCs w:val="20"/>
                <w:color w:val="auto"/>
              </w:rPr>
            </w:pPr>
            <w:r>
              <w:rPr>
                <w:rFonts w:ascii="Times New Roman" w:cs="Times New Roman" w:eastAsia="Times New Roman" w:hAnsi="Times New Roman"/>
                <w:sz w:val="12"/>
                <w:szCs w:val="12"/>
                <w:b w:val="1"/>
                <w:bCs w:val="1"/>
                <w:color w:val="auto"/>
              </w:rPr>
              <w:t>from Poor</w:t>
            </w: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 </w:t>
            </w:r>
          </w:p>
        </w:tc>
        <w:tc>
          <w:tcPr>
            <w:tcW w:w="1040" w:type="dxa"/>
            <w:vAlign w:val="bottom"/>
            <w:tcBorders>
              <w:right w:val="single" w:sz="8" w:color="auto"/>
            </w:tcBorders>
          </w:tcPr>
          <w:p>
            <w:pPr>
              <w:ind w:left="40"/>
              <w:spacing w:after="0" w:line="126" w:lineRule="exact"/>
              <w:rPr>
                <w:sz w:val="20"/>
                <w:szCs w:val="20"/>
                <w:color w:val="auto"/>
              </w:rPr>
            </w:pPr>
            <w:r>
              <w:rPr>
                <w:rFonts w:ascii="Times New Roman" w:cs="Times New Roman" w:eastAsia="Times New Roman" w:hAnsi="Times New Roman"/>
                <w:sz w:val="12"/>
                <w:szCs w:val="12"/>
                <w:b w:val="1"/>
                <w:bCs w:val="1"/>
                <w:color w:val="auto"/>
              </w:rPr>
              <w:t>RISKS</w:t>
            </w: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Performance?</w:t>
            </w:r>
          </w:p>
        </w:tc>
        <w:tc>
          <w:tcPr>
            <w:tcW w:w="35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 The currently offered Shield Options provide that we will absorb</w:t>
            </w:r>
          </w:p>
        </w:tc>
        <w:tc>
          <w:tcPr>
            <w:tcW w:w="1040" w:type="dxa"/>
            <w:vAlign w:val="bottom"/>
            <w:tcBorders>
              <w:right w:val="single" w:sz="8" w:color="auto"/>
            </w:tcBorders>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OF INVESTING</w:t>
            </w:r>
          </w:p>
        </w:tc>
        <w:tc>
          <w:tcPr>
            <w:tcW w:w="0" w:type="dxa"/>
            <w:vAlign w:val="bottom"/>
          </w:tcPr>
          <w:p>
            <w:pPr>
              <w:spacing w:after="0"/>
              <w:rPr>
                <w:sz w:val="1"/>
                <w:szCs w:val="1"/>
                <w:color w:val="auto"/>
              </w:rPr>
            </w:pPr>
          </w:p>
        </w:tc>
      </w:tr>
      <w:tr>
        <w:trPr>
          <w:trHeight w:val="115"/>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tcPr>
          <w:p>
            <w:pPr>
              <w:ind w:left="40"/>
              <w:spacing w:after="0" w:line="115" w:lineRule="exact"/>
              <w:rPr>
                <w:sz w:val="20"/>
                <w:szCs w:val="20"/>
                <w:color w:val="auto"/>
              </w:rPr>
            </w:pPr>
            <w:r>
              <w:rPr>
                <w:rFonts w:ascii="Times New Roman" w:cs="Times New Roman" w:eastAsia="Times New Roman" w:hAnsi="Times New Roman"/>
                <w:sz w:val="12"/>
                <w:szCs w:val="12"/>
                <w:b w:val="1"/>
                <w:bCs w:val="1"/>
                <w:color w:val="auto"/>
              </w:rPr>
              <w:t>IN</w:t>
            </w:r>
          </w:p>
        </w:tc>
        <w:tc>
          <w:tcPr>
            <w:tcW w:w="0" w:type="dxa"/>
            <w:vAlign w:val="bottom"/>
          </w:tcPr>
          <w:p>
            <w:pPr>
              <w:spacing w:after="0"/>
              <w:rPr>
                <w:sz w:val="1"/>
                <w:szCs w:val="1"/>
                <w:color w:val="auto"/>
              </w:rPr>
            </w:pPr>
          </w:p>
        </w:tc>
      </w:tr>
      <w:tr>
        <w:trPr>
          <w:trHeight w:val="143"/>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losses at</w:t>
            </w: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THE</w:t>
            </w: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160"/>
              <w:spacing w:after="0" w:line="126" w:lineRule="exact"/>
              <w:rPr>
                <w:sz w:val="20"/>
                <w:szCs w:val="20"/>
                <w:color w:val="auto"/>
              </w:rPr>
            </w:pPr>
            <w:r>
              <w:rPr>
                <w:rFonts w:ascii="Times New Roman" w:cs="Times New Roman" w:eastAsia="Times New Roman" w:hAnsi="Times New Roman"/>
                <w:sz w:val="12"/>
                <w:szCs w:val="12"/>
                <w:color w:val="auto"/>
              </w:rPr>
              <w:t xml:space="preserve">least equal to 10%, 15%, and 25%. </w:t>
            </w:r>
            <w:r>
              <w:rPr>
                <w:rFonts w:ascii="Times New Roman" w:cs="Times New Roman" w:eastAsia="Times New Roman" w:hAnsi="Times New Roman"/>
                <w:sz w:val="12"/>
                <w:szCs w:val="12"/>
                <w:b w:val="1"/>
                <w:bCs w:val="1"/>
                <w:color w:val="auto"/>
              </w:rPr>
              <w:t>Under these Shield Options,</w:t>
            </w:r>
          </w:p>
        </w:tc>
        <w:tc>
          <w:tcPr>
            <w:tcW w:w="1040" w:type="dxa"/>
            <w:vAlign w:val="bottom"/>
            <w:tcBorders>
              <w:right w:val="single" w:sz="8" w:color="auto"/>
            </w:tcBorders>
          </w:tcPr>
          <w:p>
            <w:pPr>
              <w:ind w:left="40"/>
              <w:spacing w:after="0" w:line="126" w:lineRule="exact"/>
              <w:rPr>
                <w:sz w:val="20"/>
                <w:szCs w:val="20"/>
                <w:color w:val="auto"/>
              </w:rPr>
            </w:pPr>
            <w:r>
              <w:rPr>
                <w:rFonts w:ascii="Times New Roman" w:cs="Times New Roman" w:eastAsia="Times New Roman" w:hAnsi="Times New Roman"/>
                <w:sz w:val="12"/>
                <w:szCs w:val="12"/>
                <w:b w:val="1"/>
                <w:bCs w:val="1"/>
                <w:color w:val="auto"/>
              </w:rPr>
              <w:t>CONTRACT</w:t>
            </w:r>
          </w:p>
        </w:tc>
        <w:tc>
          <w:tcPr>
            <w:tcW w:w="0" w:type="dxa"/>
            <w:vAlign w:val="bottom"/>
          </w:tcPr>
          <w:p>
            <w:pPr>
              <w:spacing w:after="0"/>
              <w:rPr>
                <w:sz w:val="1"/>
                <w:szCs w:val="1"/>
                <w:color w:val="auto"/>
              </w:rPr>
            </w:pPr>
          </w:p>
        </w:tc>
      </w:tr>
      <w:tr>
        <w:trPr>
          <w:trHeight w:val="127"/>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28" w:lineRule="exact"/>
              <w:rPr>
                <w:sz w:val="20"/>
                <w:szCs w:val="20"/>
                <w:color w:val="auto"/>
              </w:rPr>
            </w:pPr>
            <w:r>
              <w:rPr>
                <w:rFonts w:ascii="Times New Roman" w:cs="Times New Roman" w:eastAsia="Times New Roman" w:hAnsi="Times New Roman"/>
                <w:sz w:val="12"/>
                <w:szCs w:val="12"/>
                <w:b w:val="1"/>
                <w:bCs w:val="1"/>
                <w:color w:val="auto"/>
              </w:rPr>
              <w:t>the</w:t>
            </w:r>
          </w:p>
        </w:tc>
        <w:tc>
          <w:tcPr>
            <w:tcW w:w="1040" w:type="dxa"/>
            <w:vAlign w:val="bottom"/>
            <w:tcBorders>
              <w:right w:val="single" w:sz="8" w:color="auto"/>
            </w:tcBorders>
          </w:tcPr>
          <w:p>
            <w:pPr>
              <w:ind w:left="40"/>
              <w:spacing w:after="0" w:line="128" w:lineRule="exact"/>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43"/>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maximum amount of loss you could experience due to negative</w:t>
            </w: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SHIELD RATES</w:t>
            </w:r>
          </w:p>
        </w:tc>
        <w:tc>
          <w:tcPr>
            <w:tcW w:w="0" w:type="dxa"/>
            <w:vAlign w:val="bottom"/>
          </w:tcPr>
          <w:p>
            <w:pPr>
              <w:spacing w:after="0"/>
              <w:rPr>
                <w:sz w:val="1"/>
                <w:szCs w:val="1"/>
                <w:color w:val="auto"/>
              </w:rPr>
            </w:pPr>
          </w:p>
        </w:tc>
      </w:tr>
      <w:tr>
        <w:trPr>
          <w:trHeight w:val="102"/>
        </w:trPr>
        <w:tc>
          <w:tcPr>
            <w:tcW w:w="1280" w:type="dxa"/>
            <w:vAlign w:val="bottom"/>
            <w:tcBorders>
              <w:left w:val="single" w:sz="8" w:color="auto"/>
              <w:right w:val="single" w:sz="8" w:color="auto"/>
            </w:tcBorders>
            <w:shd w:val="clear" w:color="auto" w:fill="CCCCCC"/>
          </w:tcPr>
          <w:p>
            <w:pPr>
              <w:spacing w:after="0"/>
              <w:rPr>
                <w:sz w:val="8"/>
                <w:szCs w:val="8"/>
                <w:color w:val="auto"/>
              </w:rPr>
            </w:pPr>
          </w:p>
        </w:tc>
        <w:tc>
          <w:tcPr>
            <w:tcW w:w="3560" w:type="dxa"/>
            <w:vAlign w:val="bottom"/>
            <w:tcBorders>
              <w:right w:val="single" w:sz="8" w:color="auto"/>
            </w:tcBorders>
          </w:tcPr>
          <w:p>
            <w:pPr>
              <w:ind w:left="60"/>
              <w:spacing w:after="0" w:line="102" w:lineRule="exact"/>
              <w:rPr>
                <w:sz w:val="20"/>
                <w:szCs w:val="20"/>
                <w:color w:val="auto"/>
              </w:rPr>
            </w:pPr>
            <w:r>
              <w:rPr>
                <w:rFonts w:ascii="Times New Roman" w:cs="Times New Roman" w:eastAsia="Times New Roman" w:hAnsi="Times New Roman"/>
                <w:sz w:val="11"/>
                <w:szCs w:val="11"/>
                <w:b w:val="1"/>
                <w:bCs w:val="1"/>
                <w:color w:val="auto"/>
              </w:rPr>
              <w:t>index</w:t>
            </w:r>
          </w:p>
        </w:tc>
        <w:tc>
          <w:tcPr>
            <w:tcW w:w="10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160"/>
              <w:spacing w:after="0" w:line="135" w:lineRule="exact"/>
              <w:rPr>
                <w:sz w:val="20"/>
                <w:szCs w:val="20"/>
                <w:color w:val="auto"/>
              </w:rPr>
            </w:pPr>
            <w:r>
              <w:rPr>
                <w:rFonts w:ascii="Times New Roman" w:cs="Times New Roman" w:eastAsia="Times New Roman" w:hAnsi="Times New Roman"/>
                <w:sz w:val="12"/>
                <w:szCs w:val="12"/>
                <w:b w:val="1"/>
                <w:bCs w:val="1"/>
                <w:color w:val="auto"/>
              </w:rPr>
              <w:t>performance at the end of a Term, after taking into account</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b w:val="1"/>
                <w:bCs w:val="1"/>
                <w:color w:val="auto"/>
              </w:rPr>
              <w:t>these</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160"/>
              <w:spacing w:after="0" w:line="135" w:lineRule="exact"/>
              <w:rPr>
                <w:sz w:val="20"/>
                <w:szCs w:val="20"/>
                <w:color w:val="auto"/>
              </w:rPr>
            </w:pPr>
            <w:r>
              <w:rPr>
                <w:rFonts w:ascii="Times New Roman" w:cs="Times New Roman" w:eastAsia="Times New Roman" w:hAnsi="Times New Roman"/>
                <w:sz w:val="12"/>
                <w:szCs w:val="12"/>
                <w:b w:val="1"/>
                <w:bCs w:val="1"/>
                <w:color w:val="auto"/>
              </w:rPr>
              <w:t>levels of protection, would be: 90% for 10% downside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protection; 85%</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160"/>
              <w:spacing w:after="0" w:line="126" w:lineRule="exact"/>
              <w:rPr>
                <w:sz w:val="20"/>
                <w:szCs w:val="20"/>
                <w:color w:val="auto"/>
              </w:rPr>
            </w:pPr>
            <w:r>
              <w:rPr>
                <w:rFonts w:ascii="Times New Roman" w:cs="Times New Roman" w:eastAsia="Times New Roman" w:hAnsi="Times New Roman"/>
                <w:sz w:val="12"/>
                <w:szCs w:val="12"/>
                <w:b w:val="1"/>
                <w:bCs w:val="1"/>
                <w:color w:val="auto"/>
              </w:rPr>
              <w:t>for 15% downside protection; and 75% for 25% downside</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protection.</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b w:val="1"/>
                <w:bCs w:val="1"/>
                <w:color w:val="auto"/>
              </w:rPr>
              <w:t>● We do not guarantee that there will always be a Shield Option</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under</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160"/>
              <w:spacing w:after="0" w:line="135" w:lineRule="exact"/>
              <w:rPr>
                <w:sz w:val="20"/>
                <w:szCs w:val="20"/>
                <w:color w:val="auto"/>
              </w:rPr>
            </w:pPr>
            <w:r>
              <w:rPr>
                <w:rFonts w:ascii="Times New Roman" w:cs="Times New Roman" w:eastAsia="Times New Roman" w:hAnsi="Times New Roman"/>
                <w:sz w:val="12"/>
                <w:szCs w:val="12"/>
                <w:b w:val="1"/>
                <w:bCs w:val="1"/>
                <w:color w:val="auto"/>
              </w:rPr>
              <w:t>the Contract that provides this minimum amount of downside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160"/>
              <w:spacing w:after="0" w:line="126" w:lineRule="exact"/>
              <w:rPr>
                <w:sz w:val="20"/>
                <w:szCs w:val="20"/>
                <w:color w:val="auto"/>
              </w:rPr>
            </w:pPr>
            <w:r>
              <w:rPr>
                <w:rFonts w:ascii="Times New Roman" w:cs="Times New Roman" w:eastAsia="Times New Roman" w:hAnsi="Times New Roman"/>
                <w:sz w:val="12"/>
                <w:szCs w:val="12"/>
                <w:b w:val="1"/>
                <w:bCs w:val="1"/>
                <w:color w:val="auto"/>
              </w:rPr>
              <w:t>protection; however, there will always be at least one Shield</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Option</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bottom w:val="single" w:sz="8" w:color="auto"/>
              <w:right w:val="single" w:sz="8" w:color="auto"/>
            </w:tcBorders>
            <w:shd w:val="clear" w:color="auto" w:fill="CCCCCC"/>
          </w:tcPr>
          <w:p>
            <w:pPr>
              <w:spacing w:after="0"/>
              <w:rPr>
                <w:sz w:val="14"/>
                <w:szCs w:val="14"/>
                <w:color w:val="auto"/>
              </w:rPr>
            </w:pPr>
          </w:p>
        </w:tc>
        <w:tc>
          <w:tcPr>
            <w:tcW w:w="35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available with a minimum of 10% downside protection.</w:t>
            </w:r>
          </w:p>
        </w:tc>
        <w:tc>
          <w:tcPr>
            <w:tcW w:w="10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1280" w:type="dxa"/>
            <w:vAlign w:val="bottom"/>
          </w:tcPr>
          <w:p>
            <w:pPr>
              <w:spacing w:after="0"/>
              <w:rPr>
                <w:sz w:val="24"/>
                <w:szCs w:val="24"/>
                <w:color w:val="auto"/>
              </w:rPr>
            </w:pPr>
          </w:p>
        </w:tc>
        <w:tc>
          <w:tcPr>
            <w:tcW w:w="356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12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39"/>
          </w:cols>
          <w:pgMar w:left="1120" w:top="962" w:right="1440"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57395" cy="3683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56"/>
        </w:trPr>
        <w:tc>
          <w:tcPr>
            <w:tcW w:w="1280" w:type="dxa"/>
            <w:vAlign w:val="bottom"/>
            <w:tcBorders>
              <w:top w:val="single" w:sz="8" w:color="auto"/>
              <w:left w:val="single" w:sz="8" w:color="auto"/>
              <w:right w:val="single" w:sz="8" w:color="CCCCCC"/>
            </w:tcBorders>
            <w:shd w:val="clear" w:color="auto" w:fill="CCCCCC"/>
          </w:tcPr>
          <w:p>
            <w:pPr>
              <w:spacing w:after="0"/>
              <w:rPr>
                <w:sz w:val="13"/>
                <w:szCs w:val="13"/>
                <w:color w:val="auto"/>
              </w:rPr>
            </w:pPr>
          </w:p>
        </w:tc>
        <w:tc>
          <w:tcPr>
            <w:tcW w:w="3560" w:type="dxa"/>
            <w:vAlign w:val="bottom"/>
            <w:tcBorders>
              <w:top w:val="single" w:sz="8" w:color="auto"/>
              <w:right w:val="single" w:sz="8" w:color="auto"/>
            </w:tcBorders>
            <w:shd w:val="clear" w:color="auto" w:fill="CCCCCC"/>
          </w:tcPr>
          <w:p>
            <w:pPr>
              <w:ind w:left="1620"/>
              <w:spacing w:after="0"/>
              <w:rPr>
                <w:sz w:val="20"/>
                <w:szCs w:val="20"/>
                <w:color w:val="auto"/>
              </w:rPr>
            </w:pPr>
            <w:r>
              <w:rPr>
                <w:rFonts w:ascii="Times New Roman" w:cs="Times New Roman" w:eastAsia="Times New Roman" w:hAnsi="Times New Roman"/>
                <w:sz w:val="12"/>
                <w:szCs w:val="12"/>
                <w:b w:val="1"/>
                <w:bCs w:val="1"/>
                <w:color w:val="auto"/>
              </w:rPr>
              <w:t>Risks</w:t>
            </w:r>
          </w:p>
        </w:tc>
        <w:tc>
          <w:tcPr>
            <w:tcW w:w="1040" w:type="dxa"/>
            <w:vAlign w:val="bottom"/>
            <w:tcBorders>
              <w:top w:val="single" w:sz="8" w:color="auto"/>
              <w:right w:val="single" w:sz="8" w:color="auto"/>
            </w:tcBorders>
            <w:shd w:val="clear" w:color="auto" w:fill="CCCCCC"/>
          </w:tcPr>
          <w:p>
            <w:pPr>
              <w:ind w:left="220"/>
              <w:spacing w:after="0"/>
              <w:rPr>
                <w:sz w:val="20"/>
                <w:szCs w:val="20"/>
                <w:color w:val="auto"/>
              </w:rPr>
            </w:pPr>
            <w:r>
              <w:rPr>
                <w:rFonts w:ascii="Times New Roman" w:cs="Times New Roman" w:eastAsia="Times New Roman" w:hAnsi="Times New Roman"/>
                <w:sz w:val="12"/>
                <w:szCs w:val="12"/>
                <w:b w:val="1"/>
                <w:bCs w:val="1"/>
                <w:color w:val="auto"/>
              </w:rPr>
              <w:t>Location in</w:t>
            </w: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bottom w:val="single" w:sz="8" w:color="auto"/>
              <w:right w:val="single" w:sz="8" w:color="CCCCCC"/>
            </w:tcBorders>
            <w:shd w:val="clear" w:color="auto" w:fill="CCCCCC"/>
          </w:tcPr>
          <w:p>
            <w:pPr>
              <w:spacing w:after="0"/>
              <w:rPr>
                <w:sz w:val="14"/>
                <w:szCs w:val="14"/>
                <w:color w:val="auto"/>
              </w:rPr>
            </w:pPr>
          </w:p>
        </w:tc>
        <w:tc>
          <w:tcPr>
            <w:tcW w:w="3560" w:type="dxa"/>
            <w:vAlign w:val="bottom"/>
            <w:tcBorders>
              <w:bottom w:val="single" w:sz="8" w:color="auto"/>
              <w:right w:val="single" w:sz="8" w:color="auto"/>
            </w:tcBorders>
            <w:shd w:val="clear" w:color="auto" w:fill="CCCCCC"/>
          </w:tcPr>
          <w:p>
            <w:pPr>
              <w:spacing w:after="0"/>
              <w:rPr>
                <w:sz w:val="14"/>
                <w:szCs w:val="14"/>
                <w:color w:val="auto"/>
              </w:rPr>
            </w:pPr>
          </w:p>
        </w:tc>
        <w:tc>
          <w:tcPr>
            <w:tcW w:w="104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2"/>
                <w:szCs w:val="12"/>
                <w:b w:val="1"/>
                <w:bCs w:val="1"/>
                <w:color w:val="auto"/>
              </w:rPr>
              <w:t>the Prospectus</w:t>
            </w:r>
          </w:p>
        </w:tc>
        <w:tc>
          <w:tcPr>
            <w:tcW w:w="0" w:type="dxa"/>
            <w:vAlign w:val="bottom"/>
          </w:tcPr>
          <w:p>
            <w:pPr>
              <w:spacing w:after="0"/>
              <w:rPr>
                <w:sz w:val="1"/>
                <w:szCs w:val="1"/>
                <w:color w:val="auto"/>
              </w:rPr>
            </w:pPr>
          </w:p>
        </w:tc>
      </w:tr>
      <w:tr>
        <w:trPr>
          <w:trHeight w:val="109"/>
        </w:trPr>
        <w:tc>
          <w:tcPr>
            <w:tcW w:w="1280" w:type="dxa"/>
            <w:vAlign w:val="bottom"/>
            <w:tcBorders>
              <w:left w:val="single" w:sz="8" w:color="auto"/>
              <w:right w:val="single" w:sz="8" w:color="auto"/>
            </w:tcBorders>
            <w:shd w:val="clear" w:color="auto" w:fill="CCCCCC"/>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Is this a Short-Term</w:t>
            </w:r>
          </w:p>
        </w:tc>
        <w:tc>
          <w:tcPr>
            <w:tcW w:w="3560" w:type="dxa"/>
            <w:vAlign w:val="bottom"/>
            <w:tcBorders>
              <w:right w:val="single" w:sz="8" w:color="auto"/>
            </w:tcBorders>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No</w:t>
            </w:r>
            <w:r>
              <w:rPr>
                <w:rFonts w:ascii="Times New Roman" w:cs="Times New Roman" w:eastAsia="Times New Roman" w:hAnsi="Times New Roman"/>
                <w:sz w:val="12"/>
                <w:szCs w:val="12"/>
                <w:color w:val="auto"/>
              </w:rPr>
              <w:t>. The Contract is not a short-term investment and is not appropriate</w:t>
            </w:r>
          </w:p>
        </w:tc>
        <w:tc>
          <w:tcPr>
            <w:tcW w:w="1040" w:type="dxa"/>
            <w:vAlign w:val="bottom"/>
            <w:tcBorders>
              <w:right w:val="single" w:sz="8" w:color="auto"/>
            </w:tcBorders>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PRINCIPAL</w:t>
            </w: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ind w:left="40"/>
              <w:spacing w:after="0" w:line="126"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for an</w:t>
            </w:r>
          </w:p>
        </w:tc>
        <w:tc>
          <w:tcPr>
            <w:tcW w:w="1040" w:type="dxa"/>
            <w:vAlign w:val="bottom"/>
            <w:tcBorders>
              <w:right w:val="single" w:sz="8" w:color="auto"/>
            </w:tcBorders>
          </w:tcPr>
          <w:p>
            <w:pPr>
              <w:ind w:left="40"/>
              <w:spacing w:after="0" w:line="126" w:lineRule="exact"/>
              <w:rPr>
                <w:sz w:val="20"/>
                <w:szCs w:val="20"/>
                <w:color w:val="auto"/>
              </w:rPr>
            </w:pPr>
            <w:r>
              <w:rPr>
                <w:rFonts w:ascii="Times New Roman" w:cs="Times New Roman" w:eastAsia="Times New Roman" w:hAnsi="Times New Roman"/>
                <w:sz w:val="12"/>
                <w:szCs w:val="12"/>
                <w:b w:val="1"/>
                <w:bCs w:val="1"/>
                <w:color w:val="auto"/>
              </w:rPr>
              <w:t>RISKS</w:t>
            </w: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investor who needs ready access to cash.</w:t>
            </w:r>
          </w:p>
        </w:tc>
        <w:tc>
          <w:tcPr>
            <w:tcW w:w="1040" w:type="dxa"/>
            <w:vAlign w:val="bottom"/>
            <w:tcBorders>
              <w:right w:val="single" w:sz="8" w:color="auto"/>
            </w:tcBorders>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OF INVESTING</w:t>
            </w: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The Contract’s tax deferral and long-term income features are</w:t>
            </w:r>
          </w:p>
        </w:tc>
        <w:tc>
          <w:tcPr>
            <w:tcW w:w="1040" w:type="dxa"/>
            <w:vAlign w:val="bottom"/>
            <w:tcBorders>
              <w:right w:val="single" w:sz="8" w:color="auto"/>
            </w:tcBorders>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IN</w:t>
            </w:r>
          </w:p>
        </w:tc>
        <w:tc>
          <w:tcPr>
            <w:tcW w:w="0" w:type="dxa"/>
            <w:vAlign w:val="bottom"/>
          </w:tcPr>
          <w:p>
            <w:pPr>
              <w:spacing w:after="0"/>
              <w:rPr>
                <w:sz w:val="1"/>
                <w:szCs w:val="1"/>
                <w:color w:val="auto"/>
              </w:rPr>
            </w:pPr>
          </w:p>
        </w:tc>
      </w:tr>
      <w:tr>
        <w:trPr>
          <w:trHeight w:val="106"/>
        </w:trPr>
        <w:tc>
          <w:tcPr>
            <w:tcW w:w="1280" w:type="dxa"/>
            <w:vAlign w:val="bottom"/>
            <w:tcBorders>
              <w:left w:val="single" w:sz="8" w:color="auto"/>
              <w:right w:val="single" w:sz="8" w:color="auto"/>
            </w:tcBorders>
            <w:shd w:val="clear" w:color="auto" w:fill="CCCCCC"/>
          </w:tcPr>
          <w:p>
            <w:pPr>
              <w:spacing w:after="0"/>
              <w:rPr>
                <w:sz w:val="9"/>
                <w:szCs w:val="9"/>
                <w:color w:val="auto"/>
              </w:rPr>
            </w:pPr>
          </w:p>
        </w:tc>
        <w:tc>
          <w:tcPr>
            <w:tcW w:w="356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tcPr>
          <w:p>
            <w:pPr>
              <w:ind w:left="40"/>
              <w:spacing w:after="0" w:line="106" w:lineRule="exact"/>
              <w:rPr>
                <w:sz w:val="20"/>
                <w:szCs w:val="20"/>
                <w:color w:val="auto"/>
              </w:rPr>
            </w:pPr>
            <w:r>
              <w:rPr>
                <w:rFonts w:ascii="Times New Roman" w:cs="Times New Roman" w:eastAsia="Times New Roman" w:hAnsi="Times New Roman"/>
                <w:sz w:val="12"/>
                <w:szCs w:val="12"/>
                <w:b w:val="1"/>
                <w:bCs w:val="1"/>
                <w:color w:val="auto"/>
              </w:rPr>
              <w:t>THE</w:t>
            </w:r>
          </w:p>
        </w:tc>
        <w:tc>
          <w:tcPr>
            <w:tcW w:w="0" w:type="dxa"/>
            <w:vAlign w:val="bottom"/>
          </w:tcPr>
          <w:p>
            <w:pPr>
              <w:spacing w:after="0"/>
              <w:rPr>
                <w:sz w:val="1"/>
                <w:szCs w:val="1"/>
                <w:color w:val="auto"/>
              </w:rPr>
            </w:pPr>
          </w:p>
        </w:tc>
      </w:tr>
      <w:tr>
        <w:trPr>
          <w:trHeight w:val="143"/>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generally more</w:t>
            </w: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CONTRACT</w:t>
            </w:r>
          </w:p>
        </w:tc>
        <w:tc>
          <w:tcPr>
            <w:tcW w:w="0" w:type="dxa"/>
            <w:vAlign w:val="bottom"/>
          </w:tcPr>
          <w:p>
            <w:pPr>
              <w:spacing w:after="0"/>
              <w:rPr>
                <w:sz w:val="1"/>
                <w:szCs w:val="1"/>
                <w:color w:val="auto"/>
              </w:rPr>
            </w:pPr>
          </w:p>
        </w:tc>
      </w:tr>
      <w:tr>
        <w:trPr>
          <w:trHeight w:val="127"/>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28" w:lineRule="exact"/>
              <w:rPr>
                <w:sz w:val="20"/>
                <w:szCs w:val="20"/>
                <w:color w:val="auto"/>
              </w:rPr>
            </w:pPr>
            <w:r>
              <w:rPr>
                <w:rFonts w:ascii="Times New Roman" w:cs="Times New Roman" w:eastAsia="Times New Roman" w:hAnsi="Times New Roman"/>
                <w:sz w:val="12"/>
                <w:szCs w:val="12"/>
                <w:color w:val="auto"/>
              </w:rPr>
              <w:t>beneficial to investors who intend to hold the Contract for a long</w:t>
            </w:r>
          </w:p>
        </w:tc>
        <w:tc>
          <w:tcPr>
            <w:tcW w:w="1040" w:type="dxa"/>
            <w:vAlign w:val="bottom"/>
            <w:tcBorders>
              <w:right w:val="single" w:sz="8" w:color="auto"/>
            </w:tcBorders>
          </w:tcPr>
          <w:p>
            <w:pPr>
              <w:ind w:left="40"/>
              <w:spacing w:after="0" w:line="128" w:lineRule="exact"/>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43"/>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period of</w:t>
            </w: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TRANSFERS</w:t>
            </w:r>
          </w:p>
        </w:tc>
        <w:tc>
          <w:tcPr>
            <w:tcW w:w="0" w:type="dxa"/>
            <w:vAlign w:val="bottom"/>
          </w:tcPr>
          <w:p>
            <w:pPr>
              <w:spacing w:after="0"/>
              <w:rPr>
                <w:sz w:val="1"/>
                <w:szCs w:val="1"/>
                <w:color w:val="auto"/>
              </w:rPr>
            </w:pPr>
          </w:p>
        </w:tc>
      </w:tr>
      <w:tr>
        <w:trPr>
          <w:trHeight w:val="106"/>
        </w:trPr>
        <w:tc>
          <w:tcPr>
            <w:tcW w:w="1280" w:type="dxa"/>
            <w:vAlign w:val="bottom"/>
            <w:tcBorders>
              <w:left w:val="single" w:sz="8" w:color="auto"/>
              <w:right w:val="single" w:sz="8" w:color="auto"/>
            </w:tcBorders>
            <w:shd w:val="clear" w:color="auto" w:fill="CCCCCC"/>
          </w:tcPr>
          <w:p>
            <w:pPr>
              <w:spacing w:after="0"/>
              <w:rPr>
                <w:sz w:val="9"/>
                <w:szCs w:val="9"/>
                <w:color w:val="auto"/>
              </w:rPr>
            </w:pPr>
          </w:p>
        </w:tc>
        <w:tc>
          <w:tcPr>
            <w:tcW w:w="3560" w:type="dxa"/>
            <w:vAlign w:val="bottom"/>
            <w:tcBorders>
              <w:right w:val="single" w:sz="8" w:color="auto"/>
            </w:tcBorders>
          </w:tcPr>
          <w:p>
            <w:pPr>
              <w:ind w:left="60"/>
              <w:spacing w:after="0" w:line="106" w:lineRule="exact"/>
              <w:rPr>
                <w:sz w:val="20"/>
                <w:szCs w:val="20"/>
                <w:color w:val="auto"/>
              </w:rPr>
            </w:pPr>
            <w:r>
              <w:rPr>
                <w:rFonts w:ascii="Times New Roman" w:cs="Times New Roman" w:eastAsia="Times New Roman" w:hAnsi="Times New Roman"/>
                <w:sz w:val="12"/>
                <w:szCs w:val="12"/>
                <w:color w:val="auto"/>
              </w:rPr>
              <w:t>time and then use the Account Value for retirement savings or other</w:t>
            </w:r>
          </w:p>
        </w:tc>
        <w:tc>
          <w:tcPr>
            <w:tcW w:w="1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long-term</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investment purposes.</w:t>
            </w: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80" w:type="dxa"/>
            <w:vAlign w:val="bottom"/>
            <w:tcBorders>
              <w:left w:val="single" w:sz="8" w:color="auto"/>
              <w:right w:val="single" w:sz="8" w:color="auto"/>
            </w:tcBorders>
            <w:shd w:val="clear" w:color="auto" w:fill="CCCCCC"/>
          </w:tcPr>
          <w:p>
            <w:pPr>
              <w:spacing w:after="0"/>
              <w:rPr>
                <w:sz w:val="17"/>
                <w:szCs w:val="17"/>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Amounts withdrawn from the Contract may result in Withdrawal</w:t>
            </w: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Charges,</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taxes, and tax penalties. If you have not exercised the Performance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Lock,</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amounts removed from a Shield Option or from the Contract before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the end of</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a Term may also result in a negative Interim Value and proportional</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reduction</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to the Investment Amount associated with the Shield Option, as well</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as loss of</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positive Index Performance.</w:t>
            </w: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80" w:type="dxa"/>
            <w:vAlign w:val="bottom"/>
            <w:tcBorders>
              <w:left w:val="single" w:sz="8" w:color="auto"/>
              <w:right w:val="single" w:sz="8" w:color="auto"/>
            </w:tcBorders>
            <w:shd w:val="clear" w:color="auto" w:fill="CCCCCC"/>
          </w:tcPr>
          <w:p>
            <w:pPr>
              <w:spacing w:after="0"/>
              <w:rPr>
                <w:sz w:val="17"/>
                <w:szCs w:val="17"/>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Withdrawals (including RMDs and systematic withdrawals) will</w:t>
            </w: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reduce your</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Account Value and the death benefit, perhaps significantly. The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reduction may</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be more than the amount withdrawn.</w:t>
            </w: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80" w:type="dxa"/>
            <w:vAlign w:val="bottom"/>
            <w:tcBorders>
              <w:left w:val="single" w:sz="8" w:color="auto"/>
              <w:right w:val="single" w:sz="8" w:color="auto"/>
            </w:tcBorders>
            <w:shd w:val="clear" w:color="auto" w:fill="CCCCCC"/>
          </w:tcPr>
          <w:p>
            <w:pPr>
              <w:spacing w:after="0"/>
              <w:rPr>
                <w:sz w:val="17"/>
                <w:szCs w:val="17"/>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If you have not exercised the Performance Lock, withdrawals from the</w:t>
            </w: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Shield</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Options during a Term will reduce the Investment Amount associated</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with the</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Shield Option by the same proportion that the Interim Value of that</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Shield</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Option is reduced by the withdrawal. The proportionate reduction</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could be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greater than the amount withdrawn even if the Index Value has</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increased.</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Reductions to the Investment Amount will reduce the Interim Value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for that</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Shield Option for the remainder of the Term, and, as a result, the</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positive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interest, if any, credited to the remaining Investment Amount on the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Term End</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Date will be less than if you had not taken a withdrawal. If you have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exercised</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the Performance Lock, a withdrawal will reduce the Performance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Lock Value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by the dollar amount of the withdrawal.</w:t>
            </w: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80" w:type="dxa"/>
            <w:vAlign w:val="bottom"/>
            <w:tcBorders>
              <w:left w:val="single" w:sz="8" w:color="auto"/>
              <w:right w:val="single" w:sz="8" w:color="auto"/>
            </w:tcBorders>
            <w:shd w:val="clear" w:color="auto" w:fill="CCCCCC"/>
          </w:tcPr>
          <w:p>
            <w:pPr>
              <w:spacing w:after="0"/>
              <w:rPr>
                <w:sz w:val="17"/>
                <w:szCs w:val="17"/>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During the Accumulation Period you may transfer your Account Value</w:t>
            </w: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to or</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from the Fixed Account (if available), to or from the Shield Option(s),</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and from</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the Holding Account. If we have allocation instructions from you, we</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will</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transfer the amounts in the Holding Account to the Shield Option(s)</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on the</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next Contract Anniversary. If you have not exercised the Performance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Lock,</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transfers may be made, according to your instructions, only during the</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Transfer Period following the Term End Date.</w:t>
            </w: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80" w:type="dxa"/>
            <w:vAlign w:val="bottom"/>
            <w:tcBorders>
              <w:left w:val="single" w:sz="8" w:color="auto"/>
              <w:right w:val="single" w:sz="8" w:color="auto"/>
            </w:tcBorders>
            <w:shd w:val="clear" w:color="auto" w:fill="CCCCCC"/>
          </w:tcPr>
          <w:p>
            <w:pPr>
              <w:spacing w:after="0"/>
              <w:rPr>
                <w:sz w:val="17"/>
                <w:szCs w:val="17"/>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If you have exercised the Performance Lock for a multi-year Term,</w:t>
            </w: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you may</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transfer the Performance Lock Value on any Contract Anniversary</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prior to the</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end of the Term and on the Term End Date. If you transfer the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Performance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Lock Value on a Contract Anniversary before the Term End Date, you</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may only</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transfer the entire amount of the Performance Lock Value. If you</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transfer the</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Performance Lock Value on the Term End Date, you may transfer all</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or a</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portion of your Performance Lock Value during the Transfer Period.</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Partial</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transfers of the Performance Lock Value are only permitted during the</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Transfer Period at the end of the Term. See “TRANSFERS.”</w:t>
            </w: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80" w:type="dxa"/>
            <w:vAlign w:val="bottom"/>
            <w:tcBorders>
              <w:left w:val="single" w:sz="8" w:color="auto"/>
              <w:right w:val="single" w:sz="8" w:color="auto"/>
            </w:tcBorders>
            <w:shd w:val="clear" w:color="auto" w:fill="CCCCCC"/>
          </w:tcPr>
          <w:p>
            <w:pPr>
              <w:spacing w:after="0"/>
              <w:rPr>
                <w:sz w:val="17"/>
                <w:szCs w:val="17"/>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If you do not provide transfer instructions during the Transfer Period</w:t>
            </w: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following</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the Term End Date, the following procedures will apply:</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80" w:type="dxa"/>
            <w:vAlign w:val="bottom"/>
            <w:tcBorders>
              <w:left w:val="single" w:sz="8" w:color="auto"/>
              <w:right w:val="single" w:sz="8" w:color="auto"/>
            </w:tcBorders>
            <w:shd w:val="clear" w:color="auto" w:fill="CCCCCC"/>
          </w:tcPr>
          <w:p>
            <w:pPr>
              <w:spacing w:after="0"/>
              <w:rPr>
                <w:sz w:val="17"/>
                <w:szCs w:val="17"/>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 The Investment Amount or Performance Lock Value allocated to the</w:t>
            </w: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Shield</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160"/>
              <w:spacing w:after="0" w:line="135" w:lineRule="exact"/>
              <w:rPr>
                <w:sz w:val="20"/>
                <w:szCs w:val="20"/>
                <w:color w:val="auto"/>
              </w:rPr>
            </w:pPr>
            <w:r>
              <w:rPr>
                <w:rFonts w:ascii="Times New Roman" w:cs="Times New Roman" w:eastAsia="Times New Roman" w:hAnsi="Times New Roman"/>
                <w:sz w:val="12"/>
                <w:szCs w:val="12"/>
                <w:color w:val="auto"/>
              </w:rPr>
              <w:t>Option that has reached its Term End Date will automatically be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renewed</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160"/>
              <w:spacing w:after="0" w:line="126" w:lineRule="exact"/>
              <w:rPr>
                <w:sz w:val="20"/>
                <w:szCs w:val="20"/>
                <w:color w:val="auto"/>
              </w:rPr>
            </w:pPr>
            <w:r>
              <w:rPr>
                <w:rFonts w:ascii="Times New Roman" w:cs="Times New Roman" w:eastAsia="Times New Roman" w:hAnsi="Times New Roman"/>
                <w:sz w:val="12"/>
                <w:szCs w:val="12"/>
                <w:color w:val="auto"/>
              </w:rPr>
              <w:t>into the same Shield Option for a new Term, subject to the new Cap</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Rate,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160"/>
              <w:spacing w:after="0" w:line="135" w:lineRule="exact"/>
              <w:rPr>
                <w:sz w:val="20"/>
                <w:szCs w:val="20"/>
                <w:color w:val="auto"/>
              </w:rPr>
            </w:pPr>
            <w:r>
              <w:rPr>
                <w:rFonts w:ascii="Times New Roman" w:cs="Times New Roman" w:eastAsia="Times New Roman" w:hAnsi="Times New Roman"/>
                <w:sz w:val="12"/>
                <w:szCs w:val="12"/>
                <w:color w:val="auto"/>
              </w:rPr>
              <w:t>Step Rate, Edge Rate, or Participation Rate, as applicable, declared</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for that</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160"/>
              <w:spacing w:after="0" w:line="135" w:lineRule="exact"/>
              <w:rPr>
                <w:sz w:val="20"/>
                <w:szCs w:val="20"/>
                <w:color w:val="auto"/>
              </w:rPr>
            </w:pPr>
            <w:r>
              <w:rPr>
                <w:rFonts w:ascii="Times New Roman" w:cs="Times New Roman" w:eastAsia="Times New Roman" w:hAnsi="Times New Roman"/>
                <w:sz w:val="12"/>
                <w:szCs w:val="12"/>
                <w:color w:val="auto"/>
              </w:rPr>
              <w:t>Term. The Performance Lock Value will no longer be locked for the</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new</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5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Term.</w:t>
            </w: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280" w:type="dxa"/>
            <w:vAlign w:val="bottom"/>
            <w:tcBorders>
              <w:left w:val="single" w:sz="8" w:color="auto"/>
              <w:right w:val="single" w:sz="8" w:color="auto"/>
            </w:tcBorders>
            <w:shd w:val="clear" w:color="auto" w:fill="CCCCCC"/>
          </w:tcPr>
          <w:p>
            <w:pPr>
              <w:spacing w:after="0"/>
              <w:rPr>
                <w:sz w:val="17"/>
                <w:szCs w:val="17"/>
                <w:color w:val="auto"/>
              </w:rPr>
            </w:pPr>
          </w:p>
        </w:tc>
        <w:tc>
          <w:tcPr>
            <w:tcW w:w="3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 If the same Shield Option is no longer available for investment at the</w:t>
            </w: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Term</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160"/>
              <w:spacing w:after="0" w:line="135" w:lineRule="exact"/>
              <w:rPr>
                <w:sz w:val="20"/>
                <w:szCs w:val="20"/>
                <w:color w:val="auto"/>
              </w:rPr>
            </w:pPr>
            <w:r>
              <w:rPr>
                <w:rFonts w:ascii="Times New Roman" w:cs="Times New Roman" w:eastAsia="Times New Roman" w:hAnsi="Times New Roman"/>
                <w:sz w:val="12"/>
                <w:szCs w:val="12"/>
                <w:color w:val="auto"/>
              </w:rPr>
              <w:t>End Date, the Investment Amount or Performance Lock Value in</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that Shield</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560" w:type="dxa"/>
            <w:vAlign w:val="bottom"/>
            <w:tcBorders>
              <w:right w:val="single" w:sz="8" w:color="auto"/>
            </w:tcBorders>
          </w:tcPr>
          <w:p>
            <w:pPr>
              <w:ind w:left="160"/>
              <w:spacing w:after="0" w:line="126" w:lineRule="exact"/>
              <w:rPr>
                <w:sz w:val="20"/>
                <w:szCs w:val="20"/>
                <w:color w:val="auto"/>
              </w:rPr>
            </w:pPr>
            <w:r>
              <w:rPr>
                <w:rFonts w:ascii="Times New Roman" w:cs="Times New Roman" w:eastAsia="Times New Roman" w:hAnsi="Times New Roman"/>
                <w:sz w:val="12"/>
                <w:szCs w:val="12"/>
                <w:color w:val="auto"/>
              </w:rPr>
              <w:t>Option will automatically be transferred to the Fixed Account, if</w:t>
            </w: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available, at</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560" w:type="dxa"/>
            <w:vAlign w:val="bottom"/>
            <w:tcBorders>
              <w:right w:val="single" w:sz="8" w:color="auto"/>
            </w:tcBorders>
          </w:tcPr>
          <w:p>
            <w:pPr>
              <w:ind w:left="160"/>
              <w:spacing w:after="0" w:line="135" w:lineRule="exact"/>
              <w:rPr>
                <w:sz w:val="20"/>
                <w:szCs w:val="20"/>
                <w:color w:val="auto"/>
              </w:rPr>
            </w:pPr>
            <w:r>
              <w:rPr>
                <w:rFonts w:ascii="Times New Roman" w:cs="Times New Roman" w:eastAsia="Times New Roman" w:hAnsi="Times New Roman"/>
                <w:sz w:val="12"/>
                <w:szCs w:val="12"/>
                <w:color w:val="auto"/>
              </w:rPr>
              <w:t>the Term End Date, subject to the new interest rate declared for that</w:t>
            </w: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tcBorders>
              <w:left w:val="single" w:sz="8" w:color="auto"/>
              <w:bottom w:val="single" w:sz="8" w:color="auto"/>
              <w:right w:val="single" w:sz="8" w:color="auto"/>
            </w:tcBorders>
            <w:shd w:val="clear" w:color="auto" w:fill="CCCCCC"/>
          </w:tcPr>
          <w:p>
            <w:pPr>
              <w:spacing w:after="0"/>
              <w:rPr>
                <w:sz w:val="13"/>
                <w:szCs w:val="13"/>
                <w:color w:val="auto"/>
              </w:rPr>
            </w:pPr>
          </w:p>
        </w:tc>
        <w:tc>
          <w:tcPr>
            <w:tcW w:w="35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Fixed</w:t>
            </w:r>
          </w:p>
        </w:tc>
        <w:tc>
          <w:tcPr>
            <w:tcW w:w="10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36"/>
        </w:trPr>
        <w:tc>
          <w:tcPr>
            <w:tcW w:w="1280" w:type="dxa"/>
            <w:vAlign w:val="bottom"/>
          </w:tcPr>
          <w:p>
            <w:pPr>
              <w:spacing w:after="0"/>
              <w:rPr>
                <w:sz w:val="24"/>
                <w:szCs w:val="24"/>
                <w:color w:val="auto"/>
              </w:rPr>
            </w:pPr>
          </w:p>
        </w:tc>
        <w:tc>
          <w:tcPr>
            <w:tcW w:w="356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13</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39"/>
          </w:cols>
          <w:pgMar w:left="1120" w:top="957" w:right="1440" w:bottom="798"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57395" cy="3683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56"/>
        </w:trPr>
        <w:tc>
          <w:tcPr>
            <w:tcW w:w="1280" w:type="dxa"/>
            <w:vAlign w:val="bottom"/>
            <w:tcBorders>
              <w:top w:val="single" w:sz="8" w:color="auto"/>
              <w:left w:val="single" w:sz="8" w:color="auto"/>
              <w:right w:val="single" w:sz="8" w:color="CCCCCC"/>
            </w:tcBorders>
            <w:shd w:val="clear" w:color="auto" w:fill="CCCCCC"/>
          </w:tcPr>
          <w:p>
            <w:pPr>
              <w:spacing w:after="0"/>
              <w:rPr>
                <w:sz w:val="13"/>
                <w:szCs w:val="13"/>
                <w:color w:val="auto"/>
              </w:rPr>
            </w:pPr>
          </w:p>
        </w:tc>
        <w:tc>
          <w:tcPr>
            <w:tcW w:w="3440" w:type="dxa"/>
            <w:vAlign w:val="bottom"/>
            <w:tcBorders>
              <w:top w:val="single" w:sz="8" w:color="auto"/>
            </w:tcBorders>
            <w:gridSpan w:val="2"/>
            <w:shd w:val="clear" w:color="auto" w:fill="CCCCCC"/>
          </w:tcPr>
          <w:p>
            <w:pPr>
              <w:ind w:left="1620"/>
              <w:spacing w:after="0"/>
              <w:rPr>
                <w:sz w:val="20"/>
                <w:szCs w:val="20"/>
                <w:color w:val="auto"/>
              </w:rPr>
            </w:pPr>
            <w:r>
              <w:rPr>
                <w:rFonts w:ascii="Times New Roman" w:cs="Times New Roman" w:eastAsia="Times New Roman" w:hAnsi="Times New Roman"/>
                <w:sz w:val="12"/>
                <w:szCs w:val="12"/>
                <w:b w:val="1"/>
                <w:bCs w:val="1"/>
                <w:color w:val="auto"/>
              </w:rPr>
              <w:t>Risks</w:t>
            </w:r>
          </w:p>
        </w:tc>
        <w:tc>
          <w:tcPr>
            <w:tcW w:w="120" w:type="dxa"/>
            <w:vAlign w:val="bottom"/>
            <w:tcBorders>
              <w:top w:val="single" w:sz="8" w:color="auto"/>
              <w:right w:val="single" w:sz="8" w:color="auto"/>
            </w:tcBorders>
            <w:shd w:val="clear" w:color="auto" w:fill="CCCCCC"/>
          </w:tcPr>
          <w:p>
            <w:pPr>
              <w:spacing w:after="0"/>
              <w:rPr>
                <w:sz w:val="13"/>
                <w:szCs w:val="13"/>
                <w:color w:val="auto"/>
              </w:rPr>
            </w:pPr>
          </w:p>
        </w:tc>
        <w:tc>
          <w:tcPr>
            <w:tcW w:w="1040" w:type="dxa"/>
            <w:vAlign w:val="bottom"/>
            <w:tcBorders>
              <w:top w:val="single" w:sz="8" w:color="auto"/>
              <w:right w:val="single" w:sz="8" w:color="auto"/>
            </w:tcBorders>
            <w:shd w:val="clear" w:color="auto" w:fill="CCCCCC"/>
          </w:tcPr>
          <w:p>
            <w:pPr>
              <w:ind w:left="220"/>
              <w:spacing w:after="0"/>
              <w:rPr>
                <w:sz w:val="20"/>
                <w:szCs w:val="20"/>
                <w:color w:val="auto"/>
              </w:rPr>
            </w:pPr>
            <w:r>
              <w:rPr>
                <w:rFonts w:ascii="Times New Roman" w:cs="Times New Roman" w:eastAsia="Times New Roman" w:hAnsi="Times New Roman"/>
                <w:sz w:val="12"/>
                <w:szCs w:val="12"/>
                <w:b w:val="1"/>
                <w:bCs w:val="1"/>
                <w:color w:val="auto"/>
              </w:rPr>
              <w:t>Location in</w:t>
            </w:r>
          </w:p>
        </w:tc>
        <w:tc>
          <w:tcPr>
            <w:tcW w:w="0" w:type="dxa"/>
            <w:vAlign w:val="bottom"/>
          </w:tcPr>
          <w:p>
            <w:pPr>
              <w:spacing w:after="0"/>
              <w:rPr>
                <w:sz w:val="1"/>
                <w:szCs w:val="1"/>
                <w:color w:val="auto"/>
              </w:rPr>
            </w:pPr>
          </w:p>
        </w:tc>
      </w:tr>
      <w:tr>
        <w:trPr>
          <w:trHeight w:val="168"/>
        </w:trPr>
        <w:tc>
          <w:tcPr>
            <w:tcW w:w="1280" w:type="dxa"/>
            <w:vAlign w:val="bottom"/>
            <w:tcBorders>
              <w:left w:val="single" w:sz="8" w:color="auto"/>
              <w:bottom w:val="single" w:sz="8" w:color="auto"/>
              <w:right w:val="single" w:sz="8" w:color="CCCCCC"/>
            </w:tcBorders>
            <w:shd w:val="clear" w:color="auto" w:fill="CCCCCC"/>
          </w:tcPr>
          <w:p>
            <w:pPr>
              <w:spacing w:after="0"/>
              <w:rPr>
                <w:sz w:val="14"/>
                <w:szCs w:val="14"/>
                <w:color w:val="auto"/>
              </w:rPr>
            </w:pPr>
          </w:p>
        </w:tc>
        <w:tc>
          <w:tcPr>
            <w:tcW w:w="3380" w:type="dxa"/>
            <w:vAlign w:val="bottom"/>
            <w:tcBorders>
              <w:bottom w:val="single" w:sz="8" w:color="auto"/>
              <w:right w:val="single" w:sz="8" w:color="CCCCCC"/>
            </w:tcBorders>
            <w:shd w:val="clear" w:color="auto" w:fill="CCCCCC"/>
          </w:tcPr>
          <w:p>
            <w:pPr>
              <w:spacing w:after="0"/>
              <w:rPr>
                <w:sz w:val="14"/>
                <w:szCs w:val="14"/>
                <w:color w:val="auto"/>
              </w:rPr>
            </w:pPr>
          </w:p>
        </w:tc>
        <w:tc>
          <w:tcPr>
            <w:tcW w:w="60" w:type="dxa"/>
            <w:vAlign w:val="bottom"/>
            <w:tcBorders>
              <w:bottom w:val="single" w:sz="8" w:color="auto"/>
            </w:tcBorders>
            <w:shd w:val="clear" w:color="auto" w:fill="CCCCCC"/>
          </w:tcPr>
          <w:p>
            <w:pPr>
              <w:spacing w:after="0"/>
              <w:rPr>
                <w:sz w:val="14"/>
                <w:szCs w:val="14"/>
                <w:color w:val="auto"/>
              </w:rPr>
            </w:pPr>
          </w:p>
        </w:tc>
        <w:tc>
          <w:tcPr>
            <w:tcW w:w="120" w:type="dxa"/>
            <w:vAlign w:val="bottom"/>
            <w:tcBorders>
              <w:bottom w:val="single" w:sz="8" w:color="auto"/>
              <w:right w:val="single" w:sz="8" w:color="auto"/>
            </w:tcBorders>
            <w:shd w:val="clear" w:color="auto" w:fill="CCCCCC"/>
          </w:tcPr>
          <w:p>
            <w:pPr>
              <w:spacing w:after="0"/>
              <w:rPr>
                <w:sz w:val="14"/>
                <w:szCs w:val="14"/>
                <w:color w:val="auto"/>
              </w:rPr>
            </w:pPr>
          </w:p>
        </w:tc>
        <w:tc>
          <w:tcPr>
            <w:tcW w:w="1040" w:type="dxa"/>
            <w:vAlign w:val="bottom"/>
            <w:tcBorders>
              <w:bottom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2"/>
                <w:szCs w:val="12"/>
                <w:b w:val="1"/>
                <w:bCs w:val="1"/>
                <w:color w:val="auto"/>
              </w:rPr>
              <w:t>the Prospectus</w:t>
            </w: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w w:val="99"/>
              </w:rPr>
              <w:t>Account Term. If the Fixed Account is not available, the Investment</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Amount</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will automatically be transferred into the Holding Account.</w:t>
            </w:r>
          </w:p>
        </w:tc>
        <w:tc>
          <w:tcPr>
            <w:tcW w:w="1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280" w:type="dxa"/>
            <w:vAlign w:val="bottom"/>
            <w:tcBorders>
              <w:left w:val="single" w:sz="8" w:color="auto"/>
              <w:right w:val="single" w:sz="8" w:color="auto"/>
            </w:tcBorders>
            <w:shd w:val="clear" w:color="auto" w:fill="CCCCCC"/>
          </w:tcPr>
          <w:p>
            <w:pPr>
              <w:spacing w:after="0"/>
              <w:rPr>
                <w:sz w:val="20"/>
                <w:szCs w:val="20"/>
                <w:color w:val="auto"/>
              </w:rPr>
            </w:pPr>
          </w:p>
        </w:tc>
        <w:tc>
          <w:tcPr>
            <w:tcW w:w="3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color w:val="auto"/>
              </w:rPr>
              <w:t>● If you do not provide transfer instructions during the Transfer Period</w:t>
            </w: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following the Fixed Account Term End Date, any Fixed Account</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Value will</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remain in the Fixed Account for another Fixed Account Term,</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subject to the</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new interest rate declared for that Term. If the Fixed Account is no</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longer</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available at the Fixed Account Term End Date, the Fixed Account</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Value will</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280" w:type="dxa"/>
            <w:vAlign w:val="bottom"/>
            <w:tcBorders>
              <w:left w:val="single" w:sz="8" w:color="auto"/>
              <w:bottom w:val="single" w:sz="8" w:color="auto"/>
              <w:right w:val="single" w:sz="8" w:color="auto"/>
            </w:tcBorders>
            <w:shd w:val="clear" w:color="auto" w:fill="CCCCCC"/>
          </w:tcPr>
          <w:p>
            <w:pPr>
              <w:spacing w:after="0"/>
              <w:rPr>
                <w:sz w:val="14"/>
                <w:szCs w:val="14"/>
                <w:color w:val="auto"/>
              </w:rPr>
            </w:pPr>
          </w:p>
        </w:tc>
        <w:tc>
          <w:tcPr>
            <w:tcW w:w="34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automatically be transferred into the Holding Account.</w:t>
            </w:r>
          </w:p>
        </w:tc>
        <w:tc>
          <w:tcPr>
            <w:tcW w:w="12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280" w:type="dxa"/>
            <w:vAlign w:val="bottom"/>
            <w:tcBorders>
              <w:left w:val="single" w:sz="8" w:color="auto"/>
              <w:right w:val="single" w:sz="8" w:color="auto"/>
            </w:tcBorders>
            <w:shd w:val="clear" w:color="auto" w:fill="CCCCCC"/>
          </w:tcPr>
          <w:p>
            <w:pPr>
              <w:ind w:left="40"/>
              <w:spacing w:after="0" w:line="128" w:lineRule="exact"/>
              <w:rPr>
                <w:sz w:val="20"/>
                <w:szCs w:val="20"/>
                <w:color w:val="auto"/>
              </w:rPr>
            </w:pPr>
            <w:r>
              <w:rPr>
                <w:rFonts w:ascii="Times New Roman" w:cs="Times New Roman" w:eastAsia="Times New Roman" w:hAnsi="Times New Roman"/>
                <w:sz w:val="12"/>
                <w:szCs w:val="12"/>
                <w:b w:val="1"/>
                <w:bCs w:val="1"/>
                <w:color w:val="auto"/>
              </w:rPr>
              <w:t>What are the Risks</w:t>
            </w: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An investment in the Contract is subject to the risks of poor</w:t>
            </w:r>
          </w:p>
        </w:tc>
        <w:tc>
          <w:tcPr>
            <w:tcW w:w="1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ind w:left="40"/>
              <w:spacing w:after="0" w:line="128" w:lineRule="exact"/>
              <w:rPr>
                <w:sz w:val="20"/>
                <w:szCs w:val="20"/>
                <w:color w:val="auto"/>
              </w:rPr>
            </w:pPr>
            <w:r>
              <w:rPr>
                <w:rFonts w:ascii="Times New Roman" w:cs="Times New Roman" w:eastAsia="Times New Roman" w:hAnsi="Times New Roman"/>
                <w:sz w:val="12"/>
                <w:szCs w:val="12"/>
                <w:b w:val="1"/>
                <w:bCs w:val="1"/>
                <w:color w:val="auto"/>
              </w:rPr>
              <w:t>PRINCIPAL</w:t>
            </w:r>
          </w:p>
        </w:tc>
        <w:tc>
          <w:tcPr>
            <w:tcW w:w="0" w:type="dxa"/>
            <w:vAlign w:val="bottom"/>
          </w:tcPr>
          <w:p>
            <w:pPr>
              <w:spacing w:after="0"/>
              <w:rPr>
                <w:sz w:val="1"/>
                <w:szCs w:val="1"/>
                <w:color w:val="auto"/>
              </w:rPr>
            </w:pPr>
          </w:p>
        </w:tc>
      </w:tr>
      <w:tr>
        <w:trPr>
          <w:trHeight w:val="103"/>
        </w:trPr>
        <w:tc>
          <w:tcPr>
            <w:tcW w:w="1280" w:type="dxa"/>
            <w:vAlign w:val="bottom"/>
            <w:tcBorders>
              <w:left w:val="single" w:sz="8" w:color="auto"/>
              <w:right w:val="single" w:sz="8" w:color="auto"/>
            </w:tcBorders>
            <w:vMerge w:val="restart"/>
            <w:shd w:val="clear" w:color="auto" w:fill="CCCCCC"/>
          </w:tcPr>
          <w:p>
            <w:pPr>
              <w:ind w:left="40"/>
              <w:spacing w:after="0"/>
              <w:rPr>
                <w:sz w:val="20"/>
                <w:szCs w:val="20"/>
                <w:color w:val="auto"/>
              </w:rPr>
            </w:pPr>
            <w:r>
              <w:rPr>
                <w:rFonts w:ascii="Times New Roman" w:cs="Times New Roman" w:eastAsia="Times New Roman" w:hAnsi="Times New Roman"/>
                <w:sz w:val="12"/>
                <w:szCs w:val="12"/>
                <w:b w:val="1"/>
                <w:bCs w:val="1"/>
                <w:color w:val="auto"/>
              </w:rPr>
              <w:t>Associated with the</w:t>
            </w:r>
          </w:p>
        </w:tc>
        <w:tc>
          <w:tcPr>
            <w:tcW w:w="344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RISKS</w:t>
            </w:r>
          </w:p>
        </w:tc>
        <w:tc>
          <w:tcPr>
            <w:tcW w:w="0" w:type="dxa"/>
            <w:vAlign w:val="bottom"/>
          </w:tcPr>
          <w:p>
            <w:pPr>
              <w:spacing w:after="0"/>
              <w:rPr>
                <w:sz w:val="1"/>
                <w:szCs w:val="1"/>
                <w:color w:val="auto"/>
              </w:rPr>
            </w:pPr>
          </w:p>
        </w:tc>
      </w:tr>
      <w:tr>
        <w:trPr>
          <w:trHeight w:val="41"/>
        </w:trPr>
        <w:tc>
          <w:tcPr>
            <w:tcW w:w="1280" w:type="dxa"/>
            <w:vAlign w:val="bottom"/>
            <w:tcBorders>
              <w:left w:val="single" w:sz="8" w:color="auto"/>
              <w:right w:val="single" w:sz="8" w:color="auto"/>
            </w:tcBorders>
            <w:vMerge w:val="continue"/>
            <w:shd w:val="clear" w:color="auto" w:fill="CCCCCC"/>
          </w:tcPr>
          <w:p>
            <w:pPr>
              <w:spacing w:after="0"/>
              <w:rPr>
                <w:sz w:val="3"/>
                <w:szCs w:val="3"/>
                <w:color w:val="auto"/>
              </w:rPr>
            </w:pP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investment</w:t>
            </w:r>
          </w:p>
        </w:tc>
        <w:tc>
          <w:tcPr>
            <w:tcW w:w="1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280" w:type="dxa"/>
            <w:vAlign w:val="bottom"/>
            <w:tcBorders>
              <w:left w:val="single" w:sz="8" w:color="auto"/>
              <w:right w:val="single" w:sz="8" w:color="auto"/>
            </w:tcBorders>
            <w:vMerge w:val="restart"/>
            <w:shd w:val="clear" w:color="auto" w:fill="CCCCCC"/>
          </w:tcPr>
          <w:p>
            <w:pPr>
              <w:ind w:left="40"/>
              <w:spacing w:after="0"/>
              <w:rPr>
                <w:sz w:val="20"/>
                <w:szCs w:val="20"/>
                <w:color w:val="auto"/>
              </w:rPr>
            </w:pPr>
            <w:r>
              <w:rPr>
                <w:rFonts w:ascii="Times New Roman" w:cs="Times New Roman" w:eastAsia="Times New Roman" w:hAnsi="Times New Roman"/>
                <w:sz w:val="12"/>
                <w:szCs w:val="12"/>
                <w:b w:val="1"/>
                <w:bCs w:val="1"/>
                <w:color w:val="auto"/>
              </w:rPr>
              <w:t>Investment Options?</w:t>
            </w:r>
          </w:p>
        </w:tc>
        <w:tc>
          <w:tcPr>
            <w:tcW w:w="344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OF INVESTING</w:t>
            </w:r>
          </w:p>
        </w:tc>
        <w:tc>
          <w:tcPr>
            <w:tcW w:w="0" w:type="dxa"/>
            <w:vAlign w:val="bottom"/>
          </w:tcPr>
          <w:p>
            <w:pPr>
              <w:spacing w:after="0"/>
              <w:rPr>
                <w:sz w:val="1"/>
                <w:szCs w:val="1"/>
                <w:color w:val="auto"/>
              </w:rPr>
            </w:pPr>
          </w:p>
        </w:tc>
      </w:tr>
      <w:tr>
        <w:trPr>
          <w:trHeight w:val="41"/>
        </w:trPr>
        <w:tc>
          <w:tcPr>
            <w:tcW w:w="1280" w:type="dxa"/>
            <w:vAlign w:val="bottom"/>
            <w:tcBorders>
              <w:left w:val="single" w:sz="8" w:color="auto"/>
              <w:right w:val="single" w:sz="8" w:color="auto"/>
            </w:tcBorders>
            <w:vMerge w:val="continue"/>
            <w:shd w:val="clear" w:color="auto" w:fill="CCCCCC"/>
          </w:tcPr>
          <w:p>
            <w:pPr>
              <w:spacing w:after="0"/>
              <w:rPr>
                <w:sz w:val="3"/>
                <w:szCs w:val="3"/>
                <w:color w:val="auto"/>
              </w:rPr>
            </w:pP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performance and can vary depending on the performance of the</w:t>
            </w:r>
          </w:p>
        </w:tc>
        <w:tc>
          <w:tcPr>
            <w:tcW w:w="1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280" w:type="dxa"/>
            <w:vAlign w:val="bottom"/>
            <w:tcBorders>
              <w:left w:val="single" w:sz="8" w:color="auto"/>
              <w:right w:val="single" w:sz="8" w:color="auto"/>
            </w:tcBorders>
            <w:shd w:val="clear" w:color="auto" w:fill="CCCCCC"/>
          </w:tcPr>
          <w:p>
            <w:pPr>
              <w:spacing w:after="0"/>
              <w:rPr>
                <w:sz w:val="8"/>
                <w:szCs w:val="8"/>
                <w:color w:val="auto"/>
              </w:rPr>
            </w:pPr>
          </w:p>
        </w:tc>
        <w:tc>
          <w:tcPr>
            <w:tcW w:w="344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IN</w:t>
            </w:r>
          </w:p>
        </w:tc>
        <w:tc>
          <w:tcPr>
            <w:tcW w:w="0" w:type="dxa"/>
            <w:vAlign w:val="bottom"/>
          </w:tcPr>
          <w:p>
            <w:pPr>
              <w:spacing w:after="0"/>
              <w:rPr>
                <w:sz w:val="1"/>
                <w:szCs w:val="1"/>
                <w:color w:val="auto"/>
              </w:rPr>
            </w:pPr>
          </w:p>
        </w:tc>
      </w:tr>
      <w:tr>
        <w:trPr>
          <w:trHeight w:val="41"/>
        </w:trPr>
        <w:tc>
          <w:tcPr>
            <w:tcW w:w="1280" w:type="dxa"/>
            <w:vAlign w:val="bottom"/>
            <w:tcBorders>
              <w:left w:val="single" w:sz="8" w:color="auto"/>
              <w:right w:val="single" w:sz="8" w:color="auto"/>
            </w:tcBorders>
            <w:shd w:val="clear" w:color="auto" w:fill="CCCCCC"/>
          </w:tcPr>
          <w:p>
            <w:pPr>
              <w:spacing w:after="0"/>
              <w:rPr>
                <w:sz w:val="3"/>
                <w:szCs w:val="3"/>
                <w:color w:val="auto"/>
              </w:rPr>
            </w:pP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Allocation</w:t>
            </w:r>
          </w:p>
        </w:tc>
        <w:tc>
          <w:tcPr>
            <w:tcW w:w="1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280" w:type="dxa"/>
            <w:vAlign w:val="bottom"/>
            <w:tcBorders>
              <w:left w:val="single" w:sz="8" w:color="auto"/>
              <w:right w:val="single" w:sz="8" w:color="auto"/>
            </w:tcBorders>
            <w:shd w:val="clear" w:color="auto" w:fill="CCCCCC"/>
          </w:tcPr>
          <w:p>
            <w:pPr>
              <w:spacing w:after="0"/>
              <w:rPr>
                <w:sz w:val="8"/>
                <w:szCs w:val="8"/>
                <w:color w:val="auto"/>
              </w:rPr>
            </w:pPr>
          </w:p>
        </w:tc>
        <w:tc>
          <w:tcPr>
            <w:tcW w:w="344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THE</w:t>
            </w:r>
          </w:p>
        </w:tc>
        <w:tc>
          <w:tcPr>
            <w:tcW w:w="0" w:type="dxa"/>
            <w:vAlign w:val="bottom"/>
          </w:tcPr>
          <w:p>
            <w:pPr>
              <w:spacing w:after="0"/>
              <w:rPr>
                <w:sz w:val="1"/>
                <w:szCs w:val="1"/>
                <w:color w:val="auto"/>
              </w:rPr>
            </w:pPr>
          </w:p>
        </w:tc>
      </w:tr>
      <w:tr>
        <w:trPr>
          <w:trHeight w:val="41"/>
        </w:trPr>
        <w:tc>
          <w:tcPr>
            <w:tcW w:w="1280" w:type="dxa"/>
            <w:vAlign w:val="bottom"/>
            <w:tcBorders>
              <w:left w:val="single" w:sz="8" w:color="auto"/>
              <w:right w:val="single" w:sz="8" w:color="auto"/>
            </w:tcBorders>
            <w:shd w:val="clear" w:color="auto" w:fill="CCCCCC"/>
          </w:tcPr>
          <w:p>
            <w:pPr>
              <w:spacing w:after="0"/>
              <w:rPr>
                <w:sz w:val="3"/>
                <w:szCs w:val="3"/>
                <w:color w:val="auto"/>
              </w:rPr>
            </w:pP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Options available under the Contract (e.g., the Shield Options). Each</w:t>
            </w:r>
          </w:p>
        </w:tc>
        <w:tc>
          <w:tcPr>
            <w:tcW w:w="1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280" w:type="dxa"/>
            <w:vAlign w:val="bottom"/>
            <w:tcBorders>
              <w:left w:val="single" w:sz="8" w:color="auto"/>
              <w:right w:val="single" w:sz="8" w:color="auto"/>
            </w:tcBorders>
            <w:shd w:val="clear" w:color="auto" w:fill="CCCCCC"/>
          </w:tcPr>
          <w:p>
            <w:pPr>
              <w:spacing w:after="0"/>
              <w:rPr>
                <w:sz w:val="8"/>
                <w:szCs w:val="8"/>
                <w:color w:val="auto"/>
              </w:rPr>
            </w:pPr>
          </w:p>
        </w:tc>
        <w:tc>
          <w:tcPr>
            <w:tcW w:w="344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restart"/>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CONTRACT</w:t>
            </w:r>
          </w:p>
        </w:tc>
        <w:tc>
          <w:tcPr>
            <w:tcW w:w="0" w:type="dxa"/>
            <w:vAlign w:val="bottom"/>
          </w:tcPr>
          <w:p>
            <w:pPr>
              <w:spacing w:after="0"/>
              <w:rPr>
                <w:sz w:val="1"/>
                <w:szCs w:val="1"/>
                <w:color w:val="auto"/>
              </w:rPr>
            </w:pPr>
          </w:p>
        </w:tc>
      </w:tr>
      <w:tr>
        <w:trPr>
          <w:trHeight w:val="32"/>
        </w:trPr>
        <w:tc>
          <w:tcPr>
            <w:tcW w:w="1280" w:type="dxa"/>
            <w:vAlign w:val="bottom"/>
            <w:tcBorders>
              <w:left w:val="single" w:sz="8" w:color="auto"/>
              <w:right w:val="single" w:sz="8" w:color="auto"/>
            </w:tcBorders>
            <w:shd w:val="clear" w:color="auto" w:fill="CCCCCC"/>
          </w:tcPr>
          <w:p>
            <w:pPr>
              <w:spacing w:after="0"/>
              <w:rPr>
                <w:sz w:val="2"/>
                <w:szCs w:val="2"/>
                <w:color w:val="auto"/>
              </w:rPr>
            </w:pP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Allocation</w:t>
            </w:r>
          </w:p>
        </w:tc>
        <w:tc>
          <w:tcPr>
            <w:tcW w:w="120" w:type="dxa"/>
            <w:vAlign w:val="bottom"/>
            <w:tcBorders>
              <w:right w:val="single" w:sz="8" w:color="auto"/>
            </w:tcBorders>
          </w:tcPr>
          <w:p>
            <w:pPr>
              <w:spacing w:after="0"/>
              <w:rPr>
                <w:sz w:val="2"/>
                <w:szCs w:val="2"/>
                <w:color w:val="auto"/>
              </w:rPr>
            </w:pPr>
          </w:p>
        </w:tc>
        <w:tc>
          <w:tcPr>
            <w:tcW w:w="10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440" w:type="dxa"/>
            <w:vAlign w:val="bottom"/>
            <w:gridSpan w:val="2"/>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ind w:left="40"/>
              <w:spacing w:after="0" w:line="123" w:lineRule="exact"/>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Option (including the Fixed Account) will have its own unique risks.</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INDICES</w:t>
            </w: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4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2"/>
                <w:szCs w:val="12"/>
                <w:color w:val="auto"/>
              </w:rPr>
              <w:t>You should</w:t>
            </w:r>
          </w:p>
        </w:tc>
        <w:tc>
          <w:tcPr>
            <w:tcW w:w="1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42"/>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review the available Allocation Options before making an investment</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SHIELD RATES</w:t>
            </w: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decision.</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The Cap Rate, Step Rate, Edge Rates, and Step Rate Edge (the Rate</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RATE</w:t>
            </w:r>
          </w:p>
        </w:tc>
        <w:tc>
          <w:tcPr>
            <w:tcW w:w="0" w:type="dxa"/>
            <w:vAlign w:val="bottom"/>
          </w:tcPr>
          <w:p>
            <w:pPr>
              <w:spacing w:after="0"/>
              <w:rPr>
                <w:sz w:val="1"/>
                <w:szCs w:val="1"/>
                <w:color w:val="auto"/>
              </w:rPr>
            </w:pPr>
          </w:p>
        </w:tc>
      </w:tr>
      <w:tr>
        <w:trPr>
          <w:trHeight w:val="85"/>
        </w:trPr>
        <w:tc>
          <w:tcPr>
            <w:tcW w:w="1280" w:type="dxa"/>
            <w:vAlign w:val="bottom"/>
            <w:tcBorders>
              <w:left w:val="single" w:sz="8" w:color="auto"/>
              <w:right w:val="single" w:sz="8" w:color="auto"/>
            </w:tcBorders>
            <w:shd w:val="clear" w:color="auto" w:fill="CCCCCC"/>
          </w:tcPr>
          <w:p>
            <w:pPr>
              <w:spacing w:after="0"/>
              <w:rPr>
                <w:sz w:val="7"/>
                <w:szCs w:val="7"/>
                <w:color w:val="auto"/>
              </w:rPr>
            </w:pPr>
          </w:p>
        </w:tc>
        <w:tc>
          <w:tcPr>
            <w:tcW w:w="3440" w:type="dxa"/>
            <w:vAlign w:val="bottom"/>
            <w:gridSpan w:val="2"/>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CREDITING</w:t>
            </w:r>
          </w:p>
        </w:tc>
        <w:tc>
          <w:tcPr>
            <w:tcW w:w="0" w:type="dxa"/>
            <w:vAlign w:val="bottom"/>
          </w:tcPr>
          <w:p>
            <w:pPr>
              <w:spacing w:after="0"/>
              <w:rPr>
                <w:sz w:val="1"/>
                <w:szCs w:val="1"/>
                <w:color w:val="auto"/>
              </w:rPr>
            </w:pPr>
          </w:p>
        </w:tc>
      </w:tr>
      <w:tr>
        <w:trPr>
          <w:trHeight w:val="59"/>
        </w:trPr>
        <w:tc>
          <w:tcPr>
            <w:tcW w:w="1280" w:type="dxa"/>
            <w:vAlign w:val="bottom"/>
            <w:tcBorders>
              <w:left w:val="single" w:sz="8" w:color="auto"/>
              <w:right w:val="single" w:sz="8" w:color="auto"/>
            </w:tcBorders>
            <w:shd w:val="clear" w:color="auto" w:fill="CCCCCC"/>
          </w:tcPr>
          <w:p>
            <w:pPr>
              <w:spacing w:after="0"/>
              <w:rPr>
                <w:sz w:val="5"/>
                <w:szCs w:val="5"/>
                <w:color w:val="auto"/>
              </w:rPr>
            </w:pP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Crediting</w:t>
            </w:r>
          </w:p>
        </w:tc>
        <w:tc>
          <w:tcPr>
            <w:tcW w:w="12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1280" w:type="dxa"/>
            <w:vAlign w:val="bottom"/>
            <w:tcBorders>
              <w:left w:val="single" w:sz="8" w:color="auto"/>
              <w:right w:val="single" w:sz="8" w:color="auto"/>
            </w:tcBorders>
            <w:shd w:val="clear" w:color="auto" w:fill="CCCCCC"/>
          </w:tcPr>
          <w:p>
            <w:pPr>
              <w:spacing w:after="0"/>
              <w:rPr>
                <w:sz w:val="7"/>
                <w:szCs w:val="7"/>
                <w:color w:val="auto"/>
              </w:rPr>
            </w:pPr>
          </w:p>
        </w:tc>
        <w:tc>
          <w:tcPr>
            <w:tcW w:w="3440" w:type="dxa"/>
            <w:vAlign w:val="bottom"/>
            <w:gridSpan w:val="2"/>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vMerge w:val="restart"/>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TYPES</w:t>
            </w:r>
          </w:p>
        </w:tc>
        <w:tc>
          <w:tcPr>
            <w:tcW w:w="0" w:type="dxa"/>
            <w:vAlign w:val="bottom"/>
          </w:tcPr>
          <w:p>
            <w:pPr>
              <w:spacing w:after="0"/>
              <w:rPr>
                <w:sz w:val="1"/>
                <w:szCs w:val="1"/>
                <w:color w:val="auto"/>
              </w:rPr>
            </w:pPr>
          </w:p>
        </w:tc>
      </w:tr>
      <w:tr>
        <w:trPr>
          <w:trHeight w:val="50"/>
        </w:trPr>
        <w:tc>
          <w:tcPr>
            <w:tcW w:w="1280" w:type="dxa"/>
            <w:vAlign w:val="bottom"/>
            <w:tcBorders>
              <w:left w:val="single" w:sz="8" w:color="auto"/>
              <w:right w:val="single" w:sz="8" w:color="auto"/>
            </w:tcBorders>
            <w:shd w:val="clear" w:color="auto" w:fill="CCCCCC"/>
          </w:tcPr>
          <w:p>
            <w:pPr>
              <w:spacing w:after="0"/>
              <w:rPr>
                <w:sz w:val="4"/>
                <w:szCs w:val="4"/>
                <w:color w:val="auto"/>
              </w:rPr>
            </w:pP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Types), as applicable, will limit positive Index returns (e.g., limited</w:t>
            </w:r>
          </w:p>
        </w:tc>
        <w:tc>
          <w:tcPr>
            <w:tcW w:w="1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280" w:type="dxa"/>
            <w:vAlign w:val="bottom"/>
            <w:tcBorders>
              <w:left w:val="single" w:sz="8" w:color="auto"/>
              <w:right w:val="single" w:sz="8" w:color="auto"/>
            </w:tcBorders>
            <w:shd w:val="clear" w:color="auto" w:fill="CCCCCC"/>
          </w:tcPr>
          <w:p>
            <w:pPr>
              <w:spacing w:after="0"/>
              <w:rPr>
                <w:sz w:val="8"/>
                <w:szCs w:val="8"/>
                <w:color w:val="auto"/>
              </w:rPr>
            </w:pPr>
          </w:p>
        </w:tc>
        <w:tc>
          <w:tcPr>
            <w:tcW w:w="344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50"/>
        </w:trPr>
        <w:tc>
          <w:tcPr>
            <w:tcW w:w="1280" w:type="dxa"/>
            <w:vAlign w:val="bottom"/>
            <w:tcBorders>
              <w:left w:val="single" w:sz="8" w:color="auto"/>
              <w:right w:val="single" w:sz="8" w:color="auto"/>
            </w:tcBorders>
            <w:shd w:val="clear" w:color="auto" w:fill="CCCCCC"/>
          </w:tcPr>
          <w:p>
            <w:pPr>
              <w:spacing w:after="0"/>
              <w:rPr>
                <w:sz w:val="4"/>
                <w:szCs w:val="4"/>
                <w:color w:val="auto"/>
              </w:rPr>
            </w:pP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upside).</w:t>
            </w:r>
          </w:p>
        </w:tc>
        <w:tc>
          <w:tcPr>
            <w:tcW w:w="1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280" w:type="dxa"/>
            <w:vAlign w:val="bottom"/>
            <w:tcBorders>
              <w:left w:val="single" w:sz="8" w:color="auto"/>
              <w:right w:val="single" w:sz="8" w:color="auto"/>
            </w:tcBorders>
            <w:shd w:val="clear" w:color="auto" w:fill="CCCCCC"/>
          </w:tcPr>
          <w:p>
            <w:pPr>
              <w:spacing w:after="0"/>
              <w:rPr>
                <w:sz w:val="7"/>
                <w:szCs w:val="7"/>
                <w:color w:val="auto"/>
              </w:rPr>
            </w:pPr>
          </w:p>
        </w:tc>
        <w:tc>
          <w:tcPr>
            <w:tcW w:w="3440" w:type="dxa"/>
            <w:vAlign w:val="bottom"/>
            <w:gridSpan w:val="2"/>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THE FIXED</w:t>
            </w:r>
          </w:p>
        </w:tc>
        <w:tc>
          <w:tcPr>
            <w:tcW w:w="0" w:type="dxa"/>
            <w:vAlign w:val="bottom"/>
          </w:tcPr>
          <w:p>
            <w:pPr>
              <w:spacing w:after="0"/>
              <w:rPr>
                <w:sz w:val="1"/>
                <w:szCs w:val="1"/>
                <w:color w:val="auto"/>
              </w:rPr>
            </w:pPr>
          </w:p>
        </w:tc>
      </w:tr>
      <w:tr>
        <w:trPr>
          <w:trHeight w:val="54"/>
        </w:trPr>
        <w:tc>
          <w:tcPr>
            <w:tcW w:w="1280" w:type="dxa"/>
            <w:vAlign w:val="bottom"/>
            <w:tcBorders>
              <w:left w:val="single" w:sz="8" w:color="auto"/>
              <w:right w:val="single" w:sz="8" w:color="auto"/>
            </w:tcBorders>
            <w:shd w:val="clear" w:color="auto" w:fill="CCCCCC"/>
          </w:tcPr>
          <w:p>
            <w:pPr>
              <w:spacing w:after="0"/>
              <w:rPr>
                <w:sz w:val="4"/>
                <w:szCs w:val="4"/>
                <w:color w:val="auto"/>
              </w:rPr>
            </w:pP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This may result in you earning less than the Index return</w:t>
            </w:r>
            <w:r>
              <w:rPr>
                <w:rFonts w:ascii="Times New Roman" w:cs="Times New Roman" w:eastAsia="Times New Roman" w:hAnsi="Times New Roman"/>
                <w:sz w:val="12"/>
                <w:szCs w:val="12"/>
                <w:color w:val="auto"/>
              </w:rPr>
              <w:t>. For</w:t>
            </w:r>
          </w:p>
        </w:tc>
        <w:tc>
          <w:tcPr>
            <w:tcW w:w="1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280" w:type="dxa"/>
            <w:vAlign w:val="bottom"/>
            <w:tcBorders>
              <w:left w:val="single" w:sz="8" w:color="auto"/>
              <w:right w:val="single" w:sz="8" w:color="auto"/>
            </w:tcBorders>
            <w:shd w:val="clear" w:color="auto" w:fill="CCCCCC"/>
          </w:tcPr>
          <w:p>
            <w:pPr>
              <w:spacing w:after="0"/>
              <w:rPr>
                <w:sz w:val="8"/>
                <w:szCs w:val="8"/>
                <w:color w:val="auto"/>
              </w:rPr>
            </w:pPr>
          </w:p>
        </w:tc>
        <w:tc>
          <w:tcPr>
            <w:tcW w:w="344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ACCOUNT</w:t>
            </w:r>
          </w:p>
        </w:tc>
        <w:tc>
          <w:tcPr>
            <w:tcW w:w="0" w:type="dxa"/>
            <w:vAlign w:val="bottom"/>
          </w:tcPr>
          <w:p>
            <w:pPr>
              <w:spacing w:after="0"/>
              <w:rPr>
                <w:sz w:val="1"/>
                <w:szCs w:val="1"/>
                <w:color w:val="auto"/>
              </w:rPr>
            </w:pPr>
          </w:p>
        </w:tc>
      </w:tr>
      <w:tr>
        <w:trPr>
          <w:trHeight w:val="65"/>
        </w:trPr>
        <w:tc>
          <w:tcPr>
            <w:tcW w:w="1280" w:type="dxa"/>
            <w:vAlign w:val="bottom"/>
            <w:tcBorders>
              <w:left w:val="single" w:sz="8" w:color="auto"/>
              <w:right w:val="single" w:sz="8" w:color="auto"/>
            </w:tcBorders>
            <w:shd w:val="clear" w:color="auto" w:fill="CCCCCC"/>
          </w:tcPr>
          <w:p>
            <w:pPr>
              <w:spacing w:after="0"/>
              <w:rPr>
                <w:sz w:val="5"/>
                <w:szCs w:val="5"/>
                <w:color w:val="auto"/>
              </w:rPr>
            </w:pPr>
          </w:p>
        </w:tc>
        <w:tc>
          <w:tcPr>
            <w:tcW w:w="3440" w:type="dxa"/>
            <w:vAlign w:val="bottom"/>
            <w:gridSpan w:val="2"/>
            <w:vMerge w:val="restart"/>
          </w:tcPr>
          <w:p>
            <w:pPr>
              <w:ind w:left="60"/>
              <w:spacing w:after="0" w:line="135" w:lineRule="exact"/>
              <w:rPr>
                <w:sz w:val="20"/>
                <w:szCs w:val="20"/>
                <w:color w:val="auto"/>
              </w:rPr>
            </w:pPr>
            <w:r>
              <w:rPr>
                <w:rFonts w:ascii="Times New Roman" w:cs="Times New Roman" w:eastAsia="Times New Roman" w:hAnsi="Times New Roman"/>
                <w:sz w:val="12"/>
                <w:szCs w:val="12"/>
                <w:color w:val="auto"/>
              </w:rPr>
              <w:t>example:</w:t>
            </w:r>
          </w:p>
        </w:tc>
        <w:tc>
          <w:tcPr>
            <w:tcW w:w="120" w:type="dxa"/>
            <w:vAlign w:val="bottom"/>
            <w:tcBorders>
              <w:right w:val="single" w:sz="8" w:color="auto"/>
            </w:tcBorders>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280" w:type="dxa"/>
            <w:vAlign w:val="bottom"/>
            <w:tcBorders>
              <w:left w:val="single" w:sz="8" w:color="auto"/>
              <w:right w:val="single" w:sz="8" w:color="auto"/>
            </w:tcBorders>
            <w:shd w:val="clear" w:color="auto" w:fill="CCCCCC"/>
          </w:tcPr>
          <w:p>
            <w:pPr>
              <w:spacing w:after="0"/>
              <w:rPr>
                <w:sz w:val="6"/>
                <w:szCs w:val="6"/>
                <w:color w:val="auto"/>
              </w:rPr>
            </w:pPr>
          </w:p>
        </w:tc>
        <w:tc>
          <w:tcPr>
            <w:tcW w:w="3440" w:type="dxa"/>
            <w:vAlign w:val="bottom"/>
            <w:gridSpan w:val="2"/>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280" w:type="dxa"/>
            <w:vAlign w:val="bottom"/>
            <w:tcBorders>
              <w:left w:val="single" w:sz="8" w:color="auto"/>
              <w:right w:val="single" w:sz="8" w:color="auto"/>
            </w:tcBorders>
            <w:shd w:val="clear" w:color="auto" w:fill="CCCCCC"/>
          </w:tcPr>
          <w:p>
            <w:pPr>
              <w:spacing w:after="0"/>
              <w:rPr>
                <w:sz w:val="20"/>
                <w:szCs w:val="20"/>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Cap Rate.</w:t>
            </w:r>
            <w:r>
              <w:rPr>
                <w:rFonts w:ascii="Times New Roman" w:cs="Times New Roman" w:eastAsia="Times New Roman" w:hAnsi="Times New Roman"/>
                <w:sz w:val="12"/>
                <w:szCs w:val="12"/>
                <w:color w:val="auto"/>
              </w:rPr>
              <w:t xml:space="preserve"> If the Index Performance is 15%, and the Cap Rate is</w:t>
            </w:r>
          </w:p>
        </w:tc>
        <w:tc>
          <w:tcPr>
            <w:tcW w:w="12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10%, we</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will credit a 10% Performance Rate at the end of the Term.</w:t>
            </w:r>
          </w:p>
        </w:tc>
        <w:tc>
          <w:tcPr>
            <w:tcW w:w="1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right w:val="single" w:sz="8" w:color="auto"/>
            </w:tcBorders>
            <w:shd w:val="clear" w:color="auto" w:fill="CCCCCC"/>
          </w:tcPr>
          <w:p>
            <w:pPr>
              <w:spacing w:after="0"/>
              <w:rPr>
                <w:sz w:val="19"/>
                <w:szCs w:val="19"/>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Step Rate</w:t>
            </w:r>
            <w:r>
              <w:rPr>
                <w:rFonts w:ascii="Times New Roman" w:cs="Times New Roman" w:eastAsia="Times New Roman" w:hAnsi="Times New Roman"/>
                <w:sz w:val="12"/>
                <w:szCs w:val="12"/>
                <w:color w:val="auto"/>
              </w:rPr>
              <w:t>. If the Index Performance is 15%, and the Step Rate is</w:t>
            </w:r>
          </w:p>
        </w:tc>
        <w:tc>
          <w:tcPr>
            <w:tcW w:w="12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8%, we</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will credit an 8% Performance Rate at the end of the Term.</w:t>
            </w:r>
          </w:p>
        </w:tc>
        <w:tc>
          <w:tcPr>
            <w:tcW w:w="1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280" w:type="dxa"/>
            <w:vAlign w:val="bottom"/>
            <w:tcBorders>
              <w:left w:val="single" w:sz="8" w:color="auto"/>
              <w:right w:val="single" w:sz="8" w:color="auto"/>
            </w:tcBorders>
            <w:shd w:val="clear" w:color="auto" w:fill="CCCCCC"/>
          </w:tcPr>
          <w:p>
            <w:pPr>
              <w:spacing w:after="0"/>
              <w:rPr>
                <w:sz w:val="20"/>
                <w:szCs w:val="20"/>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Edge Rate</w:t>
            </w:r>
            <w:r>
              <w:rPr>
                <w:rFonts w:ascii="Times New Roman" w:cs="Times New Roman" w:eastAsia="Times New Roman" w:hAnsi="Times New Roman"/>
                <w:sz w:val="12"/>
                <w:szCs w:val="12"/>
                <w:color w:val="auto"/>
              </w:rPr>
              <w:t>. If the Index Performance is 15%, the Edge Rate is 7%,</w:t>
            </w:r>
          </w:p>
        </w:tc>
        <w:tc>
          <w:tcPr>
            <w:tcW w:w="12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and the</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Shield Option has a Shield Rate of 10%, we will credit a 7%</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Performance</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Rate at the end of the Term. If the Index Performance is -10%, we</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will also</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credit a 7% Performance Rate at the end of the Term.</w:t>
            </w:r>
          </w:p>
        </w:tc>
        <w:tc>
          <w:tcPr>
            <w:tcW w:w="1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280" w:type="dxa"/>
            <w:vAlign w:val="bottom"/>
            <w:tcBorders>
              <w:left w:val="single" w:sz="8" w:color="auto"/>
              <w:right w:val="single" w:sz="8" w:color="auto"/>
            </w:tcBorders>
            <w:shd w:val="clear" w:color="auto" w:fill="CCCCCC"/>
          </w:tcPr>
          <w:p>
            <w:pPr>
              <w:spacing w:after="0"/>
              <w:rPr>
                <w:sz w:val="20"/>
                <w:szCs w:val="20"/>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The Shield Rate, as applicable, will limit the negative Index returns</w:t>
            </w:r>
          </w:p>
        </w:tc>
        <w:tc>
          <w:tcPr>
            <w:tcW w:w="12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(e.g.,</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limited protection in the case of market decline). For example, if the</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Index</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Performance is -25%, and you invest in a Shield Option with a 10%</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Shield</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w w:val="99"/>
              </w:rPr>
              <w:t>Rate, we will credit a -15% Performance Rate (the amount of negative</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Index</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80" w:type="dxa"/>
            <w:vAlign w:val="bottom"/>
            <w:tcBorders>
              <w:left w:val="single" w:sz="8" w:color="auto"/>
              <w:right w:val="single" w:sz="8" w:color="auto"/>
            </w:tcBorders>
            <w:shd w:val="clear" w:color="auto" w:fill="CCCCCC"/>
          </w:tcPr>
          <w:p>
            <w:pPr>
              <w:spacing w:after="0"/>
              <w:rPr>
                <w:sz w:val="13"/>
                <w:szCs w:val="13"/>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Performance that exceeds the Shield Rate) at the end of the Term.</w:t>
            </w:r>
          </w:p>
        </w:tc>
        <w:tc>
          <w:tcPr>
            <w:tcW w:w="1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right w:val="single" w:sz="8" w:color="auto"/>
            </w:tcBorders>
            <w:shd w:val="clear" w:color="auto" w:fill="CCCCCC"/>
          </w:tcPr>
          <w:p>
            <w:pPr>
              <w:spacing w:after="0"/>
              <w:rPr>
                <w:sz w:val="19"/>
                <w:szCs w:val="19"/>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Each Index is a “price return index,” not a “total return index,” and</w:t>
            </w:r>
          </w:p>
        </w:tc>
        <w:tc>
          <w:tcPr>
            <w:tcW w:w="12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therefore</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does not reflect dividends declared by any of the companies in the</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Index. This</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will reduce the Index Performance and will cause the Index to</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4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underperform a</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280" w:type="dxa"/>
            <w:vAlign w:val="bottom"/>
            <w:tcBorders>
              <w:left w:val="single" w:sz="8" w:color="auto"/>
              <w:bottom w:val="single" w:sz="8" w:color="auto"/>
              <w:right w:val="single" w:sz="8" w:color="auto"/>
            </w:tcBorders>
            <w:shd w:val="clear" w:color="auto" w:fill="CCCCCC"/>
          </w:tcPr>
          <w:p>
            <w:pPr>
              <w:spacing w:after="0"/>
              <w:rPr>
                <w:sz w:val="14"/>
                <w:szCs w:val="14"/>
                <w:color w:val="auto"/>
              </w:rPr>
            </w:pPr>
          </w:p>
        </w:tc>
        <w:tc>
          <w:tcPr>
            <w:tcW w:w="3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direct investment in the securities composing the Index.</w:t>
            </w:r>
          </w:p>
        </w:tc>
        <w:tc>
          <w:tcPr>
            <w:tcW w:w="12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280" w:type="dxa"/>
            <w:vAlign w:val="bottom"/>
            <w:tcBorders>
              <w:left w:val="single" w:sz="8" w:color="auto"/>
              <w:right w:val="single" w:sz="8" w:color="auto"/>
            </w:tcBorders>
            <w:shd w:val="clear" w:color="auto" w:fill="CCCCCC"/>
          </w:tcPr>
          <w:p>
            <w:pPr>
              <w:ind w:left="40"/>
              <w:spacing w:after="0"/>
              <w:rPr>
                <w:sz w:val="20"/>
                <w:szCs w:val="20"/>
                <w:color w:val="auto"/>
              </w:rPr>
            </w:pPr>
            <w:r>
              <w:rPr>
                <w:rFonts w:ascii="Times New Roman" w:cs="Times New Roman" w:eastAsia="Times New Roman" w:hAnsi="Times New Roman"/>
                <w:sz w:val="12"/>
                <w:szCs w:val="12"/>
                <w:b w:val="1"/>
                <w:bCs w:val="1"/>
                <w:color w:val="auto"/>
              </w:rPr>
              <w:t>What are the Risks</w:t>
            </w: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w w:val="99"/>
              </w:rPr>
              <w:t>An investment in the Contract is subject to the risks related to us. Any</w:t>
            </w:r>
          </w:p>
        </w:tc>
        <w:tc>
          <w:tcPr>
            <w:tcW w:w="1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PRINCIPAL</w:t>
            </w:r>
          </w:p>
        </w:tc>
        <w:tc>
          <w:tcPr>
            <w:tcW w:w="0" w:type="dxa"/>
            <w:vAlign w:val="bottom"/>
          </w:tcPr>
          <w:p>
            <w:pPr>
              <w:spacing w:after="0"/>
              <w:rPr>
                <w:sz w:val="1"/>
                <w:szCs w:val="1"/>
                <w:color w:val="auto"/>
              </w:rPr>
            </w:pPr>
          </w:p>
        </w:tc>
      </w:tr>
      <w:tr>
        <w:trPr>
          <w:trHeight w:val="103"/>
        </w:trPr>
        <w:tc>
          <w:tcPr>
            <w:tcW w:w="1280" w:type="dxa"/>
            <w:vAlign w:val="bottom"/>
            <w:tcBorders>
              <w:left w:val="single" w:sz="8" w:color="auto"/>
              <w:right w:val="single" w:sz="8" w:color="auto"/>
            </w:tcBorders>
            <w:vMerge w:val="restart"/>
            <w:shd w:val="clear" w:color="auto" w:fill="CCCCCC"/>
          </w:tcPr>
          <w:p>
            <w:pPr>
              <w:ind w:left="40"/>
              <w:spacing w:after="0"/>
              <w:rPr>
                <w:sz w:val="20"/>
                <w:szCs w:val="20"/>
                <w:color w:val="auto"/>
              </w:rPr>
            </w:pPr>
            <w:r>
              <w:rPr>
                <w:rFonts w:ascii="Times New Roman" w:cs="Times New Roman" w:eastAsia="Times New Roman" w:hAnsi="Times New Roman"/>
                <w:sz w:val="12"/>
                <w:szCs w:val="12"/>
                <w:b w:val="1"/>
                <w:bCs w:val="1"/>
                <w:color w:val="auto"/>
              </w:rPr>
              <w:t>Related to the</w:t>
            </w:r>
          </w:p>
        </w:tc>
        <w:tc>
          <w:tcPr>
            <w:tcW w:w="344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RISKS</w:t>
            </w:r>
          </w:p>
        </w:tc>
        <w:tc>
          <w:tcPr>
            <w:tcW w:w="0" w:type="dxa"/>
            <w:vAlign w:val="bottom"/>
          </w:tcPr>
          <w:p>
            <w:pPr>
              <w:spacing w:after="0"/>
              <w:rPr>
                <w:sz w:val="1"/>
                <w:szCs w:val="1"/>
                <w:color w:val="auto"/>
              </w:rPr>
            </w:pPr>
          </w:p>
        </w:tc>
      </w:tr>
      <w:tr>
        <w:trPr>
          <w:trHeight w:val="41"/>
        </w:trPr>
        <w:tc>
          <w:tcPr>
            <w:tcW w:w="1280" w:type="dxa"/>
            <w:vAlign w:val="bottom"/>
            <w:tcBorders>
              <w:left w:val="single" w:sz="8" w:color="auto"/>
              <w:right w:val="single" w:sz="8" w:color="auto"/>
            </w:tcBorders>
            <w:vMerge w:val="continue"/>
            <w:shd w:val="clear" w:color="auto" w:fill="CCCCCC"/>
          </w:tcPr>
          <w:p>
            <w:pPr>
              <w:spacing w:after="0"/>
              <w:rPr>
                <w:sz w:val="3"/>
                <w:szCs w:val="3"/>
                <w:color w:val="auto"/>
              </w:rPr>
            </w:pP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obligations (including under any Fixed Account and Shield Options),</w:t>
            </w:r>
          </w:p>
        </w:tc>
        <w:tc>
          <w:tcPr>
            <w:tcW w:w="1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280" w:type="dxa"/>
            <w:vAlign w:val="bottom"/>
            <w:tcBorders>
              <w:left w:val="single" w:sz="8" w:color="auto"/>
              <w:right w:val="single" w:sz="8" w:color="auto"/>
            </w:tcBorders>
            <w:vMerge w:val="restart"/>
            <w:shd w:val="clear" w:color="auto" w:fill="CCCCCC"/>
          </w:tcPr>
          <w:p>
            <w:pPr>
              <w:ind w:left="40"/>
              <w:spacing w:after="0"/>
              <w:rPr>
                <w:sz w:val="20"/>
                <w:szCs w:val="20"/>
                <w:color w:val="auto"/>
              </w:rPr>
            </w:pPr>
            <w:r>
              <w:rPr>
                <w:rFonts w:ascii="Times New Roman" w:cs="Times New Roman" w:eastAsia="Times New Roman" w:hAnsi="Times New Roman"/>
                <w:sz w:val="12"/>
                <w:szCs w:val="12"/>
                <w:b w:val="1"/>
                <w:bCs w:val="1"/>
                <w:color w:val="auto"/>
              </w:rPr>
              <w:t>Insurance Company?</w:t>
            </w:r>
          </w:p>
        </w:tc>
        <w:tc>
          <w:tcPr>
            <w:tcW w:w="344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OF INVESTING</w:t>
            </w:r>
          </w:p>
        </w:tc>
        <w:tc>
          <w:tcPr>
            <w:tcW w:w="0" w:type="dxa"/>
            <w:vAlign w:val="bottom"/>
          </w:tcPr>
          <w:p>
            <w:pPr>
              <w:spacing w:after="0"/>
              <w:rPr>
                <w:sz w:val="1"/>
                <w:szCs w:val="1"/>
                <w:color w:val="auto"/>
              </w:rPr>
            </w:pPr>
          </w:p>
        </w:tc>
      </w:tr>
      <w:tr>
        <w:trPr>
          <w:trHeight w:val="41"/>
        </w:trPr>
        <w:tc>
          <w:tcPr>
            <w:tcW w:w="1280" w:type="dxa"/>
            <w:vAlign w:val="bottom"/>
            <w:tcBorders>
              <w:left w:val="single" w:sz="8" w:color="auto"/>
              <w:right w:val="single" w:sz="8" w:color="auto"/>
            </w:tcBorders>
            <w:vMerge w:val="continue"/>
            <w:shd w:val="clear" w:color="auto" w:fill="CCCCCC"/>
          </w:tcPr>
          <w:p>
            <w:pPr>
              <w:spacing w:after="0"/>
              <w:rPr>
                <w:sz w:val="3"/>
                <w:szCs w:val="3"/>
                <w:color w:val="auto"/>
              </w:rPr>
            </w:pP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guarantees, or benefits are subject to our claims-paying ability. More</w:t>
            </w:r>
          </w:p>
        </w:tc>
        <w:tc>
          <w:tcPr>
            <w:tcW w:w="1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280" w:type="dxa"/>
            <w:vAlign w:val="bottom"/>
            <w:tcBorders>
              <w:left w:val="single" w:sz="8" w:color="auto"/>
              <w:right w:val="single" w:sz="8" w:color="auto"/>
            </w:tcBorders>
            <w:shd w:val="clear" w:color="auto" w:fill="CCCCCC"/>
          </w:tcPr>
          <w:p>
            <w:pPr>
              <w:spacing w:after="0"/>
              <w:rPr>
                <w:sz w:val="8"/>
                <w:szCs w:val="8"/>
                <w:color w:val="auto"/>
              </w:rPr>
            </w:pPr>
          </w:p>
        </w:tc>
        <w:tc>
          <w:tcPr>
            <w:tcW w:w="344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IN</w:t>
            </w:r>
          </w:p>
        </w:tc>
        <w:tc>
          <w:tcPr>
            <w:tcW w:w="0" w:type="dxa"/>
            <w:vAlign w:val="bottom"/>
          </w:tcPr>
          <w:p>
            <w:pPr>
              <w:spacing w:after="0"/>
              <w:rPr>
                <w:sz w:val="1"/>
                <w:szCs w:val="1"/>
                <w:color w:val="auto"/>
              </w:rPr>
            </w:pPr>
          </w:p>
        </w:tc>
      </w:tr>
      <w:tr>
        <w:trPr>
          <w:trHeight w:val="41"/>
        </w:trPr>
        <w:tc>
          <w:tcPr>
            <w:tcW w:w="1280" w:type="dxa"/>
            <w:vAlign w:val="bottom"/>
            <w:tcBorders>
              <w:left w:val="single" w:sz="8" w:color="auto"/>
              <w:right w:val="single" w:sz="8" w:color="auto"/>
            </w:tcBorders>
            <w:shd w:val="clear" w:color="auto" w:fill="CCCCCC"/>
          </w:tcPr>
          <w:p>
            <w:pPr>
              <w:spacing w:after="0"/>
              <w:rPr>
                <w:sz w:val="3"/>
                <w:szCs w:val="3"/>
                <w:color w:val="auto"/>
              </w:rPr>
            </w:pP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information about us, including our appliable financial strength</w:t>
            </w:r>
          </w:p>
        </w:tc>
        <w:tc>
          <w:tcPr>
            <w:tcW w:w="1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280" w:type="dxa"/>
            <w:vAlign w:val="bottom"/>
            <w:tcBorders>
              <w:left w:val="single" w:sz="8" w:color="auto"/>
              <w:right w:val="single" w:sz="8" w:color="auto"/>
            </w:tcBorders>
            <w:shd w:val="clear" w:color="auto" w:fill="CCCCCC"/>
          </w:tcPr>
          <w:p>
            <w:pPr>
              <w:spacing w:after="0"/>
              <w:rPr>
                <w:sz w:val="8"/>
                <w:szCs w:val="8"/>
                <w:color w:val="auto"/>
              </w:rPr>
            </w:pPr>
          </w:p>
        </w:tc>
        <w:tc>
          <w:tcPr>
            <w:tcW w:w="344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THE</w:t>
            </w:r>
          </w:p>
        </w:tc>
        <w:tc>
          <w:tcPr>
            <w:tcW w:w="0" w:type="dxa"/>
            <w:vAlign w:val="bottom"/>
          </w:tcPr>
          <w:p>
            <w:pPr>
              <w:spacing w:after="0"/>
              <w:rPr>
                <w:sz w:val="1"/>
                <w:szCs w:val="1"/>
                <w:color w:val="auto"/>
              </w:rPr>
            </w:pPr>
          </w:p>
        </w:tc>
      </w:tr>
      <w:tr>
        <w:trPr>
          <w:trHeight w:val="41"/>
        </w:trPr>
        <w:tc>
          <w:tcPr>
            <w:tcW w:w="1280" w:type="dxa"/>
            <w:vAlign w:val="bottom"/>
            <w:tcBorders>
              <w:left w:val="single" w:sz="8" w:color="auto"/>
              <w:right w:val="single" w:sz="8" w:color="auto"/>
            </w:tcBorders>
            <w:shd w:val="clear" w:color="auto" w:fill="CCCCCC"/>
          </w:tcPr>
          <w:p>
            <w:pPr>
              <w:spacing w:after="0"/>
              <w:rPr>
                <w:sz w:val="3"/>
                <w:szCs w:val="3"/>
                <w:color w:val="auto"/>
              </w:rPr>
            </w:pP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ratings, is</w:t>
            </w:r>
          </w:p>
        </w:tc>
        <w:tc>
          <w:tcPr>
            <w:tcW w:w="120" w:type="dxa"/>
            <w:vAlign w:val="bottom"/>
            <w:tcBorders>
              <w:right w:val="single" w:sz="8" w:color="auto"/>
            </w:tcBorders>
          </w:tcPr>
          <w:p>
            <w:pPr>
              <w:spacing w:after="0"/>
              <w:rPr>
                <w:sz w:val="3"/>
                <w:szCs w:val="3"/>
                <w:color w:val="auto"/>
              </w:rPr>
            </w:pPr>
          </w:p>
        </w:tc>
        <w:tc>
          <w:tcPr>
            <w:tcW w:w="10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280" w:type="dxa"/>
            <w:vAlign w:val="bottom"/>
            <w:tcBorders>
              <w:left w:val="single" w:sz="8" w:color="auto"/>
              <w:right w:val="single" w:sz="8" w:color="auto"/>
            </w:tcBorders>
            <w:shd w:val="clear" w:color="auto" w:fill="CCCCCC"/>
          </w:tcPr>
          <w:p>
            <w:pPr>
              <w:spacing w:after="0"/>
              <w:rPr>
                <w:sz w:val="8"/>
                <w:szCs w:val="8"/>
                <w:color w:val="auto"/>
              </w:rPr>
            </w:pPr>
          </w:p>
        </w:tc>
        <w:tc>
          <w:tcPr>
            <w:tcW w:w="344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CONTRACT</w:t>
            </w:r>
          </w:p>
        </w:tc>
        <w:tc>
          <w:tcPr>
            <w:tcW w:w="0" w:type="dxa"/>
            <w:vAlign w:val="bottom"/>
          </w:tcPr>
          <w:p>
            <w:pPr>
              <w:spacing w:after="0"/>
              <w:rPr>
                <w:sz w:val="1"/>
                <w:szCs w:val="1"/>
                <w:color w:val="auto"/>
              </w:rPr>
            </w:pPr>
          </w:p>
        </w:tc>
      </w:tr>
      <w:tr>
        <w:trPr>
          <w:trHeight w:val="56"/>
        </w:trPr>
        <w:tc>
          <w:tcPr>
            <w:tcW w:w="1280" w:type="dxa"/>
            <w:vAlign w:val="bottom"/>
            <w:tcBorders>
              <w:left w:val="single" w:sz="8" w:color="auto"/>
              <w:right w:val="single" w:sz="8" w:color="auto"/>
            </w:tcBorders>
            <w:shd w:val="clear" w:color="auto" w:fill="CCCCCC"/>
          </w:tcPr>
          <w:p>
            <w:pPr>
              <w:spacing w:after="0"/>
              <w:rPr>
                <w:sz w:val="4"/>
                <w:szCs w:val="4"/>
                <w:color w:val="auto"/>
              </w:rPr>
            </w:pPr>
          </w:p>
        </w:tc>
        <w:tc>
          <w:tcPr>
            <w:tcW w:w="3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auto"/>
              </w:rPr>
              <w:t>available upon request by contacting us at (888) 243-1968.</w:t>
            </w:r>
          </w:p>
        </w:tc>
        <w:tc>
          <w:tcPr>
            <w:tcW w:w="120" w:type="dxa"/>
            <w:vAlign w:val="bottom"/>
            <w:tcBorders>
              <w:right w:val="single" w:sz="8" w:color="auto"/>
            </w:tcBorders>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bottom w:val="single" w:sz="8" w:color="auto"/>
              <w:right w:val="single" w:sz="8" w:color="auto"/>
            </w:tcBorders>
            <w:shd w:val="clear" w:color="auto" w:fill="CCCCCC"/>
          </w:tcPr>
          <w:p>
            <w:pPr>
              <w:spacing w:after="0"/>
              <w:rPr>
                <w:sz w:val="9"/>
                <w:szCs w:val="9"/>
                <w:color w:val="auto"/>
              </w:rPr>
            </w:pPr>
          </w:p>
        </w:tc>
        <w:tc>
          <w:tcPr>
            <w:tcW w:w="3440" w:type="dxa"/>
            <w:vAlign w:val="bottom"/>
            <w:tcBorders>
              <w:bottom w:val="single" w:sz="8" w:color="auto"/>
            </w:tcBorders>
            <w:gridSpan w:val="2"/>
            <w:vMerge w:val="continue"/>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280" w:type="dxa"/>
            <w:vAlign w:val="bottom"/>
            <w:tcBorders>
              <w:left w:val="single" w:sz="8" w:color="auto"/>
              <w:bottom w:val="single" w:sz="8" w:color="auto"/>
              <w:right w:val="single" w:sz="8" w:color="CCCCCC"/>
            </w:tcBorders>
            <w:shd w:val="clear" w:color="auto" w:fill="CCCCCC"/>
          </w:tcPr>
          <w:p>
            <w:pPr>
              <w:spacing w:after="0"/>
              <w:rPr>
                <w:sz w:val="14"/>
                <w:szCs w:val="14"/>
                <w:color w:val="auto"/>
              </w:rPr>
            </w:pPr>
          </w:p>
        </w:tc>
        <w:tc>
          <w:tcPr>
            <w:tcW w:w="3380" w:type="dxa"/>
            <w:vAlign w:val="bottom"/>
            <w:tcBorders>
              <w:bottom w:val="single" w:sz="8" w:color="auto"/>
              <w:right w:val="single" w:sz="8" w:color="auto"/>
            </w:tcBorders>
            <w:shd w:val="clear" w:color="auto" w:fill="CCCCCC"/>
          </w:tcPr>
          <w:p>
            <w:pPr>
              <w:ind w:left="1360"/>
              <w:spacing w:after="0"/>
              <w:rPr>
                <w:sz w:val="20"/>
                <w:szCs w:val="20"/>
                <w:color w:val="auto"/>
              </w:rPr>
            </w:pPr>
            <w:r>
              <w:rPr>
                <w:rFonts w:ascii="Times New Roman" w:cs="Times New Roman" w:eastAsia="Times New Roman" w:hAnsi="Times New Roman"/>
                <w:sz w:val="12"/>
                <w:szCs w:val="12"/>
                <w:b w:val="1"/>
                <w:bCs w:val="1"/>
                <w:color w:val="auto"/>
              </w:rPr>
              <w:t>Restrictions</w:t>
            </w:r>
          </w:p>
        </w:tc>
        <w:tc>
          <w:tcPr>
            <w:tcW w:w="60" w:type="dxa"/>
            <w:vAlign w:val="bottom"/>
            <w:tcBorders>
              <w:bottom w:val="single" w:sz="8" w:color="auto"/>
            </w:tcBorders>
            <w:shd w:val="clear" w:color="auto" w:fill="CCCCCC"/>
          </w:tcPr>
          <w:p>
            <w:pPr>
              <w:spacing w:after="0"/>
              <w:rPr>
                <w:sz w:val="14"/>
                <w:szCs w:val="14"/>
                <w:color w:val="auto"/>
              </w:rPr>
            </w:pPr>
          </w:p>
        </w:tc>
        <w:tc>
          <w:tcPr>
            <w:tcW w:w="120" w:type="dxa"/>
            <w:vAlign w:val="bottom"/>
            <w:tcBorders>
              <w:bottom w:val="single" w:sz="8" w:color="auto"/>
              <w:right w:val="single" w:sz="8" w:color="CCCCCC"/>
            </w:tcBorders>
            <w:shd w:val="clear" w:color="auto" w:fill="CCCCCC"/>
          </w:tcPr>
          <w:p>
            <w:pPr>
              <w:spacing w:after="0"/>
              <w:rPr>
                <w:sz w:val="14"/>
                <w:szCs w:val="14"/>
                <w:color w:val="auto"/>
              </w:rPr>
            </w:pPr>
          </w:p>
        </w:tc>
        <w:tc>
          <w:tcPr>
            <w:tcW w:w="1040" w:type="dxa"/>
            <w:vAlign w:val="bottom"/>
            <w:tcBorders>
              <w:bottom w:val="single" w:sz="8" w:color="auto"/>
              <w:right w:val="single" w:sz="8" w:color="auto"/>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280" w:type="dxa"/>
            <w:vAlign w:val="bottom"/>
            <w:tcBorders>
              <w:left w:val="single" w:sz="8" w:color="auto"/>
              <w:right w:val="single" w:sz="8" w:color="auto"/>
            </w:tcBorders>
            <w:shd w:val="clear" w:color="auto" w:fill="CCCCCC"/>
          </w:tcPr>
          <w:p>
            <w:pPr>
              <w:ind w:left="40"/>
              <w:spacing w:after="0" w:line="124" w:lineRule="exact"/>
              <w:rPr>
                <w:sz w:val="20"/>
                <w:szCs w:val="20"/>
                <w:color w:val="auto"/>
              </w:rPr>
            </w:pPr>
            <w:r>
              <w:rPr>
                <w:rFonts w:ascii="Times New Roman" w:cs="Times New Roman" w:eastAsia="Times New Roman" w:hAnsi="Times New Roman"/>
                <w:sz w:val="12"/>
                <w:szCs w:val="12"/>
                <w:b w:val="1"/>
                <w:bCs w:val="1"/>
                <w:color w:val="auto"/>
              </w:rPr>
              <w:t>Are There</w:t>
            </w:r>
          </w:p>
        </w:tc>
        <w:tc>
          <w:tcPr>
            <w:tcW w:w="3380" w:type="dxa"/>
            <w:vAlign w:val="bottom"/>
            <w:tcBorders>
              <w:right w:val="single" w:sz="8" w:color="auto"/>
            </w:tcBorders>
          </w:tcPr>
          <w:p>
            <w:pPr>
              <w:ind w:left="60"/>
              <w:spacing w:after="0" w:line="124" w:lineRule="exact"/>
              <w:rPr>
                <w:sz w:val="20"/>
                <w:szCs w:val="20"/>
                <w:color w:val="auto"/>
              </w:rPr>
            </w:pPr>
            <w:r>
              <w:rPr>
                <w:rFonts w:ascii="Times New Roman" w:cs="Times New Roman" w:eastAsia="Times New Roman" w:hAnsi="Times New Roman"/>
                <w:sz w:val="12"/>
                <w:szCs w:val="12"/>
                <w:b w:val="1"/>
                <w:bCs w:val="1"/>
                <w:color w:val="auto"/>
              </w:rPr>
              <w:t>Yes.</w:t>
            </w:r>
          </w:p>
        </w:tc>
        <w:tc>
          <w:tcPr>
            <w:tcW w:w="60" w:type="dxa"/>
            <w:vAlign w:val="bottom"/>
          </w:tcPr>
          <w:p>
            <w:pPr>
              <w:spacing w:after="0"/>
              <w:rPr>
                <w:sz w:val="10"/>
                <w:szCs w:val="10"/>
                <w:color w:val="auto"/>
              </w:rPr>
            </w:pPr>
          </w:p>
        </w:tc>
        <w:tc>
          <w:tcPr>
            <w:tcW w:w="1160" w:type="dxa"/>
            <w:vAlign w:val="bottom"/>
            <w:tcBorders>
              <w:right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PRINCIPAL RISKS</w:t>
            </w: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ind w:left="40"/>
              <w:spacing w:after="0" w:line="126" w:lineRule="exact"/>
              <w:rPr>
                <w:sz w:val="20"/>
                <w:szCs w:val="20"/>
                <w:color w:val="auto"/>
              </w:rPr>
            </w:pPr>
            <w:r>
              <w:rPr>
                <w:rFonts w:ascii="Times New Roman" w:cs="Times New Roman" w:eastAsia="Times New Roman" w:hAnsi="Times New Roman"/>
                <w:sz w:val="12"/>
                <w:szCs w:val="12"/>
                <w:b w:val="1"/>
                <w:bCs w:val="1"/>
                <w:color w:val="auto"/>
              </w:rPr>
              <w:t>Restrictions</w:t>
            </w:r>
          </w:p>
        </w:tc>
        <w:tc>
          <w:tcPr>
            <w:tcW w:w="338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0"/>
                <w:szCs w:val="10"/>
                <w:color w:val="auto"/>
              </w:rPr>
            </w:pPr>
          </w:p>
        </w:tc>
        <w:tc>
          <w:tcPr>
            <w:tcW w:w="1160" w:type="dxa"/>
            <w:vAlign w:val="bottom"/>
            <w:tcBorders>
              <w:right w:val="single" w:sz="8" w:color="auto"/>
            </w:tcBorders>
            <w:gridSpan w:val="2"/>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OF INVESTING IN</w:t>
            </w: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on the Investment</w:t>
            </w:r>
          </w:p>
        </w:tc>
        <w:tc>
          <w:tcPr>
            <w:tcW w:w="33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 Limits on transfers.Transfers may only be made during the</w:t>
            </w:r>
          </w:p>
        </w:tc>
        <w:tc>
          <w:tcPr>
            <w:tcW w:w="60" w:type="dxa"/>
            <w:vAlign w:val="bottom"/>
          </w:tcPr>
          <w:p>
            <w:pPr>
              <w:spacing w:after="0"/>
              <w:rPr>
                <w:sz w:val="11"/>
                <w:szCs w:val="11"/>
                <w:color w:val="auto"/>
              </w:rPr>
            </w:pPr>
          </w:p>
        </w:tc>
        <w:tc>
          <w:tcPr>
            <w:tcW w:w="1160" w:type="dxa"/>
            <w:vAlign w:val="bottom"/>
            <w:tcBorders>
              <w:right w:val="single" w:sz="8" w:color="auto"/>
            </w:tcBorders>
            <w:gridSpan w:val="2"/>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THE CONTRACT</w:t>
            </w:r>
          </w:p>
        </w:tc>
        <w:tc>
          <w:tcPr>
            <w:tcW w:w="0" w:type="dxa"/>
            <w:vAlign w:val="bottom"/>
          </w:tcPr>
          <w:p>
            <w:pPr>
              <w:spacing w:after="0"/>
              <w:rPr>
                <w:sz w:val="1"/>
                <w:szCs w:val="1"/>
                <w:color w:val="auto"/>
              </w:rPr>
            </w:pPr>
          </w:p>
        </w:tc>
      </w:tr>
      <w:tr>
        <w:trPr>
          <w:trHeight w:val="123"/>
        </w:trPr>
        <w:tc>
          <w:tcPr>
            <w:tcW w:w="1280" w:type="dxa"/>
            <w:vAlign w:val="bottom"/>
            <w:tcBorders>
              <w:left w:val="single" w:sz="8" w:color="auto"/>
              <w:right w:val="single" w:sz="8" w:color="auto"/>
            </w:tcBorders>
            <w:shd w:val="clear" w:color="auto" w:fill="CCCCCC"/>
          </w:tcPr>
          <w:p>
            <w:pPr>
              <w:ind w:left="40"/>
              <w:spacing w:after="0" w:line="123" w:lineRule="exact"/>
              <w:rPr>
                <w:sz w:val="20"/>
                <w:szCs w:val="20"/>
                <w:color w:val="auto"/>
              </w:rPr>
            </w:pPr>
            <w:r>
              <w:rPr>
                <w:rFonts w:ascii="Times New Roman" w:cs="Times New Roman" w:eastAsia="Times New Roman" w:hAnsi="Times New Roman"/>
                <w:sz w:val="12"/>
                <w:szCs w:val="12"/>
                <w:b w:val="1"/>
                <w:bCs w:val="1"/>
                <w:color w:val="auto"/>
              </w:rPr>
              <w:t>Options?</w:t>
            </w:r>
          </w:p>
        </w:tc>
        <w:tc>
          <w:tcPr>
            <w:tcW w:w="338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Borders>
              <w:right w:val="single" w:sz="8" w:color="auto"/>
            </w:tcBorders>
            <w:gridSpan w:val="2"/>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38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Accumulation</w:t>
            </w:r>
          </w:p>
        </w:tc>
        <w:tc>
          <w:tcPr>
            <w:tcW w:w="60" w:type="dxa"/>
            <w:vAlign w:val="bottom"/>
          </w:tcPr>
          <w:p>
            <w:pPr>
              <w:spacing w:after="0"/>
              <w:rPr>
                <w:sz w:val="11"/>
                <w:szCs w:val="11"/>
                <w:color w:val="auto"/>
              </w:rPr>
            </w:pPr>
          </w:p>
        </w:tc>
        <w:tc>
          <w:tcPr>
            <w:tcW w:w="1160" w:type="dxa"/>
            <w:vAlign w:val="bottom"/>
            <w:tcBorders>
              <w:right w:val="single" w:sz="8" w:color="auto"/>
            </w:tcBorders>
            <w:gridSpan w:val="2"/>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PURCHASE</w:t>
            </w:r>
          </w:p>
        </w:tc>
        <w:tc>
          <w:tcPr>
            <w:tcW w:w="0" w:type="dxa"/>
            <w:vAlign w:val="bottom"/>
          </w:tcPr>
          <w:p>
            <w:pPr>
              <w:spacing w:after="0"/>
              <w:rPr>
                <w:sz w:val="1"/>
                <w:szCs w:val="1"/>
                <w:color w:val="auto"/>
              </w:rPr>
            </w:pPr>
          </w:p>
        </w:tc>
      </w:tr>
      <w:tr>
        <w:trPr>
          <w:trHeight w:val="118"/>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380" w:type="dxa"/>
            <w:vAlign w:val="bottom"/>
            <w:tcBorders>
              <w:right w:val="single" w:sz="8" w:color="auto"/>
            </w:tcBorders>
          </w:tcPr>
          <w:p>
            <w:pPr>
              <w:ind w:left="160"/>
              <w:spacing w:after="0" w:line="118" w:lineRule="exact"/>
              <w:rPr>
                <w:sz w:val="20"/>
                <w:szCs w:val="20"/>
                <w:color w:val="auto"/>
              </w:rPr>
            </w:pPr>
            <w:r>
              <w:rPr>
                <w:rFonts w:ascii="Times New Roman" w:cs="Times New Roman" w:eastAsia="Times New Roman" w:hAnsi="Times New Roman"/>
                <w:sz w:val="12"/>
                <w:szCs w:val="12"/>
                <w:color w:val="auto"/>
              </w:rPr>
              <w:t>Period, and only to or from the Fixed Account, to or from the</w:t>
            </w:r>
          </w:p>
        </w:tc>
        <w:tc>
          <w:tcPr>
            <w:tcW w:w="60" w:type="dxa"/>
            <w:vAlign w:val="bottom"/>
          </w:tcPr>
          <w:p>
            <w:pPr>
              <w:spacing w:after="0"/>
              <w:rPr>
                <w:sz w:val="10"/>
                <w:szCs w:val="10"/>
                <w:color w:val="auto"/>
              </w:rPr>
            </w:pPr>
          </w:p>
        </w:tc>
        <w:tc>
          <w:tcPr>
            <w:tcW w:w="1160" w:type="dxa"/>
            <w:vAlign w:val="bottom"/>
            <w:tcBorders>
              <w:right w:val="single" w:sz="8" w:color="auto"/>
            </w:tcBorders>
            <w:gridSpan w:val="2"/>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43"/>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Shield</w:t>
            </w:r>
          </w:p>
        </w:tc>
        <w:tc>
          <w:tcPr>
            <w:tcW w:w="60" w:type="dxa"/>
            <w:vAlign w:val="bottom"/>
          </w:tcPr>
          <w:p>
            <w:pPr>
              <w:spacing w:after="0"/>
              <w:rPr>
                <w:sz w:val="12"/>
                <w:szCs w:val="12"/>
                <w:color w:val="auto"/>
              </w:rPr>
            </w:pPr>
          </w:p>
        </w:tc>
        <w:tc>
          <w:tcPr>
            <w:tcW w:w="1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SHIELD OPTIONS</w:t>
            </w:r>
          </w:p>
        </w:tc>
        <w:tc>
          <w:tcPr>
            <w:tcW w:w="0" w:type="dxa"/>
            <w:vAlign w:val="bottom"/>
          </w:tcPr>
          <w:p>
            <w:pPr>
              <w:spacing w:after="0"/>
              <w:rPr>
                <w:sz w:val="1"/>
                <w:szCs w:val="1"/>
                <w:color w:val="auto"/>
              </w:rPr>
            </w:pPr>
          </w:p>
        </w:tc>
      </w:tr>
      <w:tr>
        <w:trPr>
          <w:trHeight w:val="118"/>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380" w:type="dxa"/>
            <w:vAlign w:val="bottom"/>
            <w:tcBorders>
              <w:right w:val="single" w:sz="8" w:color="auto"/>
            </w:tcBorders>
          </w:tcPr>
          <w:p>
            <w:pPr>
              <w:ind w:left="160"/>
              <w:spacing w:after="0" w:line="118" w:lineRule="exact"/>
              <w:rPr>
                <w:sz w:val="20"/>
                <w:szCs w:val="20"/>
                <w:color w:val="auto"/>
              </w:rPr>
            </w:pPr>
            <w:r>
              <w:rPr>
                <w:rFonts w:ascii="Times New Roman" w:cs="Times New Roman" w:eastAsia="Times New Roman" w:hAnsi="Times New Roman"/>
                <w:sz w:val="12"/>
                <w:szCs w:val="12"/>
                <w:color w:val="auto"/>
              </w:rPr>
              <w:t>Option(s), and from the Holding Account.</w:t>
            </w:r>
          </w:p>
        </w:tc>
        <w:tc>
          <w:tcPr>
            <w:tcW w:w="60" w:type="dxa"/>
            <w:vAlign w:val="bottom"/>
          </w:tcPr>
          <w:p>
            <w:pPr>
              <w:spacing w:after="0"/>
              <w:rPr>
                <w:sz w:val="10"/>
                <w:szCs w:val="10"/>
                <w:color w:val="auto"/>
              </w:rPr>
            </w:pPr>
          </w:p>
        </w:tc>
        <w:tc>
          <w:tcPr>
            <w:tcW w:w="1160" w:type="dxa"/>
            <w:vAlign w:val="bottom"/>
            <w:tcBorders>
              <w:right w:val="single" w:sz="8" w:color="auto"/>
            </w:tcBorders>
            <w:gridSpan w:val="2"/>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43"/>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3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  Transfers may not be made into the Holding Account.</w:t>
            </w:r>
          </w:p>
        </w:tc>
        <w:tc>
          <w:tcPr>
            <w:tcW w:w="60" w:type="dxa"/>
            <w:vAlign w:val="bottom"/>
          </w:tcPr>
          <w:p>
            <w:pPr>
              <w:spacing w:after="0"/>
              <w:rPr>
                <w:sz w:val="12"/>
                <w:szCs w:val="12"/>
                <w:color w:val="auto"/>
              </w:rPr>
            </w:pPr>
          </w:p>
        </w:tc>
        <w:tc>
          <w:tcPr>
            <w:tcW w:w="1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ADDITION OR</w:t>
            </w: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380" w:type="dxa"/>
            <w:vAlign w:val="bottom"/>
            <w:tcBorders>
              <w:right w:val="single" w:sz="8" w:color="auto"/>
            </w:tcBorders>
          </w:tcPr>
          <w:p>
            <w:pPr>
              <w:ind w:left="160"/>
              <w:spacing w:after="0" w:line="135" w:lineRule="exact"/>
              <w:rPr>
                <w:sz w:val="20"/>
                <w:szCs w:val="20"/>
                <w:color w:val="auto"/>
              </w:rPr>
            </w:pPr>
            <w:r>
              <w:rPr>
                <w:rFonts w:ascii="Times New Roman" w:cs="Times New Roman" w:eastAsia="Times New Roman" w:hAnsi="Times New Roman"/>
                <w:sz w:val="12"/>
                <w:szCs w:val="12"/>
                <w:color w:val="auto"/>
              </w:rPr>
              <w:t>○  If you have not exercised the Performance Lock, transfers</w:t>
            </w:r>
          </w:p>
        </w:tc>
        <w:tc>
          <w:tcPr>
            <w:tcW w:w="60" w:type="dxa"/>
            <w:vAlign w:val="bottom"/>
          </w:tcPr>
          <w:p>
            <w:pPr>
              <w:spacing w:after="0"/>
              <w:rPr>
                <w:sz w:val="11"/>
                <w:szCs w:val="11"/>
                <w:color w:val="auto"/>
              </w:rPr>
            </w:pPr>
          </w:p>
        </w:tc>
        <w:tc>
          <w:tcPr>
            <w:tcW w:w="1160" w:type="dxa"/>
            <w:vAlign w:val="bottom"/>
            <w:tcBorders>
              <w:right w:val="single" w:sz="8" w:color="auto"/>
            </w:tcBorders>
            <w:gridSpan w:val="2"/>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DISCONTINUANCE</w:t>
            </w: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38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among the</w:t>
            </w:r>
          </w:p>
        </w:tc>
        <w:tc>
          <w:tcPr>
            <w:tcW w:w="60" w:type="dxa"/>
            <w:vAlign w:val="bottom"/>
          </w:tcPr>
          <w:p>
            <w:pPr>
              <w:spacing w:after="0"/>
              <w:rPr>
                <w:sz w:val="11"/>
                <w:szCs w:val="11"/>
                <w:color w:val="auto"/>
              </w:rPr>
            </w:pPr>
          </w:p>
        </w:tc>
        <w:tc>
          <w:tcPr>
            <w:tcW w:w="1160" w:type="dxa"/>
            <w:vAlign w:val="bottom"/>
            <w:tcBorders>
              <w:right w:val="single" w:sz="8" w:color="auto"/>
            </w:tcBorders>
            <w:gridSpan w:val="2"/>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OF A SHIELD</w:t>
            </w: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380" w:type="dxa"/>
            <w:vAlign w:val="bottom"/>
            <w:tcBorders>
              <w:right w:val="single" w:sz="8" w:color="auto"/>
            </w:tcBorders>
          </w:tcPr>
          <w:p>
            <w:pPr>
              <w:ind w:left="280"/>
              <w:spacing w:after="0" w:line="126" w:lineRule="exact"/>
              <w:rPr>
                <w:sz w:val="20"/>
                <w:szCs w:val="20"/>
                <w:color w:val="auto"/>
              </w:rPr>
            </w:pPr>
            <w:r>
              <w:rPr>
                <w:rFonts w:ascii="Times New Roman" w:cs="Times New Roman" w:eastAsia="Times New Roman" w:hAnsi="Times New Roman"/>
                <w:sz w:val="12"/>
                <w:szCs w:val="12"/>
                <w:color w:val="auto"/>
              </w:rPr>
              <w:t>Fixed Account and the Shield Options may only be made</w:t>
            </w:r>
          </w:p>
        </w:tc>
        <w:tc>
          <w:tcPr>
            <w:tcW w:w="60" w:type="dxa"/>
            <w:vAlign w:val="bottom"/>
          </w:tcPr>
          <w:p>
            <w:pPr>
              <w:spacing w:after="0"/>
              <w:rPr>
                <w:sz w:val="10"/>
                <w:szCs w:val="10"/>
                <w:color w:val="auto"/>
              </w:rPr>
            </w:pPr>
          </w:p>
        </w:tc>
        <w:tc>
          <w:tcPr>
            <w:tcW w:w="1160" w:type="dxa"/>
            <w:vAlign w:val="bottom"/>
            <w:tcBorders>
              <w:right w:val="single" w:sz="8" w:color="auto"/>
            </w:tcBorders>
            <w:gridSpan w:val="2"/>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OPTION</w:t>
            </w:r>
          </w:p>
        </w:tc>
        <w:tc>
          <w:tcPr>
            <w:tcW w:w="0" w:type="dxa"/>
            <w:vAlign w:val="bottom"/>
          </w:tcPr>
          <w:p>
            <w:pPr>
              <w:spacing w:after="0"/>
              <w:rPr>
                <w:sz w:val="1"/>
                <w:szCs w:val="1"/>
                <w:color w:val="auto"/>
              </w:rPr>
            </w:pPr>
          </w:p>
        </w:tc>
      </w:tr>
      <w:tr>
        <w:trPr>
          <w:trHeight w:val="127"/>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380" w:type="dxa"/>
            <w:vAlign w:val="bottom"/>
            <w:tcBorders>
              <w:right w:val="single" w:sz="8" w:color="auto"/>
            </w:tcBorders>
          </w:tcPr>
          <w:p>
            <w:pPr>
              <w:ind w:left="60"/>
              <w:spacing w:after="0" w:line="128" w:lineRule="exact"/>
              <w:rPr>
                <w:sz w:val="20"/>
                <w:szCs w:val="20"/>
                <w:color w:val="auto"/>
              </w:rPr>
            </w:pPr>
            <w:r>
              <w:rPr>
                <w:rFonts w:ascii="Times New Roman" w:cs="Times New Roman" w:eastAsia="Times New Roman" w:hAnsi="Times New Roman"/>
                <w:sz w:val="12"/>
                <w:szCs w:val="12"/>
                <w:color w:val="auto"/>
              </w:rPr>
              <w:t>during the</w:t>
            </w:r>
          </w:p>
        </w:tc>
        <w:tc>
          <w:tcPr>
            <w:tcW w:w="60" w:type="dxa"/>
            <w:vAlign w:val="bottom"/>
          </w:tcPr>
          <w:p>
            <w:pPr>
              <w:spacing w:after="0"/>
              <w:rPr>
                <w:sz w:val="11"/>
                <w:szCs w:val="11"/>
                <w:color w:val="auto"/>
              </w:rPr>
            </w:pPr>
          </w:p>
        </w:tc>
        <w:tc>
          <w:tcPr>
            <w:tcW w:w="1160" w:type="dxa"/>
            <w:vAlign w:val="bottom"/>
            <w:tcBorders>
              <w:right w:val="single" w:sz="8" w:color="auto"/>
            </w:tcBorders>
            <w:gridSpan w:val="2"/>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43"/>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3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2"/>
                <w:szCs w:val="12"/>
                <w:color w:val="auto"/>
              </w:rPr>
              <w:t>Transfer Period at the end of each Term.</w:t>
            </w:r>
          </w:p>
        </w:tc>
        <w:tc>
          <w:tcPr>
            <w:tcW w:w="60" w:type="dxa"/>
            <w:vAlign w:val="bottom"/>
          </w:tcPr>
          <w:p>
            <w:pPr>
              <w:spacing w:after="0"/>
              <w:rPr>
                <w:sz w:val="12"/>
                <w:szCs w:val="12"/>
                <w:color w:val="auto"/>
              </w:rPr>
            </w:pPr>
          </w:p>
        </w:tc>
        <w:tc>
          <w:tcPr>
            <w:tcW w:w="1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TRANSFERS</w:t>
            </w:r>
          </w:p>
        </w:tc>
        <w:tc>
          <w:tcPr>
            <w:tcW w:w="0" w:type="dxa"/>
            <w:vAlign w:val="bottom"/>
          </w:tcPr>
          <w:p>
            <w:pPr>
              <w:spacing w:after="0"/>
              <w:rPr>
                <w:sz w:val="1"/>
                <w:szCs w:val="1"/>
                <w:color w:val="auto"/>
              </w:rPr>
            </w:pPr>
          </w:p>
        </w:tc>
      </w:tr>
      <w:tr>
        <w:trPr>
          <w:trHeight w:val="118"/>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380" w:type="dxa"/>
            <w:vAlign w:val="bottom"/>
            <w:tcBorders>
              <w:right w:val="single" w:sz="8" w:color="auto"/>
            </w:tcBorders>
          </w:tcPr>
          <w:p>
            <w:pPr>
              <w:ind w:left="160"/>
              <w:spacing w:after="0" w:line="118" w:lineRule="exact"/>
              <w:rPr>
                <w:sz w:val="20"/>
                <w:szCs w:val="20"/>
                <w:color w:val="auto"/>
              </w:rPr>
            </w:pPr>
            <w:r>
              <w:rPr>
                <w:rFonts w:ascii="Times New Roman" w:cs="Times New Roman" w:eastAsia="Times New Roman" w:hAnsi="Times New Roman"/>
                <w:sz w:val="12"/>
                <w:szCs w:val="12"/>
                <w:color w:val="auto"/>
              </w:rPr>
              <w:t>○  If you have exercised the Performance Lock, you may</w:t>
            </w:r>
          </w:p>
        </w:tc>
        <w:tc>
          <w:tcPr>
            <w:tcW w:w="60" w:type="dxa"/>
            <w:vAlign w:val="bottom"/>
          </w:tcPr>
          <w:p>
            <w:pPr>
              <w:spacing w:after="0"/>
              <w:rPr>
                <w:sz w:val="10"/>
                <w:szCs w:val="10"/>
                <w:color w:val="auto"/>
              </w:rPr>
            </w:pPr>
          </w:p>
        </w:tc>
        <w:tc>
          <w:tcPr>
            <w:tcW w:w="1160" w:type="dxa"/>
            <w:vAlign w:val="bottom"/>
            <w:tcBorders>
              <w:right w:val="single" w:sz="8" w:color="auto"/>
            </w:tcBorders>
            <w:gridSpan w:val="2"/>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43"/>
        </w:trPr>
        <w:tc>
          <w:tcPr>
            <w:tcW w:w="1280" w:type="dxa"/>
            <w:vAlign w:val="bottom"/>
            <w:tcBorders>
              <w:left w:val="single" w:sz="8" w:color="auto"/>
              <w:right w:val="single" w:sz="8" w:color="auto"/>
            </w:tcBorders>
            <w:shd w:val="clear" w:color="auto" w:fill="CCCCCC"/>
          </w:tcPr>
          <w:p>
            <w:pPr>
              <w:spacing w:after="0"/>
              <w:rPr>
                <w:sz w:val="12"/>
                <w:szCs w:val="12"/>
                <w:color w:val="auto"/>
              </w:rPr>
            </w:pPr>
          </w:p>
        </w:tc>
        <w:tc>
          <w:tcPr>
            <w:tcW w:w="3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transfer on any</w:t>
            </w:r>
          </w:p>
        </w:tc>
        <w:tc>
          <w:tcPr>
            <w:tcW w:w="60" w:type="dxa"/>
            <w:vAlign w:val="bottom"/>
          </w:tcPr>
          <w:p>
            <w:pPr>
              <w:spacing w:after="0"/>
              <w:rPr>
                <w:sz w:val="12"/>
                <w:szCs w:val="12"/>
                <w:color w:val="auto"/>
              </w:rPr>
            </w:pPr>
          </w:p>
        </w:tc>
        <w:tc>
          <w:tcPr>
            <w:tcW w:w="1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THE FIXED</w:t>
            </w:r>
          </w:p>
        </w:tc>
        <w:tc>
          <w:tcPr>
            <w:tcW w:w="0" w:type="dxa"/>
            <w:vAlign w:val="bottom"/>
          </w:tcPr>
          <w:p>
            <w:pPr>
              <w:spacing w:after="0"/>
              <w:rPr>
                <w:sz w:val="1"/>
                <w:szCs w:val="1"/>
                <w:color w:val="auto"/>
              </w:rPr>
            </w:pPr>
          </w:p>
        </w:tc>
      </w:tr>
      <w:tr>
        <w:trPr>
          <w:trHeight w:val="106"/>
        </w:trPr>
        <w:tc>
          <w:tcPr>
            <w:tcW w:w="1280" w:type="dxa"/>
            <w:vAlign w:val="bottom"/>
            <w:tcBorders>
              <w:left w:val="single" w:sz="8" w:color="auto"/>
              <w:right w:val="single" w:sz="8" w:color="auto"/>
            </w:tcBorders>
            <w:shd w:val="clear" w:color="auto" w:fill="CCCCCC"/>
          </w:tcPr>
          <w:p>
            <w:pPr>
              <w:spacing w:after="0"/>
              <w:rPr>
                <w:sz w:val="9"/>
                <w:szCs w:val="9"/>
                <w:color w:val="auto"/>
              </w:rPr>
            </w:pPr>
          </w:p>
        </w:tc>
        <w:tc>
          <w:tcPr>
            <w:tcW w:w="3380" w:type="dxa"/>
            <w:vAlign w:val="bottom"/>
            <w:tcBorders>
              <w:right w:val="single" w:sz="8" w:color="auto"/>
            </w:tcBorders>
          </w:tcPr>
          <w:p>
            <w:pPr>
              <w:ind w:left="280"/>
              <w:spacing w:after="0" w:line="106" w:lineRule="exact"/>
              <w:rPr>
                <w:sz w:val="20"/>
                <w:szCs w:val="20"/>
                <w:color w:val="auto"/>
              </w:rPr>
            </w:pPr>
            <w:r>
              <w:rPr>
                <w:rFonts w:ascii="Times New Roman" w:cs="Times New Roman" w:eastAsia="Times New Roman" w:hAnsi="Times New Roman"/>
                <w:sz w:val="12"/>
                <w:szCs w:val="12"/>
                <w:color w:val="auto"/>
              </w:rPr>
              <w:t>Contract Anniversary prior to the end of the Term and on the</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38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Term End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380" w:type="dxa"/>
            <w:vAlign w:val="bottom"/>
            <w:tcBorders>
              <w:right w:val="single" w:sz="8" w:color="auto"/>
            </w:tcBorders>
          </w:tcPr>
          <w:p>
            <w:pPr>
              <w:ind w:left="280"/>
              <w:spacing w:after="0" w:line="126" w:lineRule="exact"/>
              <w:rPr>
                <w:sz w:val="20"/>
                <w:szCs w:val="20"/>
                <w:color w:val="auto"/>
              </w:rPr>
            </w:pPr>
            <w:r>
              <w:rPr>
                <w:rFonts w:ascii="Times New Roman" w:cs="Times New Roman" w:eastAsia="Times New Roman" w:hAnsi="Times New Roman"/>
                <w:sz w:val="12"/>
                <w:szCs w:val="12"/>
                <w:color w:val="auto"/>
              </w:rPr>
              <w:t>Date. If you transfer the Performance Lock Value on a</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38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Contract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380" w:type="dxa"/>
            <w:vAlign w:val="bottom"/>
            <w:tcBorders>
              <w:right w:val="single" w:sz="8" w:color="auto"/>
            </w:tcBorders>
          </w:tcPr>
          <w:p>
            <w:pPr>
              <w:ind w:left="280"/>
              <w:spacing w:after="0" w:line="135" w:lineRule="exact"/>
              <w:rPr>
                <w:sz w:val="20"/>
                <w:szCs w:val="20"/>
                <w:color w:val="auto"/>
              </w:rPr>
            </w:pPr>
            <w:r>
              <w:rPr>
                <w:rFonts w:ascii="Times New Roman" w:cs="Times New Roman" w:eastAsia="Times New Roman" w:hAnsi="Times New Roman"/>
                <w:sz w:val="12"/>
                <w:szCs w:val="12"/>
                <w:color w:val="auto"/>
              </w:rPr>
              <w:t>Anniversary before the Term End Date, you may only transfer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38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the entire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380" w:type="dxa"/>
            <w:vAlign w:val="bottom"/>
            <w:tcBorders>
              <w:right w:val="single" w:sz="8" w:color="auto"/>
            </w:tcBorders>
          </w:tcPr>
          <w:p>
            <w:pPr>
              <w:ind w:left="280"/>
              <w:spacing w:after="0" w:line="135" w:lineRule="exact"/>
              <w:rPr>
                <w:sz w:val="20"/>
                <w:szCs w:val="20"/>
                <w:color w:val="auto"/>
              </w:rPr>
            </w:pPr>
            <w:r>
              <w:rPr>
                <w:rFonts w:ascii="Times New Roman" w:cs="Times New Roman" w:eastAsia="Times New Roman" w:hAnsi="Times New Roman"/>
                <w:sz w:val="12"/>
                <w:szCs w:val="12"/>
                <w:color w:val="auto"/>
              </w:rPr>
              <w:t>amount of the Performance Lock Value. If you transfer the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shd w:val="clear" w:color="auto" w:fill="CCCCCC"/>
          </w:tcPr>
          <w:p>
            <w:pPr>
              <w:spacing w:after="0"/>
              <w:rPr>
                <w:sz w:val="11"/>
                <w:szCs w:val="11"/>
                <w:color w:val="auto"/>
              </w:rPr>
            </w:pPr>
          </w:p>
        </w:tc>
        <w:tc>
          <w:tcPr>
            <w:tcW w:w="338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Performance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CCCCCC"/>
          </w:tcPr>
          <w:p>
            <w:pPr>
              <w:spacing w:after="0"/>
              <w:rPr>
                <w:sz w:val="10"/>
                <w:szCs w:val="10"/>
                <w:color w:val="auto"/>
              </w:rPr>
            </w:pPr>
          </w:p>
        </w:tc>
        <w:tc>
          <w:tcPr>
            <w:tcW w:w="3380" w:type="dxa"/>
            <w:vAlign w:val="bottom"/>
            <w:tcBorders>
              <w:right w:val="single" w:sz="8" w:color="auto"/>
            </w:tcBorders>
          </w:tcPr>
          <w:p>
            <w:pPr>
              <w:ind w:left="280"/>
              <w:spacing w:after="0" w:line="126" w:lineRule="exact"/>
              <w:rPr>
                <w:sz w:val="20"/>
                <w:szCs w:val="20"/>
                <w:color w:val="auto"/>
              </w:rPr>
            </w:pPr>
            <w:r>
              <w:rPr>
                <w:rFonts w:ascii="Times New Roman" w:cs="Times New Roman" w:eastAsia="Times New Roman" w:hAnsi="Times New Roman"/>
                <w:sz w:val="12"/>
                <w:szCs w:val="12"/>
                <w:color w:val="auto"/>
              </w:rPr>
              <w:t>Lock Value on the Term End Date, you may transfer all or a</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280" w:type="dxa"/>
            <w:vAlign w:val="bottom"/>
            <w:tcBorders>
              <w:left w:val="single" w:sz="8" w:color="auto"/>
              <w:bottom w:val="single" w:sz="8" w:color="auto"/>
              <w:right w:val="single" w:sz="8" w:color="auto"/>
            </w:tcBorders>
            <w:shd w:val="clear" w:color="auto" w:fill="CCCCCC"/>
          </w:tcPr>
          <w:p>
            <w:pPr>
              <w:spacing w:after="0"/>
              <w:rPr>
                <w:sz w:val="14"/>
                <w:szCs w:val="14"/>
                <w:color w:val="auto"/>
              </w:rPr>
            </w:pPr>
          </w:p>
        </w:tc>
        <w:tc>
          <w:tcPr>
            <w:tcW w:w="3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portion of the</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1280" w:type="dxa"/>
            <w:vAlign w:val="bottom"/>
          </w:tcPr>
          <w:p>
            <w:pPr>
              <w:spacing w:after="0"/>
              <w:rPr>
                <w:sz w:val="24"/>
                <w:szCs w:val="24"/>
                <w:color w:val="auto"/>
              </w:rPr>
            </w:pPr>
          </w:p>
        </w:tc>
        <w:tc>
          <w:tcPr>
            <w:tcW w:w="338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39"/>
          </w:cols>
          <w:pgMar w:left="1120" w:top="957" w:right="1440" w:bottom="663"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57395" cy="3683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1400" w:type="dxa"/>
            <w:vAlign w:val="bottom"/>
            <w:tcBorders>
              <w:top w:val="single" w:sz="8" w:color="auto"/>
              <w:left w:val="single" w:sz="8" w:color="auto"/>
              <w:right w:val="single" w:sz="8" w:color="CCCCCC"/>
            </w:tcBorders>
            <w:shd w:val="clear" w:color="auto" w:fill="CCCCCC"/>
          </w:tcPr>
          <w:p>
            <w:pPr>
              <w:spacing w:after="0"/>
              <w:rPr>
                <w:sz w:val="14"/>
                <w:szCs w:val="14"/>
                <w:color w:val="auto"/>
              </w:rPr>
            </w:pPr>
          </w:p>
        </w:tc>
        <w:tc>
          <w:tcPr>
            <w:tcW w:w="4020" w:type="dxa"/>
            <w:vAlign w:val="bottom"/>
            <w:tcBorders>
              <w:top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2"/>
                <w:szCs w:val="12"/>
                <w:b w:val="1"/>
                <w:bCs w:val="1"/>
                <w:color w:val="auto"/>
              </w:rPr>
              <w:t>Restrictions</w:t>
            </w:r>
          </w:p>
        </w:tc>
        <w:tc>
          <w:tcPr>
            <w:tcW w:w="1240" w:type="dxa"/>
            <w:vAlign w:val="bottom"/>
            <w:tcBorders>
              <w:top w:val="single" w:sz="8" w:color="auto"/>
              <w:right w:val="single" w:sz="8" w:color="auto"/>
            </w:tcBorders>
            <w:shd w:val="clear" w:color="auto" w:fill="CCCCCC"/>
          </w:tcPr>
          <w:p>
            <w:pPr>
              <w:ind w:left="320"/>
              <w:spacing w:after="0"/>
              <w:rPr>
                <w:sz w:val="20"/>
                <w:szCs w:val="20"/>
                <w:color w:val="auto"/>
              </w:rPr>
            </w:pPr>
            <w:r>
              <w:rPr>
                <w:rFonts w:ascii="Times New Roman" w:cs="Times New Roman" w:eastAsia="Times New Roman" w:hAnsi="Times New Roman"/>
                <w:sz w:val="12"/>
                <w:szCs w:val="12"/>
                <w:b w:val="1"/>
                <w:bCs w:val="1"/>
                <w:color w:val="auto"/>
              </w:rPr>
              <w:t>Location in</w:t>
            </w:r>
          </w:p>
        </w:tc>
        <w:tc>
          <w:tcPr>
            <w:tcW w:w="0" w:type="dxa"/>
            <w:vAlign w:val="bottom"/>
          </w:tcPr>
          <w:p>
            <w:pPr>
              <w:spacing w:after="0"/>
              <w:rPr>
                <w:sz w:val="1"/>
                <w:szCs w:val="1"/>
                <w:color w:val="auto"/>
              </w:rPr>
            </w:pPr>
          </w:p>
        </w:tc>
      </w:tr>
      <w:tr>
        <w:trPr>
          <w:trHeight w:val="168"/>
        </w:trPr>
        <w:tc>
          <w:tcPr>
            <w:tcW w:w="1400" w:type="dxa"/>
            <w:vAlign w:val="bottom"/>
            <w:tcBorders>
              <w:left w:val="single" w:sz="8" w:color="auto"/>
              <w:bottom w:val="single" w:sz="8" w:color="auto"/>
              <w:right w:val="single" w:sz="8" w:color="CCCCCC"/>
            </w:tcBorders>
            <w:shd w:val="clear" w:color="auto" w:fill="CCCCCC"/>
          </w:tcPr>
          <w:p>
            <w:pPr>
              <w:spacing w:after="0"/>
              <w:rPr>
                <w:sz w:val="14"/>
                <w:szCs w:val="14"/>
                <w:color w:val="auto"/>
              </w:rPr>
            </w:pPr>
          </w:p>
        </w:tc>
        <w:tc>
          <w:tcPr>
            <w:tcW w:w="4020" w:type="dxa"/>
            <w:vAlign w:val="bottom"/>
            <w:tcBorders>
              <w:bottom w:val="single" w:sz="8" w:color="auto"/>
              <w:right w:val="single" w:sz="8" w:color="auto"/>
            </w:tcBorders>
            <w:shd w:val="clear" w:color="auto" w:fill="CCCCCC"/>
          </w:tcPr>
          <w:p>
            <w:pPr>
              <w:spacing w:after="0"/>
              <w:rPr>
                <w:sz w:val="14"/>
                <w:szCs w:val="14"/>
                <w:color w:val="auto"/>
              </w:rPr>
            </w:pPr>
          </w:p>
        </w:tc>
        <w:tc>
          <w:tcPr>
            <w:tcW w:w="1240" w:type="dxa"/>
            <w:vAlign w:val="bottom"/>
            <w:tcBorders>
              <w:bottom w:val="single" w:sz="8" w:color="auto"/>
              <w:right w:val="single" w:sz="8" w:color="auto"/>
            </w:tcBorders>
            <w:shd w:val="clear" w:color="auto" w:fill="CCCCCC"/>
          </w:tcPr>
          <w:p>
            <w:pPr>
              <w:ind w:left="240"/>
              <w:spacing w:after="0"/>
              <w:rPr>
                <w:sz w:val="20"/>
                <w:szCs w:val="20"/>
                <w:color w:val="auto"/>
              </w:rPr>
            </w:pPr>
            <w:r>
              <w:rPr>
                <w:rFonts w:ascii="Times New Roman" w:cs="Times New Roman" w:eastAsia="Times New Roman" w:hAnsi="Times New Roman"/>
                <w:sz w:val="12"/>
                <w:szCs w:val="12"/>
                <w:b w:val="1"/>
                <w:bCs w:val="1"/>
                <w:color w:val="auto"/>
              </w:rPr>
              <w:t>the Prospectus</w:t>
            </w:r>
          </w:p>
        </w:tc>
        <w:tc>
          <w:tcPr>
            <w:tcW w:w="0" w:type="dxa"/>
            <w:vAlign w:val="bottom"/>
          </w:tcPr>
          <w:p>
            <w:pPr>
              <w:spacing w:after="0"/>
              <w:rPr>
                <w:sz w:val="1"/>
                <w:szCs w:val="1"/>
                <w:color w:val="auto"/>
              </w:rPr>
            </w:pPr>
          </w:p>
        </w:tc>
      </w:tr>
      <w:tr>
        <w:trPr>
          <w:trHeight w:val="136"/>
        </w:trPr>
        <w:tc>
          <w:tcPr>
            <w:tcW w:w="1400" w:type="dxa"/>
            <w:vAlign w:val="bottom"/>
            <w:tcBorders>
              <w:left w:val="single" w:sz="8" w:color="auto"/>
              <w:right w:val="single" w:sz="8" w:color="auto"/>
            </w:tcBorders>
            <w:shd w:val="clear" w:color="auto" w:fill="CCCCCC"/>
          </w:tcPr>
          <w:p>
            <w:pPr>
              <w:spacing w:after="0"/>
              <w:rPr>
                <w:sz w:val="11"/>
                <w:szCs w:val="11"/>
                <w:color w:val="auto"/>
              </w:rPr>
            </w:pPr>
          </w:p>
        </w:tc>
        <w:tc>
          <w:tcPr>
            <w:tcW w:w="402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2"/>
                <w:szCs w:val="12"/>
                <w:color w:val="auto"/>
              </w:rPr>
              <w:t>Performance Lock Value. Partial transfers of the Performance Lock Value</w:t>
            </w:r>
          </w:p>
        </w:tc>
        <w:tc>
          <w:tcPr>
            <w:tcW w:w="1240" w:type="dxa"/>
            <w:vAlign w:val="bottom"/>
            <w:tcBorders>
              <w:right w:val="single" w:sz="8" w:color="auto"/>
            </w:tcBorders>
          </w:tcPr>
          <w:p>
            <w:pPr>
              <w:ind w:left="40"/>
              <w:spacing w:after="0" w:line="136" w:lineRule="exact"/>
              <w:rPr>
                <w:sz w:val="20"/>
                <w:szCs w:val="20"/>
                <w:color w:val="auto"/>
              </w:rPr>
            </w:pPr>
            <w:r>
              <w:rPr>
                <w:rFonts w:ascii="Times New Roman" w:cs="Times New Roman" w:eastAsia="Times New Roman" w:hAnsi="Times New Roman"/>
                <w:sz w:val="12"/>
                <w:szCs w:val="12"/>
                <w:b w:val="1"/>
                <w:bCs w:val="1"/>
                <w:color w:val="auto"/>
              </w:rPr>
              <w:t>ACCOUNT</w:t>
            </w:r>
          </w:p>
        </w:tc>
        <w:tc>
          <w:tcPr>
            <w:tcW w:w="0" w:type="dxa"/>
            <w:vAlign w:val="bottom"/>
          </w:tcPr>
          <w:p>
            <w:pPr>
              <w:spacing w:after="0"/>
              <w:rPr>
                <w:sz w:val="1"/>
                <w:szCs w:val="1"/>
                <w:color w:val="auto"/>
              </w:rPr>
            </w:pPr>
          </w:p>
        </w:tc>
      </w:tr>
      <w:tr>
        <w:trPr>
          <w:trHeight w:val="123"/>
        </w:trPr>
        <w:tc>
          <w:tcPr>
            <w:tcW w:w="1400" w:type="dxa"/>
            <w:vAlign w:val="bottom"/>
            <w:tcBorders>
              <w:left w:val="single" w:sz="8" w:color="auto"/>
              <w:right w:val="single" w:sz="8" w:color="auto"/>
            </w:tcBorders>
            <w:shd w:val="clear" w:color="auto" w:fill="CCCCCC"/>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tcPr>
          <w:p>
            <w:pPr>
              <w:ind w:left="40"/>
              <w:spacing w:after="0" w:line="123" w:lineRule="exact"/>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CCCCCC"/>
          </w:tcPr>
          <w:p>
            <w:pPr>
              <w:spacing w:after="0"/>
              <w:rPr>
                <w:sz w:val="12"/>
                <w:szCs w:val="12"/>
                <w:color w:val="auto"/>
              </w:rPr>
            </w:pPr>
          </w:p>
        </w:tc>
        <w:tc>
          <w:tcPr>
            <w:tcW w:w="40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2"/>
                <w:szCs w:val="12"/>
                <w:color w:val="auto"/>
              </w:rPr>
              <w:t>prior to the Term End Date are not permitted.</w:t>
            </w:r>
          </w:p>
        </w:tc>
        <w:tc>
          <w:tcPr>
            <w:tcW w:w="1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THE HOLDING</w:t>
            </w: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CCCCCC"/>
          </w:tcPr>
          <w:p>
            <w:pPr>
              <w:spacing w:after="0"/>
              <w:rPr>
                <w:sz w:val="12"/>
                <w:szCs w:val="12"/>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  Transfers from the Holding Account may only be made on a Contract</w:t>
            </w:r>
          </w:p>
        </w:tc>
        <w:tc>
          <w:tcPr>
            <w:tcW w:w="1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ACCOUNT</w:t>
            </w: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shd w:val="clear" w:color="auto" w:fill="CCCCCC"/>
          </w:tcPr>
          <w:p>
            <w:pPr>
              <w:spacing w:after="0"/>
              <w:rPr>
                <w:sz w:val="11"/>
                <w:szCs w:val="11"/>
                <w:color w:val="auto"/>
              </w:rPr>
            </w:pPr>
          </w:p>
        </w:tc>
        <w:tc>
          <w:tcPr>
            <w:tcW w:w="4020" w:type="dxa"/>
            <w:vAlign w:val="bottom"/>
            <w:tcBorders>
              <w:right w:val="single" w:sz="8" w:color="auto"/>
            </w:tcBorders>
          </w:tcPr>
          <w:p>
            <w:pPr>
              <w:ind w:left="280"/>
              <w:spacing w:after="0" w:line="135" w:lineRule="exact"/>
              <w:rPr>
                <w:sz w:val="20"/>
                <w:szCs w:val="20"/>
                <w:color w:val="auto"/>
              </w:rPr>
            </w:pPr>
            <w:r>
              <w:rPr>
                <w:rFonts w:ascii="Times New Roman" w:cs="Times New Roman" w:eastAsia="Times New Roman" w:hAnsi="Times New Roman"/>
                <w:sz w:val="12"/>
                <w:szCs w:val="12"/>
                <w:color w:val="auto"/>
              </w:rPr>
              <w:t>Anniversary.</w:t>
            </w:r>
          </w:p>
        </w:tc>
        <w:tc>
          <w:tcPr>
            <w:tcW w:w="1240" w:type="dxa"/>
            <w:vAlign w:val="bottom"/>
            <w:tcBorders>
              <w:right w:val="single" w:sz="8" w:color="auto"/>
            </w:tcBorders>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47"/>
        </w:trPr>
        <w:tc>
          <w:tcPr>
            <w:tcW w:w="1400" w:type="dxa"/>
            <w:vAlign w:val="bottom"/>
            <w:tcBorders>
              <w:left w:val="single" w:sz="8" w:color="auto"/>
              <w:right w:val="single" w:sz="8" w:color="auto"/>
            </w:tcBorders>
            <w:shd w:val="clear" w:color="auto" w:fill="CCCCCC"/>
          </w:tcPr>
          <w:p>
            <w:pPr>
              <w:spacing w:after="0"/>
              <w:rPr>
                <w:sz w:val="12"/>
                <w:szCs w:val="12"/>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  The minimum transfer amount is $500.</w:t>
            </w:r>
          </w:p>
        </w:tc>
        <w:tc>
          <w:tcPr>
            <w:tcW w:w="1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right w:val="single" w:sz="8" w:color="auto"/>
            </w:tcBorders>
            <w:shd w:val="clear" w:color="auto" w:fill="CCCCCC"/>
          </w:tcPr>
          <w:p>
            <w:pPr>
              <w:spacing w:after="0"/>
              <w:rPr>
                <w:sz w:val="13"/>
                <w:szCs w:val="13"/>
                <w:color w:val="auto"/>
              </w:rPr>
            </w:pPr>
          </w:p>
        </w:tc>
        <w:tc>
          <w:tcPr>
            <w:tcW w:w="4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 The availability of Allocation Options may vary depending on the selling firm</w:t>
            </w:r>
          </w:p>
        </w:tc>
        <w:tc>
          <w:tcPr>
            <w:tcW w:w="1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APPENDIX G</w:t>
            </w:r>
          </w:p>
        </w:tc>
        <w:tc>
          <w:tcPr>
            <w:tcW w:w="0" w:type="dxa"/>
            <w:vAlign w:val="bottom"/>
          </w:tcPr>
          <w:p>
            <w:pPr>
              <w:spacing w:after="0"/>
              <w:rPr>
                <w:sz w:val="1"/>
                <w:szCs w:val="1"/>
                <w:color w:val="auto"/>
              </w:rPr>
            </w:pPr>
          </w:p>
        </w:tc>
      </w:tr>
      <w:tr>
        <w:trPr>
          <w:trHeight w:val="70"/>
        </w:trPr>
        <w:tc>
          <w:tcPr>
            <w:tcW w:w="1400" w:type="dxa"/>
            <w:vAlign w:val="bottom"/>
            <w:tcBorders>
              <w:left w:val="single" w:sz="8" w:color="auto"/>
              <w:right w:val="single" w:sz="8" w:color="auto"/>
            </w:tcBorders>
            <w:shd w:val="clear" w:color="auto" w:fill="CCCCCC"/>
          </w:tcPr>
          <w:p>
            <w:pPr>
              <w:spacing w:after="0"/>
              <w:rPr>
                <w:sz w:val="6"/>
                <w:szCs w:val="6"/>
                <w:color w:val="auto"/>
              </w:rPr>
            </w:pPr>
          </w:p>
        </w:tc>
        <w:tc>
          <w:tcPr>
            <w:tcW w:w="402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shd w:val="clear" w:color="auto" w:fill="CCCCCC"/>
          </w:tcPr>
          <w:p>
            <w:pPr>
              <w:spacing w:after="0"/>
              <w:rPr>
                <w:sz w:val="13"/>
                <w:szCs w:val="13"/>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through which your Contract is sold.</w:t>
            </w: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shd w:val="clear" w:color="auto" w:fill="CCCCCC"/>
          </w:tcPr>
          <w:p>
            <w:pPr>
              <w:spacing w:after="0"/>
              <w:rPr>
                <w:sz w:val="20"/>
                <w:szCs w:val="20"/>
                <w:color w:val="auto"/>
              </w:rPr>
            </w:pPr>
          </w:p>
        </w:tc>
        <w:tc>
          <w:tcPr>
            <w:tcW w:w="4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 We can add or discontinue any Shield Option. We are not obligated to offer</w:t>
            </w: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CCCCCC"/>
          </w:tcPr>
          <w:p>
            <w:pPr>
              <w:spacing w:after="0"/>
              <w:rPr>
                <w:sz w:val="12"/>
                <w:szCs w:val="12"/>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any one particular Shield Option, but after your Contract is issued, there will</w:t>
            </w: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CCCCCC"/>
          </w:tcPr>
          <w:p>
            <w:pPr>
              <w:spacing w:after="0"/>
              <w:rPr>
                <w:sz w:val="12"/>
                <w:szCs w:val="12"/>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always be one Shield Option available, although it may not be substantially</w:t>
            </w: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shd w:val="clear" w:color="auto" w:fill="CCCCCC"/>
          </w:tcPr>
          <w:p>
            <w:pPr>
              <w:spacing w:after="0"/>
              <w:rPr>
                <w:sz w:val="13"/>
                <w:szCs w:val="13"/>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similar to any one of the currently available Shield Options.</w:t>
            </w: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shd w:val="clear" w:color="auto" w:fill="CCCCCC"/>
          </w:tcPr>
          <w:p>
            <w:pPr>
              <w:spacing w:after="0"/>
              <w:rPr>
                <w:sz w:val="20"/>
                <w:szCs w:val="20"/>
                <w:color w:val="auto"/>
              </w:rPr>
            </w:pPr>
          </w:p>
        </w:tc>
        <w:tc>
          <w:tcPr>
            <w:tcW w:w="4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 We have the right to substitute a comparable index prior to the Term End</w:t>
            </w: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CCCCCC"/>
          </w:tcPr>
          <w:p>
            <w:pPr>
              <w:spacing w:after="0"/>
              <w:rPr>
                <w:sz w:val="12"/>
                <w:szCs w:val="12"/>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Date if any Index is discontinued or we determine that our use of such</w:t>
            </w: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CCCCCC"/>
          </w:tcPr>
          <w:p>
            <w:pPr>
              <w:spacing w:after="0"/>
              <w:rPr>
                <w:sz w:val="12"/>
                <w:szCs w:val="12"/>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Index should be discontinued because we are no longer licensed to use the</w:t>
            </w: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CCCCCC"/>
          </w:tcPr>
          <w:p>
            <w:pPr>
              <w:spacing w:after="0"/>
              <w:rPr>
                <w:sz w:val="12"/>
                <w:szCs w:val="12"/>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Index, the method of calculation of the Index Value is substantially changed,</w:t>
            </w: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shd w:val="clear" w:color="auto" w:fill="CCCCCC"/>
          </w:tcPr>
          <w:p>
            <w:pPr>
              <w:spacing w:after="0"/>
              <w:rPr>
                <w:sz w:val="13"/>
                <w:szCs w:val="13"/>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or if Index Values become unavailable for any reason.</w:t>
            </w: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right w:val="single" w:sz="8" w:color="auto"/>
            </w:tcBorders>
            <w:shd w:val="clear" w:color="auto" w:fill="CCCCCC"/>
          </w:tcPr>
          <w:p>
            <w:pPr>
              <w:spacing w:after="0"/>
              <w:rPr>
                <w:sz w:val="19"/>
                <w:szCs w:val="19"/>
                <w:color w:val="auto"/>
              </w:rPr>
            </w:pPr>
          </w:p>
        </w:tc>
        <w:tc>
          <w:tcPr>
            <w:tcW w:w="4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 We may change Cap Rates, Step Rates, and Edge Rates declared for the</w:t>
            </w:r>
          </w:p>
        </w:tc>
        <w:tc>
          <w:tcPr>
            <w:tcW w:w="1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CCCCCC"/>
          </w:tcPr>
          <w:p>
            <w:pPr>
              <w:spacing w:after="0"/>
              <w:rPr>
                <w:sz w:val="12"/>
                <w:szCs w:val="12"/>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Shield Options from one Term to the next, subject to the minimum</w:t>
            </w: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shd w:val="clear" w:color="auto" w:fill="CCCCCC"/>
          </w:tcPr>
          <w:p>
            <w:pPr>
              <w:spacing w:after="0"/>
              <w:rPr>
                <w:sz w:val="13"/>
                <w:szCs w:val="13"/>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guaranteed rates.</w:t>
            </w: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shd w:val="clear" w:color="auto" w:fill="CCCCCC"/>
          </w:tcPr>
          <w:p>
            <w:pPr>
              <w:spacing w:after="0"/>
              <w:rPr>
                <w:sz w:val="20"/>
                <w:szCs w:val="20"/>
                <w:color w:val="auto"/>
              </w:rPr>
            </w:pPr>
          </w:p>
        </w:tc>
        <w:tc>
          <w:tcPr>
            <w:tcW w:w="4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 Each Shield Option’s Shield Rate is guaranteed not to change for the life of</w:t>
            </w: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CCCCCC"/>
          </w:tcPr>
          <w:p>
            <w:pPr>
              <w:spacing w:after="0"/>
              <w:rPr>
                <w:sz w:val="12"/>
                <w:szCs w:val="12"/>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the currently offered Shield Options. However, we may add or discontinue</w:t>
            </w: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CCCCCC"/>
          </w:tcPr>
          <w:p>
            <w:pPr>
              <w:spacing w:after="0"/>
              <w:rPr>
                <w:sz w:val="12"/>
                <w:szCs w:val="12"/>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any Shield Option, so the Shield Rates offered under the Contract may</w:t>
            </w: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shd w:val="clear" w:color="auto" w:fill="CCCCCC"/>
          </w:tcPr>
          <w:p>
            <w:pPr>
              <w:spacing w:after="0"/>
              <w:rPr>
                <w:sz w:val="13"/>
                <w:szCs w:val="13"/>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change from one Term to the next.</w:t>
            </w: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shd w:val="clear" w:color="auto" w:fill="CCCCCC"/>
          </w:tcPr>
          <w:p>
            <w:pPr>
              <w:spacing w:after="0"/>
              <w:rPr>
                <w:sz w:val="20"/>
                <w:szCs w:val="20"/>
                <w:color w:val="auto"/>
              </w:rPr>
            </w:pPr>
          </w:p>
        </w:tc>
        <w:tc>
          <w:tcPr>
            <w:tcW w:w="4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 We may change the interest rate for the Fixed Account declared from one</w:t>
            </w: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CCCCCC"/>
          </w:tcPr>
          <w:p>
            <w:pPr>
              <w:spacing w:after="0"/>
              <w:rPr>
                <w:sz w:val="12"/>
                <w:szCs w:val="12"/>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Fixed Account Term to the next, subject to the Minimum Guaranteed</w:t>
            </w: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400" w:type="dxa"/>
            <w:vAlign w:val="bottom"/>
            <w:tcBorders>
              <w:left w:val="single" w:sz="8" w:color="auto"/>
              <w:right w:val="single" w:sz="8" w:color="auto"/>
            </w:tcBorders>
            <w:shd w:val="clear" w:color="auto" w:fill="CCCCCC"/>
          </w:tcPr>
          <w:p>
            <w:pPr>
              <w:spacing w:after="0"/>
              <w:rPr>
                <w:sz w:val="13"/>
                <w:szCs w:val="13"/>
                <w:color w:val="auto"/>
              </w:rPr>
            </w:pPr>
          </w:p>
        </w:tc>
        <w:tc>
          <w:tcPr>
            <w:tcW w:w="40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Interest rate applicable to any Contract, which will not be less than 1%.</w:t>
            </w:r>
          </w:p>
        </w:tc>
        <w:tc>
          <w:tcPr>
            <w:tcW w:w="1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00" w:type="dxa"/>
            <w:vAlign w:val="bottom"/>
            <w:tcBorders>
              <w:left w:val="single" w:sz="8" w:color="auto"/>
              <w:right w:val="single" w:sz="8" w:color="auto"/>
            </w:tcBorders>
            <w:shd w:val="clear" w:color="auto" w:fill="CCCCCC"/>
          </w:tcPr>
          <w:p>
            <w:pPr>
              <w:spacing w:after="0"/>
              <w:rPr>
                <w:sz w:val="19"/>
                <w:szCs w:val="19"/>
                <w:color w:val="auto"/>
              </w:rPr>
            </w:pPr>
          </w:p>
        </w:tc>
        <w:tc>
          <w:tcPr>
            <w:tcW w:w="4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 The Contract is a single premium product. Additional Purchase Payments</w:t>
            </w:r>
          </w:p>
        </w:tc>
        <w:tc>
          <w:tcPr>
            <w:tcW w:w="1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400" w:type="dxa"/>
            <w:vAlign w:val="bottom"/>
            <w:tcBorders>
              <w:left w:val="single" w:sz="8" w:color="auto"/>
              <w:bottom w:val="single" w:sz="8" w:color="auto"/>
              <w:right w:val="single" w:sz="8" w:color="auto"/>
            </w:tcBorders>
            <w:shd w:val="clear" w:color="auto" w:fill="CCCCCC"/>
          </w:tcPr>
          <w:p>
            <w:pPr>
              <w:spacing w:after="0"/>
              <w:rPr>
                <w:sz w:val="14"/>
                <w:szCs w:val="14"/>
                <w:color w:val="auto"/>
              </w:rPr>
            </w:pPr>
          </w:p>
        </w:tc>
        <w:tc>
          <w:tcPr>
            <w:tcW w:w="4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will not be accepted.</w:t>
            </w:r>
          </w:p>
        </w:tc>
        <w:tc>
          <w:tcPr>
            <w:tcW w:w="1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400" w:type="dxa"/>
            <w:vAlign w:val="bottom"/>
            <w:tcBorders>
              <w:left w:val="single" w:sz="8" w:color="auto"/>
              <w:right w:val="single" w:sz="8" w:color="auto"/>
            </w:tcBorders>
            <w:shd w:val="clear" w:color="auto" w:fill="CCCCCC"/>
          </w:tcPr>
          <w:p>
            <w:pPr>
              <w:ind w:left="60"/>
              <w:spacing w:after="0"/>
              <w:rPr>
                <w:sz w:val="20"/>
                <w:szCs w:val="20"/>
                <w:color w:val="auto"/>
              </w:rPr>
            </w:pPr>
            <w:r>
              <w:rPr>
                <w:rFonts w:ascii="Times New Roman" w:cs="Times New Roman" w:eastAsia="Times New Roman" w:hAnsi="Times New Roman"/>
                <w:sz w:val="12"/>
                <w:szCs w:val="12"/>
                <w:b w:val="1"/>
                <w:bCs w:val="1"/>
                <w:color w:val="auto"/>
              </w:rPr>
              <w:t>Are There Any</w:t>
            </w:r>
          </w:p>
        </w:tc>
        <w:tc>
          <w:tcPr>
            <w:tcW w:w="4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Yes.</w:t>
            </w:r>
          </w:p>
        </w:tc>
        <w:tc>
          <w:tcPr>
            <w:tcW w:w="1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PRINCIPAL RISKS</w:t>
            </w:r>
          </w:p>
        </w:tc>
        <w:tc>
          <w:tcPr>
            <w:tcW w:w="0" w:type="dxa"/>
            <w:vAlign w:val="bottom"/>
          </w:tcPr>
          <w:p>
            <w:pPr>
              <w:spacing w:after="0"/>
              <w:rPr>
                <w:sz w:val="1"/>
                <w:szCs w:val="1"/>
                <w:color w:val="auto"/>
              </w:rPr>
            </w:pPr>
          </w:p>
        </w:tc>
      </w:tr>
      <w:tr>
        <w:trPr>
          <w:trHeight w:val="149"/>
        </w:trPr>
        <w:tc>
          <w:tcPr>
            <w:tcW w:w="1400" w:type="dxa"/>
            <w:vAlign w:val="bottom"/>
            <w:tcBorders>
              <w:left w:val="single" w:sz="8" w:color="auto"/>
              <w:right w:val="single" w:sz="8" w:color="auto"/>
            </w:tcBorders>
            <w:shd w:val="clear" w:color="auto" w:fill="CCCCCC"/>
          </w:tcPr>
          <w:p>
            <w:pPr>
              <w:ind w:left="60"/>
              <w:spacing w:after="0"/>
              <w:rPr>
                <w:sz w:val="20"/>
                <w:szCs w:val="20"/>
                <w:color w:val="auto"/>
              </w:rPr>
            </w:pPr>
            <w:r>
              <w:rPr>
                <w:rFonts w:ascii="Times New Roman" w:cs="Times New Roman" w:eastAsia="Times New Roman" w:hAnsi="Times New Roman"/>
                <w:sz w:val="12"/>
                <w:szCs w:val="12"/>
                <w:b w:val="1"/>
                <w:bCs w:val="1"/>
                <w:color w:val="auto"/>
              </w:rPr>
              <w:t>Restrictions on Contract</w:t>
            </w:r>
          </w:p>
        </w:tc>
        <w:tc>
          <w:tcPr>
            <w:tcW w:w="4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 </w:t>
            </w:r>
          </w:p>
        </w:tc>
        <w:tc>
          <w:tcPr>
            <w:tcW w:w="1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OF INVESTING IN</w:t>
            </w: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shd w:val="clear" w:color="auto" w:fill="CCCCCC"/>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Benefits?</w:t>
            </w:r>
          </w:p>
        </w:tc>
        <w:tc>
          <w:tcPr>
            <w:tcW w:w="4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 Subject to certain conditions, Contract benefits may be modified or</w:t>
            </w:r>
          </w:p>
        </w:tc>
        <w:tc>
          <w:tcPr>
            <w:tcW w:w="1240" w:type="dxa"/>
            <w:vAlign w:val="bottom"/>
            <w:tcBorders>
              <w:right w:val="single" w:sz="8" w:color="auto"/>
            </w:tcBorders>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THE CONTRACT</w:t>
            </w:r>
          </w:p>
        </w:tc>
        <w:tc>
          <w:tcPr>
            <w:tcW w:w="0" w:type="dxa"/>
            <w:vAlign w:val="bottom"/>
          </w:tcPr>
          <w:p>
            <w:pPr>
              <w:spacing w:after="0"/>
              <w:rPr>
                <w:sz w:val="1"/>
                <w:szCs w:val="1"/>
                <w:color w:val="auto"/>
              </w:rPr>
            </w:pPr>
          </w:p>
        </w:tc>
      </w:tr>
      <w:tr>
        <w:trPr>
          <w:trHeight w:val="94"/>
        </w:trPr>
        <w:tc>
          <w:tcPr>
            <w:tcW w:w="1400" w:type="dxa"/>
            <w:vAlign w:val="bottom"/>
            <w:tcBorders>
              <w:left w:val="single" w:sz="8" w:color="auto"/>
              <w:right w:val="single" w:sz="8" w:color="auto"/>
            </w:tcBorders>
            <w:shd w:val="clear" w:color="auto" w:fill="CCCCCC"/>
          </w:tcPr>
          <w:p>
            <w:pPr>
              <w:spacing w:after="0"/>
              <w:rPr>
                <w:sz w:val="8"/>
                <w:szCs w:val="8"/>
                <w:color w:val="auto"/>
              </w:rPr>
            </w:pPr>
          </w:p>
        </w:tc>
        <w:tc>
          <w:tcPr>
            <w:tcW w:w="402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50"/>
        </w:trPr>
        <w:tc>
          <w:tcPr>
            <w:tcW w:w="1400" w:type="dxa"/>
            <w:vAlign w:val="bottom"/>
            <w:tcBorders>
              <w:left w:val="single" w:sz="8" w:color="auto"/>
              <w:right w:val="single" w:sz="8" w:color="auto"/>
            </w:tcBorders>
            <w:shd w:val="clear" w:color="auto" w:fill="CCCCCC"/>
          </w:tcPr>
          <w:p>
            <w:pPr>
              <w:spacing w:after="0"/>
              <w:rPr>
                <w:sz w:val="4"/>
                <w:szCs w:val="4"/>
                <w:color w:val="auto"/>
              </w:rPr>
            </w:pPr>
          </w:p>
        </w:tc>
        <w:tc>
          <w:tcPr>
            <w:tcW w:w="40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2"/>
                <w:szCs w:val="12"/>
                <w:color w:val="auto"/>
              </w:rPr>
              <w:t>terminated by the Company.</w:t>
            </w:r>
          </w:p>
        </w:tc>
        <w:tc>
          <w:tcPr>
            <w:tcW w:w="12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1400" w:type="dxa"/>
            <w:vAlign w:val="bottom"/>
            <w:tcBorders>
              <w:left w:val="single" w:sz="8" w:color="auto"/>
              <w:right w:val="single" w:sz="8" w:color="auto"/>
            </w:tcBorders>
            <w:shd w:val="clear" w:color="auto" w:fill="CCCCCC"/>
          </w:tcPr>
          <w:p>
            <w:pPr>
              <w:spacing w:after="0"/>
              <w:rPr>
                <w:sz w:val="9"/>
                <w:szCs w:val="9"/>
                <w:color w:val="auto"/>
              </w:rPr>
            </w:pPr>
          </w:p>
        </w:tc>
        <w:tc>
          <w:tcPr>
            <w:tcW w:w="40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restart"/>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DEATH BENEFIT</w:t>
            </w:r>
          </w:p>
        </w:tc>
        <w:tc>
          <w:tcPr>
            <w:tcW w:w="0" w:type="dxa"/>
            <w:vAlign w:val="bottom"/>
          </w:tcPr>
          <w:p>
            <w:pPr>
              <w:spacing w:after="0"/>
              <w:rPr>
                <w:sz w:val="1"/>
                <w:szCs w:val="1"/>
                <w:color w:val="auto"/>
              </w:rPr>
            </w:pPr>
          </w:p>
        </w:tc>
      </w:tr>
      <w:tr>
        <w:trPr>
          <w:trHeight w:val="30"/>
        </w:trPr>
        <w:tc>
          <w:tcPr>
            <w:tcW w:w="1400" w:type="dxa"/>
            <w:vAlign w:val="bottom"/>
            <w:tcBorders>
              <w:left w:val="single" w:sz="8" w:color="auto"/>
              <w:right w:val="single" w:sz="8" w:color="auto"/>
            </w:tcBorders>
            <w:shd w:val="clear" w:color="auto" w:fill="CCCCCC"/>
          </w:tcPr>
          <w:p>
            <w:pPr>
              <w:spacing w:after="0"/>
              <w:rPr>
                <w:sz w:val="2"/>
                <w:szCs w:val="2"/>
                <w:color w:val="auto"/>
              </w:rPr>
            </w:pPr>
          </w:p>
        </w:tc>
        <w:tc>
          <w:tcPr>
            <w:tcW w:w="402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400" w:type="dxa"/>
            <w:vAlign w:val="bottom"/>
            <w:tcBorders>
              <w:left w:val="single" w:sz="8" w:color="auto"/>
              <w:right w:val="single" w:sz="8" w:color="auto"/>
            </w:tcBorders>
            <w:shd w:val="clear" w:color="auto" w:fill="CCCCCC"/>
          </w:tcPr>
          <w:p>
            <w:pPr>
              <w:spacing w:after="0"/>
              <w:rPr>
                <w:sz w:val="11"/>
                <w:szCs w:val="11"/>
                <w:color w:val="auto"/>
              </w:rPr>
            </w:pPr>
          </w:p>
        </w:tc>
        <w:tc>
          <w:tcPr>
            <w:tcW w:w="4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 All withdrawals (including RMDs and systematic withdrawals) will reduce</w:t>
            </w:r>
          </w:p>
        </w:tc>
        <w:tc>
          <w:tcPr>
            <w:tcW w:w="1240" w:type="dxa"/>
            <w:vAlign w:val="bottom"/>
            <w:tcBorders>
              <w:right w:val="single" w:sz="8" w:color="auto"/>
            </w:tcBorders>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67"/>
        </w:trPr>
        <w:tc>
          <w:tcPr>
            <w:tcW w:w="1400" w:type="dxa"/>
            <w:vAlign w:val="bottom"/>
            <w:tcBorders>
              <w:left w:val="single" w:sz="8" w:color="auto"/>
              <w:right w:val="single" w:sz="8" w:color="auto"/>
            </w:tcBorders>
            <w:shd w:val="clear" w:color="auto" w:fill="CCCCCC"/>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restart"/>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LIVING BENEFIT</w:t>
            </w:r>
          </w:p>
        </w:tc>
        <w:tc>
          <w:tcPr>
            <w:tcW w:w="0" w:type="dxa"/>
            <w:vAlign w:val="bottom"/>
          </w:tcPr>
          <w:p>
            <w:pPr>
              <w:spacing w:after="0"/>
              <w:rPr>
                <w:sz w:val="1"/>
                <w:szCs w:val="1"/>
                <w:color w:val="auto"/>
              </w:rPr>
            </w:pPr>
          </w:p>
        </w:tc>
      </w:tr>
      <w:tr>
        <w:trPr>
          <w:trHeight w:val="68"/>
        </w:trPr>
        <w:tc>
          <w:tcPr>
            <w:tcW w:w="1400" w:type="dxa"/>
            <w:vAlign w:val="bottom"/>
            <w:tcBorders>
              <w:left w:val="single" w:sz="8" w:color="auto"/>
              <w:right w:val="single" w:sz="8" w:color="auto"/>
            </w:tcBorders>
            <w:shd w:val="clear" w:color="auto" w:fill="CCCCCC"/>
          </w:tcPr>
          <w:p>
            <w:pPr>
              <w:spacing w:after="0"/>
              <w:rPr>
                <w:sz w:val="5"/>
                <w:szCs w:val="5"/>
                <w:color w:val="auto"/>
              </w:rPr>
            </w:pPr>
          </w:p>
        </w:tc>
        <w:tc>
          <w:tcPr>
            <w:tcW w:w="40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2"/>
                <w:szCs w:val="12"/>
                <w:color w:val="auto"/>
              </w:rPr>
              <w:t>the death benefit. Such reductions may be significant and may be more</w:t>
            </w:r>
          </w:p>
        </w:tc>
        <w:tc>
          <w:tcPr>
            <w:tcW w:w="1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400" w:type="dxa"/>
            <w:vAlign w:val="bottom"/>
            <w:tcBorders>
              <w:left w:val="single" w:sz="8" w:color="auto"/>
              <w:right w:val="single" w:sz="8" w:color="auto"/>
            </w:tcBorders>
            <w:shd w:val="clear" w:color="auto" w:fill="CCCCCC"/>
          </w:tcPr>
          <w:p>
            <w:pPr>
              <w:spacing w:after="0"/>
              <w:rPr>
                <w:sz w:val="6"/>
                <w:szCs w:val="6"/>
                <w:color w:val="auto"/>
              </w:rPr>
            </w:pPr>
          </w:p>
        </w:tc>
        <w:tc>
          <w:tcPr>
            <w:tcW w:w="4020" w:type="dxa"/>
            <w:vAlign w:val="bottom"/>
            <w:tcBorders>
              <w:right w:val="single" w:sz="8" w:color="auto"/>
            </w:tcBorders>
            <w:vMerge w:val="continue"/>
          </w:tcPr>
          <w:p>
            <w:pPr>
              <w:spacing w:after="0"/>
              <w:rPr>
                <w:sz w:val="6"/>
                <w:szCs w:val="6"/>
                <w:color w:val="auto"/>
              </w:rPr>
            </w:pPr>
          </w:p>
        </w:tc>
        <w:tc>
          <w:tcPr>
            <w:tcW w:w="1240" w:type="dxa"/>
            <w:vAlign w:val="bottom"/>
            <w:tcBorders>
              <w:right w:val="single" w:sz="8" w:color="auto"/>
            </w:tcBorders>
            <w:vMerge w:val="restart"/>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59"/>
        </w:trPr>
        <w:tc>
          <w:tcPr>
            <w:tcW w:w="1400" w:type="dxa"/>
            <w:vAlign w:val="bottom"/>
            <w:tcBorders>
              <w:left w:val="single" w:sz="8" w:color="auto"/>
              <w:right w:val="single" w:sz="8" w:color="auto"/>
            </w:tcBorders>
            <w:shd w:val="clear" w:color="auto" w:fill="CCCCCC"/>
          </w:tcPr>
          <w:p>
            <w:pPr>
              <w:spacing w:after="0"/>
              <w:rPr>
                <w:sz w:val="5"/>
                <w:szCs w:val="5"/>
                <w:color w:val="auto"/>
              </w:rPr>
            </w:pPr>
          </w:p>
        </w:tc>
        <w:tc>
          <w:tcPr>
            <w:tcW w:w="40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2"/>
                <w:szCs w:val="12"/>
                <w:color w:val="auto"/>
              </w:rPr>
              <w:t>than the amount of the withdrawal and may even terminate the benefit.</w:t>
            </w:r>
          </w:p>
        </w:tc>
        <w:tc>
          <w:tcPr>
            <w:tcW w:w="1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400" w:type="dxa"/>
            <w:vAlign w:val="bottom"/>
            <w:tcBorders>
              <w:left w:val="single" w:sz="8" w:color="auto"/>
              <w:right w:val="single" w:sz="8" w:color="auto"/>
            </w:tcBorders>
            <w:shd w:val="clear" w:color="auto" w:fill="CCCCCC"/>
          </w:tcPr>
          <w:p>
            <w:pPr>
              <w:spacing w:after="0"/>
              <w:rPr>
                <w:sz w:val="8"/>
                <w:szCs w:val="8"/>
                <w:color w:val="auto"/>
              </w:rPr>
            </w:pPr>
          </w:p>
        </w:tc>
        <w:tc>
          <w:tcPr>
            <w:tcW w:w="402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48"/>
        </w:trPr>
        <w:tc>
          <w:tcPr>
            <w:tcW w:w="1400" w:type="dxa"/>
            <w:vAlign w:val="bottom"/>
            <w:tcBorders>
              <w:left w:val="single" w:sz="8" w:color="auto"/>
              <w:right w:val="single" w:sz="8" w:color="auto"/>
            </w:tcBorders>
            <w:shd w:val="clear" w:color="auto" w:fill="CCCCCC"/>
          </w:tcPr>
          <w:p>
            <w:pPr>
              <w:spacing w:after="0"/>
              <w:rPr>
                <w:sz w:val="4"/>
                <w:szCs w:val="4"/>
                <w:color w:val="auto"/>
              </w:rPr>
            </w:pPr>
          </w:p>
        </w:tc>
        <w:tc>
          <w:tcPr>
            <w:tcW w:w="402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right w:val="single" w:sz="8" w:color="auto"/>
            </w:tcBorders>
            <w:shd w:val="clear" w:color="auto" w:fill="CCCCCC"/>
          </w:tcPr>
          <w:p>
            <w:pPr>
              <w:spacing w:after="0"/>
              <w:rPr>
                <w:sz w:val="16"/>
                <w:szCs w:val="16"/>
                <w:color w:val="auto"/>
              </w:rPr>
            </w:pPr>
          </w:p>
        </w:tc>
        <w:tc>
          <w:tcPr>
            <w:tcW w:w="4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 The availability of Contract benefits may vary depending on the selling firm</w:t>
            </w:r>
          </w:p>
        </w:tc>
        <w:tc>
          <w:tcPr>
            <w:tcW w:w="1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APPENDIX G</w:t>
            </w:r>
          </w:p>
        </w:tc>
        <w:tc>
          <w:tcPr>
            <w:tcW w:w="0" w:type="dxa"/>
            <w:vAlign w:val="bottom"/>
          </w:tcPr>
          <w:p>
            <w:pPr>
              <w:spacing w:after="0"/>
              <w:rPr>
                <w:sz w:val="1"/>
                <w:szCs w:val="1"/>
                <w:color w:val="auto"/>
              </w:rPr>
            </w:pPr>
          </w:p>
        </w:tc>
      </w:tr>
      <w:tr>
        <w:trPr>
          <w:trHeight w:val="164"/>
        </w:trPr>
        <w:tc>
          <w:tcPr>
            <w:tcW w:w="1400" w:type="dxa"/>
            <w:vAlign w:val="bottom"/>
            <w:tcBorders>
              <w:left w:val="single" w:sz="8" w:color="auto"/>
              <w:bottom w:val="single" w:sz="8" w:color="auto"/>
              <w:right w:val="single" w:sz="8" w:color="auto"/>
            </w:tcBorders>
            <w:shd w:val="clear" w:color="auto" w:fill="CCCCCC"/>
          </w:tcPr>
          <w:p>
            <w:pPr>
              <w:spacing w:after="0"/>
              <w:rPr>
                <w:sz w:val="14"/>
                <w:szCs w:val="14"/>
                <w:color w:val="auto"/>
              </w:rPr>
            </w:pPr>
          </w:p>
        </w:tc>
        <w:tc>
          <w:tcPr>
            <w:tcW w:w="4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through which your Contract is sold.</w:t>
            </w:r>
          </w:p>
        </w:tc>
        <w:tc>
          <w:tcPr>
            <w:tcW w:w="1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bottom w:val="single" w:sz="8" w:color="auto"/>
              <w:right w:val="single" w:sz="8" w:color="CCCCCC"/>
            </w:tcBorders>
            <w:shd w:val="clear" w:color="auto" w:fill="CCCCCC"/>
          </w:tcPr>
          <w:p>
            <w:pPr>
              <w:spacing w:after="0"/>
              <w:rPr>
                <w:sz w:val="14"/>
                <w:szCs w:val="14"/>
                <w:color w:val="auto"/>
              </w:rPr>
            </w:pPr>
          </w:p>
        </w:tc>
        <w:tc>
          <w:tcPr>
            <w:tcW w:w="402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Taxes</w:t>
            </w:r>
          </w:p>
        </w:tc>
        <w:tc>
          <w:tcPr>
            <w:tcW w:w="1240" w:type="dxa"/>
            <w:vAlign w:val="bottom"/>
            <w:tcBorders>
              <w:bottom w:val="single" w:sz="8" w:color="auto"/>
              <w:right w:val="single" w:sz="8" w:color="auto"/>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400" w:type="dxa"/>
            <w:vAlign w:val="bottom"/>
            <w:tcBorders>
              <w:left w:val="single" w:sz="8" w:color="auto"/>
              <w:right w:val="single" w:sz="8" w:color="auto"/>
            </w:tcBorders>
            <w:shd w:val="clear" w:color="auto" w:fill="CCCCCC"/>
          </w:tcPr>
          <w:p>
            <w:pPr>
              <w:ind w:left="60"/>
              <w:spacing w:after="0"/>
              <w:rPr>
                <w:sz w:val="20"/>
                <w:szCs w:val="20"/>
                <w:color w:val="auto"/>
              </w:rPr>
            </w:pPr>
            <w:r>
              <w:rPr>
                <w:rFonts w:ascii="Times New Roman" w:cs="Times New Roman" w:eastAsia="Times New Roman" w:hAnsi="Times New Roman"/>
                <w:sz w:val="12"/>
                <w:szCs w:val="12"/>
                <w:b w:val="1"/>
                <w:bCs w:val="1"/>
                <w:color w:val="auto"/>
              </w:rPr>
              <w:t>What are the Contract’s</w:t>
            </w:r>
          </w:p>
        </w:tc>
        <w:tc>
          <w:tcPr>
            <w:tcW w:w="4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You should consult with a tax professional to determine the tax implications of</w:t>
            </w:r>
          </w:p>
        </w:tc>
        <w:tc>
          <w:tcPr>
            <w:tcW w:w="1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PRINCIPAL RISKS</w:t>
            </w:r>
          </w:p>
        </w:tc>
        <w:tc>
          <w:tcPr>
            <w:tcW w:w="0" w:type="dxa"/>
            <w:vAlign w:val="bottom"/>
          </w:tcPr>
          <w:p>
            <w:pPr>
              <w:spacing w:after="0"/>
              <w:rPr>
                <w:sz w:val="1"/>
                <w:szCs w:val="1"/>
                <w:color w:val="auto"/>
              </w:rPr>
            </w:pPr>
          </w:p>
        </w:tc>
      </w:tr>
      <w:tr>
        <w:trPr>
          <w:trHeight w:val="103"/>
        </w:trPr>
        <w:tc>
          <w:tcPr>
            <w:tcW w:w="1400" w:type="dxa"/>
            <w:vAlign w:val="bottom"/>
            <w:tcBorders>
              <w:left w:val="single" w:sz="8" w:color="auto"/>
              <w:right w:val="single" w:sz="8" w:color="auto"/>
            </w:tcBorders>
            <w:vMerge w:val="restart"/>
            <w:shd w:val="clear" w:color="auto" w:fill="CCCCCC"/>
          </w:tcPr>
          <w:p>
            <w:pPr>
              <w:ind w:left="60"/>
              <w:spacing w:after="0"/>
              <w:rPr>
                <w:sz w:val="20"/>
                <w:szCs w:val="20"/>
                <w:color w:val="auto"/>
              </w:rPr>
            </w:pPr>
            <w:r>
              <w:rPr>
                <w:rFonts w:ascii="Times New Roman" w:cs="Times New Roman" w:eastAsia="Times New Roman" w:hAnsi="Times New Roman"/>
                <w:sz w:val="12"/>
                <w:szCs w:val="12"/>
                <w:b w:val="1"/>
                <w:bCs w:val="1"/>
                <w:color w:val="auto"/>
              </w:rPr>
              <w:t>Tax Implications?</w:t>
            </w:r>
          </w:p>
        </w:tc>
        <w:tc>
          <w:tcPr>
            <w:tcW w:w="402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OF INVESTING IN</w:t>
            </w:r>
          </w:p>
        </w:tc>
        <w:tc>
          <w:tcPr>
            <w:tcW w:w="0" w:type="dxa"/>
            <w:vAlign w:val="bottom"/>
          </w:tcPr>
          <w:p>
            <w:pPr>
              <w:spacing w:after="0"/>
              <w:rPr>
                <w:sz w:val="1"/>
                <w:szCs w:val="1"/>
                <w:color w:val="auto"/>
              </w:rPr>
            </w:pPr>
          </w:p>
        </w:tc>
      </w:tr>
      <w:tr>
        <w:trPr>
          <w:trHeight w:val="41"/>
        </w:trPr>
        <w:tc>
          <w:tcPr>
            <w:tcW w:w="1400" w:type="dxa"/>
            <w:vAlign w:val="bottom"/>
            <w:tcBorders>
              <w:left w:val="single" w:sz="8" w:color="auto"/>
              <w:right w:val="single" w:sz="8" w:color="auto"/>
            </w:tcBorders>
            <w:vMerge w:val="continue"/>
            <w:shd w:val="clear" w:color="auto" w:fill="CCCCCC"/>
          </w:tcPr>
          <w:p>
            <w:pPr>
              <w:spacing w:after="0"/>
              <w:rPr>
                <w:sz w:val="3"/>
                <w:szCs w:val="3"/>
                <w:color w:val="auto"/>
              </w:rPr>
            </w:pPr>
          </w:p>
        </w:tc>
        <w:tc>
          <w:tcPr>
            <w:tcW w:w="4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an investment in and Purchase Payments received under the Contract. There</w:t>
            </w:r>
          </w:p>
        </w:tc>
        <w:tc>
          <w:tcPr>
            <w:tcW w:w="12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400" w:type="dxa"/>
            <w:vAlign w:val="bottom"/>
            <w:tcBorders>
              <w:left w:val="single" w:sz="8" w:color="auto"/>
              <w:right w:val="single" w:sz="8" w:color="auto"/>
            </w:tcBorders>
            <w:shd w:val="clear" w:color="auto" w:fill="CCCCCC"/>
          </w:tcPr>
          <w:p>
            <w:pPr>
              <w:spacing w:after="0"/>
              <w:rPr>
                <w:sz w:val="8"/>
                <w:szCs w:val="8"/>
                <w:color w:val="auto"/>
              </w:rPr>
            </w:pPr>
          </w:p>
        </w:tc>
        <w:tc>
          <w:tcPr>
            <w:tcW w:w="402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THE CONTRACT</w:t>
            </w:r>
          </w:p>
        </w:tc>
        <w:tc>
          <w:tcPr>
            <w:tcW w:w="0" w:type="dxa"/>
            <w:vAlign w:val="bottom"/>
          </w:tcPr>
          <w:p>
            <w:pPr>
              <w:spacing w:after="0"/>
              <w:rPr>
                <w:sz w:val="1"/>
                <w:szCs w:val="1"/>
                <w:color w:val="auto"/>
              </w:rPr>
            </w:pPr>
          </w:p>
        </w:tc>
      </w:tr>
      <w:tr>
        <w:trPr>
          <w:trHeight w:val="32"/>
        </w:trPr>
        <w:tc>
          <w:tcPr>
            <w:tcW w:w="1400" w:type="dxa"/>
            <w:vAlign w:val="bottom"/>
            <w:tcBorders>
              <w:left w:val="single" w:sz="8" w:color="auto"/>
              <w:right w:val="single" w:sz="8" w:color="auto"/>
            </w:tcBorders>
            <w:shd w:val="clear" w:color="auto" w:fill="CCCCCC"/>
          </w:tcPr>
          <w:p>
            <w:pPr>
              <w:spacing w:after="0"/>
              <w:rPr>
                <w:sz w:val="2"/>
                <w:szCs w:val="2"/>
                <w:color w:val="auto"/>
              </w:rPr>
            </w:pPr>
          </w:p>
        </w:tc>
        <w:tc>
          <w:tcPr>
            <w:tcW w:w="4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is no additional tax benefit to you if the Contract is purchased through a</w:t>
            </w:r>
          </w:p>
        </w:tc>
        <w:tc>
          <w:tcPr>
            <w:tcW w:w="12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1400" w:type="dxa"/>
            <w:vAlign w:val="bottom"/>
            <w:tcBorders>
              <w:left w:val="single" w:sz="8" w:color="auto"/>
              <w:right w:val="single" w:sz="8" w:color="auto"/>
            </w:tcBorders>
            <w:shd w:val="clear" w:color="auto" w:fill="CCCCCC"/>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tcPr>
          <w:p>
            <w:pPr>
              <w:ind w:left="40"/>
              <w:spacing w:after="0" w:line="123" w:lineRule="exact"/>
              <w:rPr>
                <w:sz w:val="20"/>
                <w:szCs w:val="20"/>
                <w:color w:val="auto"/>
              </w:rPr>
            </w:pPr>
            <w:r>
              <w:rPr>
                <w:rFonts w:ascii="Times New Roman" w:cs="Times New Roman" w:eastAsia="Times New Roman" w:hAnsi="Times New Roman"/>
                <w:sz w:val="12"/>
                <w:szCs w:val="12"/>
                <w:b w:val="1"/>
                <w:bCs w:val="1"/>
                <w:color w:val="auto"/>
              </w:rPr>
              <w:t> </w:t>
            </w: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CCCCCC"/>
          </w:tcPr>
          <w:p>
            <w:pPr>
              <w:spacing w:after="0"/>
              <w:rPr>
                <w:sz w:val="12"/>
                <w:szCs w:val="12"/>
                <w:color w:val="auto"/>
              </w:rPr>
            </w:pPr>
          </w:p>
        </w:tc>
        <w:tc>
          <w:tcPr>
            <w:tcW w:w="4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tax-qualified plan or individual retirement account (IRA). Withdrawals will be</w:t>
            </w:r>
          </w:p>
        </w:tc>
        <w:tc>
          <w:tcPr>
            <w:tcW w:w="1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FEDERAL TAX</w:t>
            </w:r>
          </w:p>
        </w:tc>
        <w:tc>
          <w:tcPr>
            <w:tcW w:w="0" w:type="dxa"/>
            <w:vAlign w:val="bottom"/>
          </w:tcPr>
          <w:p>
            <w:pPr>
              <w:spacing w:after="0"/>
              <w:rPr>
                <w:sz w:val="1"/>
                <w:szCs w:val="1"/>
                <w:color w:val="auto"/>
              </w:rPr>
            </w:pPr>
          </w:p>
        </w:tc>
      </w:tr>
      <w:tr>
        <w:trPr>
          <w:trHeight w:val="189"/>
        </w:trPr>
        <w:tc>
          <w:tcPr>
            <w:tcW w:w="1400" w:type="dxa"/>
            <w:vAlign w:val="bottom"/>
            <w:tcBorders>
              <w:left w:val="single" w:sz="8" w:color="auto"/>
              <w:bottom w:val="single" w:sz="8" w:color="auto"/>
              <w:right w:val="single" w:sz="8" w:color="auto"/>
            </w:tcBorders>
            <w:shd w:val="clear" w:color="auto" w:fill="CCCCCC"/>
          </w:tcPr>
          <w:p>
            <w:pPr>
              <w:spacing w:after="0"/>
              <w:rPr>
                <w:sz w:val="16"/>
                <w:szCs w:val="16"/>
                <w:color w:val="auto"/>
              </w:rPr>
            </w:pPr>
          </w:p>
        </w:tc>
        <w:tc>
          <w:tcPr>
            <w:tcW w:w="4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subject to ordinary income tax and may be subject to tax penalties.</w:t>
            </w:r>
          </w:p>
        </w:tc>
        <w:tc>
          <w:tcPr>
            <w:tcW w:w="12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CONSIDERATIONS</w:t>
            </w:r>
          </w:p>
        </w:tc>
        <w:tc>
          <w:tcPr>
            <w:tcW w:w="0" w:type="dxa"/>
            <w:vAlign w:val="bottom"/>
          </w:tcPr>
          <w:p>
            <w:pPr>
              <w:spacing w:after="0"/>
              <w:rPr>
                <w:sz w:val="1"/>
                <w:szCs w:val="1"/>
                <w:color w:val="auto"/>
              </w:rPr>
            </w:pPr>
          </w:p>
        </w:tc>
      </w:tr>
      <w:tr>
        <w:trPr>
          <w:trHeight w:val="169"/>
        </w:trPr>
        <w:tc>
          <w:tcPr>
            <w:tcW w:w="1400" w:type="dxa"/>
            <w:vAlign w:val="bottom"/>
            <w:tcBorders>
              <w:left w:val="single" w:sz="8" w:color="auto"/>
              <w:bottom w:val="single" w:sz="8" w:color="auto"/>
              <w:right w:val="single" w:sz="8" w:color="CCCCCC"/>
            </w:tcBorders>
            <w:shd w:val="clear" w:color="auto" w:fill="CCCCCC"/>
          </w:tcPr>
          <w:p>
            <w:pPr>
              <w:spacing w:after="0"/>
              <w:rPr>
                <w:sz w:val="14"/>
                <w:szCs w:val="14"/>
                <w:color w:val="auto"/>
              </w:rPr>
            </w:pPr>
          </w:p>
        </w:tc>
        <w:tc>
          <w:tcPr>
            <w:tcW w:w="402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Conflicts of Interest</w:t>
            </w:r>
          </w:p>
        </w:tc>
        <w:tc>
          <w:tcPr>
            <w:tcW w:w="1240" w:type="dxa"/>
            <w:vAlign w:val="bottom"/>
            <w:tcBorders>
              <w:bottom w:val="single" w:sz="8" w:color="auto"/>
              <w:right w:val="single" w:sz="8" w:color="auto"/>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400" w:type="dxa"/>
            <w:vAlign w:val="bottom"/>
            <w:tcBorders>
              <w:left w:val="single" w:sz="8" w:color="auto"/>
              <w:right w:val="single" w:sz="8" w:color="auto"/>
            </w:tcBorders>
            <w:shd w:val="clear" w:color="auto" w:fill="CCCCCC"/>
          </w:tcPr>
          <w:p>
            <w:pPr>
              <w:ind w:left="60"/>
              <w:spacing w:after="0"/>
              <w:rPr>
                <w:sz w:val="20"/>
                <w:szCs w:val="20"/>
                <w:color w:val="auto"/>
              </w:rPr>
            </w:pPr>
            <w:r>
              <w:rPr>
                <w:rFonts w:ascii="Times New Roman" w:cs="Times New Roman" w:eastAsia="Times New Roman" w:hAnsi="Times New Roman"/>
                <w:sz w:val="12"/>
                <w:szCs w:val="12"/>
                <w:b w:val="1"/>
                <w:bCs w:val="1"/>
                <w:color w:val="auto"/>
              </w:rPr>
              <w:t>How are Financial</w:t>
            </w:r>
          </w:p>
        </w:tc>
        <w:tc>
          <w:tcPr>
            <w:tcW w:w="4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Your financial professional may receive compensation for selling this Contract</w:t>
            </w:r>
          </w:p>
        </w:tc>
        <w:tc>
          <w:tcPr>
            <w:tcW w:w="1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DISTRIBUTION OF</w:t>
            </w:r>
          </w:p>
        </w:tc>
        <w:tc>
          <w:tcPr>
            <w:tcW w:w="0" w:type="dxa"/>
            <w:vAlign w:val="bottom"/>
          </w:tcPr>
          <w:p>
            <w:pPr>
              <w:spacing w:after="0"/>
              <w:rPr>
                <w:sz w:val="1"/>
                <w:szCs w:val="1"/>
                <w:color w:val="auto"/>
              </w:rPr>
            </w:pPr>
          </w:p>
        </w:tc>
      </w:tr>
      <w:tr>
        <w:trPr>
          <w:trHeight w:val="103"/>
        </w:trPr>
        <w:tc>
          <w:tcPr>
            <w:tcW w:w="1400" w:type="dxa"/>
            <w:vAlign w:val="bottom"/>
            <w:tcBorders>
              <w:left w:val="single" w:sz="8" w:color="auto"/>
              <w:right w:val="single" w:sz="8" w:color="auto"/>
            </w:tcBorders>
            <w:vMerge w:val="restart"/>
            <w:shd w:val="clear" w:color="auto" w:fill="CCCCCC"/>
          </w:tcPr>
          <w:p>
            <w:pPr>
              <w:ind w:left="60"/>
              <w:spacing w:after="0"/>
              <w:rPr>
                <w:sz w:val="20"/>
                <w:szCs w:val="20"/>
                <w:color w:val="auto"/>
              </w:rPr>
            </w:pPr>
            <w:r>
              <w:rPr>
                <w:rFonts w:ascii="Times New Roman" w:cs="Times New Roman" w:eastAsia="Times New Roman" w:hAnsi="Times New Roman"/>
                <w:sz w:val="12"/>
                <w:szCs w:val="12"/>
                <w:b w:val="1"/>
                <w:bCs w:val="1"/>
                <w:color w:val="auto"/>
              </w:rPr>
              <w:t>Professionals</w:t>
            </w:r>
          </w:p>
        </w:tc>
        <w:tc>
          <w:tcPr>
            <w:tcW w:w="402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THE CONTRACTS</w:t>
            </w:r>
          </w:p>
        </w:tc>
        <w:tc>
          <w:tcPr>
            <w:tcW w:w="0" w:type="dxa"/>
            <w:vAlign w:val="bottom"/>
          </w:tcPr>
          <w:p>
            <w:pPr>
              <w:spacing w:after="0"/>
              <w:rPr>
                <w:sz w:val="1"/>
                <w:szCs w:val="1"/>
                <w:color w:val="auto"/>
              </w:rPr>
            </w:pPr>
          </w:p>
        </w:tc>
      </w:tr>
      <w:tr>
        <w:trPr>
          <w:trHeight w:val="41"/>
        </w:trPr>
        <w:tc>
          <w:tcPr>
            <w:tcW w:w="1400" w:type="dxa"/>
            <w:vAlign w:val="bottom"/>
            <w:tcBorders>
              <w:left w:val="single" w:sz="8" w:color="auto"/>
              <w:right w:val="single" w:sz="8" w:color="auto"/>
            </w:tcBorders>
            <w:vMerge w:val="continue"/>
            <w:shd w:val="clear" w:color="auto" w:fill="CCCCCC"/>
          </w:tcPr>
          <w:p>
            <w:pPr>
              <w:spacing w:after="0"/>
              <w:rPr>
                <w:sz w:val="3"/>
                <w:szCs w:val="3"/>
                <w:color w:val="auto"/>
              </w:rPr>
            </w:pPr>
          </w:p>
        </w:tc>
        <w:tc>
          <w:tcPr>
            <w:tcW w:w="4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to you in the form of commissions, additional cash benefits (e.g., bonuses),</w:t>
            </w:r>
          </w:p>
        </w:tc>
        <w:tc>
          <w:tcPr>
            <w:tcW w:w="124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1400" w:type="dxa"/>
            <w:vAlign w:val="bottom"/>
            <w:tcBorders>
              <w:left w:val="single" w:sz="8" w:color="auto"/>
              <w:right w:val="single" w:sz="8" w:color="auto"/>
            </w:tcBorders>
            <w:vMerge w:val="restart"/>
            <w:shd w:val="clear" w:color="auto" w:fill="CCCCCC"/>
          </w:tcPr>
          <w:p>
            <w:pPr>
              <w:ind w:left="60"/>
              <w:spacing w:after="0"/>
              <w:rPr>
                <w:sz w:val="20"/>
                <w:szCs w:val="20"/>
                <w:color w:val="auto"/>
              </w:rPr>
            </w:pPr>
            <w:r>
              <w:rPr>
                <w:rFonts w:ascii="Times New Roman" w:cs="Times New Roman" w:eastAsia="Times New Roman" w:hAnsi="Times New Roman"/>
                <w:sz w:val="12"/>
                <w:szCs w:val="12"/>
                <w:b w:val="1"/>
                <w:bCs w:val="1"/>
                <w:color w:val="auto"/>
              </w:rPr>
              <w:t>Compensated?</w:t>
            </w:r>
          </w:p>
        </w:tc>
        <w:tc>
          <w:tcPr>
            <w:tcW w:w="402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400" w:type="dxa"/>
            <w:vAlign w:val="bottom"/>
            <w:tcBorders>
              <w:left w:val="single" w:sz="8" w:color="auto"/>
              <w:right w:val="single" w:sz="8" w:color="auto"/>
            </w:tcBorders>
            <w:vMerge w:val="continue"/>
            <w:shd w:val="clear" w:color="auto" w:fill="CCCCCC"/>
          </w:tcPr>
          <w:p>
            <w:pPr>
              <w:spacing w:after="0"/>
              <w:rPr>
                <w:sz w:val="4"/>
                <w:szCs w:val="4"/>
                <w:color w:val="auto"/>
              </w:rPr>
            </w:pPr>
          </w:p>
        </w:tc>
        <w:tc>
          <w:tcPr>
            <w:tcW w:w="4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and non-cash compensation. This conflict of interest may influence your</w:t>
            </w:r>
          </w:p>
        </w:tc>
        <w:tc>
          <w:tcPr>
            <w:tcW w:w="1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shd w:val="clear" w:color="auto" w:fill="CCCCCC"/>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CCCCCC"/>
          </w:tcPr>
          <w:p>
            <w:pPr>
              <w:spacing w:after="0"/>
              <w:rPr>
                <w:sz w:val="12"/>
                <w:szCs w:val="12"/>
                <w:color w:val="auto"/>
              </w:rPr>
            </w:pPr>
          </w:p>
        </w:tc>
        <w:tc>
          <w:tcPr>
            <w:tcW w:w="4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financial professional to recommend this Contract over another investment for</w:t>
            </w:r>
          </w:p>
        </w:tc>
        <w:tc>
          <w:tcPr>
            <w:tcW w:w="12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400" w:type="dxa"/>
            <w:vAlign w:val="bottom"/>
            <w:tcBorders>
              <w:left w:val="single" w:sz="8" w:color="auto"/>
              <w:bottom w:val="single" w:sz="8" w:color="auto"/>
              <w:right w:val="single" w:sz="8" w:color="auto"/>
            </w:tcBorders>
            <w:shd w:val="clear" w:color="auto" w:fill="CCCCCC"/>
          </w:tcPr>
          <w:p>
            <w:pPr>
              <w:spacing w:after="0"/>
              <w:rPr>
                <w:sz w:val="14"/>
                <w:szCs w:val="14"/>
                <w:color w:val="auto"/>
              </w:rPr>
            </w:pPr>
          </w:p>
        </w:tc>
        <w:tc>
          <w:tcPr>
            <w:tcW w:w="4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which the financial professional is not compensated or compensated less.</w:t>
            </w:r>
          </w:p>
        </w:tc>
        <w:tc>
          <w:tcPr>
            <w:tcW w:w="1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400" w:type="dxa"/>
            <w:vAlign w:val="bottom"/>
            <w:tcBorders>
              <w:left w:val="single" w:sz="8" w:color="auto"/>
              <w:right w:val="single" w:sz="8" w:color="auto"/>
            </w:tcBorders>
            <w:shd w:val="clear" w:color="auto" w:fill="CCCCCC"/>
          </w:tcPr>
          <w:p>
            <w:pPr>
              <w:ind w:left="60"/>
              <w:spacing w:after="0" w:line="128" w:lineRule="exact"/>
              <w:rPr>
                <w:sz w:val="20"/>
                <w:szCs w:val="20"/>
                <w:color w:val="auto"/>
              </w:rPr>
            </w:pPr>
            <w:r>
              <w:rPr>
                <w:rFonts w:ascii="Times New Roman" w:cs="Times New Roman" w:eastAsia="Times New Roman" w:hAnsi="Times New Roman"/>
                <w:sz w:val="12"/>
                <w:szCs w:val="12"/>
                <w:b w:val="1"/>
                <w:bCs w:val="1"/>
                <w:color w:val="auto"/>
              </w:rPr>
              <w:t>Should I Exchange My</w:t>
            </w:r>
          </w:p>
        </w:tc>
        <w:tc>
          <w:tcPr>
            <w:tcW w:w="4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color w:val="auto"/>
              </w:rPr>
              <w:t>If you already own an insurance contract, some financial professionals may</w:t>
            </w:r>
          </w:p>
        </w:tc>
        <w:tc>
          <w:tcPr>
            <w:tcW w:w="1240" w:type="dxa"/>
            <w:vAlign w:val="bottom"/>
            <w:tcBorders>
              <w:right w:val="single" w:sz="8" w:color="auto"/>
            </w:tcBorders>
          </w:tcPr>
          <w:p>
            <w:pPr>
              <w:ind w:left="40"/>
              <w:spacing w:after="0" w:line="128" w:lineRule="exact"/>
              <w:rPr>
                <w:sz w:val="20"/>
                <w:szCs w:val="20"/>
                <w:color w:val="auto"/>
              </w:rPr>
            </w:pPr>
            <w:r>
              <w:rPr>
                <w:rFonts w:ascii="Times New Roman" w:cs="Times New Roman" w:eastAsia="Times New Roman" w:hAnsi="Times New Roman"/>
                <w:sz w:val="12"/>
                <w:szCs w:val="12"/>
                <w:b w:val="1"/>
                <w:bCs w:val="1"/>
                <w:color w:val="auto"/>
              </w:rPr>
              <w:t>THE ANNUITY</w:t>
            </w:r>
          </w:p>
        </w:tc>
        <w:tc>
          <w:tcPr>
            <w:tcW w:w="0" w:type="dxa"/>
            <w:vAlign w:val="bottom"/>
          </w:tcPr>
          <w:p>
            <w:pPr>
              <w:spacing w:after="0"/>
              <w:rPr>
                <w:sz w:val="1"/>
                <w:szCs w:val="1"/>
                <w:color w:val="auto"/>
              </w:rPr>
            </w:pPr>
          </w:p>
        </w:tc>
      </w:tr>
      <w:tr>
        <w:trPr>
          <w:trHeight w:val="123"/>
        </w:trPr>
        <w:tc>
          <w:tcPr>
            <w:tcW w:w="1400" w:type="dxa"/>
            <w:vAlign w:val="bottom"/>
            <w:tcBorders>
              <w:left w:val="single" w:sz="8" w:color="auto"/>
              <w:right w:val="single" w:sz="8" w:color="auto"/>
            </w:tcBorders>
            <w:shd w:val="clear" w:color="auto" w:fill="CCCCCC"/>
          </w:tcPr>
          <w:p>
            <w:pPr>
              <w:ind w:left="60"/>
              <w:spacing w:after="0" w:line="123" w:lineRule="exact"/>
              <w:rPr>
                <w:sz w:val="20"/>
                <w:szCs w:val="20"/>
                <w:color w:val="auto"/>
              </w:rPr>
            </w:pPr>
            <w:r>
              <w:rPr>
                <w:rFonts w:ascii="Times New Roman" w:cs="Times New Roman" w:eastAsia="Times New Roman" w:hAnsi="Times New Roman"/>
                <w:sz w:val="12"/>
                <w:szCs w:val="12"/>
                <w:b w:val="1"/>
                <w:bCs w:val="1"/>
                <w:color w:val="auto"/>
              </w:rPr>
              <w:t>Contract?</w:t>
            </w:r>
          </w:p>
        </w:tc>
        <w:tc>
          <w:tcPr>
            <w:tcW w:w="402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tcPr>
          <w:p>
            <w:pPr>
              <w:ind w:left="40"/>
              <w:spacing w:after="0" w:line="123" w:lineRule="exact"/>
              <w:rPr>
                <w:sz w:val="20"/>
                <w:szCs w:val="20"/>
                <w:color w:val="auto"/>
              </w:rPr>
            </w:pPr>
            <w:r>
              <w:rPr>
                <w:rFonts w:ascii="Times New Roman" w:cs="Times New Roman" w:eastAsia="Times New Roman" w:hAnsi="Times New Roman"/>
                <w:sz w:val="12"/>
                <w:szCs w:val="12"/>
                <w:b w:val="1"/>
                <w:bCs w:val="1"/>
                <w:color w:val="auto"/>
              </w:rPr>
              <w:t>CONTRACT –</w:t>
            </w:r>
          </w:p>
        </w:tc>
        <w:tc>
          <w:tcPr>
            <w:tcW w:w="0" w:type="dxa"/>
            <w:vAlign w:val="bottom"/>
          </w:tcPr>
          <w:p>
            <w:pPr>
              <w:spacing w:after="0"/>
              <w:rPr>
                <w:sz w:val="1"/>
                <w:szCs w:val="1"/>
                <w:color w:val="auto"/>
              </w:rPr>
            </w:pPr>
          </w:p>
        </w:tc>
      </w:tr>
      <w:tr>
        <w:trPr>
          <w:trHeight w:val="126"/>
        </w:trPr>
        <w:tc>
          <w:tcPr>
            <w:tcW w:w="1400" w:type="dxa"/>
            <w:vAlign w:val="bottom"/>
            <w:tcBorders>
              <w:left w:val="single" w:sz="8" w:color="auto"/>
              <w:right w:val="single" w:sz="8" w:color="auto"/>
            </w:tcBorders>
            <w:shd w:val="clear" w:color="auto" w:fill="CCCCCC"/>
          </w:tcPr>
          <w:p>
            <w:pPr>
              <w:spacing w:after="0"/>
              <w:rPr>
                <w:sz w:val="10"/>
                <w:szCs w:val="10"/>
                <w:color w:val="auto"/>
              </w:rPr>
            </w:pPr>
          </w:p>
        </w:tc>
        <w:tc>
          <w:tcPr>
            <w:tcW w:w="402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have a financial incentive to offer you a new contract in place of the one you</w:t>
            </w:r>
          </w:p>
        </w:tc>
        <w:tc>
          <w:tcPr>
            <w:tcW w:w="1240" w:type="dxa"/>
            <w:vAlign w:val="bottom"/>
            <w:tcBorders>
              <w:right w:val="single" w:sz="8" w:color="auto"/>
            </w:tcBorders>
          </w:tcPr>
          <w:p>
            <w:pPr>
              <w:ind w:left="40"/>
              <w:spacing w:after="0" w:line="126" w:lineRule="exact"/>
              <w:rPr>
                <w:sz w:val="20"/>
                <w:szCs w:val="20"/>
                <w:color w:val="auto"/>
              </w:rPr>
            </w:pPr>
            <w:r>
              <w:rPr>
                <w:rFonts w:ascii="Times New Roman" w:cs="Times New Roman" w:eastAsia="Times New Roman" w:hAnsi="Times New Roman"/>
                <w:sz w:val="12"/>
                <w:szCs w:val="12"/>
                <w:b w:val="1"/>
                <w:bCs w:val="1"/>
                <w:color w:val="auto"/>
              </w:rPr>
              <w:t>REPLACEMENT OF</w:t>
            </w: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shd w:val="clear" w:color="auto" w:fill="CCCCCC"/>
          </w:tcPr>
          <w:p>
            <w:pPr>
              <w:spacing w:after="0"/>
              <w:rPr>
                <w:sz w:val="11"/>
                <w:szCs w:val="11"/>
                <w:color w:val="auto"/>
              </w:rPr>
            </w:pPr>
          </w:p>
        </w:tc>
        <w:tc>
          <w:tcPr>
            <w:tcW w:w="402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already own. You should only exchange your contract if you determine, after</w:t>
            </w:r>
          </w:p>
        </w:tc>
        <w:tc>
          <w:tcPr>
            <w:tcW w:w="1240" w:type="dxa"/>
            <w:vAlign w:val="bottom"/>
            <w:tcBorders>
              <w:right w:val="single" w:sz="8" w:color="auto"/>
            </w:tcBorders>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CONTRACTS</w:t>
            </w:r>
          </w:p>
        </w:tc>
        <w:tc>
          <w:tcPr>
            <w:tcW w:w="0" w:type="dxa"/>
            <w:vAlign w:val="bottom"/>
          </w:tcPr>
          <w:p>
            <w:pPr>
              <w:spacing w:after="0"/>
              <w:rPr>
                <w:sz w:val="1"/>
                <w:szCs w:val="1"/>
                <w:color w:val="auto"/>
              </w:rPr>
            </w:pPr>
          </w:p>
        </w:tc>
      </w:tr>
      <w:tr>
        <w:trPr>
          <w:trHeight w:val="138"/>
        </w:trPr>
        <w:tc>
          <w:tcPr>
            <w:tcW w:w="1400" w:type="dxa"/>
            <w:vAlign w:val="bottom"/>
            <w:tcBorders>
              <w:left w:val="single" w:sz="8" w:color="auto"/>
              <w:bottom w:val="single" w:sz="8" w:color="auto"/>
              <w:right w:val="single" w:sz="8" w:color="auto"/>
            </w:tcBorders>
            <w:shd w:val="clear" w:color="auto" w:fill="CCCCCC"/>
          </w:tcPr>
          <w:p>
            <w:pPr>
              <w:spacing w:after="0"/>
              <w:rPr>
                <w:sz w:val="12"/>
                <w:szCs w:val="12"/>
                <w:color w:val="auto"/>
              </w:rPr>
            </w:pPr>
          </w:p>
        </w:tc>
        <w:tc>
          <w:tcPr>
            <w:tcW w:w="4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comparing the features, fees, and risks of both contracts, and any fees or</w:t>
            </w:r>
          </w:p>
        </w:tc>
        <w:tc>
          <w:tcPr>
            <w:tcW w:w="1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1400" w:type="dxa"/>
            <w:vAlign w:val="bottom"/>
          </w:tcPr>
          <w:p>
            <w:pPr>
              <w:spacing w:after="0"/>
              <w:rPr>
                <w:sz w:val="24"/>
                <w:szCs w:val="24"/>
                <w:color w:val="auto"/>
              </w:rPr>
            </w:pPr>
          </w:p>
        </w:tc>
        <w:tc>
          <w:tcPr>
            <w:tcW w:w="4020" w:type="dxa"/>
            <w:vAlign w:val="bottom"/>
          </w:tcPr>
          <w:p>
            <w:pPr>
              <w:ind w:left="1320"/>
              <w:spacing w:after="0"/>
              <w:rPr>
                <w:sz w:val="20"/>
                <w:szCs w:val="20"/>
                <w:color w:val="auto"/>
              </w:rPr>
            </w:pPr>
            <w:r>
              <w:rPr>
                <w:rFonts w:ascii="Times New Roman" w:cs="Times New Roman" w:eastAsia="Times New Roman" w:hAnsi="Times New Roman"/>
                <w:sz w:val="12"/>
                <w:szCs w:val="12"/>
                <w:color w:val="auto"/>
              </w:rPr>
              <w:t>15</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59"/>
          </w:cols>
          <w:pgMar w:left="1100" w:top="951" w:right="1440"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57395" cy="36830"/>
                    </a:xfrm>
                    <a:prstGeom prst="rect">
                      <a:avLst/>
                    </a:prstGeom>
                    <a:noFill/>
                  </pic:spPr>
                </pic:pic>
              </a:graphicData>
            </a:graphic>
          </wp:anchor>
        </w:drawing>
        <w:drawing>
          <wp:anchor simplePos="0" relativeHeight="251657728" behindDoc="1" locked="0" layoutInCell="0" allowOverlap="1">
            <wp:simplePos x="0" y="0"/>
            <wp:positionH relativeFrom="page">
              <wp:posOffset>701675</wp:posOffset>
            </wp:positionH>
            <wp:positionV relativeFrom="page">
              <wp:posOffset>617220</wp:posOffset>
            </wp:positionV>
            <wp:extent cx="3744595" cy="481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44595" cy="4813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7"/>
        </w:trPr>
        <w:tc>
          <w:tcPr>
            <w:tcW w:w="4240" w:type="dxa"/>
            <w:vAlign w:val="bottom"/>
            <w:shd w:val="clear" w:color="auto" w:fill="CCCCCC"/>
          </w:tcPr>
          <w:p>
            <w:pPr>
              <w:ind w:left="2440"/>
              <w:spacing w:after="0"/>
              <w:rPr>
                <w:sz w:val="20"/>
                <w:szCs w:val="20"/>
                <w:color w:val="auto"/>
              </w:rPr>
            </w:pPr>
            <w:r>
              <w:rPr>
                <w:rFonts w:ascii="Times New Roman" w:cs="Times New Roman" w:eastAsia="Times New Roman" w:hAnsi="Times New Roman"/>
                <w:sz w:val="12"/>
                <w:szCs w:val="12"/>
                <w:b w:val="1"/>
                <w:bCs w:val="1"/>
                <w:color w:val="auto"/>
              </w:rPr>
              <w:t>Conflicts of Interest</w:t>
            </w:r>
          </w:p>
        </w:tc>
        <w:tc>
          <w:tcPr>
            <w:tcW w:w="1620" w:type="dxa"/>
            <w:vAlign w:val="bottom"/>
            <w:shd w:val="clear" w:color="auto" w:fill="CCCCCC"/>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w w:val="99"/>
              </w:rPr>
              <w:t>Location in</w:t>
            </w:r>
          </w:p>
        </w:tc>
      </w:tr>
      <w:tr>
        <w:trPr>
          <w:trHeight w:val="159"/>
        </w:trPr>
        <w:tc>
          <w:tcPr>
            <w:tcW w:w="4240" w:type="dxa"/>
            <w:vAlign w:val="bottom"/>
            <w:shd w:val="clear" w:color="auto" w:fill="CCCCCC"/>
          </w:tcPr>
          <w:p>
            <w:pPr>
              <w:spacing w:after="0"/>
              <w:rPr>
                <w:sz w:val="13"/>
                <w:szCs w:val="13"/>
                <w:color w:val="auto"/>
              </w:rPr>
            </w:pPr>
          </w:p>
        </w:tc>
        <w:tc>
          <w:tcPr>
            <w:tcW w:w="1620" w:type="dxa"/>
            <w:vAlign w:val="bottom"/>
            <w:shd w:val="clear" w:color="auto" w:fill="CCCCCC"/>
          </w:tcPr>
          <w:p>
            <w:pPr>
              <w:jc w:val="center"/>
              <w:ind w:left="600"/>
              <w:spacing w:after="0"/>
              <w:rPr>
                <w:sz w:val="20"/>
                <w:szCs w:val="20"/>
                <w:color w:val="auto"/>
              </w:rPr>
            </w:pPr>
            <w:r>
              <w:rPr>
                <w:rFonts w:ascii="Times New Roman" w:cs="Times New Roman" w:eastAsia="Times New Roman" w:hAnsi="Times New Roman"/>
                <w:sz w:val="12"/>
                <w:szCs w:val="12"/>
                <w:b w:val="1"/>
                <w:bCs w:val="1"/>
                <w:color w:val="auto"/>
              </w:rPr>
              <w:t>the Prospectus</w:t>
            </w:r>
          </w:p>
        </w:tc>
      </w:tr>
      <w:tr>
        <w:trPr>
          <w:trHeight w:val="27"/>
        </w:trPr>
        <w:tc>
          <w:tcPr>
            <w:tcW w:w="4240" w:type="dxa"/>
            <w:vAlign w:val="bottom"/>
            <w:shd w:val="clear" w:color="auto" w:fill="CCCCCC"/>
          </w:tcPr>
          <w:p>
            <w:pPr>
              <w:spacing w:after="0"/>
              <w:rPr>
                <w:sz w:val="2"/>
                <w:szCs w:val="2"/>
                <w:color w:val="auto"/>
              </w:rPr>
            </w:pPr>
          </w:p>
        </w:tc>
        <w:tc>
          <w:tcPr>
            <w:tcW w:w="1620" w:type="dxa"/>
            <w:vAlign w:val="bottom"/>
            <w:shd w:val="clear" w:color="auto" w:fill="CCCCCC"/>
          </w:tcPr>
          <w:p>
            <w:pPr>
              <w:spacing w:after="0"/>
              <w:rPr>
                <w:sz w:val="2"/>
                <w:szCs w:val="2"/>
                <w:color w:val="auto"/>
              </w:rPr>
            </w:pPr>
          </w:p>
        </w:tc>
      </w:tr>
    </w:tbl>
    <w:p>
      <w:pPr>
        <w:spacing w:after="0" w:line="9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penalties to terminate the existing contract, that it is preferable for you to</w:t>
      </w:r>
    </w:p>
    <w:p>
      <w:pPr>
        <w:ind w:left="1120"/>
        <w:spacing w:after="0"/>
        <w:rPr>
          <w:sz w:val="20"/>
          <w:szCs w:val="20"/>
          <w:color w:val="auto"/>
        </w:rPr>
      </w:pPr>
      <w:r>
        <w:rPr>
          <w:rFonts w:ascii="Times New Roman" w:cs="Times New Roman" w:eastAsia="Times New Roman" w:hAnsi="Times New Roman"/>
          <w:sz w:val="12"/>
          <w:szCs w:val="12"/>
          <w:color w:val="auto"/>
        </w:rPr>
        <w:t>purchase the new contract rather than continue to own the existing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9339"/>
          </w:cols>
          <w:pgMar w:left="1120" w:top="986" w:right="1440" w:bottom="1440" w:gutter="0" w:footer="0" w:header="0"/>
        </w:sectPr>
      </w:pPr>
    </w:p>
    <w:bookmarkStart w:id="17" w:name="page18"/>
    <w:bookmarkEnd w:id="17"/>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57395" cy="36830"/>
                    </a:xfrm>
                    <a:prstGeom prst="rect">
                      <a:avLst/>
                    </a:prstGeom>
                    <a:noFill/>
                  </pic:spPr>
                </pic:pic>
              </a:graphicData>
            </a:graphic>
          </wp:anchor>
        </w:drawing>
        <w:t>FEE TABLE</w:t>
      </w:r>
    </w:p>
    <w:p>
      <w:pPr>
        <w:spacing w:after="0" w:line="123" w:lineRule="exact"/>
        <w:rPr>
          <w:sz w:val="20"/>
          <w:szCs w:val="20"/>
          <w:color w:val="auto"/>
        </w:rPr>
      </w:pPr>
    </w:p>
    <w:p>
      <w:pPr>
        <w:ind w:right="3939"/>
        <w:spacing w:after="0" w:line="292" w:lineRule="auto"/>
        <w:rPr>
          <w:sz w:val="20"/>
          <w:szCs w:val="20"/>
          <w:color w:val="auto"/>
        </w:rPr>
      </w:pPr>
      <w:r>
        <w:rPr>
          <w:rFonts w:ascii="Times New Roman" w:cs="Times New Roman" w:eastAsia="Times New Roman" w:hAnsi="Times New Roman"/>
          <w:sz w:val="12"/>
          <w:szCs w:val="12"/>
          <w:b w:val="1"/>
          <w:bCs w:val="1"/>
          <w:color w:val="auto"/>
        </w:rPr>
        <w:t>The following tables describe the fees expenses, and adjustments that you will pay when buying, owning, and Surrendering or making withdrawals from an Allocation Option or from the Contract. Please refer to your Contract specifications page for information about the specific fees you will pay each year.</w:t>
      </w:r>
    </w:p>
    <w:p>
      <w:pPr>
        <w:jc w:val="both"/>
        <w:ind w:right="4139"/>
        <w:spacing w:after="0" w:line="292" w:lineRule="auto"/>
        <w:rPr>
          <w:sz w:val="20"/>
          <w:szCs w:val="20"/>
          <w:color w:val="auto"/>
        </w:rPr>
      </w:pPr>
      <w:r>
        <w:rPr>
          <w:rFonts w:ascii="Times New Roman" w:cs="Times New Roman" w:eastAsia="Times New Roman" w:hAnsi="Times New Roman"/>
          <w:sz w:val="12"/>
          <w:szCs w:val="12"/>
          <w:b w:val="1"/>
          <w:bCs w:val="1"/>
          <w:color w:val="auto"/>
        </w:rPr>
        <w:t xml:space="preserve">The first table describes the fees, and expenses that you will pay at the time that you buy the Contract, Surrender or make withdrawals from an Allocation Option or from the Contract, or transfer Account Value between Allocation Options. State premium taxes may also be deducted. </w:t>
      </w:r>
      <w:r>
        <w:rPr>
          <w:rFonts w:ascii="Times New Roman" w:cs="Times New Roman" w:eastAsia="Times New Roman" w:hAnsi="Times New Roman"/>
          <w:sz w:val="12"/>
          <w:szCs w:val="12"/>
          <w:color w:val="auto"/>
        </w:rPr>
        <w:t xml:space="preserve"> </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 Expenses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Withdrawal Charge</w:t>
            </w:r>
            <w:r>
              <w:rPr>
                <w:rFonts w:ascii="Times New Roman" w:cs="Times New Roman" w:eastAsia="Times New Roman" w:hAnsi="Times New Roman"/>
                <w:sz w:val="15"/>
                <w:szCs w:val="15"/>
                <w:color w:val="auto"/>
                <w:vertAlign w:val="superscript"/>
              </w:rPr>
              <w:t>(1)</w:t>
            </w:r>
          </w:p>
        </w:tc>
        <w:tc>
          <w:tcPr>
            <w:tcW w:w="800" w:type="dxa"/>
            <w:vAlign w:val="bottom"/>
          </w:tcPr>
          <w:p>
            <w:pPr>
              <w:spacing w:after="0"/>
              <w:rPr>
                <w:sz w:val="15"/>
                <w:szCs w:val="15"/>
                <w:color w:val="auto"/>
              </w:rPr>
            </w:pPr>
          </w:p>
        </w:tc>
      </w:tr>
      <w:tr>
        <w:trPr>
          <w:trHeight w:val="155"/>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(as a percentage of the amount withdrawn in excess of the Free Withdrawal Amount)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53441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34410" cy="4254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(1)</w:t>
      </w:r>
    </w:p>
    <w:p>
      <w:pPr>
        <w:jc w:val="both"/>
        <w:ind w:left="220" w:right="3899"/>
        <w:spacing w:after="0" w:line="250" w:lineRule="auto"/>
        <w:rPr>
          <w:sz w:val="20"/>
          <w:szCs w:val="20"/>
          <w:color w:val="auto"/>
        </w:rPr>
      </w:pPr>
      <w:r>
        <w:rPr>
          <w:rFonts w:ascii="Times New Roman" w:cs="Times New Roman" w:eastAsia="Times New Roman" w:hAnsi="Times New Roman"/>
          <w:sz w:val="10"/>
          <w:szCs w:val="10"/>
          <w:color w:val="auto"/>
        </w:rPr>
        <w:t>The Withdrawal Charge is not assessed during the Annuity Period and in certain other instances. See “When No Withdrawal Charge Applies” under “CHARGES, FEES, AND ADJUSTMENTS” section in the prospectus for a list of withdrawal charge waivers. Withdrawal Charges are calculated at the time of each withdrawal in accordance with the</w:t>
      </w:r>
    </w:p>
    <w:p>
      <w:pPr>
        <w:spacing w:after="0" w:line="1" w:lineRule="exact"/>
        <w:rPr>
          <w:sz w:val="20"/>
          <w:szCs w:val="20"/>
          <w:color w:val="auto"/>
        </w:rPr>
      </w:pPr>
    </w:p>
    <w:p>
      <w:pPr>
        <w:jc w:val="both"/>
        <w:ind w:left="220" w:right="3919"/>
        <w:spacing w:after="0" w:line="232" w:lineRule="auto"/>
        <w:rPr>
          <w:sz w:val="20"/>
          <w:szCs w:val="20"/>
          <w:color w:val="auto"/>
        </w:rPr>
      </w:pPr>
      <w:r>
        <w:rPr>
          <w:rFonts w:ascii="Times New Roman" w:cs="Times New Roman" w:eastAsia="Times New Roman" w:hAnsi="Times New Roman"/>
          <w:sz w:val="11"/>
          <w:szCs w:val="11"/>
          <w:color w:val="auto"/>
        </w:rPr>
        <w:t>following schedule (See “Withdrawal Charge” under “CHARGES, FEES, AND ADJUSTMENTS” section in the prospectus for more information).</w:t>
      </w:r>
    </w:p>
    <w:p>
      <w:pPr>
        <w:spacing w:after="0" w:line="85" w:lineRule="exact"/>
        <w:rPr>
          <w:sz w:val="20"/>
          <w:szCs w:val="20"/>
          <w:color w:val="auto"/>
        </w:rPr>
      </w:pPr>
    </w:p>
    <w:tbl>
      <w:tblPr>
        <w:tblLayout w:type="fixed"/>
        <w:tblInd w:w="900" w:type="dxa"/>
        <w:tblCellMar>
          <w:top w:w="0" w:type="dxa"/>
          <w:left w:w="0" w:type="dxa"/>
          <w:bottom w:w="0" w:type="dxa"/>
          <w:right w:w="0" w:type="dxa"/>
        </w:tblCellMar>
      </w:tblPr>
      <w:tr>
        <w:trPr>
          <w:trHeight w:val="140"/>
        </w:trPr>
        <w:tc>
          <w:tcPr>
            <w:tcW w:w="2380" w:type="dxa"/>
            <w:vAlign w:val="bottom"/>
            <w:gridSpan w:val="2"/>
          </w:tcPr>
          <w:p>
            <w:pPr>
              <w:jc w:val="center"/>
              <w:ind w:right="1020"/>
              <w:spacing w:after="0"/>
              <w:rPr>
                <w:sz w:val="20"/>
                <w:szCs w:val="20"/>
                <w:color w:val="auto"/>
              </w:rPr>
            </w:pPr>
            <w:r>
              <w:rPr>
                <w:rFonts w:ascii="Times New Roman" w:cs="Times New Roman" w:eastAsia="Times New Roman" w:hAnsi="Times New Roman"/>
                <w:sz w:val="11"/>
                <w:szCs w:val="11"/>
                <w:color w:val="auto"/>
                <w:w w:val="98"/>
              </w:rPr>
              <w:t>Number of Complete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6"/>
              </w:rPr>
              <w:t>Withdrawal</w:t>
            </w:r>
          </w:p>
        </w:tc>
      </w:tr>
      <w:tr>
        <w:trPr>
          <w:trHeight w:val="139"/>
        </w:trPr>
        <w:tc>
          <w:tcPr>
            <w:tcW w:w="2380" w:type="dxa"/>
            <w:vAlign w:val="bottom"/>
            <w:gridSpan w:val="2"/>
          </w:tcPr>
          <w:p>
            <w:pPr>
              <w:jc w:val="center"/>
              <w:ind w:right="1000"/>
              <w:spacing w:after="0"/>
              <w:rPr>
                <w:sz w:val="20"/>
                <w:szCs w:val="20"/>
                <w:color w:val="auto"/>
              </w:rPr>
            </w:pPr>
            <w:r>
              <w:rPr>
                <w:rFonts w:ascii="Times New Roman" w:cs="Times New Roman" w:eastAsia="Times New Roman" w:hAnsi="Times New Roman"/>
                <w:sz w:val="11"/>
                <w:szCs w:val="11"/>
                <w:color w:val="auto"/>
                <w:w w:val="98"/>
              </w:rPr>
              <w:t>Contract Years since Issue Date</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9"/>
              </w:rPr>
              <w:t>Charge percentage</w:t>
            </w:r>
          </w:p>
        </w:tc>
      </w:tr>
      <w:tr>
        <w:trPr>
          <w:trHeight w:val="138"/>
        </w:trPr>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0</w:t>
            </w:r>
          </w:p>
        </w:tc>
        <w:tc>
          <w:tcPr>
            <w:tcW w:w="1020" w:type="dxa"/>
            <w:vAlign w:val="bottom"/>
          </w:tcPr>
          <w:p>
            <w:pPr>
              <w:spacing w:after="0"/>
              <w:rPr>
                <w:sz w:val="12"/>
                <w:szCs w:val="12"/>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7%</w:t>
            </w:r>
          </w:p>
        </w:tc>
        <w:tc>
          <w:tcPr>
            <w:tcW w:w="20" w:type="dxa"/>
            <w:vAlign w:val="bottom"/>
          </w:tcPr>
          <w:p>
            <w:pPr>
              <w:spacing w:after="0"/>
              <w:rPr>
                <w:sz w:val="12"/>
                <w:szCs w:val="12"/>
                <w:color w:val="auto"/>
              </w:rPr>
            </w:pPr>
          </w:p>
        </w:tc>
      </w:tr>
      <w:tr>
        <w:trPr>
          <w:trHeight w:val="207"/>
        </w:trPr>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10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7%</w:t>
            </w:r>
          </w:p>
        </w:tc>
        <w:tc>
          <w:tcPr>
            <w:tcW w:w="20" w:type="dxa"/>
            <w:vAlign w:val="bottom"/>
          </w:tcPr>
          <w:p>
            <w:pPr>
              <w:spacing w:after="0"/>
              <w:rPr>
                <w:sz w:val="18"/>
                <w:szCs w:val="18"/>
                <w:color w:val="auto"/>
              </w:rPr>
            </w:pPr>
          </w:p>
        </w:tc>
      </w:tr>
      <w:tr>
        <w:trPr>
          <w:trHeight w:val="207"/>
        </w:trPr>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w:t>
            </w:r>
          </w:p>
        </w:tc>
        <w:tc>
          <w:tcPr>
            <w:tcW w:w="10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6%</w:t>
            </w:r>
          </w:p>
        </w:tc>
        <w:tc>
          <w:tcPr>
            <w:tcW w:w="20" w:type="dxa"/>
            <w:vAlign w:val="bottom"/>
          </w:tcPr>
          <w:p>
            <w:pPr>
              <w:spacing w:after="0"/>
              <w:rPr>
                <w:sz w:val="18"/>
                <w:szCs w:val="18"/>
                <w:color w:val="auto"/>
              </w:rPr>
            </w:pPr>
          </w:p>
        </w:tc>
      </w:tr>
      <w:tr>
        <w:trPr>
          <w:trHeight w:val="207"/>
        </w:trPr>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10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5%</w:t>
            </w:r>
          </w:p>
        </w:tc>
        <w:tc>
          <w:tcPr>
            <w:tcW w:w="20" w:type="dxa"/>
            <w:vAlign w:val="bottom"/>
          </w:tcPr>
          <w:p>
            <w:pPr>
              <w:spacing w:after="0"/>
              <w:rPr>
                <w:sz w:val="18"/>
                <w:szCs w:val="18"/>
                <w:color w:val="auto"/>
              </w:rPr>
            </w:pPr>
          </w:p>
        </w:tc>
      </w:tr>
      <w:tr>
        <w:trPr>
          <w:trHeight w:val="207"/>
        </w:trPr>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w:t>
            </w:r>
          </w:p>
        </w:tc>
        <w:tc>
          <w:tcPr>
            <w:tcW w:w="10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4%</w:t>
            </w:r>
          </w:p>
        </w:tc>
        <w:tc>
          <w:tcPr>
            <w:tcW w:w="20" w:type="dxa"/>
            <w:vAlign w:val="bottom"/>
          </w:tcPr>
          <w:p>
            <w:pPr>
              <w:spacing w:after="0"/>
              <w:rPr>
                <w:sz w:val="18"/>
                <w:szCs w:val="18"/>
                <w:color w:val="auto"/>
              </w:rPr>
            </w:pPr>
          </w:p>
        </w:tc>
      </w:tr>
      <w:tr>
        <w:trPr>
          <w:trHeight w:val="207"/>
        </w:trPr>
        <w:tc>
          <w:tcPr>
            <w:tcW w:w="13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w:t>
            </w:r>
          </w:p>
        </w:tc>
        <w:tc>
          <w:tcPr>
            <w:tcW w:w="10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3%</w:t>
            </w:r>
          </w:p>
        </w:tc>
        <w:tc>
          <w:tcPr>
            <w:tcW w:w="20" w:type="dxa"/>
            <w:vAlign w:val="bottom"/>
          </w:tcPr>
          <w:p>
            <w:pPr>
              <w:spacing w:after="0"/>
              <w:rPr>
                <w:sz w:val="18"/>
                <w:szCs w:val="18"/>
                <w:color w:val="auto"/>
              </w:rPr>
            </w:pPr>
          </w:p>
        </w:tc>
      </w:tr>
      <w:tr>
        <w:trPr>
          <w:trHeight w:val="207"/>
        </w:trPr>
        <w:tc>
          <w:tcPr>
            <w:tcW w:w="2380" w:type="dxa"/>
            <w:vAlign w:val="bottom"/>
            <w:gridSpan w:val="2"/>
          </w:tcPr>
          <w:p>
            <w:pPr>
              <w:jc w:val="center"/>
              <w:ind w:right="1000"/>
              <w:spacing w:after="0"/>
              <w:rPr>
                <w:sz w:val="20"/>
                <w:szCs w:val="20"/>
                <w:color w:val="auto"/>
              </w:rPr>
            </w:pPr>
            <w:r>
              <w:rPr>
                <w:rFonts w:ascii="Times New Roman" w:cs="Times New Roman" w:eastAsia="Times New Roman" w:hAnsi="Times New Roman"/>
                <w:sz w:val="11"/>
                <w:szCs w:val="11"/>
                <w:color w:val="auto"/>
                <w:w w:val="98"/>
              </w:rPr>
              <w:t>6 or more</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w:t>
            </w:r>
          </w:p>
        </w:tc>
        <w:tc>
          <w:tcPr>
            <w:tcW w:w="20" w:type="dxa"/>
            <w:vAlign w:val="bottom"/>
          </w:tcPr>
          <w:p>
            <w:pPr>
              <w:spacing w:after="0"/>
              <w:rPr>
                <w:sz w:val="18"/>
                <w:szCs w:val="18"/>
                <w:color w:val="auto"/>
              </w:rPr>
            </w:pPr>
          </w:p>
        </w:tc>
      </w:tr>
    </w:tbl>
    <w:p>
      <w:pPr>
        <w:spacing w:after="0" w:line="178" w:lineRule="exact"/>
        <w:rPr>
          <w:sz w:val="20"/>
          <w:szCs w:val="20"/>
          <w:color w:val="auto"/>
        </w:rPr>
      </w:pPr>
    </w:p>
    <w:p>
      <w:pPr>
        <w:ind w:right="4139"/>
        <w:spacing w:after="0" w:line="292" w:lineRule="auto"/>
        <w:rPr>
          <w:sz w:val="20"/>
          <w:szCs w:val="20"/>
          <w:color w:val="auto"/>
        </w:rPr>
      </w:pPr>
      <w:r>
        <w:rPr>
          <w:rFonts w:ascii="Times New Roman" w:cs="Times New Roman" w:eastAsia="Times New Roman" w:hAnsi="Times New Roman"/>
          <w:sz w:val="12"/>
          <w:szCs w:val="12"/>
          <w:b w:val="1"/>
          <w:bCs w:val="1"/>
          <w:color w:val="auto"/>
        </w:rPr>
        <w:t>The next table describes the adjustments, in addition to any transaction expenses, that apply if all or a portion of the Account Value is removed from an Allocation Option or from the Contract before the expiration of a specified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4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Interim Value Maximum Potential Loss</w:t>
            </w:r>
            <w:r>
              <w:rPr>
                <w:rFonts w:ascii="Times New Roman" w:cs="Times New Roman" w:eastAsia="Times New Roman" w:hAnsi="Times New Roman"/>
                <w:sz w:val="15"/>
                <w:szCs w:val="15"/>
                <w:color w:val="auto"/>
                <w:vertAlign w:val="superscript"/>
              </w:rPr>
              <w:t>(1)</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100%</w:t>
            </w:r>
            <w:r>
              <w:rPr>
                <w:rFonts w:ascii="Times New Roman" w:cs="Times New Roman" w:eastAsia="Times New Roman" w:hAnsi="Times New Roman"/>
                <w:sz w:val="15"/>
                <w:szCs w:val="15"/>
                <w:color w:val="auto"/>
                <w:vertAlign w:val="superscript"/>
              </w:rPr>
              <w:t>(2)</w:t>
            </w:r>
          </w:p>
        </w:tc>
        <w:tc>
          <w:tcPr>
            <w:tcW w:w="0" w:type="dxa"/>
            <w:vAlign w:val="bottom"/>
          </w:tcPr>
          <w:p>
            <w:pPr>
              <w:spacing w:after="0"/>
              <w:rPr>
                <w:sz w:val="1"/>
                <w:szCs w:val="1"/>
                <w:color w:val="auto"/>
              </w:rPr>
            </w:pPr>
          </w:p>
        </w:tc>
      </w:tr>
      <w:tr>
        <w:trPr>
          <w:trHeight w:val="191"/>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(as a percentage of the Investment Amount in the Shield Option)</w:t>
            </w: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3441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34410" cy="4254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(1)</w:t>
      </w:r>
    </w:p>
    <w:p>
      <w:pPr>
        <w:ind w:left="220" w:right="3899"/>
        <w:spacing w:after="0" w:line="230" w:lineRule="auto"/>
        <w:rPr>
          <w:sz w:val="20"/>
          <w:szCs w:val="20"/>
          <w:color w:val="auto"/>
        </w:rPr>
      </w:pPr>
      <w:r>
        <w:rPr>
          <w:rFonts w:ascii="Times New Roman" w:cs="Times New Roman" w:eastAsia="Times New Roman" w:hAnsi="Times New Roman"/>
          <w:sz w:val="11"/>
          <w:szCs w:val="11"/>
          <w:color w:val="auto"/>
        </w:rPr>
        <w:t>An Interim Value adjustment is not an explicit charge. It is an adjustment that we use between the Term Start Date and the Term End Date to calculate the amount that is available for (1) annuitization; (2) death benefits; (3) withdrawals</w:t>
      </w:r>
    </w:p>
    <w:p>
      <w:pPr>
        <w:ind w:left="220"/>
        <w:spacing w:after="0" w:line="225" w:lineRule="auto"/>
        <w:rPr>
          <w:sz w:val="20"/>
          <w:szCs w:val="20"/>
          <w:color w:val="auto"/>
        </w:rPr>
      </w:pPr>
      <w:r>
        <w:rPr>
          <w:rFonts w:ascii="Times New Roman" w:cs="Times New Roman" w:eastAsia="Times New Roman" w:hAnsi="Times New Roman"/>
          <w:sz w:val="11"/>
          <w:szCs w:val="11"/>
          <w:color w:val="auto"/>
        </w:rPr>
        <w:t>(including RMDs and systematic withdrawals); (4) Surrenders; and (5) Performance Lock.</w:t>
      </w:r>
    </w:p>
    <w:p>
      <w:pPr>
        <w:spacing w:after="0" w:line="183" w:lineRule="auto"/>
        <w:rPr>
          <w:sz w:val="20"/>
          <w:szCs w:val="20"/>
          <w:color w:val="auto"/>
        </w:rPr>
      </w:pPr>
      <w:r>
        <w:rPr>
          <w:rFonts w:ascii="Times New Roman" w:cs="Times New Roman" w:eastAsia="Times New Roman" w:hAnsi="Times New Roman"/>
          <w:sz w:val="5"/>
          <w:szCs w:val="5"/>
          <w:color w:val="auto"/>
        </w:rPr>
        <w:t>(2)</w:t>
      </w:r>
    </w:p>
    <w:p>
      <w:pPr>
        <w:ind w:left="220" w:right="3899"/>
        <w:spacing w:after="0" w:line="230" w:lineRule="auto"/>
        <w:rPr>
          <w:sz w:val="20"/>
          <w:szCs w:val="20"/>
          <w:color w:val="auto"/>
        </w:rPr>
      </w:pPr>
      <w:r>
        <w:rPr>
          <w:rFonts w:ascii="Times New Roman" w:cs="Times New Roman" w:eastAsia="Times New Roman" w:hAnsi="Times New Roman"/>
          <w:sz w:val="11"/>
          <w:szCs w:val="11"/>
          <w:color w:val="auto"/>
        </w:rPr>
        <w:t>In extreme circumstances, you could lose up to 100% of the value of your Shield Option if you make a withdrawal or Surrender from the Shield Options, or if you exercise the Performance Lock before the Term End Date. The maximum</w:t>
      </w:r>
    </w:p>
    <w:p>
      <w:pPr>
        <w:spacing w:after="0" w:line="1" w:lineRule="exact"/>
        <w:rPr>
          <w:sz w:val="20"/>
          <w:szCs w:val="20"/>
          <w:color w:val="auto"/>
        </w:rPr>
      </w:pPr>
    </w:p>
    <w:p>
      <w:pPr>
        <w:ind w:left="220" w:right="3899"/>
        <w:spacing w:after="0" w:line="232" w:lineRule="auto"/>
        <w:rPr>
          <w:sz w:val="20"/>
          <w:szCs w:val="20"/>
          <w:color w:val="auto"/>
        </w:rPr>
      </w:pPr>
      <w:r>
        <w:rPr>
          <w:rFonts w:ascii="Times New Roman" w:cs="Times New Roman" w:eastAsia="Times New Roman" w:hAnsi="Times New Roman"/>
          <w:sz w:val="11"/>
          <w:szCs w:val="11"/>
          <w:color w:val="auto"/>
        </w:rPr>
        <w:t>potential loss would only occur if the Index price has declined to zero and there is a full withdrawal of the Interim Value from the Shield Option or if you exercise the Performance Lock feature before the Term End Date.</w:t>
      </w:r>
    </w:p>
    <w:p>
      <w:pPr>
        <w:spacing w:after="0" w:line="98" w:lineRule="exact"/>
        <w:rPr>
          <w:sz w:val="20"/>
          <w:szCs w:val="20"/>
          <w:color w:val="auto"/>
        </w:rPr>
      </w:pPr>
    </w:p>
    <w:p>
      <w:pPr>
        <w:ind w:right="3879"/>
        <w:spacing w:after="0" w:line="318" w:lineRule="auto"/>
        <w:rPr>
          <w:sz w:val="20"/>
          <w:szCs w:val="20"/>
          <w:color w:val="auto"/>
        </w:rPr>
      </w:pPr>
      <w:r>
        <w:rPr>
          <w:rFonts w:ascii="Times New Roman" w:cs="Times New Roman" w:eastAsia="Times New Roman" w:hAnsi="Times New Roman"/>
          <w:sz w:val="12"/>
          <w:szCs w:val="12"/>
          <w:b w:val="1"/>
          <w:bCs w:val="1"/>
          <w:color w:val="auto"/>
        </w:rPr>
        <w:t>The next table describes the fees and expenses that you will pay each year during the time that you own the Contract.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Annual Contract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Base Contract Expenses</w:t>
            </w:r>
          </w:p>
        </w:tc>
        <w:tc>
          <w:tcPr>
            <w:tcW w:w="2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53441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34410" cy="4254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47" w:lineRule="exact"/>
        <w:rPr>
          <w:sz w:val="20"/>
          <w:szCs w:val="20"/>
          <w:color w:val="auto"/>
        </w:rPr>
      </w:pPr>
    </w:p>
    <w:p>
      <w:pPr>
        <w:jc w:val="both"/>
        <w:ind w:right="4159"/>
        <w:spacing w:after="0" w:line="292" w:lineRule="auto"/>
        <w:rPr>
          <w:sz w:val="20"/>
          <w:szCs w:val="20"/>
          <w:color w:val="auto"/>
        </w:rPr>
      </w:pPr>
      <w:r>
        <w:rPr>
          <w:rFonts w:ascii="Times New Roman" w:cs="Times New Roman" w:eastAsia="Times New Roman" w:hAnsi="Times New Roman"/>
          <w:sz w:val="12"/>
          <w:szCs w:val="12"/>
          <w:b w:val="1"/>
          <w:bCs w:val="1"/>
          <w:color w:val="auto"/>
        </w:rPr>
        <w:t>In addition to the fees described above, we limit the amount you can earn on the Shield Options. This means your returns may be lower than the Index’s returns. In return for accepting this limit on Index gains, you will receive some protection from Index losses</w:t>
      </w:r>
      <w:r>
        <w:rPr>
          <w:rFonts w:ascii="Times New Roman" w:cs="Times New Roman" w:eastAsia="Times New Roman" w:hAnsi="Times New Roman"/>
          <w:sz w:val="12"/>
          <w:szCs w:val="12"/>
          <w:color w:val="auto"/>
        </w:rPr>
        <w:t>.</w:t>
      </w:r>
    </w:p>
    <w:p>
      <w:pPr>
        <w:spacing w:after="0" w:line="15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9359"/>
          </w:cols>
          <w:pgMar w:left="1100" w:top="962" w:right="1440" w:bottom="1440" w:gutter="0" w:footer="0" w:header="0"/>
        </w:sectPr>
      </w:pPr>
    </w:p>
    <w:bookmarkStart w:id="18" w:name="page19"/>
    <w:bookmarkEnd w:id="18"/>
    <w:p>
      <w:pPr>
        <w:ind w:left="120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57395" cy="36830"/>
                    </a:xfrm>
                    <a:prstGeom prst="rect">
                      <a:avLst/>
                    </a:prstGeom>
                    <a:noFill/>
                  </pic:spPr>
                </pic:pic>
              </a:graphicData>
            </a:graphic>
          </wp:anchor>
        </w:drawing>
        <w:t>PRINCIPAL RISKS OF INVESTING IN THE CONTRACT</w:t>
      </w:r>
    </w:p>
    <w:p>
      <w:pPr>
        <w:spacing w:after="0" w:line="82"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The purchase of the Contract involves certain risks. You should carefully consider the following factors, in addition to the matters set forth elsewhere in the prospectus, prior to purchasing the Contract.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of Loss</w:t>
      </w:r>
    </w:p>
    <w:p>
      <w:pPr>
        <w:spacing w:after="0" w:line="82"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There is a risk of substantial loss of your principal (unless you allocated your entire Purchase Payment to the Fixed Account) because you agree to absorb all losses at the end of the Term that exceed the Shield Rate for the Shield Options you select under the Contract. This means that if a negative Index Performance for a Shield Option you select exceeds the corresponding Shield Rate at the Term End Date, you will bear the portion of the loss that exceeds the Shield Rate.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Interim Value Risk of Loss</w:t>
      </w:r>
    </w:p>
    <w:p>
      <w:pPr>
        <w:spacing w:after="0" w:line="82" w:lineRule="exact"/>
        <w:rPr>
          <w:sz w:val="20"/>
          <w:szCs w:val="20"/>
          <w:color w:val="auto"/>
        </w:rPr>
      </w:pPr>
    </w:p>
    <w:p>
      <w:pPr>
        <w:jc w:val="both"/>
        <w:ind w:right="3839" w:firstLine="240"/>
        <w:spacing w:after="0" w:line="252" w:lineRule="auto"/>
        <w:rPr>
          <w:sz w:val="20"/>
          <w:szCs w:val="20"/>
          <w:color w:val="auto"/>
        </w:rPr>
      </w:pPr>
      <w:r>
        <w:rPr>
          <w:rFonts w:ascii="Times New Roman" w:cs="Times New Roman" w:eastAsia="Times New Roman" w:hAnsi="Times New Roman"/>
          <w:sz w:val="12"/>
          <w:szCs w:val="12"/>
          <w:color w:val="auto"/>
        </w:rPr>
        <w:t>If you have not exercised the Performance Lock on a Shield Option, the amount that is available between the Term Start Date and the Term End Date for annuitization, death benefits, withdrawals (including RMDs and systematic withdrawals), Surrenders, and Performance Lock will be the Interim Value. To determine the Interim Value, we apply a formula which does not reflect the actual performance of the applicable Index, but rather a determination of the value of hypothetical underlying investments at the time of the Interim Value calculation. The Interim Value calculated may be less than the Investment Amount at the time the Interim Value is calculated even if the current Index Value is higher than it was on the Term Start Date. Additionally, the Shield Rate and the Rate Crediting Type only apply to amounts held in the investment until the Term End Date. This means that the Interim Value does not receive the protection from loss provided by the Shield Rate or the application of the Rate Crediting Type. The Interim Value could be more or less than the amount you would receive had you held the Shield Option until the Term End Date, after the Performance Rate Adjustment. There is a substantial risk of loss in connection with transactions from the Shield Options before the Term End Date, as discussed below under “Effect of Withdrawals, Surrender, Annuitization or Death.” A negative Interim Value could result in a loss beyond the protection of the Shield Rate. In extreme circumstances, you could lose up to 100% of the value of the Shield Option if you exercise the Performance Lock, or if you make a withdrawal, Surrender, or otherwise remove amounts from the Shield Options before the Term End Date.</w:t>
      </w:r>
    </w:p>
    <w:p>
      <w:pPr>
        <w:spacing w:after="0" w:line="58"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Withdrawals from the Shield Options before a Term End Date could have adverse impacts even if the Index Value has increased at the time of the calculation because the withdrawal will not allow you to participate in the Index Performance for the Term with your entire Investment Amount. Amounts withdrawn before the end of the Term will not be credited with positive interest, if any, at the end of the Term. If you withdraw Account Value allocated to a Shield Option during a Term (assuming you have not exercised the Performance Lock), the withdrawal will reduce the Investment Amount for that Shield Option by the same percentage that the Interim Value of that Shield Option was reduced by the withdrawal. A proportional reduction may be larger than the dollar amount of your withdrawal even if the Index Value has increased. Reductions to the Investment Amount will have an adverse impact on the Interim Value for that Shield Option for the remainder of the Term and, as a result, the positive interest, if any, credited to the remaining Investment Amount on the Term End Date will be less than if you had not taken a withdrawal.</w:t>
      </w:r>
    </w:p>
    <w:p>
      <w:pPr>
        <w:spacing w:after="0" w:line="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the risk of loss associated with the Performance Lock, see “Performance Lock Risks” below.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Risk</w:t>
      </w:r>
    </w:p>
    <w:p>
      <w:pPr>
        <w:spacing w:after="0" w:line="82"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color w:val="auto"/>
        </w:rPr>
        <w:t>The Contract is intended for retirement savings or other long-term investment purposes. The benefits of tax deferral and living benefit protection also mean the Contract is more beneficial to investors with a long-time horizon. The Contract is unsuitable as a short-term savings vehicle. Withdrawals (including RMDs and systematic withdrawals) and Surrenders from the Contract may be subject to Withdrawal Charges, income taxes, and income tax penalties if taken before age 59½. Additionally, withdrawals (including RMDs and systematic withdrawals), Surrenders, death benefit payments, and annuitization from the Shield Options before the Term End Date will be based on the Interim Values of the Shield Options, which may result in loss. See “Risk of Loss”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Ownership of the Underlying Securities</w:t>
      </w:r>
    </w:p>
    <w:p>
      <w:pPr>
        <w:spacing w:after="0" w:line="82"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When you purchase the Contract and allocate your Purchase Payment to a Shield Option(s), you will not be investing in the Index or the securities tracked by the Index.</w:t>
      </w:r>
    </w:p>
    <w:p>
      <w:pPr>
        <w:spacing w:after="0" w:line="200" w:lineRule="exact"/>
        <w:rPr>
          <w:sz w:val="20"/>
          <w:szCs w:val="20"/>
          <w:color w:val="auto"/>
        </w:rPr>
      </w:pPr>
    </w:p>
    <w:p>
      <w:pPr>
        <w:spacing w:after="0" w:line="39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9359"/>
          </w:cols>
          <w:pgMar w:left="1100" w:top="962"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57395" cy="36830"/>
                    </a:xfrm>
                    <a:prstGeom prst="rect">
                      <a:avLst/>
                    </a:prstGeom>
                    <a:noFill/>
                  </pic:spPr>
                </pic:pic>
              </a:graphicData>
            </a:graphic>
          </wp:anchor>
        </w:drawing>
        <w:t>Adjustments Upon Taking a Withdrawal</w:t>
      </w:r>
    </w:p>
    <w:p>
      <w:pPr>
        <w:spacing w:after="0" w:line="91"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You may withdraw some or all of your money at any time prior to the Annuity Date. If you have not exercised the Performance Lock, for any withdrawal taken on a Term End Date, a Performance Rate Adjustment, as of the date of the withdrawal, will apply. For any withdrawal taken between the Term Start Date and the Term End Date when you have not exercised the Performance Lock, we use an Interim Value calculation, which will reduce the Investment Amount for that Shield Option by the percentage reduction in the Interim Value of that Shield Option. The Performance Rate Adjustment, if negative, and proportional reduction may be substantial. Since withdrawal amounts from a Shield Option will reduce the Investment Amount for that Shield Option by the percentage reduction in the Interim Value of that Shield Option, a withdrawal when Interim Value is less than the Investment Amount will cause a greater percentage reduction in the Investment Amount that remains in your Shield Option relative to the percentage reduction for the same withdrawal amount when Interim Value is greater than the Investment Amount.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Effect of Withdrawals, Surrender, Annuitization or Death</w:t>
      </w:r>
    </w:p>
    <w:p>
      <w:pPr>
        <w:spacing w:after="0" w:line="91" w:lineRule="exact"/>
        <w:rPr>
          <w:sz w:val="20"/>
          <w:szCs w:val="20"/>
          <w:color w:val="auto"/>
        </w:rPr>
      </w:pPr>
    </w:p>
    <w:p>
      <w:pPr>
        <w:jc w:val="both"/>
        <w:ind w:left="240" w:right="3899" w:hanging="232"/>
        <w:spacing w:after="0" w:line="256" w:lineRule="auto"/>
        <w:tabs>
          <w:tab w:leader="none" w:pos="2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calculation of your Interim Value may result in an amount that is less than the amount you would receive had you held the investment until the Term End Date. If you take a withdrawal when Index Performance is negative, your remaining Investment Amount may be significantly less than if you waited to take the withdrawal when Index Performance was positive. For more information on how we determine Interim Value and the potential adverse impacts of a withdrawal before the Term End Date, see “Risk of Loss” above.</w:t>
      </w:r>
    </w:p>
    <w:p>
      <w:pPr>
        <w:spacing w:after="0" w:line="61" w:lineRule="exact"/>
        <w:rPr>
          <w:rFonts w:ascii="Times New Roman" w:cs="Times New Roman" w:eastAsia="Times New Roman" w:hAnsi="Times New Roman"/>
          <w:sz w:val="12"/>
          <w:szCs w:val="12"/>
          <w:color w:val="auto"/>
        </w:rPr>
      </w:pPr>
    </w:p>
    <w:p>
      <w:pPr>
        <w:jc w:val="both"/>
        <w:ind w:left="480" w:right="3899" w:hanging="232"/>
        <w:spacing w:after="0" w:line="260" w:lineRule="auto"/>
        <w:tabs>
          <w:tab w:leader="none" w:pos="480"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Surrender your Contract prior to the Term End Date, we will pay either (i) the Interim Value, which may be less than if you held the Contract until all of your Shield Options reached their Term End Dates or (ii) the Performance Lock Value, which may be less than if you had not exercised the Performance Lock before the Term End Date.</w:t>
      </w:r>
    </w:p>
    <w:p>
      <w:pPr>
        <w:spacing w:after="0" w:line="50" w:lineRule="exact"/>
        <w:rPr>
          <w:rFonts w:ascii="Times New Roman" w:cs="Times New Roman" w:eastAsia="Times New Roman" w:hAnsi="Times New Roman"/>
          <w:sz w:val="12"/>
          <w:szCs w:val="12"/>
          <w:color w:val="auto"/>
        </w:rPr>
      </w:pPr>
    </w:p>
    <w:p>
      <w:pPr>
        <w:jc w:val="both"/>
        <w:ind w:left="480" w:right="3899" w:hanging="232"/>
        <w:spacing w:after="0" w:line="260" w:lineRule="auto"/>
        <w:tabs>
          <w:tab w:leader="none" w:pos="480"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die (unless your Contract was issued with the Return of Premium death benefit), we will pay either (i) the Interim Value, which may be less than if you held the Contract until all of your Shield Options reached their Term End Dates or (ii) the Performance Lock Value, which may be less than if you had not exercised the Performance Lock before the Term End Date</w:t>
      </w:r>
      <w:r>
        <w:rPr>
          <w:rFonts w:ascii="Times New Roman" w:cs="Times New Roman" w:eastAsia="Times New Roman" w:hAnsi="Times New Roman"/>
          <w:sz w:val="12"/>
          <w:szCs w:val="12"/>
          <w:b w:val="1"/>
          <w:bCs w:val="1"/>
          <w:color w:val="auto"/>
        </w:rPr>
        <w:t>.</w:t>
      </w:r>
    </w:p>
    <w:p>
      <w:pPr>
        <w:spacing w:after="0" w:line="59" w:lineRule="exact"/>
        <w:rPr>
          <w:rFonts w:ascii="Times New Roman" w:cs="Times New Roman" w:eastAsia="Times New Roman" w:hAnsi="Times New Roman"/>
          <w:sz w:val="12"/>
          <w:szCs w:val="12"/>
          <w:color w:val="auto"/>
        </w:rPr>
      </w:pPr>
    </w:p>
    <w:p>
      <w:pPr>
        <w:jc w:val="both"/>
        <w:ind w:left="480" w:right="3899" w:hanging="232"/>
        <w:spacing w:after="0" w:line="291" w:lineRule="auto"/>
        <w:tabs>
          <w:tab w:leader="none" w:pos="480" w:val="left"/>
        </w:tabs>
        <w:numPr>
          <w:ilvl w:val="1"/>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your Contract is annuitized between the Term Start Date and Term End Date, we will use either the Interim Value or the Performance Lock Value to calculate the Annuity Payments you will receive based on the applicable Annuity Option. In deciding on an Annuity Date, you should take into consideration the Term End Dates of your Shield Options relative to the Annuity Date you have chosen.</w:t>
      </w:r>
    </w:p>
    <w:p>
      <w:pPr>
        <w:spacing w:after="0" w:line="43" w:lineRule="exact"/>
        <w:rPr>
          <w:rFonts w:ascii="Times New Roman" w:cs="Times New Roman" w:eastAsia="Times New Roman" w:hAnsi="Times New Roman"/>
          <w:sz w:val="11"/>
          <w:szCs w:val="11"/>
          <w:color w:val="auto"/>
        </w:rPr>
      </w:pPr>
    </w:p>
    <w:p>
      <w:pPr>
        <w:jc w:val="both"/>
        <w:ind w:left="240" w:right="3899" w:hanging="232"/>
        <w:spacing w:after="0" w:line="260" w:lineRule="auto"/>
        <w:tabs>
          <w:tab w:leader="none" w:pos="2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take a withdrawal (including RMDs and systematic withdrawals) your Account Value will be reduced by the amount withdrawn proportionally from your Shield Options, the Fixed Account, and the Holding Account unless you tell us from which specific Allocation Options, in which you currently have any Account Value, the withdrawal should be taken.</w:t>
      </w:r>
    </w:p>
    <w:p>
      <w:pPr>
        <w:spacing w:after="0" w:line="50" w:lineRule="exact"/>
        <w:rPr>
          <w:rFonts w:ascii="Times New Roman" w:cs="Times New Roman" w:eastAsia="Times New Roman" w:hAnsi="Times New Roman"/>
          <w:sz w:val="12"/>
          <w:szCs w:val="12"/>
          <w:color w:val="auto"/>
        </w:rPr>
      </w:pPr>
    </w:p>
    <w:p>
      <w:pPr>
        <w:ind w:left="240" w:right="3899" w:hanging="232"/>
        <w:spacing w:after="0" w:line="279" w:lineRule="auto"/>
        <w:tabs>
          <w:tab w:leader="none" w:pos="2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withdrawals will reduce the death benefit, perhaps significantly, and the reduction could be greater than the amount of the withdrawal.</w:t>
      </w:r>
    </w:p>
    <w:p>
      <w:pPr>
        <w:spacing w:after="0" w:line="48" w:lineRule="exact"/>
        <w:rPr>
          <w:rFonts w:ascii="Times New Roman" w:cs="Times New Roman" w:eastAsia="Times New Roman" w:hAnsi="Times New Roman"/>
          <w:sz w:val="12"/>
          <w:szCs w:val="12"/>
          <w:color w:val="auto"/>
        </w:rPr>
      </w:pPr>
    </w:p>
    <w:p>
      <w:pPr>
        <w:ind w:left="240" w:right="3899" w:hanging="232"/>
        <w:spacing w:after="0" w:line="279" w:lineRule="auto"/>
        <w:tabs>
          <w:tab w:leader="none" w:pos="2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your Account Value falls below the Minimum Account Value as a result of a withdrawal, we may terminate your Contract. (See “WITHDRAWAL PROVISIONS.”)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Limitations on Transfers</w:t>
      </w:r>
    </w:p>
    <w:p>
      <w:pPr>
        <w:spacing w:after="0" w:line="91"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You may make transfers between the Fixed Account and the Shield Option(s) and from the Holding Account to the Fixed Account and the Shield Options only during the Transfer Period. Unless you have a Shield Option with the Performance Lock Value, you cannot make transfers outside the Transfer Period and you cannot (i) transfer out of a current Shield Option to another Shield Option or the Fixed Account until the Term End Date of the current Shield Option, (ii) transfer out of the Fixed Account to a Shield Option until the Fixed Account Term End Date (which will not be less than one (1) year), or (iii) transfer from the Holding Account to a Shield Option or the Fixed Account until the next Contract Anniversary. In all cases, the amount transferred can only be transferred to new Shield Options or the Fixed Account. This may limit your ability to react to market conditions.</w:t>
      </w:r>
    </w:p>
    <w:p>
      <w:pPr>
        <w:spacing w:after="0" w:line="65"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If you remain in your current Shield Option with the Performance Lock Value until the Term End Date and decide to transfer the Investment Amount to a new Shield Option, the Investment Amount on the Term Start Date of your new Shield Option will be the Performance Lock Value for that option, which may be higher or lower than the Investment Amount would have been on the Term End Date had you not exercised the Performance Lock.</w:t>
      </w:r>
    </w:p>
    <w:p>
      <w:pPr>
        <w:spacing w:after="0" w:line="16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9359"/>
          </w:cols>
          <w:pgMar w:left="1100" w:top="962" w:right="1440" w:bottom="1440" w:gutter="0" w:footer="0" w:header="0"/>
        </w:sectPr>
      </w:pPr>
    </w:p>
    <w:bookmarkStart w:id="20" w:name="page21"/>
    <w:bookmarkEnd w:id="20"/>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57395" cy="36830"/>
                    </a:xfrm>
                    <a:prstGeom prst="rect">
                      <a:avLst/>
                    </a:prstGeom>
                    <a:noFill/>
                  </pic:spPr>
                </pic:pic>
              </a:graphicData>
            </a:graphic>
          </wp:anchor>
        </w:drawing>
        <w:t>In addition, you should understand that for renewals into the same Shield Option, a new Cap Rate, Step Rate, or Edge Rate as applicable, will be declared and will go into effect on the Contract Anniversary that coincides with the Term Start Date of the new Shield Option.</w:t>
      </w:r>
    </w:p>
    <w:p>
      <w:pPr>
        <w:spacing w:after="0" w:line="47" w:lineRule="exact"/>
        <w:rPr>
          <w:sz w:val="20"/>
          <w:szCs w:val="20"/>
          <w:color w:val="auto"/>
        </w:rPr>
      </w:pPr>
    </w:p>
    <w:p>
      <w:pPr>
        <w:jc w:val="both"/>
        <w:ind w:right="3839" w:firstLine="240"/>
        <w:spacing w:after="0" w:line="252" w:lineRule="auto"/>
        <w:rPr>
          <w:sz w:val="20"/>
          <w:szCs w:val="20"/>
          <w:color w:val="auto"/>
        </w:rPr>
      </w:pPr>
      <w:r>
        <w:rPr>
          <w:rFonts w:ascii="Times New Roman" w:cs="Times New Roman" w:eastAsia="Times New Roman" w:hAnsi="Times New Roman"/>
          <w:sz w:val="12"/>
          <w:szCs w:val="12"/>
          <w:color w:val="auto"/>
        </w:rPr>
        <w:t>Moreover, at the Term End Date, the Investment Amount allocated to the Shield Option that has reached its Term End Date will be automatically renewed into the same Shield Option, subject to the new Cap Rate, Step Rate, or Edge Rate as applicable, declared for that Term, unless you instruct us to transfer such amount into a different Shield Option(s) or the Fixed Account. If the same Shield Option is no longer available for investment at the Term End Date, the Investment Amount will automatically be transferred to the Fixed Account (if available), or to the Holding Account. Additionally, any Fixed Account Value will remain in the Fixed Account for another Term, subject to the new interest rate declared for that Term, unless you instruct us to transfer such amount to a Shield Option(s). If the Fixed Account is no longer available at the Fixed Account Term End Date, the Fixed Account Value will automatically be transferred into the Holding Account. Account Value automatically renewed or transferred in the absence of transfer instructions from you may not be transferred again until the next Transfer Period coinciding with a Term End Date. Unless you have a Shield Option with Performance Lock Value, you have only the Transfer Period to notify us that you want to transfer some or all of your Investment Amount to a new Shield Option(s) or the Fixed Account. Thus, failure to provide such instructions during the Transfer Period will result in an automatic renewal for a period of at least one (1) year.</w:t>
      </w:r>
    </w:p>
    <w:p>
      <w:pPr>
        <w:spacing w:after="0" w:line="60"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 xml:space="preserve">If you have exercised the Performance Lock for a Shield Option you may transfer on any Contract Anniversary prior to the end of the Term and on the Term End Date. If you transfer the Performance Lock Value on a Contract Anniversary before the Term End Date, you may only transfer the entire amount of the Performance Lock Value. If you transfer the Performance Lock Value on the Term End Date, you may transfer all or a portion of the Performance Lock Value. </w:t>
      </w:r>
      <w:r>
        <w:rPr>
          <w:rFonts w:ascii="Times New Roman" w:cs="Times New Roman" w:eastAsia="Times New Roman" w:hAnsi="Times New Roman"/>
          <w:sz w:val="12"/>
          <w:szCs w:val="12"/>
          <w:b w:val="1"/>
          <w:bCs w:val="1"/>
          <w:color w:val="auto"/>
        </w:rPr>
        <w:t>Partial transfers of Performance Lock Value prior to the Term End Date are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not permitted.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Availability of Shield Options</w:t>
      </w:r>
    </w:p>
    <w:p>
      <w:pPr>
        <w:spacing w:after="0" w:line="82" w:lineRule="exact"/>
        <w:rPr>
          <w:sz w:val="20"/>
          <w:szCs w:val="20"/>
          <w:color w:val="auto"/>
        </w:rPr>
      </w:pPr>
    </w:p>
    <w:p>
      <w:pPr>
        <w:jc w:val="both"/>
        <w:ind w:right="3839" w:firstLine="240"/>
        <w:spacing w:after="0" w:line="251" w:lineRule="auto"/>
        <w:rPr>
          <w:sz w:val="20"/>
          <w:szCs w:val="20"/>
          <w:color w:val="auto"/>
        </w:rPr>
      </w:pPr>
      <w:r>
        <w:rPr>
          <w:rFonts w:ascii="Times New Roman" w:cs="Times New Roman" w:eastAsia="Times New Roman" w:hAnsi="Times New Roman"/>
          <w:sz w:val="12"/>
          <w:szCs w:val="12"/>
          <w:color w:val="auto"/>
        </w:rPr>
        <w:t>Your selling firm may choose not to recommend certain Shield Options described in this prospectus when your Contract is issued or at the Term End Date. See Appendix G – Financial Intermediary Variations. Additionally, we reserve the right to change the duration of any new Shield Options, stop offering any of the Shield Options or suspend offering any of the Shield Options. We may also add Shield Options in the future. We are not obligated to offer any one particular Shield Option, but after your Contract is issued, there will always be at least one Shield Option available at the Term End Date, with a minimum of 10% downside protection. Consequently, if we were to offer only one Shield Option, you would be limited to investing in that one Shield Option. If that Shield Option does not meet your investment objectives or financial goals, you could transfer to the Fixed Account (if available at that time and subject to applicable conditions described in the “TRANSFERS” section, including the requirement to remain invested in the Fixed Account until the Fixed Account Term End Date), Surrender your Contract and/or invest in another investment vehicle. If you Surrender your Contract, you might incur taxes, tax penalties, Withdrawal Charges, or an Interim Value calculation. If you invest in another investment vehicle, that investment may have different features, fees and risks than your Contract. Similarly, a particular Shield Option may not be available for you to transfer your Investment Amount or Fixed Account Value into after a Term End Date or the Fixed Account Term End Date. If the same Shield Option is no longer available at the Term End Date, the Investment Amount in the applicable Shield Option(s) will automatically transfer into the Fixed Account at the Term End Date, unless you instruct us otherwise during the Transfer Period. The amounts transferred to the Fixed Account must remain in the Fixed Account until the Fixed Account Term End Date (which, currently, will not be less than one (1) year). The Investment Amount held in the Fixed Account may earn a return that is less than the return you might have earned if those amounts were held in a Shield Option. If we exercise this right, your ability to increase your Account Value and, consequently, increase your death benefit will be limited. If the Fixed Account is not available, the Investment Amount will automatically transfer into the Holding Account unless you instruct us otherwise.</w:t>
      </w:r>
    </w:p>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Risks Associated with the Referenced Indices</w:t>
      </w:r>
    </w:p>
    <w:p>
      <w:pPr>
        <w:spacing w:after="0" w:line="82"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Each of the reference Indices is a “price return index,” not a “total return index,” and therefore does not reflect dividends declared by any of the component companies in the Index. This will reduce the Index Performance and will cause the Index to underperform a direct investment in the securities composing the Index.</w:t>
      </w:r>
    </w:p>
    <w:p>
      <w:pPr>
        <w:spacing w:after="0" w:line="34" w:lineRule="exact"/>
        <w:rPr>
          <w:sz w:val="20"/>
          <w:szCs w:val="20"/>
          <w:color w:val="auto"/>
        </w:rPr>
      </w:pPr>
    </w:p>
    <w:p>
      <w:pPr>
        <w:jc w:val="both"/>
        <w:ind w:right="3839" w:firstLine="240"/>
        <w:spacing w:after="0" w:line="251" w:lineRule="auto"/>
        <w:rPr>
          <w:sz w:val="20"/>
          <w:szCs w:val="20"/>
          <w:color w:val="auto"/>
        </w:rPr>
      </w:pPr>
      <w:r>
        <w:rPr>
          <w:rFonts w:ascii="Times New Roman" w:cs="Times New Roman" w:eastAsia="Times New Roman" w:hAnsi="Times New Roman"/>
          <w:sz w:val="12"/>
          <w:szCs w:val="12"/>
          <w:color w:val="auto"/>
        </w:rPr>
        <w:t>Because the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the Russell 2000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the MSCI EAFE Index, and the Nasdaq-100 Index</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are each comprised of a collection of equity securities, in each case the value of the component securities is subject to market risk, or the risk that market fluctuations may cause the value of the component securities to go up or down, sometimes rapidly and unpredictably. In addition, the value of equity securities may increase or decline for reasons directly related to the issuers of the securities. (See “INDICES” and “SHIELD RATES.”)</w:t>
      </w:r>
    </w:p>
    <w:p>
      <w:pPr>
        <w:spacing w:after="0" w:line="18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9359"/>
          </w:cols>
          <w:pgMar w:left="1100" w:top="966" w:right="1440" w:bottom="1440" w:gutter="0" w:footer="0" w:header="0"/>
        </w:sectPr>
      </w:pPr>
    </w:p>
    <w:bookmarkStart w:id="21" w:name="page22"/>
    <w:bookmarkEnd w:id="21"/>
    <w:p>
      <w:pPr>
        <w:ind w:left="2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57395" cy="36830"/>
                    </a:xfrm>
                    <a:prstGeom prst="rect">
                      <a:avLst/>
                    </a:prstGeom>
                    <a:noFill/>
                  </pic:spPr>
                </pic:pic>
              </a:graphicData>
            </a:graphic>
          </wp:anchor>
        </w:drawing>
        <w:t>In addition, each Index has its own unique risks, as follows:</w:t>
      </w:r>
    </w:p>
    <w:p>
      <w:pPr>
        <w:spacing w:after="0" w:line="63" w:lineRule="exact"/>
        <w:rPr>
          <w:sz w:val="20"/>
          <w:szCs w:val="20"/>
          <w:color w:val="auto"/>
        </w:rPr>
      </w:pPr>
    </w:p>
    <w:p>
      <w:pPr>
        <w:jc w:val="both"/>
        <w:ind w:left="240" w:right="3899" w:hanging="232"/>
        <w:spacing w:after="0" w:line="252" w:lineRule="auto"/>
        <w:tabs>
          <w:tab w:leader="none" w:pos="2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S&amp;P 500</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 xml:space="preserve"> Index. </w:t>
      </w:r>
      <w:r>
        <w:rPr>
          <w:rFonts w:ascii="Times New Roman" w:cs="Times New Roman" w:eastAsia="Times New Roman" w:hAnsi="Times New Roman"/>
          <w:sz w:val="12"/>
          <w:szCs w:val="12"/>
          <w:color w:val="auto"/>
        </w:rPr>
        <w:t>This Index is composed of equity securities issued by large-capitalization (“large cap”)</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U.S. companies. In general, it is more difficult for large-cap companies to pivot their strategies quickly in response to changes in their industry. In addition, because they typically are more well-established, it is rare to see large-cap companies have the high growth rates that can be seen with successful small-capitalization (“small cap”) companies.</w:t>
      </w:r>
    </w:p>
    <w:p>
      <w:pPr>
        <w:spacing w:after="0" w:line="40" w:lineRule="exact"/>
        <w:rPr>
          <w:rFonts w:ascii="Times New Roman" w:cs="Times New Roman" w:eastAsia="Times New Roman" w:hAnsi="Times New Roman"/>
          <w:sz w:val="12"/>
          <w:szCs w:val="12"/>
          <w:color w:val="auto"/>
        </w:rPr>
      </w:pPr>
    </w:p>
    <w:p>
      <w:pPr>
        <w:jc w:val="both"/>
        <w:ind w:left="240" w:right="3899" w:hanging="232"/>
        <w:spacing w:after="0" w:line="253" w:lineRule="auto"/>
        <w:tabs>
          <w:tab w:leader="none" w:pos="2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Russell 2000</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 xml:space="preserve"> Index. </w:t>
      </w:r>
      <w:r>
        <w:rPr>
          <w:rFonts w:ascii="Times New Roman" w:cs="Times New Roman" w:eastAsia="Times New Roman" w:hAnsi="Times New Roman"/>
          <w:sz w:val="12"/>
          <w:szCs w:val="12"/>
          <w:color w:val="auto"/>
        </w:rPr>
        <w:t>This Index is composed of equity securities of small-cap U.S. companies. Generally,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securities of small-cap companies are more volatile and riskier than the securities of larger companies. Small-cap companies are more likely to fail than larger companies.</w:t>
      </w:r>
    </w:p>
    <w:p>
      <w:pPr>
        <w:spacing w:after="0" w:line="50" w:lineRule="exact"/>
        <w:rPr>
          <w:rFonts w:ascii="Times New Roman" w:cs="Times New Roman" w:eastAsia="Times New Roman" w:hAnsi="Times New Roman"/>
          <w:sz w:val="12"/>
          <w:szCs w:val="12"/>
          <w:color w:val="auto"/>
        </w:rPr>
      </w:pPr>
    </w:p>
    <w:p>
      <w:pPr>
        <w:jc w:val="both"/>
        <w:ind w:left="240" w:right="3899" w:hanging="232"/>
        <w:spacing w:after="0" w:line="254" w:lineRule="auto"/>
        <w:tabs>
          <w:tab w:leader="none" w:pos="2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MSCI EAFE Index. </w:t>
      </w:r>
      <w:r>
        <w:rPr>
          <w:rFonts w:ascii="Times New Roman" w:cs="Times New Roman" w:eastAsia="Times New Roman" w:hAnsi="Times New Roman"/>
          <w:sz w:val="12"/>
          <w:szCs w:val="12"/>
          <w:color w:val="auto"/>
        </w:rPr>
        <w:t>The MSCI EAFE Index is comprised of equity securities of large- and mid-capitalization (“mid-cap”) companies and it is designed to measure the equity market performance of developed markets, including countries in Europe, Australia, and the Far East. In general, large-cap companies may be unable to respond quickly in response to changes in their industry and new competitive challenges and may not be able to attain the high growth rates of successful smaller companies. The securities of mid-cap companies may be more volatile and may involve more risk than the securities of larger companies. Securities issued by non-U.S. companies (including related depositary receipts) are subject to the risks related to investments in foreign markets (e.g., increased price volatility; changing currency exchange rates; and greater political, regulatory, and economic uncertainty).</w:t>
      </w:r>
    </w:p>
    <w:p>
      <w:pPr>
        <w:spacing w:after="0" w:line="43" w:lineRule="exact"/>
        <w:rPr>
          <w:rFonts w:ascii="Times New Roman" w:cs="Times New Roman" w:eastAsia="Times New Roman" w:hAnsi="Times New Roman"/>
          <w:sz w:val="12"/>
          <w:szCs w:val="12"/>
          <w:color w:val="auto"/>
        </w:rPr>
      </w:pPr>
    </w:p>
    <w:p>
      <w:pPr>
        <w:jc w:val="both"/>
        <w:ind w:left="240" w:right="3899" w:hanging="232"/>
        <w:spacing w:after="0" w:line="244" w:lineRule="auto"/>
        <w:tabs>
          <w:tab w:leader="none" w:pos="2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Nasdaq-100 Index</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Nasdaq-100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Index is comprised of equity securities of the largest U.S. and non-U.S. companies listed on The Nasdaq Stock Market across all major industry groups except the financial industry. To the extent that the Nasdaq-100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is comprised of securities issued by companies in a particular sector, that company’s securities may not perform as well as companies in other sectors or the market as a whole. Any component securities issued by non-U.S. companies (including related depositary receipts) are subject to the risks related to investments in foreign markets (e.g., increased price volatility; changing currency exchange rates; and greater political, regulatory, and economic uncertainty).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 Index May be Substituted</w:t>
      </w:r>
    </w:p>
    <w:p>
      <w:pPr>
        <w:spacing w:after="0" w:line="82" w:lineRule="exact"/>
        <w:rPr>
          <w:sz w:val="20"/>
          <w:szCs w:val="20"/>
          <w:color w:val="auto"/>
        </w:rPr>
      </w:pPr>
    </w:p>
    <w:p>
      <w:pPr>
        <w:jc w:val="both"/>
        <w:ind w:right="3839" w:firstLine="240"/>
        <w:spacing w:after="0" w:line="252" w:lineRule="auto"/>
        <w:rPr>
          <w:sz w:val="20"/>
          <w:szCs w:val="20"/>
          <w:color w:val="auto"/>
        </w:rPr>
      </w:pPr>
      <w:r>
        <w:rPr>
          <w:rFonts w:ascii="Times New Roman" w:cs="Times New Roman" w:eastAsia="Times New Roman" w:hAnsi="Times New Roman"/>
          <w:sz w:val="12"/>
          <w:szCs w:val="12"/>
          <w:color w:val="auto"/>
        </w:rPr>
        <w:t>We have the right to substitute a comparable index prior to the Term End Date if any Index is discontinued or we determine that our use of such Index should be discontinued because we are no longer licensed to use the Index, the method of calculation of the Index Value is substantially changed, or if Index Values become unavailable for any reason. We would attempt to choose a substitute index that has a similar investment objective and risk profile to the replaced index. In the event that a similar index is not found, we will substitute the original Index with a domestic or international broad-based securities market index. A Shield Option will not end prior to the Term End Date due to our inability to find a similar index. The substituted Index may not be acceptable to you, and you will be unable to transfer your Investment Amount in the associated Shield Option to another Shield Option(s) or the Fixed Account (if available) until the Transfer Period coinciding with the Term End Date. If you no longer want to remain invested in that Shield Option for the remainder of the Term, your only option will be to withdraw the related Investment Amount. If you withdraw the Investment Amount, the amount withdrawn will be the Interim Value. See “Risk of Loss” above for more information about the risks of withdrawals based on Interim Value. Additionally, you might incur Withdrawal Charges, taxes, and tax penalties. Upon substitution of an Index, we will calculate your Index Performance on the replaced Index up until the date of substitution and the substitute Index from the date of substitution to the Term End Date. An Index substitution will not change the Shield Rate, Cap Rate, Step Rate, or Edge Rate for an existing Shield Option. The performance of the new Index may not be as good as the one that it substituted and as a result your Index Performance may have been better if there had been no substitution. If you have exercised the Performance Lock, a subsequent index substitution will have no impact on the Performance Lock Value of that Shield Option.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Shield Rate Risks</w:t>
      </w:r>
    </w:p>
    <w:p>
      <w:pPr>
        <w:spacing w:after="0" w:line="82" w:lineRule="exact"/>
        <w:rPr>
          <w:sz w:val="20"/>
          <w:szCs w:val="20"/>
          <w:color w:val="auto"/>
        </w:rPr>
      </w:pPr>
    </w:p>
    <w:p>
      <w:pPr>
        <w:jc w:val="both"/>
        <w:ind w:right="3839"/>
        <w:spacing w:after="0" w:line="255" w:lineRule="auto"/>
        <w:rPr>
          <w:sz w:val="20"/>
          <w:szCs w:val="20"/>
          <w:color w:val="auto"/>
        </w:rPr>
      </w:pPr>
      <w:r>
        <w:rPr>
          <w:rFonts w:ascii="Times New Roman" w:cs="Times New Roman" w:eastAsia="Times New Roman" w:hAnsi="Times New Roman"/>
          <w:sz w:val="12"/>
          <w:szCs w:val="12"/>
          <w:color w:val="auto"/>
        </w:rPr>
        <w:t>For all Shield Options, if negative Index Performance exceeds the corresponding Shield Rate at the Term End Date, you will bear the portion of the loss that exceeds the Shield Rate. Under the currently offered Shield Rates, the maximum amount of loss you could experience due to negative index performance at the end of a Term, after taking into account these levels of protection, would be: 90% for 10% downside protection; 85% for 15% downside protection; and 75% for 25% downside protection. We do not guarantee that there will always be a Shield Option under the Contract that provides this minimum amount of downside protection; however, there will always be at least one Shield Option available with a minimum of 10% downside protection.</w:t>
      </w:r>
    </w:p>
    <w:p>
      <w:pPr>
        <w:spacing w:after="0" w:line="21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9359"/>
          </w:cols>
          <w:pgMar w:left="1100" w:top="103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57395" cy="36830"/>
                    </a:xfrm>
                    <a:prstGeom prst="rect">
                      <a:avLst/>
                    </a:prstGeom>
                    <a:noFill/>
                  </pic:spPr>
                </pic:pic>
              </a:graphicData>
            </a:graphic>
          </wp:anchor>
        </w:drawing>
        <w:t>Shield Options with Higher Shield Rates</w:t>
      </w:r>
    </w:p>
    <w:p>
      <w:pPr>
        <w:spacing w:after="0" w:line="91"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In deciding whether to choose a Shield Option with a higher Shield Rate, you should consider that Shield Options with higher Shield Rates tend to have lower Cap Rates, Step Rates, and Edge Rates, as applicable, than Shield Options with lower Shield Rates that have the same index and term. This is because of the additional protection provided by the higher Shield Rates.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Rate Crediting Type Risks</w:t>
      </w:r>
    </w:p>
    <w:p>
      <w:pPr>
        <w:spacing w:after="0" w:line="91"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The Cap Rate, Step Rate, or Edge Rate may limit any positive Index Performance used in calculating the Performance Rate credited on the Term End Date. This means that the Performance Rate may be lower than the Index Performance because any positive return of the respective Index is subject to a maximum in the form of the Cap Rate, Step Rate, or Edge Rate. We set Cap Rates, Step Rates, and Edge Rates at our discretion, subject to the minimum guaranteed rates shown in the applicable Shield Option Riders attached to your Contract. You bear the risk that we will not set these higher than the minimum guaranteed rates.</w:t>
      </w:r>
    </w:p>
    <w:p>
      <w:pPr>
        <w:spacing w:after="0" w:line="62"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For Shield Options with Step Rate Edge, there could be situations when a small difference in the Index Performance results in significantly different Performance Rates. For example, if Index Performance is -9.5%, the Shield Rate is 10% and the Edge Rate is 7%, the Performance Rate will equal the Edge Rate, or 7%. On the other hand, if Index Performance is -10.5% and the Shield Rate is 10%, the Performance Rate will equal -0.5%.</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Issuing Company</w:t>
      </w:r>
    </w:p>
    <w:p>
      <w:pPr>
        <w:spacing w:after="0" w:line="91"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No company other than BLNY has any legal responsibility to pay amounts that BLNY owes under the Contract. An Owner should look to the financial strength of BLNY for its claims-paying ability.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Systematic Withdrawal Program</w:t>
      </w:r>
    </w:p>
    <w:p>
      <w:pPr>
        <w:spacing w:after="0" w:line="82"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You may elect the Systematic Withdrawal Program to provide automated processing of amounts withdrawn from your Contract, subject to program terms. For automated processing of RMD amounts withdrawn from an IRA Contract or qualified annuity Contract, you may elect this program in any Contract year. However, for automated processing of amounts withdrawn for purposes other than RMDs, you may elect this program after the first Contract Year for up to 10% of your Account Value as of the prior Contract Anniversary. We do not assess a charge for this program. See “WITHDRAWAL PROVISIONS – Systematic Withdrawal Program” for availability and other restrictions. Withdrawals under this program are subject to the same risks as any other withdrawal. See “Adjustments Upon Taking a Withdrawal,” and “Effect of Withdrawals, Surrender, Annuitization or Death” above.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Performance Lock Risks</w:t>
      </w:r>
    </w:p>
    <w:p>
      <w:pPr>
        <w:spacing w:after="0" w:line="91"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With the Performance Lock Value you may receive less than you would have received had you not exercised the Performance Lock. Furthermore, once the Performance Lock is exercised, it is irrevocable for the remainder of that Term. You will no longer participate in Index Performance, positive or negative, for the remainder of the Term after you exercise the Performance Lock. This means that under no circumstances will the Performance Lock Value increase during the remainder of the Term, and you will not receive a Performance Rate Adjustment or the protection of the Shield Rate from losses on any Performance Lock Value on the Term End Date.</w:t>
      </w:r>
    </w:p>
    <w:p>
      <w:pPr>
        <w:spacing w:after="0" w:line="53"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We use the Interim Value calculated at the end of the current Business Day on which you exercise the Performance Lock to determine the Performance Lock Value. This means you will not be able to determine in advance the Performance Lock Value, and it may be higher or lower than it was at the point in time you requested the Performance Lock. If the Performance Lock is exercised when the Interim Value is less than the Investment Amount, you will lock in any loss, which could be below the Shield Rate. If you exercise the Performance Lock on a Shield Option, you will not receive a Performance Rate Adjustment or the protection of the Shield Rate from losses on any Performance Lock Value on the Term End Date. It is possible that you would have realized less of a loss or more of a gain if the Performance Lock occurred at a later time, or if you did not exercise the Performance Lock.</w:t>
      </w:r>
    </w:p>
    <w:p>
      <w:pPr>
        <w:spacing w:after="0" w:line="54"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If you have exercised the Performance Lock on a Shield Option, the amount that is available before the Term End Date for annuitization, death benefits, withdrawals, and Surrenders will be the Performance Lock Value. Any withdrawals taken after exercising the Performance Lock will reduce the Performance Lock Value by the dollar amount of the withdrawal.</w:t>
      </w:r>
    </w:p>
    <w:p>
      <w:pPr>
        <w:spacing w:after="0" w:line="50"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There may not be an optimal time to exercise the Performance Lock on a Shield Option. We will not advise you as to whether you should or should not exercise the Performance Lock, or the optimal time for doing so. You should ask your financial professional before exercising the Performance Lock on a Shield Option.</w:t>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Cybersecurity and Certain Business Continuity Risks</w:t>
      </w:r>
    </w:p>
    <w:p>
      <w:pPr>
        <w:spacing w:after="0" w:line="19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9359"/>
          </w:cols>
          <w:pgMar w:left="1100" w:top="962" w:right="1440" w:bottom="1440" w:gutter="0" w:footer="0" w:header="0"/>
        </w:sectPr>
      </w:pPr>
    </w:p>
    <w:bookmarkStart w:id="23" w:name="page24"/>
    <w:bookmarkEnd w:id="23"/>
    <w:p>
      <w:pPr>
        <w:jc w:val="both"/>
        <w:ind w:right="3839" w:firstLine="240"/>
        <w:spacing w:after="0" w:line="25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57395" cy="36830"/>
                    </a:xfrm>
                    <a:prstGeom prst="rect">
                      <a:avLst/>
                    </a:prstGeom>
                    <a:noFill/>
                  </pic:spPr>
                </pic:pic>
              </a:graphicData>
            </a:graphic>
          </wp:anchor>
        </w:drawing>
        <w:t>Our business is largely conducted through complex information technology and communications systems operated by us and our service providers and business partners (e.g., the firms involved in the distribution and sale of our products). Our operations rely on the secure processing, storage and transmission of data and confidential and other information in our systems and the systems of third-party service providers. We have established administrative and technical controls and business continuity and resilience plans to protect our operations against attempts by unauthorized third parties to improperly access, modify, disrupt the operation of, or prevent access to critical networks or systems or data within them (a “cyber-attack”). Despite these protocols, the techniques used to attack systems and networks change frequently, are becoming more sophisticated, and can originate from a wide variety of sources including internal actors (through malicious or accidental acts), terrorists, nation states, financially or politically motivated actors, or other third parties, such as external service providers. Furthermore, the rapid evolution and increased adoption of artificial intelligence technologies may intensify our cybersecurity risks, including the deployment of artificial intelligence technologies (“AI”) by malicious third parties and threat actors that may increase in sophistication and effectiveness in the future. There may be an increased risk of cyber-attacks that may adversely disrupt or degrade our operations and compromise our data during periods of geo-political or military conflict. There is also a chance that certain risks have not been identified or prepared for, or that an attack may not be detected which limits our ability, as well as that of our service providers and business partners, to plan for or respond to, an attack.</w:t>
      </w:r>
    </w:p>
    <w:p>
      <w:pPr>
        <w:spacing w:after="0" w:line="57"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A failure of our computer systems could cause significant interruptions in our operations, compromise the security, confidentiality or privacy of sensitive data, and otherwise adversely affect our business and ability to administer the Contracts. Unanticipated problems with, or failures, of, our disaster recovery systems and business continuity plans could also have a material, negative impact on our ability to conduct business and on our financial condition and operations, as well on individual Owners and their Contracts. Our operations also could be negatively impacted by a cyber-attack or system failure affecting a third party, such as a service provider, business partner, another participant in the financial markets or a governmental or regulatory authority. Disruptions or failures to our operations, systems and networks can originate from a wide variety of sources including, but not limited to, a disaster such as a natural catastrophe, epidemic or pandemic crisis, military or terrorist actions, cyber-attack, and unanticipated problems with our or our service providers’ disaster recovery systems (and the disaster recovery systems of such vendors’ suppliers, vendors, or subcontractors). Such disasters and events may adversely affect our ability to conduct business or administer the contract.</w:t>
      </w:r>
    </w:p>
    <w:p>
      <w:pPr>
        <w:spacing w:after="0" w:line="54"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Cyber-attacks and disruptions or failures to our systems and business operations could result in regulatory fines or sanctions, litigation, penalties or financial losses, reputational harm, loss of customers, and/or otherwise adversely affect our business. Such events could also interfere with our processing of Contract transactions, including the processing of transfer orders from our website; impact our ability to calculate Contract values; cause the release and/or possible loss, misappropriation or corruption of data or confidential Owner or business information; or impede order processing or cause other operational issues.</w:t>
      </w:r>
    </w:p>
    <w:p>
      <w:pPr>
        <w:spacing w:after="0" w:line="53"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We cannot control the cybersecurity plans and systems implemented by third parties, including service providers. Although we continually make efforts to identify and reduce our exposure to cybersecurity risks and operations failures, there can be no assurance that we or our third party service providers will be able to detect, manage, prevent, or avoid cyber-attacks, disruptions, or failures affecting your Contract in the future.</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THE ANNUITY CONTRACT</w:t>
      </w:r>
    </w:p>
    <w:p>
      <w:pPr>
        <w:spacing w:after="0" w:line="69" w:lineRule="exact"/>
        <w:rPr>
          <w:sz w:val="20"/>
          <w:szCs w:val="20"/>
          <w:color w:val="auto"/>
        </w:rPr>
      </w:pPr>
    </w:p>
    <w:p>
      <w:pPr>
        <w:jc w:val="both"/>
        <w:ind w:right="3839" w:firstLine="240"/>
        <w:spacing w:after="0" w:line="238" w:lineRule="auto"/>
        <w:rPr>
          <w:sz w:val="20"/>
          <w:szCs w:val="20"/>
          <w:color w:val="auto"/>
        </w:rPr>
      </w:pPr>
      <w:r>
        <w:rPr>
          <w:rFonts w:ascii="Times New Roman" w:cs="Times New Roman" w:eastAsia="Times New Roman" w:hAnsi="Times New Roman"/>
          <w:sz w:val="12"/>
          <w:szCs w:val="12"/>
          <w:color w:val="auto"/>
        </w:rPr>
        <w:t>This prospectus describes the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issued by us and describes all the material features of the Contract. The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is a contract between you as the Owner, and us, the insurance company, where you agree to make a Purchase Payment to us and we agree to make a series of payments at a later date you select (the “Annuity Date”).</w:t>
      </w:r>
    </w:p>
    <w:p>
      <w:pPr>
        <w:spacing w:after="0" w:line="63"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The maximum issue age for this Contract is 85. This means we will only issue a Contract to someone age 85 or younger on the Issue Date (age 80 or younger with the Return of Premium Death Benefit).</w:t>
      </w:r>
    </w:p>
    <w:p>
      <w:pPr>
        <w:spacing w:after="0" w:line="39"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When you purchase the Contract, you can choose one or more of the available Shield Options and the Fixed Account. A Purchase Payment applied to the Shield Options is allocated to the Separate Account. You do not share in the investment performance of assets allocated to the Separate Account. We are obligated to pay all money we owe under the Contract, including death benefits and Annuity Payments. These amounts are not guaranteed by any other party. (See “THE SEPARATE ACCOUNT.”)</w:t>
      </w:r>
    </w:p>
    <w:p>
      <w:pPr>
        <w:spacing w:after="0" w:line="53"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The Contract is intended for retirement savings or other long-term investment purposes. The Contract has features and benefits that may be appropriate for you based on your financial situation and objectives, but we are not a fiduciary and do not provide investment advice or make recommendations regarding insurance or investment products, or any securities transactions or investment strategies involving securities. You should ask your financial professional for guidance as to</w:t>
      </w:r>
    </w:p>
    <w:p>
      <w:pPr>
        <w:spacing w:after="0" w:line="17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9359"/>
          </w:cols>
          <w:pgMar w:left="1100" w:top="966" w:right="1440" w:bottom="1440" w:gutter="0" w:footer="0" w:header="0"/>
        </w:sectPr>
      </w:pPr>
    </w:p>
    <w:bookmarkStart w:id="24" w:name="page25"/>
    <w:bookmarkEnd w:id="24"/>
    <w:p>
      <w:pPr>
        <w:jc w:val="both"/>
        <w:ind w:right="3839"/>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57395" cy="36830"/>
                    </a:xfrm>
                    <a:prstGeom prst="rect">
                      <a:avLst/>
                    </a:prstGeom>
                    <a:noFill/>
                  </pic:spPr>
                </pic:pic>
              </a:graphicData>
            </a:graphic>
          </wp:anchor>
        </w:drawing>
        <w:t>whether this Contract may be appropriate for you. Please bear in mind that your financial professional, or any financial firm or financial professional with whom you consult for advice, acts on your behalf, not ours. We are not party to any agreement between you and your financial professional. See “DISTRIBUTION OF THE CONTRACTS” for information on firms that sell the Contract.</w:t>
      </w:r>
    </w:p>
    <w:p>
      <w:pPr>
        <w:spacing w:after="0" w:line="59"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The Contract benefits from tax deferral. Tax deferral means that you are not taxed on Account Value or appreciation on the assets in your Contract until you take money out of your Contract. Non-qualified annuity Contracts (which are not retirement plans) owned by a non-natural person such as a corporation or certain other legal entities (other than a trust that holds the Contract as an agent for a natural person), do not receive tax deferral on earnings. In addition, for any tax qualified account (e.g., an IRA), the tax deferred accrual feature is provided by the tax qualified retirement plan. Therefore, there should be reasons other than tax deferral for acquiring the Contract by a corporation, certain legal entities or within a qualified plan. (See “FEDERAL TAX CONSIDERATIONS.”)</w:t>
      </w:r>
    </w:p>
    <w:p>
      <w:pPr>
        <w:spacing w:after="0" w:line="56"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Currently, a Fixed Account is available. However, the Fixed Account may not always be available. You should consult your financial professional for information regarding the Fixed Account, if available. See “THE FIXED ACCOUNT and Appendix E for certain information regarding the Fixed Account. The Fixed Account offers an interest rate that is guaranteed by us. The minimum interest rate depends on the date your Contract is issued and will not be less than 1% annually. Your financial professional can tell you the current and minimum interest rates that apply. If you select the Fixed Account, your money will be placed with our other General Account assets, and the amount of money you are able to accumulate in your Contract during the Accumulation Period depends upon the total interest credited to your Contract. The Fixed Account is part of our General Account. Our General Account consists of all assets owned by us other than those in the Separate Account and our other separate accounts. We have sole discretion over the investment of assets in the General Account and the Separate Account. If you select an Annuity Option, payments are made from our General Account assets.</w:t>
      </w:r>
    </w:p>
    <w:p>
      <w:pPr>
        <w:spacing w:after="0" w:line="56"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The Holding Account is a limited purpose account and only under certain circumstances will we transfer amounts to the Holding Account. (See Appendix F for a full description of the Holding Account). You may not allocate your Purchase Payment or Account Value to the Holding Account. Amounts will remain in the Holding Account until you provide us new allocation instructions. Once we receive allocation instructions from you, we will transfer the amounts in the Holding Account to the Shield Option(s) on the next Contract Anniversary. The Holding Account has its own Holding Account interest rate and interest is credited daily at an effective annual rate that we declare periodically. The Holding Account guaranteed minimum interest rate will not be less than 1%. The Holding Account guaranteed minimum interest rate can be found in the Contract specifications pages. Your financial professional can tell you the current and minimum interest rates that apply. We reserve the right to change the Holding Account interest rate.</w:t>
      </w:r>
    </w:p>
    <w:p>
      <w:pPr>
        <w:spacing w:after="0" w:line="57"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The amount of the Annuity Payments you receive during the Annuity Period from an Annuity Payment option will remain level for the entire Annuity Period, subject to the payout chosen. (See “ANNUITY PAYMENTS (THE ANNUITY PERIOD)” for more information.)</w:t>
      </w:r>
    </w:p>
    <w:p>
      <w:pPr>
        <w:spacing w:after="0" w:line="47"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As Owner, you exercise all interests and rights under the Contract. You can change the Owner at any time, subject to our underwriting requirements. The Contract may be owned generally by Joint Owners (limited to natural persons). (See “OWNERSHIP PROVISIONS.”)</w:t>
      </w:r>
    </w:p>
    <w:p>
      <w:pPr>
        <w:spacing w:after="0" w:line="47"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Any Internal Revenue Code reference to “spouse” includes those persons who are married spouses under state law, regardless of sex.</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Replacement of Contracts</w:t>
      </w:r>
    </w:p>
    <w:p>
      <w:pPr>
        <w:spacing w:after="0" w:line="78"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b w:val="1"/>
          <w:bCs w:val="1"/>
          <w:color w:val="auto"/>
        </w:rPr>
        <w:t>Exchanges</w:t>
      </w:r>
      <w:r>
        <w:rPr>
          <w:rFonts w:ascii="Times New Roman" w:cs="Times New Roman" w:eastAsia="Times New Roman" w:hAnsi="Times New Roman"/>
          <w:sz w:val="12"/>
          <w:szCs w:val="12"/>
          <w:color w:val="auto"/>
        </w:rPr>
        <w:t>.  Generally you can exchange one non-qualified annuity contract for another in a tax-free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exchange under Section 1035 of the Code. Before making an exchange, you should compare both annuities carefully, including any fees or penalties to terminate the existing contract. If you exchange another annuity for the one described in this prospectus, you might have to pay a withdrawal charge and be subject to an interim value adjustment on your old annuity, and there will be a new Withdrawal Charge period for the Contract. Other charges may be higher (or lower) and the benefits may be different. Also, because we will not issue the Contract until we have received the initial premium from your existing insurance company, the issuance of the Contract may be delayed. Generally, it is not advisable to purchase a Contract as a replacement for an existing annuity contract. Before you exchange another annuity for our Contract, ask your financial professional whether the exchange would be advantageous, given the Contract features, benefits and charges.</w:t>
      </w:r>
    </w:p>
    <w:p>
      <w:pPr>
        <w:spacing w:after="0" w:line="52"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b w:val="1"/>
          <w:bCs w:val="1"/>
          <w:color w:val="auto"/>
        </w:rPr>
        <w:t>Exchange Programs.</w:t>
      </w:r>
      <w:r>
        <w:rPr>
          <w:rFonts w:ascii="Times New Roman" w:cs="Times New Roman" w:eastAsia="Times New Roman" w:hAnsi="Times New Roman"/>
          <w:sz w:val="12"/>
          <w:szCs w:val="12"/>
          <w:color w:val="auto"/>
        </w:rPr>
        <w:t xml:space="preserve">  From time to time we may make available programs under which certain annuity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contracts previously issued by us or one of our affiliates may be exchanged for the Contracts offered by this prospectus. Currently, with respect to exchanges from certain of our annuity contracts to the Contract, an existing contract is eligible for exchange if a Surrender of the existing contract would not trigger a Withdrawal Charge. The Account Value of this Contract will not be subject to any Withdrawal Charge and be subject to an Interim Value calculation. You should carefully consider whether an</w:t>
      </w:r>
    </w:p>
    <w:p>
      <w:pPr>
        <w:spacing w:after="0" w:line="17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9359"/>
          </w:cols>
          <w:pgMar w:left="1100" w:top="966" w:right="1440" w:bottom="1440" w:gutter="0" w:footer="0" w:header="0"/>
        </w:sectPr>
      </w:pPr>
    </w:p>
    <w:bookmarkStart w:id="25" w:name="page26"/>
    <w:bookmarkEnd w:id="25"/>
    <w:p>
      <w:pPr>
        <w:jc w:val="both"/>
        <w:ind w:right="3839"/>
        <w:spacing w:after="0" w:line="25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57395" cy="36830"/>
                    </a:xfrm>
                    <a:prstGeom prst="rect">
                      <a:avLst/>
                    </a:prstGeom>
                    <a:noFill/>
                  </pic:spPr>
                </pic:pic>
              </a:graphicData>
            </a:graphic>
          </wp:anchor>
        </w:drawing>
        <w:t>exchange is appropriate for you by comparing the benefits and other guarantees provided by the contract you currently own to the benefits and guarantees that would be provided by the new Contract offered by this prospectus. Then, you should compare the fees and charges of your current contract to the fees and charges of the new Contract, which may be higher than your current contract. The programs we offer will be made available on terms and conditions determined by us, and any such programs will comply with applicable law. We believe the exchanges will be tax free for Federal income tax purposes; however, you should consult your tax advisor before making any such exchange.</w:t>
      </w:r>
    </w:p>
    <w:p>
      <w:pPr>
        <w:spacing w:after="0" w:line="194"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t>PURCHASE</w:t>
      </w:r>
    </w:p>
    <w:p>
      <w:pPr>
        <w:spacing w:after="0" w:line="82" w:lineRule="exact"/>
        <w:rPr>
          <w:sz w:val="20"/>
          <w:szCs w:val="20"/>
          <w:color w:val="auto"/>
        </w:rPr>
      </w:pPr>
    </w:p>
    <w:p>
      <w:pPr>
        <w:jc w:val="both"/>
        <w:ind w:right="3839" w:firstLine="240"/>
        <w:spacing w:after="0" w:line="252" w:lineRule="auto"/>
        <w:rPr>
          <w:sz w:val="20"/>
          <w:szCs w:val="20"/>
          <w:color w:val="auto"/>
        </w:rPr>
      </w:pPr>
      <w:r>
        <w:rPr>
          <w:rFonts w:ascii="Times New Roman" w:cs="Times New Roman" w:eastAsia="Times New Roman" w:hAnsi="Times New Roman"/>
          <w:sz w:val="12"/>
          <w:szCs w:val="12"/>
          <w:color w:val="auto"/>
        </w:rPr>
        <w:t>The Contract may not be available for purchase through your broker dealer (“selling firm”) during certain periods. There are a number of reasons why the Contract periodically may not be available, including that the insurance company may want to limit the volume of sales of the Contract. You may wish to speak to your financial professional about how this may affect your purchase. For example, you may be required to submit your purchase application in Good Order prior to or on a stipulated date in order to purchase a Contract, and a delay in such process could result in your not being able to purchase a Contract. Additionally, your selling firm may not recommend certain features and options of the Contract, as well as limit the overall availability based on issue age or some other general investor suitability criteria determined by the selling firm. See Appendix G – Financial Intermediary Variations. For example, your selling firm may offer the Contract with a lower maximum issue age compared to what other selling firms may offer. Your selling firm may also choose not to recommend certain Shield Options described in this prospectus when your Contract is issued or at the Term End Date. However, at the end of your initial Shield Option Term(s), you may transfer into any Shield Option(s) described under this prospectus, subject to any transfer restrictions (see “TRANSFERS”). Please be aware that your financial professional may not be able to provide you with information or answer questions you may have with regard to those Shield Options or features described in this prospectus that your selling firm does not recommend or make available. Therefore, if you are interested in a Shield Option or feature of the Contract not recommended by your selling firm, you may contact us directly. See “REQUESTS AND ELECTIONS” for specific contact information.</w:t>
      </w:r>
    </w:p>
    <w:p>
      <w:pPr>
        <w:spacing w:after="0" w:line="57"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We offer other individual single premium deferred index-linked annuity contracts. However, not every contract we issue is available through every selling firm. In addition, these other contracts may have different Shield Options, Shield Rates, Cap Rates, Step Rates, and Edge Rates. You may contact us to learn more about the availability of any of our other index-linked annuity contracts.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Purchase Payment</w:t>
      </w:r>
    </w:p>
    <w:p>
      <w:pPr>
        <w:spacing w:after="0" w:line="82"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A Purchase Payment is the total amount of money you give us to invest in the Contract. The Purchase Payment is due on the date the Contract is issued.</w:t>
      </w:r>
    </w:p>
    <w:p>
      <w:pPr>
        <w:spacing w:after="0" w:line="39" w:lineRule="exact"/>
        <w:rPr>
          <w:sz w:val="20"/>
          <w:szCs w:val="20"/>
          <w:color w:val="auto"/>
        </w:rPr>
      </w:pPr>
    </w:p>
    <w:p>
      <w:pPr>
        <w:ind w:left="400" w:hanging="152"/>
        <w:spacing w:after="0"/>
        <w:tabs>
          <w:tab w:leader="none" w:pos="4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minimum Purchase Payment we will accept is $25,000.</w:t>
      </w:r>
    </w:p>
    <w:p>
      <w:pPr>
        <w:spacing w:after="0" w:line="78" w:lineRule="exact"/>
        <w:rPr>
          <w:rFonts w:ascii="Times New Roman" w:cs="Times New Roman" w:eastAsia="Times New Roman" w:hAnsi="Times New Roman"/>
          <w:sz w:val="12"/>
          <w:szCs w:val="12"/>
          <w:color w:val="auto"/>
        </w:rPr>
      </w:pPr>
    </w:p>
    <w:p>
      <w:pPr>
        <w:ind w:left="400" w:right="3919" w:hanging="152"/>
        <w:spacing w:after="0" w:line="279" w:lineRule="auto"/>
        <w:tabs>
          <w:tab w:leader="none" w:pos="4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want to make a Purchase Payment of less than $25,000 or $1,000,000 or more, you will need our prior approval.</w:t>
      </w:r>
    </w:p>
    <w:p>
      <w:pPr>
        <w:spacing w:after="0" w:line="39" w:lineRule="exact"/>
        <w:rPr>
          <w:rFonts w:ascii="Times New Roman" w:cs="Times New Roman" w:eastAsia="Times New Roman" w:hAnsi="Times New Roman"/>
          <w:sz w:val="12"/>
          <w:szCs w:val="12"/>
          <w:color w:val="auto"/>
        </w:rPr>
      </w:pPr>
    </w:p>
    <w:p>
      <w:pPr>
        <w:jc w:val="both"/>
        <w:ind w:left="400" w:right="3899" w:hanging="152"/>
        <w:spacing w:after="0" w:line="265" w:lineRule="auto"/>
        <w:tabs>
          <w:tab w:leader="none" w:pos="4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reserve the right to refuse a Purchase Payment made via a personal check in excess of $100,000. A Purchase Payment over $100,000 may be accepted in other forms, including, but not limited to, EFT/wire transfers, certified checks, corporate checks, and checks written on financial institutions.</w:t>
      </w:r>
    </w:p>
    <w:p>
      <w:pPr>
        <w:spacing w:after="0" w:line="46" w:lineRule="exact"/>
        <w:rPr>
          <w:rFonts w:ascii="Times New Roman" w:cs="Times New Roman" w:eastAsia="Times New Roman" w:hAnsi="Times New Roman"/>
          <w:sz w:val="12"/>
          <w:szCs w:val="12"/>
          <w:color w:val="auto"/>
        </w:rPr>
      </w:pPr>
    </w:p>
    <w:p>
      <w:pPr>
        <w:ind w:left="400" w:hanging="152"/>
        <w:spacing w:after="0"/>
        <w:tabs>
          <w:tab w:leader="none" w:pos="4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not accept a Purchase Payment made with cash, money orders, or travelers checks.</w:t>
      </w:r>
    </w:p>
    <w:p>
      <w:pPr>
        <w:spacing w:after="0" w:line="78" w:lineRule="exact"/>
        <w:rPr>
          <w:rFonts w:ascii="Times New Roman" w:cs="Times New Roman" w:eastAsia="Times New Roman" w:hAnsi="Times New Roman"/>
          <w:sz w:val="12"/>
          <w:szCs w:val="12"/>
          <w:color w:val="auto"/>
        </w:rPr>
      </w:pPr>
    </w:p>
    <w:p>
      <w:pPr>
        <w:jc w:val="both"/>
        <w:ind w:left="400" w:right="3899" w:hanging="152"/>
        <w:spacing w:after="0" w:line="265" w:lineRule="auto"/>
        <w:tabs>
          <w:tab w:leader="none" w:pos="4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Corporations and other legal entities we approve, may purchase the Contract; however, we will not accept a Purchase Payment made by a corporation or other legal entity (other than a trust that holds the Contract as agent for a natural person) to fund any type of qualified or non-qualified retirement plan.</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 reserve the right to reject any application.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Allocation of the Purchase Payment</w:t>
      </w:r>
    </w:p>
    <w:p>
      <w:pPr>
        <w:spacing w:after="0" w:line="82"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You may allocate your Purchase Payment to one or more of the available Shield Options or into the Fixed Account. On your Issue Date, your Purchase Payment is allocated to the Shield Option(s) and/or the Fixed Account, as you specified on the application, unless we receive Notice of any changes from you before we have issued your Contract. All allocations must be in whole percentages that total 100% or in whole dollars. Once your Purchase Payment is allocated to the Shield Options and/or the Fixed Account, they become part of your Account Value.</w:t>
      </w:r>
    </w:p>
    <w:p>
      <w:pPr>
        <w:spacing w:after="0" w:line="17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9359"/>
          </w:cols>
          <w:pgMar w:left="1100" w:top="966" w:right="1440" w:bottom="1440" w:gutter="0" w:footer="0" w:header="0"/>
        </w:sectPr>
      </w:pPr>
    </w:p>
    <w:bookmarkStart w:id="26" w:name="page27"/>
    <w:bookmarkEnd w:id="26"/>
    <w:p>
      <w:pPr>
        <w:ind w:left="226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57395" cy="36830"/>
                    </a:xfrm>
                    <a:prstGeom prst="rect">
                      <a:avLst/>
                    </a:prstGeom>
                    <a:noFill/>
                  </pic:spPr>
                </pic:pic>
              </a:graphicData>
            </a:graphic>
          </wp:anchor>
        </w:drawing>
        <w:t>SHIELD OPTIONS</w:t>
      </w:r>
    </w:p>
    <w:p>
      <w:pPr>
        <w:spacing w:after="0" w:line="69" w:lineRule="exact"/>
        <w:rPr>
          <w:sz w:val="20"/>
          <w:szCs w:val="20"/>
          <w:color w:val="auto"/>
        </w:rPr>
      </w:pPr>
    </w:p>
    <w:p>
      <w:pPr>
        <w:jc w:val="both"/>
        <w:ind w:right="3839" w:firstLine="240"/>
        <w:spacing w:after="0" w:line="250" w:lineRule="auto"/>
        <w:rPr>
          <w:sz w:val="20"/>
          <w:szCs w:val="20"/>
          <w:color w:val="auto"/>
        </w:rPr>
      </w:pPr>
      <w:r>
        <w:rPr>
          <w:rFonts w:ascii="Times New Roman" w:cs="Times New Roman" w:eastAsia="Times New Roman" w:hAnsi="Times New Roman"/>
          <w:sz w:val="12"/>
          <w:szCs w:val="12"/>
          <w:color w:val="auto"/>
        </w:rPr>
        <w:t>The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is not a variable annuity where your account value varies based on the investment performance of the underlying portfolios you choose, rather the Shield Options offer potential interest based upon index performance. This potential interest—the Performance Rate Adjustment—may be a positive or negative percentage or zero. You may allocate your Purchase Payment to one or more of the available Shield Options and the Fixed Account. When you allocate your Purchase Payment to a Shield Option(s), you will not be investing in the Index or the securities tracked by the Index for the Shield Options you select, or in a mutual fund or exchange traded fund that also tracks the Index. Based upon the Index Performance of the Index associated with the Shield Option, a Performance Rate Adjustment will be applied to the Investment Amount in that Shield Option on the Term End Date. Given that Index Performance may be positive, zero or negative, your Performance Rate Adjustment may be positive, zero or negative. We calculate the Interim Value of each Shield Option on any Business Day other than the Term Start Date and Term End Date. If applicable, the Interim Value is the amount that is available for annuitization, death benefits, withdrawals, Surrenders, and Performance Lock.</w:t>
      </w:r>
    </w:p>
    <w:p>
      <w:pPr>
        <w:spacing w:after="0" w:line="61"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You could lose a significant amount of money if the Index Value declines. It is possible for you to lose a portion of the Purchase Payment and any earnings invested in the Contract. The Performance Rate Adjustment is based on a certain amount of protection against decreases in an Index Value and a limitation on potential positive interest based on an Index Value. The extent of the downside protection varies by the Shield Rate you select. If you access amounts in the Shield Options before the Term End Date (through a withdrawal, Surrender, death benefit payment, annuitization, or to exercise the Performance Lock), we will instead calculate the Interim Value of your investment in the Shield Amount. The Interim Value is calculated on each Business Day between the Term Start Date and the Term End Date. You could lose a significant amount of money due to an Interim Value calculation (and any associated proportional reduction to the Investment Amount associated with the Shield Option) if amounts are removed from a Shield Option. (See “Interim Value Calculation” under “CHARGES, FEES, AND ADJUSTMENTS.”)</w:t>
      </w:r>
    </w:p>
    <w:p>
      <w:pPr>
        <w:spacing w:after="0" w:line="56"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You have the opportunity to allocate your Investment Amount to any of the Shield Options described below, subject to the requirements, limitations and procedures disclosed in the prospectus. We are not obligated to offer any one particular Shield Option and your selling firm may limit the Shield Options available through that firm when your Contract is issued. See Appendix G – Financial Intermediary Variations. After the Contract is issued, there will always be at least one Shield Option available with a minimum of 10% downside protection. If we were to offer only one Shield Option, you would be limited to investing in that one Shield Option. If that Shield Option does not meet your investment objectives or financial goals, you could transfer to the Fixed Account, Surrender your Contract and/or invest in another investment vehicle. If you Surrender your Contract, you might incur taxes, tax penalties, Withdrawal Charges, or an Interim Value calculation. If you invest in another investment vehicle, that investment may have different features, fees, and risks than your Contract. Each Shield Option has an associated (i) Term, (ii) Index, (iii) Shield Rate and (iv) Rate Crediting Type you select.</w:t>
      </w:r>
    </w:p>
    <w:p>
      <w:pPr>
        <w:spacing w:after="0" w:line="56"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Information regarding the features of each currently offered Shield Option, including (i) its name, (ii) its type (e.g., market Index, exchange-traded fund, etc.), or a brief statement describing the assets that the Index seeks to track (e.g., U.S. large-cap equities), (iii) its Term, (iv) its Rate Crediting Type, (v) its Shield Rate, and (vi) its Minimum Guaranteed Cap Rate, Step Rate, or Edge Rate, is available in an appendix to this prospectus. See “Appendix A – Investment Options Available Under the Contract.”</w:t>
      </w:r>
    </w:p>
    <w:p>
      <w:pPr>
        <w:spacing w:after="0" w:line="53"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color w:val="auto"/>
        </w:rPr>
        <w:t>The Indices are described in more detail below, under the heading “Indices.” For each new Shield Option we declare a new Cap Rate, Step Rate, or Edge Rate, as applicable, for each Term, subject to the Minimum Guaranteed Cap Rate, Step Rate, or Edge Rate, shown in the applicable Shield Option Riders attached to your Contract. The initial Cap Rate, Step Rate, or Edge Rate, as applicable, for each Shield Option is declared on the Issue Date. Thereafter the Cap Rate, Step Rate, or Edge Rate,, as applicable, for each subsequent Shield Option is declared for each subsequent Term, subject to the minimum guaranteed rates. See “Cap Rate”, “Step Rate”, and “Step Rate Edge”.</w:t>
      </w:r>
    </w:p>
    <w:p>
      <w:pPr>
        <w:spacing w:after="0" w:line="50" w:lineRule="exact"/>
        <w:rPr>
          <w:sz w:val="20"/>
          <w:szCs w:val="20"/>
          <w:color w:val="auto"/>
        </w:rPr>
      </w:pPr>
    </w:p>
    <w:p>
      <w:pPr>
        <w:jc w:val="both"/>
        <w:ind w:right="3839" w:firstLine="240"/>
        <w:spacing w:after="0" w:line="238" w:lineRule="auto"/>
        <w:rPr>
          <w:sz w:val="20"/>
          <w:szCs w:val="20"/>
          <w:color w:val="auto"/>
        </w:rPr>
      </w:pPr>
      <w:r>
        <w:rPr>
          <w:rFonts w:ascii="Times New Roman" w:cs="Times New Roman" w:eastAsia="Times New Roman" w:hAnsi="Times New Roman"/>
          <w:sz w:val="12"/>
          <w:szCs w:val="12"/>
          <w:b w:val="1"/>
          <w:bCs w:val="1"/>
          <w:color w:val="auto"/>
        </w:rPr>
        <w:t xml:space="preserve">Please note, Shield Options with higher Shield Rates tend to have lower Cap Rates, Step Rates, and Edge Rates, as applicable, than other Shield Options that use the same Index and Term but provide lower Shield Rates. </w:t>
      </w:r>
      <w:r>
        <w:rPr>
          <w:rFonts w:ascii="Times New Roman" w:cs="Times New Roman" w:eastAsia="Times New Roman" w:hAnsi="Times New Roman"/>
          <w:sz w:val="12"/>
          <w:szCs w:val="12"/>
          <w:color w:val="auto"/>
        </w:rPr>
        <w:t>For example, a Shield Option with the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Index with a 3-Year Term and a Shield 15 will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tend to have a Cap Rate that is lower than a Shield Option with the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with a 3-Year Term and a Shield 10.</w:t>
      </w:r>
    </w:p>
    <w:p>
      <w:pPr>
        <w:spacing w:after="0" w:line="61"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A Shield Option will always be available; however, we reserve the right to change the duration of any new Shield Options, stop offering any of the Shield Options or suspend offering any of the Shield Options. We may also add Shield Options in the future.</w:t>
      </w:r>
    </w:p>
    <w:p>
      <w:pPr>
        <w:spacing w:after="0" w:line="17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9359"/>
          </w:cols>
          <w:pgMar w:left="1100" w:top="962" w:right="1440" w:bottom="1440" w:gutter="0" w:footer="0" w:header="0"/>
        </w:sectPr>
      </w:pPr>
    </w:p>
    <w:bookmarkStart w:id="27" w:name="page28"/>
    <w:bookmarkEnd w:id="27"/>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57395" cy="36830"/>
                    </a:xfrm>
                    <a:prstGeom prst="rect">
                      <a:avLst/>
                    </a:prstGeom>
                    <a:noFill/>
                  </pic:spPr>
                </pic:pic>
              </a:graphicData>
            </a:graphic>
          </wp:anchor>
        </w:drawing>
        <w:t>TERM</w:t>
      </w:r>
    </w:p>
    <w:p>
      <w:pPr>
        <w:spacing w:after="0" w:line="82"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The Term is the number of years that a Shield Option is in effect. For specific Shield Options we currently offer Terms of 1 year, 2 years, 3 years, or 6 years. An initial Term(s) begins on the Issue Date. A Term ends and a subsequent Term begins on the Contract Anniversary coinciding with the duration of the then current Term for the Shield Option you have selected.</w:t>
      </w:r>
    </w:p>
    <w:p>
      <w:pPr>
        <w:spacing w:after="0" w:line="50"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In deciding whether to purchase a Shield Option with a longer or shorter Term, consider that investing in Shield Options with shorter Terms will provide more opportunities for receiving Performance Rate Adjustments, and reallocating Account Value in response to changing market conditions. Additionally, there will be more opportunities to access your Account Value without resulting in an Interim Value calculation (and any associated proportional reduction to your Investment Amount). However, Shield Options with shorter Terms may have less potential for Index gains because Index Performance is measured over a shorter period of time. Conversely, investing in Shield Options with longer Terms will provide fewer opportunities for Performance Rate Adjustments and reduce the frequency at which you can reallocate Account Value, in addition to limiting your ability to access your Account Value without an Interim Value calculation. However, Shield Options with longer Terms may provide more potential for Index gains.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Term Start Date</w:t>
      </w:r>
    </w:p>
    <w:p>
      <w:pPr>
        <w:spacing w:after="0" w:line="82" w:lineRule="exact"/>
        <w:rPr>
          <w:sz w:val="20"/>
          <w:szCs w:val="20"/>
          <w:color w:val="auto"/>
        </w:rPr>
      </w:pPr>
    </w:p>
    <w:p>
      <w:pPr>
        <w:jc w:val="both"/>
        <w:ind w:right="3859" w:firstLine="240"/>
        <w:spacing w:after="0" w:line="265" w:lineRule="auto"/>
        <w:rPr>
          <w:sz w:val="20"/>
          <w:szCs w:val="20"/>
          <w:color w:val="auto"/>
        </w:rPr>
      </w:pPr>
      <w:r>
        <w:rPr>
          <w:rFonts w:ascii="Times New Roman" w:cs="Times New Roman" w:eastAsia="Times New Roman" w:hAnsi="Times New Roman"/>
          <w:sz w:val="12"/>
          <w:szCs w:val="12"/>
          <w:color w:val="auto"/>
        </w:rPr>
        <w:t>Each Shield Option will have a Term Start Date, which is the Contract Anniversary on which a Shield Option is established. The initial Term Start Date(s) begins on the Issue Date, and thereafter, will be the Contract Anniversary coinciding with the duration of the Term for the Shield Option completed.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Term End Date</w:t>
      </w:r>
    </w:p>
    <w:p>
      <w:pPr>
        <w:spacing w:after="0" w:line="82"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Each Shield Option will have a Term End Date, which is the Contract Anniversary on which a Shield Option ends. Thirty (30) days in advance of the Term End Date, we will send you written notification stating that your current Shield Option is maturing and that, at the Term End Date, the Investment Amount allocated to that Shield Option will automatically be renewed into the same Shield Option unless you instruct us to transfer such amount into a different Shield Option(s) or the Fixed Account, if available. The notification will inform you of what your maturing Shield Options are and explain how you can obtain the different Shield Options available at the Term End Date, including the renewal Cap Rates, Step Rates, and Edge Rates, and the interest rate for the Fixed</w:t>
      </w:r>
    </w:p>
    <w:p>
      <w:pPr>
        <w:spacing w:after="0" w:line="1" w:lineRule="exact"/>
        <w:rPr>
          <w:sz w:val="20"/>
          <w:szCs w:val="20"/>
          <w:color w:val="auto"/>
        </w:rPr>
      </w:pPr>
    </w:p>
    <w:p>
      <w:pPr>
        <w:jc w:val="both"/>
        <w:ind w:right="3839"/>
        <w:spacing w:after="0" w:line="251" w:lineRule="auto"/>
        <w:rPr>
          <w:sz w:val="20"/>
          <w:szCs w:val="20"/>
          <w:color w:val="auto"/>
        </w:rPr>
      </w:pPr>
      <w:r>
        <w:rPr>
          <w:rFonts w:ascii="Times New Roman" w:cs="Times New Roman" w:eastAsia="Times New Roman" w:hAnsi="Times New Roman"/>
          <w:sz w:val="12"/>
          <w:szCs w:val="12"/>
          <w:color w:val="auto"/>
        </w:rPr>
        <w:t>Account. You may also access information on our website at https://www.brighthousefinancial.com/products/rates/ where at least two months of available Shield Options and renewal rates are posted. If the same Shield Option is no longer available at the Term End Date, the Investment Amount will automatically transfer into the Fixed Account at the Term End Date, unless you instruct us otherwise. The amounts transferred to the Fixed Account must remain in the Fixed Account until the Fixed Account Term End Date (which, currently, will not be less than one (1) year). If the Fixed Account is not available, the Investment Amount will automatically transfer into the Holding Account, unless you instruct us otherwise. You have the Transfer Period to notify us that you want to transfer some or all of your Investment Amount to a new Shield Option(s) or the Fixed Account. For renewals into the same Shield Option, a new Cap Rate, Step Rate, or Edge Rate, as applicable, will be declared and will go into effect on the Contract Anniversary that coincides with the beginning of the new Term in the Shield Option that just ended. The amount transferred to the new Shield Option is the Investment Amount as of the Contract Anniversary.</w:t>
      </w:r>
    </w:p>
    <w:p>
      <w:pPr>
        <w:spacing w:after="0" w:line="53"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b w:val="1"/>
          <w:bCs w:val="1"/>
          <w:color w:val="auto"/>
        </w:rPr>
        <w:t>Amounts must remain in a Shield Option until the Term End Date to be credited with all or partial interest, as applicable, and to avoid a reduction in Interim Value and any proportional reduction to the Investment Amount associated with the Shield Option, in addition to potential tax consequences. Between the Term Start Date and the Term End Date, an Interim Value calculation is used to determine the amounts available for annuitization, death benefit payments, withdrawals (including RMDs and systematic withdrawals), Surrenders, and Performance Lock. See “CHARGES, FEES, AND ADJUSTMENTS -- Interim Value Calculation” for more information.</w:t>
      </w:r>
    </w:p>
    <w:p>
      <w:pPr>
        <w:spacing w:after="0" w:line="194"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t>INDICES</w:t>
      </w:r>
    </w:p>
    <w:p>
      <w:pPr>
        <w:spacing w:after="0" w:line="82"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The Performance Rate of a Shield Option is based on the performance of the associated Index. We currently offer Shield Options with indices based on the performance of securities. In the future we may offer Shield Options based on other types of indices. We may also add or remove indices for new Contracts at our discretion.</w:t>
      </w:r>
    </w:p>
    <w:p>
      <w:pPr>
        <w:spacing w:after="0" w:line="47"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Each Index is a “price return index,” not a “total return index,” and therefore does not reflect dividends declared by any of the companies in this Index. This will reduce the Index Performance and will cause the Index to underperform a direct investment in the securities composing the Index.</w:t>
      </w:r>
    </w:p>
    <w:p>
      <w:pPr>
        <w:spacing w:after="0" w:line="17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9359"/>
          </w:cols>
          <w:pgMar w:left="1100" w:top="962" w:right="1440" w:bottom="1440" w:gutter="0" w:footer="0" w:header="0"/>
        </w:sectPr>
      </w:pPr>
    </w:p>
    <w:bookmarkStart w:id="28" w:name="page29"/>
    <w:bookmarkEnd w:id="28"/>
    <w:p>
      <w:pPr>
        <w:ind w:left="2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57395" cy="36830"/>
                    </a:xfrm>
                    <a:prstGeom prst="rect">
                      <a:avLst/>
                    </a:prstGeom>
                    <a:noFill/>
                  </pic:spPr>
                </pic:pic>
              </a:graphicData>
            </a:graphic>
          </wp:anchor>
        </w:drawing>
        <w:t>The following Indices are currently available:</w:t>
      </w:r>
    </w:p>
    <w:p>
      <w:pPr>
        <w:spacing w:after="0" w:line="63"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i w:val="1"/>
          <w:iCs w:val="1"/>
          <w:color w:val="auto"/>
        </w:rPr>
        <w:t>S&amp;P 500</w:t>
      </w:r>
      <w:r>
        <w:rPr>
          <w:rFonts w:ascii="Times New Roman" w:cs="Times New Roman" w:eastAsia="Times New Roman" w:hAnsi="Times New Roman"/>
          <w:sz w:val="15"/>
          <w:szCs w:val="15"/>
          <w:i w:val="1"/>
          <w:iCs w:val="1"/>
          <w:color w:val="auto"/>
          <w:vertAlign w:val="superscript"/>
        </w:rPr>
        <w:t>®</w:t>
      </w:r>
      <w:r>
        <w:rPr>
          <w:rFonts w:ascii="Times New Roman" w:cs="Times New Roman" w:eastAsia="Times New Roman" w:hAnsi="Times New Roman"/>
          <w:sz w:val="12"/>
          <w:szCs w:val="12"/>
          <w:i w:val="1"/>
          <w:iCs w:val="1"/>
          <w:color w:val="auto"/>
        </w:rPr>
        <w:t xml:space="preserve"> Index (Price Return Index).</w:t>
      </w:r>
      <w:r>
        <w:rPr>
          <w:rFonts w:ascii="Times New Roman" w:cs="Times New Roman" w:eastAsia="Times New Roman" w:hAnsi="Times New Roman"/>
          <w:sz w:val="12"/>
          <w:szCs w:val="12"/>
          <w:color w:val="auto"/>
        </w:rPr>
        <w:t xml:space="preserve">  The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Index includes 500 large cap stocks from leading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companies in leading industries of the U.S. economy, capturing approximately 80% coverage of U.S. equities by market capitalization.</w:t>
      </w:r>
    </w:p>
    <w:p>
      <w:pPr>
        <w:spacing w:after="0" w:line="40" w:lineRule="exact"/>
        <w:rPr>
          <w:sz w:val="20"/>
          <w:szCs w:val="20"/>
          <w:color w:val="auto"/>
        </w:rPr>
      </w:pPr>
    </w:p>
    <w:p>
      <w:pPr>
        <w:jc w:val="both"/>
        <w:ind w:right="3839" w:firstLine="240"/>
        <w:spacing w:after="0" w:line="239" w:lineRule="auto"/>
        <w:rPr>
          <w:sz w:val="20"/>
          <w:szCs w:val="20"/>
          <w:color w:val="auto"/>
        </w:rPr>
      </w:pPr>
      <w:r>
        <w:rPr>
          <w:rFonts w:ascii="Times New Roman" w:cs="Times New Roman" w:eastAsia="Times New Roman" w:hAnsi="Times New Roman"/>
          <w:sz w:val="12"/>
          <w:szCs w:val="12"/>
          <w:i w:val="1"/>
          <w:iCs w:val="1"/>
          <w:color w:val="auto"/>
        </w:rPr>
        <w:t>Russell 2000</w:t>
      </w:r>
      <w:r>
        <w:rPr>
          <w:rFonts w:ascii="Times New Roman" w:cs="Times New Roman" w:eastAsia="Times New Roman" w:hAnsi="Times New Roman"/>
          <w:sz w:val="15"/>
          <w:szCs w:val="15"/>
          <w:i w:val="1"/>
          <w:iCs w:val="1"/>
          <w:color w:val="auto"/>
          <w:vertAlign w:val="superscript"/>
        </w:rPr>
        <w:t>®</w:t>
      </w:r>
      <w:r>
        <w:rPr>
          <w:rFonts w:ascii="Times New Roman" w:cs="Times New Roman" w:eastAsia="Times New Roman" w:hAnsi="Times New Roman"/>
          <w:sz w:val="12"/>
          <w:szCs w:val="12"/>
          <w:i w:val="1"/>
          <w:iCs w:val="1"/>
          <w:color w:val="auto"/>
        </w:rPr>
        <w:t xml:space="preserve"> Index (Price Return Index).</w:t>
      </w:r>
      <w:r>
        <w:rPr>
          <w:rFonts w:ascii="Times New Roman" w:cs="Times New Roman" w:eastAsia="Times New Roman" w:hAnsi="Times New Roman"/>
          <w:sz w:val="12"/>
          <w:szCs w:val="12"/>
          <w:color w:val="auto"/>
        </w:rPr>
        <w:t xml:space="preserve">  The Russell 2000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Index measures the performance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small-cap segment of the U.S. equity universe. The Russell 2000 is a subset of the Russell 3000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representing approximately 10% of the total market capitalization of that index. It includes approximately 2000 of the smallest securities based on a combination of their market cap and current index membership.</w:t>
      </w:r>
    </w:p>
    <w:p>
      <w:pPr>
        <w:spacing w:after="0" w:line="60"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i w:val="1"/>
          <w:iCs w:val="1"/>
          <w:color w:val="auto"/>
        </w:rPr>
        <w:t>MSCI EAFE Index (Price Return Index).</w:t>
      </w:r>
      <w:r>
        <w:rPr>
          <w:rFonts w:ascii="Times New Roman" w:cs="Times New Roman" w:eastAsia="Times New Roman" w:hAnsi="Times New Roman"/>
          <w:sz w:val="12"/>
          <w:szCs w:val="12"/>
          <w:color w:val="auto"/>
        </w:rPr>
        <w:t xml:space="preserve">  The MSCI EAFE Index (Europe, Australasia, Far East) is a free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float-adjusted market capitalization index that is designed to measure the equity market performance of developed markets, excluding the US &amp; Canada. As of the date of this prospectus the MSCI EAFE Index consists of the following 21 developed market country indices: Australia, Austria, Belgium, Denmark, Finland, France, Germany, Hong Kong, Ireland, Israel, Italy, Japan, the Netherlands, New Zealand, Norway, Portugal, Singapore, Spain, Sweden, Switzerland, and the United Kingdom. Index Value and Index Performance will be calculated without any exchange rate adjustment.</w:t>
      </w:r>
    </w:p>
    <w:p>
      <w:pPr>
        <w:spacing w:after="0" w:line="41" w:lineRule="exact"/>
        <w:rPr>
          <w:sz w:val="20"/>
          <w:szCs w:val="20"/>
          <w:color w:val="auto"/>
        </w:rPr>
      </w:pPr>
    </w:p>
    <w:p>
      <w:pPr>
        <w:jc w:val="both"/>
        <w:ind w:right="3839" w:firstLine="240"/>
        <w:spacing w:after="0" w:line="252" w:lineRule="auto"/>
        <w:rPr>
          <w:sz w:val="20"/>
          <w:szCs w:val="20"/>
          <w:color w:val="auto"/>
        </w:rPr>
      </w:pPr>
      <w:r>
        <w:rPr>
          <w:rFonts w:ascii="Times New Roman" w:cs="Times New Roman" w:eastAsia="Times New Roman" w:hAnsi="Times New Roman"/>
          <w:sz w:val="12"/>
          <w:szCs w:val="12"/>
          <w:i w:val="1"/>
          <w:iCs w:val="1"/>
          <w:color w:val="auto"/>
        </w:rPr>
        <w:t>Nasdaq-100 Index</w:t>
      </w:r>
      <w:r>
        <w:rPr>
          <w:rFonts w:ascii="Times New Roman" w:cs="Times New Roman" w:eastAsia="Times New Roman" w:hAnsi="Times New Roman"/>
          <w:sz w:val="15"/>
          <w:szCs w:val="15"/>
          <w:i w:val="1"/>
          <w:iCs w:val="1"/>
          <w:color w:val="auto"/>
          <w:vertAlign w:val="superscript"/>
        </w:rPr>
        <w:t>®</w:t>
      </w:r>
      <w:r>
        <w:rPr>
          <w:rFonts w:ascii="Times New Roman" w:cs="Times New Roman" w:eastAsia="Times New Roman" w:hAnsi="Times New Roman"/>
          <w:sz w:val="12"/>
          <w:szCs w:val="12"/>
          <w:i w:val="1"/>
          <w:iCs w:val="1"/>
          <w:color w:val="auto"/>
        </w:rPr>
        <w:t xml:space="preserve"> (Price Return Index). </w:t>
      </w:r>
      <w:r>
        <w:rPr>
          <w:rFonts w:ascii="Times New Roman" w:cs="Times New Roman" w:eastAsia="Times New Roman" w:hAnsi="Times New Roman"/>
          <w:sz w:val="12"/>
          <w:szCs w:val="12"/>
          <w:color w:val="auto"/>
        </w:rPr>
        <w:t>The Nasdaq-100 Index</w:t>
      </w:r>
      <w:r>
        <w:rPr>
          <w:rFonts w:ascii="Times New Roman" w:cs="Times New Roman" w:eastAsia="Times New Roman" w:hAnsi="Times New Roman"/>
          <w:sz w:val="15"/>
          <w:szCs w:val="15"/>
          <w:i w:val="1"/>
          <w:iCs w:val="1"/>
          <w:color w:val="auto"/>
          <w:vertAlign w:val="superscript"/>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includes 100 of the largest domestic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international non-financial securities listed on the Nasdaq Stock Market based on market capitalization. The Index reflects companies across major industry groups including computer hardware and software, telecommunications, retail/wholesale trade and biotechnology. It does not contain securities of financial companies including investment companies.</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See Appendix B for important information regarding the publishers of the Indices.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Discontinuation or Substantial Change to an Index.</w:t>
      </w:r>
    </w:p>
    <w:p>
      <w:pPr>
        <w:spacing w:after="0" w:line="78"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If any Index is discontinued or we determine that our use of such Index should be discontinued because we are no longer licensed to use the Index, the method of calculation is substantially changed, or if Index Values become unavailable for any reason, we may substitute a comparable index with a similar investment objective and risk profile. We will send you written notification thirty (30) days in advance of such substitution or as soon as reasonably possible. In the event that a similar index is not found, we will substitute the original Index with a domestic or international broad-based securities market index. A Shield Option will not end prior to the Term End Date due to our inability to find a similar index. The substituted Index may not be acceptable to you, and you will be unable to transfer your Investment Amount in the associated Shield Option to another Shield Option(s) or the Fixed Account (if available) until the Transfer Period coinciding with the Term End Date. If you no longer want to remain invested in that Shield Option for the remainder of the Term, your only option will be to withdraw the related Investment Amount. If you withdraw the Investment Amount, the amount withdrawn will be the Interim Value of the Shield Option.</w:t>
      </w:r>
    </w:p>
    <w:p>
      <w:pPr>
        <w:spacing w:after="0" w:line="54"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Upon substitution of an Index, we will calculate your Index Performance on the existing Index up until the date of substitution and the substitute Index from the date of substitution to the Term End Date. The Index Performance as of the Term End Date will be equal to the return from having invested in the initial Index up to the substitution date and then investing in the substitute Index from the date of substitution to the Term End Date assuming no withdrawals or transfers based on the following formula: (initial Index at Index substitution date ÷ initial Index at Term Start Date) x (substituted Index at Term End Date ÷ substituted Index at substitution date) –</w:t>
      </w:r>
    </w:p>
    <w:p>
      <w:pPr>
        <w:spacing w:after="0" w:line="2" w:lineRule="exact"/>
        <w:rPr>
          <w:sz w:val="20"/>
          <w:szCs w:val="20"/>
          <w:color w:val="auto"/>
        </w:rPr>
      </w:pPr>
    </w:p>
    <w:p>
      <w:pPr>
        <w:jc w:val="both"/>
        <w:ind w:right="3839" w:firstLine="8"/>
        <w:spacing w:after="0" w:line="255" w:lineRule="auto"/>
        <w:tabs>
          <w:tab w:leader="none" w:pos="123"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Index substitution will not change the Term, Shield Rate, Cap Rate, Step Rate, or Edge Rate for an existing Shield Option. The performance of the new Index may not be as good as the one that it substituted and as a result your Index Performance may have been better if there had been no substitution.</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See Appendix C for an Index substitution Investment Amount example.</w:t>
      </w:r>
    </w:p>
    <w:p>
      <w:pPr>
        <w:spacing w:after="0" w:line="78"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If you have exercised the Performance Lock, a subsequent index substitution will have no impact on the Performance Lock Value of that Shield Option.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Index Value</w:t>
      </w:r>
    </w:p>
    <w:p>
      <w:pPr>
        <w:spacing w:after="0" w:line="82"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The Index Value of an Index, on a Business Day, is the published closing value of the Index on that Business Day. The Index Value on any day that is not a Business Day is the value as of the prior Business Day. If an Index Value is not published on a Business Day, the closing Index Value on the next Business Day on which the Index Value is published will be used. We will use consistent sources to obtain Index Values. If these sources are no longer available for specific indices, we will select an alternative published source(s) for these Index Values.</w:t>
      </w:r>
    </w:p>
    <w:p>
      <w:pPr>
        <w:spacing w:after="0" w:line="17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9359"/>
          </w:cols>
          <w:pgMar w:left="1100" w:top="1038"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57395" cy="36830"/>
                    </a:xfrm>
                    <a:prstGeom prst="rect">
                      <a:avLst/>
                    </a:prstGeom>
                    <a:noFill/>
                  </pic:spPr>
                </pic:pic>
              </a:graphicData>
            </a:graphic>
          </wp:anchor>
        </w:drawing>
        <w:t>Index Performance</w:t>
      </w:r>
    </w:p>
    <w:p>
      <w:pPr>
        <w:spacing w:after="0" w:line="82" w:lineRule="exact"/>
        <w:rPr>
          <w:sz w:val="20"/>
          <w:szCs w:val="20"/>
          <w:color w:val="auto"/>
        </w:rPr>
      </w:pPr>
    </w:p>
    <w:p>
      <w:pPr>
        <w:jc w:val="both"/>
        <w:ind w:left="60" w:right="3839" w:firstLine="240"/>
        <w:spacing w:after="0" w:line="256" w:lineRule="auto"/>
        <w:rPr>
          <w:sz w:val="20"/>
          <w:szCs w:val="20"/>
          <w:color w:val="auto"/>
        </w:rPr>
      </w:pPr>
      <w:r>
        <w:rPr>
          <w:rFonts w:ascii="Times New Roman" w:cs="Times New Roman" w:eastAsia="Times New Roman" w:hAnsi="Times New Roman"/>
          <w:sz w:val="12"/>
          <w:szCs w:val="12"/>
          <w:color w:val="auto"/>
        </w:rPr>
        <w:t>Index Performance is the percentage change in an Index Value measured from the Term Start Date to any day, including the Term End Date, within the Term. The Index Performance can be positive, zero or negative. The Performance Rate of a Shield Option is based on the performance of an Index. We calculate the Performance Rate only on the Term End Date. Any increase or reduction in the Investment Amount in a particular Shield Option is determined by multiplying the Performance Rate by the Investment Amount of the Shield Option on the last day of the Term.</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Index Examples</w:t>
      </w:r>
    </w:p>
    <w:p>
      <w:pPr>
        <w:spacing w:after="0" w:line="82" w:lineRule="exact"/>
        <w:rPr>
          <w:sz w:val="20"/>
          <w:szCs w:val="20"/>
          <w:color w:val="auto"/>
        </w:rPr>
      </w:pPr>
    </w:p>
    <w:p>
      <w:pPr>
        <w:jc w:val="both"/>
        <w:ind w:left="60" w:right="3839" w:firstLine="240"/>
        <w:spacing w:after="0" w:line="257" w:lineRule="auto"/>
        <w:rPr>
          <w:sz w:val="20"/>
          <w:szCs w:val="20"/>
          <w:color w:val="auto"/>
        </w:rPr>
      </w:pPr>
      <w:r>
        <w:rPr>
          <w:rFonts w:ascii="Times New Roman" w:cs="Times New Roman" w:eastAsia="Times New Roman" w:hAnsi="Times New Roman"/>
          <w:sz w:val="12"/>
          <w:szCs w:val="12"/>
          <w:color w:val="auto"/>
        </w:rPr>
        <w:t>The bar charts shown below provide each Index’s annual returns for the last 10 calendar years (or for the life of the Index if less than 10 years), as well as the Index returns after applying a hypothetical 5% cap and a hypothetical 10% buffer (Shield Rate). The chart illustrates the variability of the returns from year to year and shows how hypothetical limits on Index gains and losses may affect these returns. Past performance is not necessarily an indication of future performance.</w:t>
      </w:r>
    </w:p>
    <w:p>
      <w:pPr>
        <w:spacing w:after="0" w:line="49" w:lineRule="exact"/>
        <w:rPr>
          <w:sz w:val="20"/>
          <w:szCs w:val="20"/>
          <w:color w:val="auto"/>
        </w:rPr>
      </w:pPr>
    </w:p>
    <w:p>
      <w:pPr>
        <w:jc w:val="both"/>
        <w:ind w:left="60" w:right="3839" w:firstLine="240"/>
        <w:spacing w:after="0" w:line="262" w:lineRule="auto"/>
        <w:rPr>
          <w:sz w:val="20"/>
          <w:szCs w:val="20"/>
          <w:color w:val="auto"/>
        </w:rPr>
      </w:pPr>
      <w:r>
        <w:rPr>
          <w:rFonts w:ascii="Times New Roman" w:cs="Times New Roman" w:eastAsia="Times New Roman" w:hAnsi="Times New Roman"/>
          <w:sz w:val="12"/>
          <w:szCs w:val="12"/>
          <w:b w:val="1"/>
          <w:bCs w:val="1"/>
          <w:color w:val="auto"/>
        </w:rPr>
        <w:t>The performance below is NOT the performance of any Shield Option. Your performance under the Contract will differ, perhaps significantly. The performance below may reflect a different return calculation, time period, and limit on Index gains and losses than the Shield Options, and does not reflect Contract fees and charges, including the Interim Value calculation, which reduces performance.</w:t>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-47625</wp:posOffset>
            </wp:positionV>
            <wp:extent cx="3411855" cy="1714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1185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0" w:right="3839" w:firstLine="8"/>
        <w:spacing w:after="0" w:line="265" w:lineRule="auto"/>
        <w:tabs>
          <w:tab w:leader="none" w:pos="15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Index is a “price return index,” not a “total return index,” and therefore does not reflect dividends declared by any of the companies in the Index. This will reduce the Index Performance and will cause the Index to underperform a direct investment in the securities composing the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9419"/>
          </w:cols>
          <w:pgMar w:left="1040" w:top="962"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57395" cy="36830"/>
                    </a:xfrm>
                    <a:prstGeom prst="rect">
                      <a:avLst/>
                    </a:prstGeom>
                    <a:noFill/>
                  </pic:spPr>
                </pic:pic>
              </a:graphicData>
            </a:graphic>
          </wp:anchor>
        </w:drawing>
        <w:t>Russell 2000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-47625</wp:posOffset>
            </wp:positionV>
            <wp:extent cx="3411855" cy="1714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1185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0" w:right="3839" w:firstLine="8"/>
        <w:spacing w:after="0" w:line="265" w:lineRule="auto"/>
        <w:tabs>
          <w:tab w:leader="none" w:pos="15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Index is a “price return index,” not a “total return index,” and therefore does not reflect dividends declared by any of the companies in the Index. This will reduce the Index Performance and will cause the Index to underperform a direct investment in the securities composing the Index.</w:t>
      </w:r>
    </w:p>
    <w:p>
      <w:pPr>
        <w:spacing w:after="0" w:line="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MSCI EAFE Index*</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-41275</wp:posOffset>
            </wp:positionV>
            <wp:extent cx="3411855" cy="1714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1185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3839" w:firstLine="8"/>
        <w:spacing w:after="0" w:line="265" w:lineRule="auto"/>
        <w:tabs>
          <w:tab w:leader="none" w:pos="15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Index is a “price return index,” not a “total return index,” and therefore does not reflect dividends declared by any of the companies in the Index. This will reduce the Index Performance and will cause the Index to underperform a direct investment in the securities composing the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1">
            <w:col w:w="9419"/>
          </w:cols>
          <w:pgMar w:left="1040" w:top="95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57395" cy="36830"/>
                    </a:xfrm>
                    <a:prstGeom prst="rect">
                      <a:avLst/>
                    </a:prstGeom>
                    <a:noFill/>
                  </pic:spPr>
                </pic:pic>
              </a:graphicData>
            </a:graphic>
          </wp:anchor>
        </w:drawing>
        <w:t>Nasdaq-100 Index</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-47625</wp:posOffset>
            </wp:positionV>
            <wp:extent cx="3411855" cy="1714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1185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0" w:right="3839" w:firstLine="8"/>
        <w:spacing w:after="0" w:line="265" w:lineRule="auto"/>
        <w:tabs>
          <w:tab w:leader="none" w:pos="15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Index is a “price return index,” not a “total return index,” and therefore does not reflect dividends declared by any of the companies in the Index. This will reduce the Index Performance and will cause the Index to underperform a direct investment in the securities composing the Index.</w:t>
      </w:r>
    </w:p>
    <w:p>
      <w:pPr>
        <w:spacing w:after="0" w:line="19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b w:val="1"/>
          <w:bCs w:val="1"/>
          <w:color w:val="auto"/>
        </w:rPr>
        <w:t>SHIELD RATES</w:t>
      </w:r>
    </w:p>
    <w:p>
      <w:pPr>
        <w:spacing w:after="0" w:line="91" w:lineRule="exact"/>
        <w:rPr>
          <w:sz w:val="20"/>
          <w:szCs w:val="20"/>
          <w:color w:val="auto"/>
        </w:rPr>
      </w:pPr>
    </w:p>
    <w:p>
      <w:pPr>
        <w:jc w:val="both"/>
        <w:ind w:left="60" w:right="3839" w:firstLine="240"/>
        <w:spacing w:after="0" w:line="257" w:lineRule="auto"/>
        <w:rPr>
          <w:sz w:val="20"/>
          <w:szCs w:val="20"/>
          <w:color w:val="auto"/>
        </w:rPr>
      </w:pPr>
      <w:r>
        <w:rPr>
          <w:rFonts w:ascii="Times New Roman" w:cs="Times New Roman" w:eastAsia="Times New Roman" w:hAnsi="Times New Roman"/>
          <w:sz w:val="12"/>
          <w:szCs w:val="12"/>
          <w:color w:val="auto"/>
        </w:rPr>
        <w:t>We will limit the negative Index Performance, as applicable, used in calculating the Performance Rate applied to the Investment Amount on the Term End Date. The Shield Rate for each Shield Option is the amount of any negative Index Performance that is absorbed by us at the Term End Date. The Shield Rate only applies to amounts held in the Shield Option until the Term End Date. Any negative Index Performance beyond the Shield Rate will reduce the Investment Amount.</w:t>
      </w:r>
    </w:p>
    <w:p>
      <w:pPr>
        <w:spacing w:after="0" w:line="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We currently offer the following Shield Rates—Shield 10, Shield 15 and Shield 25:</w:t>
      </w:r>
    </w:p>
    <w:p>
      <w:pPr>
        <w:spacing w:after="0" w:line="99" w:lineRule="exact"/>
        <w:rPr>
          <w:sz w:val="20"/>
          <w:szCs w:val="20"/>
          <w:color w:val="auto"/>
        </w:rPr>
      </w:pPr>
    </w:p>
    <w:tbl>
      <w:tblPr>
        <w:tblLayout w:type="fixed"/>
        <w:tblInd w:w="1310" w:type="dxa"/>
        <w:tblCellMar>
          <w:top w:w="0" w:type="dxa"/>
          <w:left w:w="0" w:type="dxa"/>
          <w:bottom w:w="0" w:type="dxa"/>
          <w:right w:w="0" w:type="dxa"/>
        </w:tblCellMar>
      </w:tblPr>
      <w:tr>
        <w:trPr>
          <w:trHeight w:val="159"/>
        </w:trPr>
        <w:tc>
          <w:tcPr>
            <w:tcW w:w="1520" w:type="dxa"/>
            <w:vAlign w:val="bottom"/>
            <w:tcBorders>
              <w:top w:val="single" w:sz="8" w:color="auto"/>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0"/>
                <w:szCs w:val="10"/>
                <w:b w:val="1"/>
                <w:bCs w:val="1"/>
                <w:color w:val="auto"/>
              </w:rPr>
              <w:t>Shield Rate</w:t>
            </w:r>
          </w:p>
        </w:tc>
        <w:tc>
          <w:tcPr>
            <w:tcW w:w="1520" w:type="dxa"/>
            <w:vAlign w:val="bottom"/>
            <w:tcBorders>
              <w:top w:val="single" w:sz="8" w:color="auto"/>
              <w:bottom w:val="single" w:sz="8" w:color="auto"/>
              <w:right w:val="single" w:sz="8" w:color="auto"/>
            </w:tcBorders>
          </w:tcPr>
          <w:p>
            <w:pPr>
              <w:jc w:val="center"/>
              <w:ind w:left="3"/>
              <w:spacing w:after="0"/>
              <w:rPr>
                <w:sz w:val="20"/>
                <w:szCs w:val="20"/>
                <w:color w:val="auto"/>
              </w:rPr>
            </w:pPr>
            <w:r>
              <w:rPr>
                <w:rFonts w:ascii="Times New Roman" w:cs="Times New Roman" w:eastAsia="Times New Roman" w:hAnsi="Times New Roman"/>
                <w:sz w:val="10"/>
                <w:szCs w:val="10"/>
                <w:b w:val="1"/>
                <w:bCs w:val="1"/>
                <w:color w:val="auto"/>
                <w:w w:val="97"/>
              </w:rPr>
              <w:t>Downside Protection</w:t>
            </w:r>
          </w:p>
        </w:tc>
      </w:tr>
      <w:tr>
        <w:trPr>
          <w:trHeight w:val="168"/>
        </w:trPr>
        <w:tc>
          <w:tcPr>
            <w:tcW w:w="152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2"/>
                <w:szCs w:val="12"/>
                <w:color w:val="auto"/>
              </w:rPr>
              <w:t>Shield 10</w:t>
            </w:r>
          </w:p>
        </w:tc>
        <w:tc>
          <w:tcPr>
            <w:tcW w:w="1520" w:type="dxa"/>
            <w:vAlign w:val="bottom"/>
            <w:tcBorders>
              <w:bottom w:val="single" w:sz="8" w:color="auto"/>
              <w:right w:val="single" w:sz="8" w:color="auto"/>
            </w:tcBorders>
          </w:tcPr>
          <w:p>
            <w:pPr>
              <w:jc w:val="center"/>
              <w:ind w:left="3"/>
              <w:spacing w:after="0"/>
              <w:rPr>
                <w:sz w:val="20"/>
                <w:szCs w:val="20"/>
                <w:color w:val="auto"/>
              </w:rPr>
            </w:pPr>
            <w:r>
              <w:rPr>
                <w:rFonts w:ascii="Times New Roman" w:cs="Times New Roman" w:eastAsia="Times New Roman" w:hAnsi="Times New Roman"/>
                <w:sz w:val="12"/>
                <w:szCs w:val="12"/>
                <w:color w:val="auto"/>
              </w:rPr>
              <w:t>up to 10%</w:t>
            </w:r>
          </w:p>
        </w:tc>
      </w:tr>
      <w:tr>
        <w:trPr>
          <w:trHeight w:val="169"/>
        </w:trPr>
        <w:tc>
          <w:tcPr>
            <w:tcW w:w="152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2"/>
                <w:szCs w:val="12"/>
                <w:color w:val="auto"/>
              </w:rPr>
              <w:t>Shield 15</w:t>
            </w:r>
          </w:p>
        </w:tc>
        <w:tc>
          <w:tcPr>
            <w:tcW w:w="1520" w:type="dxa"/>
            <w:vAlign w:val="bottom"/>
            <w:tcBorders>
              <w:bottom w:val="single" w:sz="8" w:color="auto"/>
              <w:right w:val="single" w:sz="8" w:color="auto"/>
            </w:tcBorders>
          </w:tcPr>
          <w:p>
            <w:pPr>
              <w:jc w:val="center"/>
              <w:ind w:left="3"/>
              <w:spacing w:after="0"/>
              <w:rPr>
                <w:sz w:val="20"/>
                <w:szCs w:val="20"/>
                <w:color w:val="auto"/>
              </w:rPr>
            </w:pPr>
            <w:r>
              <w:rPr>
                <w:rFonts w:ascii="Times New Roman" w:cs="Times New Roman" w:eastAsia="Times New Roman" w:hAnsi="Times New Roman"/>
                <w:sz w:val="12"/>
                <w:szCs w:val="12"/>
                <w:color w:val="auto"/>
              </w:rPr>
              <w:t>up to 15%</w:t>
            </w:r>
          </w:p>
        </w:tc>
      </w:tr>
      <w:tr>
        <w:trPr>
          <w:trHeight w:val="164"/>
        </w:trPr>
        <w:tc>
          <w:tcPr>
            <w:tcW w:w="1520" w:type="dxa"/>
            <w:vAlign w:val="bottom"/>
            <w:tcBorders>
              <w:left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2"/>
                <w:szCs w:val="12"/>
                <w:color w:val="auto"/>
              </w:rPr>
              <w:t>Shield 25</w:t>
            </w:r>
          </w:p>
        </w:tc>
        <w:tc>
          <w:tcPr>
            <w:tcW w:w="1520" w:type="dxa"/>
            <w:vAlign w:val="bottom"/>
            <w:tcBorders>
              <w:bottom w:val="single" w:sz="8" w:color="auto"/>
              <w:right w:val="single" w:sz="8" w:color="auto"/>
            </w:tcBorders>
          </w:tcPr>
          <w:p>
            <w:pPr>
              <w:jc w:val="center"/>
              <w:ind w:left="3"/>
              <w:spacing w:after="0"/>
              <w:rPr>
                <w:sz w:val="20"/>
                <w:szCs w:val="20"/>
                <w:color w:val="auto"/>
              </w:rPr>
            </w:pPr>
            <w:r>
              <w:rPr>
                <w:rFonts w:ascii="Times New Roman" w:cs="Times New Roman" w:eastAsia="Times New Roman" w:hAnsi="Times New Roman"/>
                <w:sz w:val="12"/>
                <w:szCs w:val="12"/>
                <w:color w:val="auto"/>
              </w:rPr>
              <w:t>up to 25%</w:t>
            </w:r>
          </w:p>
        </w:tc>
      </w:tr>
    </w:tbl>
    <w:p>
      <w:pPr>
        <w:spacing w:after="0" w:line="128" w:lineRule="exact"/>
        <w:rPr>
          <w:sz w:val="20"/>
          <w:szCs w:val="20"/>
          <w:color w:val="auto"/>
        </w:rPr>
      </w:pPr>
    </w:p>
    <w:p>
      <w:pPr>
        <w:jc w:val="both"/>
        <w:ind w:left="60" w:right="3839" w:firstLine="240"/>
        <w:spacing w:after="0" w:line="255" w:lineRule="auto"/>
        <w:rPr>
          <w:sz w:val="20"/>
          <w:szCs w:val="20"/>
          <w:color w:val="auto"/>
        </w:rPr>
      </w:pPr>
      <w:r>
        <w:rPr>
          <w:rFonts w:ascii="Times New Roman" w:cs="Times New Roman" w:eastAsia="Times New Roman" w:hAnsi="Times New Roman"/>
          <w:sz w:val="12"/>
          <w:szCs w:val="12"/>
          <w:color w:val="auto"/>
        </w:rPr>
        <w:t xml:space="preserve">For example, a -15% Index Performance with a 10% Shield Rate will result in a -5% Performance Rate (the amount of negative Index Performance that exceeds the Shield Rate), meaning that we will reduce the Investment Amount associated with the Shield Option by -5%. A -10% Index Performance with a 25% Shield Rate will result in a 0% Performance Rate (unless you have a Shield Option with Step Rate Edge) (negative Index Performance up to the Shield Rate is absorbed by us), meaning that we will not adjust the Investment Amount associated with the Shield Option. </w:t>
      </w:r>
      <w:r>
        <w:rPr>
          <w:rFonts w:ascii="Times New Roman" w:cs="Times New Roman" w:eastAsia="Times New Roman" w:hAnsi="Times New Roman"/>
          <w:sz w:val="12"/>
          <w:szCs w:val="12"/>
          <w:b w:val="1"/>
          <w:bCs w:val="1"/>
          <w:color w:val="auto"/>
        </w:rPr>
        <w:t>The Shield Rate may vary between Shield Options and, unless you have a Shield Option with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 1-year Term, is not an annual rate.</w:t>
      </w:r>
    </w:p>
    <w:p>
      <w:pPr>
        <w:spacing w:after="0" w:line="50" w:lineRule="exact"/>
        <w:rPr>
          <w:sz w:val="20"/>
          <w:szCs w:val="20"/>
          <w:color w:val="auto"/>
        </w:rPr>
      </w:pPr>
    </w:p>
    <w:p>
      <w:pPr>
        <w:jc w:val="both"/>
        <w:ind w:left="60" w:right="3839" w:firstLine="240"/>
        <w:spacing w:after="0" w:line="268" w:lineRule="auto"/>
        <w:rPr>
          <w:sz w:val="20"/>
          <w:szCs w:val="20"/>
          <w:color w:val="auto"/>
        </w:rPr>
      </w:pPr>
      <w:r>
        <w:rPr>
          <w:rFonts w:ascii="Times New Roman" w:cs="Times New Roman" w:eastAsia="Times New Roman" w:hAnsi="Times New Roman"/>
          <w:sz w:val="12"/>
          <w:szCs w:val="12"/>
          <w:b w:val="1"/>
          <w:bCs w:val="1"/>
          <w:color w:val="auto"/>
        </w:rPr>
        <w:t>In deciding whether to choose a Shield Option with a higher Shield Rate, you should consider that Shield Options with higher Shield Rates tend to have lower Cap Rates, Step Rates, and Edge Rates, as applicable, than Shield Options with lower Shield Rates that have the same Index and Term.</w:t>
      </w:r>
    </w:p>
    <w:p>
      <w:pPr>
        <w:spacing w:after="0" w:line="46" w:lineRule="exact"/>
        <w:rPr>
          <w:sz w:val="20"/>
          <w:szCs w:val="20"/>
          <w:color w:val="auto"/>
        </w:rPr>
      </w:pPr>
    </w:p>
    <w:p>
      <w:pPr>
        <w:jc w:val="both"/>
        <w:ind w:left="60" w:right="3839" w:firstLine="240"/>
        <w:spacing w:after="0" w:line="256" w:lineRule="auto"/>
        <w:rPr>
          <w:sz w:val="20"/>
          <w:szCs w:val="20"/>
          <w:color w:val="auto"/>
        </w:rPr>
      </w:pPr>
      <w:r>
        <w:rPr>
          <w:rFonts w:ascii="Times New Roman" w:cs="Times New Roman" w:eastAsia="Times New Roman" w:hAnsi="Times New Roman"/>
          <w:sz w:val="12"/>
          <w:szCs w:val="12"/>
          <w:color w:val="auto"/>
        </w:rPr>
        <w:t xml:space="preserve">Each Shield Option’s Shield Rate is guaranteed not to change for the life of the currently offered Shield Options. However, we may stop offering any of the Shield Options or add new Shield Options, so the Shield Rates offered under the Contract may change from one Term to the next. </w:t>
      </w:r>
      <w:r>
        <w:rPr>
          <w:rFonts w:ascii="Times New Roman" w:cs="Times New Roman" w:eastAsia="Times New Roman" w:hAnsi="Times New Roman"/>
          <w:sz w:val="12"/>
          <w:szCs w:val="12"/>
          <w:b w:val="1"/>
          <w:bCs w:val="1"/>
          <w:color w:val="auto"/>
        </w:rPr>
        <w:t>We do not guarantee that there will always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be a Shield Option under the Contract that provides this minimum amount of downside protection; however, there will always be at least one Shield Option available with a minimum of 10% downside protection.</w:t>
      </w:r>
    </w:p>
    <w:p>
      <w:pPr>
        <w:spacing w:after="0" w:line="53" w:lineRule="exact"/>
        <w:rPr>
          <w:sz w:val="20"/>
          <w:szCs w:val="20"/>
          <w:color w:val="auto"/>
        </w:rPr>
      </w:pPr>
    </w:p>
    <w:p>
      <w:pPr>
        <w:jc w:val="both"/>
        <w:ind w:left="60" w:right="3839" w:firstLine="240"/>
        <w:spacing w:after="0" w:line="265" w:lineRule="auto"/>
        <w:rPr>
          <w:sz w:val="20"/>
          <w:szCs w:val="20"/>
          <w:color w:val="auto"/>
        </w:rPr>
      </w:pPr>
      <w:r>
        <w:rPr>
          <w:rFonts w:ascii="Times New Roman" w:cs="Times New Roman" w:eastAsia="Times New Roman" w:hAnsi="Times New Roman"/>
          <w:sz w:val="12"/>
          <w:szCs w:val="12"/>
          <w:color w:val="auto"/>
        </w:rPr>
        <w:t>We set the Shield Rates at our discretion. We consider various factors in determining the Shield Rates, including, but not limited to, market conditions, administrative expenses, regulatory requirements, general economic trends, and competitive factors.</w:t>
      </w:r>
    </w:p>
    <w:p>
      <w:pPr>
        <w:spacing w:after="0" w:line="17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2"/>
          <w:szCs w:val="12"/>
          <w:color w:val="auto"/>
        </w:rPr>
        <w:t>31</w:t>
      </w:r>
    </w:p>
    <w:p>
      <w:pPr>
        <w:sectPr>
          <w:pgSz w:w="11900" w:h="16838" w:orient="portrait"/>
          <w:cols w:equalWidth="0" w:num="1">
            <w:col w:w="9419"/>
          </w:cols>
          <w:pgMar w:left="1040" w:top="953" w:right="1440" w:bottom="1440" w:gutter="0" w:footer="0" w:header="0"/>
        </w:sectPr>
      </w:pPr>
    </w:p>
    <w:bookmarkStart w:id="32" w:name="page33"/>
    <w:bookmarkEnd w:id="32"/>
    <w:p>
      <w:pPr>
        <w:ind w:left="20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57395" cy="36830"/>
                    </a:xfrm>
                    <a:prstGeom prst="rect">
                      <a:avLst/>
                    </a:prstGeom>
                    <a:noFill/>
                  </pic:spPr>
                </pic:pic>
              </a:graphicData>
            </a:graphic>
          </wp:anchor>
        </w:drawing>
        <w:t>RATE CREDITING TYPES</w:t>
      </w:r>
    </w:p>
    <w:p>
      <w:pPr>
        <w:spacing w:after="0" w:line="91"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The Cap Rate, Step Rate, and Step Rate Edge (each, a “Rate Crediting Type”) are the three ways we offer that you can potentially receive positive interest based on the performance of an Index. We will limit the positive Index Performance used in calculating the Performance Rate applied to the Investment Amount on the Term End Date through the applicable Rate Crediting Type for each Shield Option. A new Cap Rate, Step Rate, or Edge Rate will be declared for each subsequent Term. There are two ways you may find out what the renewal Cap Rates will be for a subsequent Term. Thirty (30) days before the current Term expires, we will send you notification, written or electronic depending on your selected preferences, indicating your maturing Shield Options and how you can obtain the different Shield Options available at the Term End Date, including the new Cap Rates, Step Rates, and Edge Rates, and the interest rate for the Fixed Account. You may also access our website at [ ] where at least two months of renewal rates for the Rate Crediting Types and the interest rate for the Fixed Account are posted – i.e., for the current month and the following month. The current rates for the Rate Crediting Types posted on that website are incorporated by reference into this prospectus.</w:t>
      </w:r>
    </w:p>
    <w:p>
      <w:pPr>
        <w:spacing w:after="0" w:line="54"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We set the rates for the Rate Crediting Types at our discretion. We consider various factors in determining the rates for the Rate Crediting Types, including, but not limited to, market conditions, administrative expenses, regulatory requirements, general economic trends, and competitive factors. At the Term End Date, the Investment Amount will automatically be renewed into the same Shield Option, with the new Cap Rate, Step Rate, or Edge Rate, unless you elect to transfer such amount into a different Shield Option(s) or the Fixed Account. See “TRANSFERS.”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Cap Rate</w:t>
      </w:r>
    </w:p>
    <w:p>
      <w:pPr>
        <w:spacing w:after="0" w:line="91"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color w:val="auto"/>
        </w:rPr>
        <w:t>The Cap Rate is the maximum rate that may be credited at the Term End Date based on Index Performance. For example, a 15% Index Performance with a 10% Cap Rate will result in a 10% Performance Rate (the Index Performance up to the Cap Rate), meaning that we will increase the Investment Amount associated with the Shield Option by 10%; or, a 5% Index Performance with a 10% Cap Rate will result in a 5% Performance Rate.</w:t>
      </w:r>
    </w:p>
    <w:p>
      <w:pPr>
        <w:jc w:val="both"/>
        <w:ind w:right="3839"/>
        <w:spacing w:after="0" w:line="253" w:lineRule="auto"/>
        <w:rPr>
          <w:sz w:val="20"/>
          <w:szCs w:val="20"/>
          <w:color w:val="auto"/>
        </w:rPr>
      </w:pPr>
      <w:r>
        <w:rPr>
          <w:rFonts w:ascii="Times New Roman" w:cs="Times New Roman" w:eastAsia="Times New Roman" w:hAnsi="Times New Roman"/>
          <w:sz w:val="12"/>
          <w:szCs w:val="12"/>
          <w:b w:val="1"/>
          <w:bCs w:val="1"/>
          <w:color w:val="auto"/>
        </w:rPr>
        <w:t xml:space="preserve">The Cap Rate may vary between Shield Options and, unless you have a Shield Option with a 1-year Term, is not an annual rate. </w:t>
      </w:r>
      <w:r>
        <w:rPr>
          <w:rFonts w:ascii="Times New Roman" w:cs="Times New Roman" w:eastAsia="Times New Roman" w:hAnsi="Times New Roman"/>
          <w:sz w:val="12"/>
          <w:szCs w:val="12"/>
          <w:color w:val="auto"/>
        </w:rPr>
        <w:t>The Cap Rate only applies to amounts held in the Shield Option until the Term End Date.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some cases we may declare a Cap Rate for a Shield Option as “uncapped” in which case the Performance Rate that can be received is equal to the Index Performance, subject to the Shield Rate.</w:t>
      </w:r>
    </w:p>
    <w:p>
      <w:pPr>
        <w:spacing w:after="0" w:line="55"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For renewals into the same Shield Option a new Cap Rate is declared for each subsequent Term. The actual Minimum Guaranteed Cap Rates for your Contract are the amounts shown in the Cap Rate Shield Option Rider attached to your Contract, but the rates will not be less than what is shown in the Minimum Guaranteed Cap Rates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3504565" cy="5899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04565" cy="589915"/>
                    </a:xfrm>
                    <a:prstGeom prst="rect">
                      <a:avLst/>
                    </a:prstGeom>
                    <a:noFill/>
                  </pic:spPr>
                </pic:pic>
              </a:graphicData>
            </a:graphic>
          </wp:anchor>
        </w:drawing>
      </w:r>
    </w:p>
    <w:p>
      <w:pPr>
        <w:spacing w:after="0" w:line="35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0"/>
          <w:szCs w:val="10"/>
          <w:b w:val="1"/>
          <w:bCs w:val="1"/>
          <w:color w:val="auto"/>
        </w:rPr>
        <w:t>Minimum Guaranteed Cap Rates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360" w:type="dxa"/>
            <w:vAlign w:val="bottom"/>
            <w:tcBorders>
              <w:top w:val="single" w:sz="8" w:color="auto"/>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Shield Rate</w:t>
            </w:r>
          </w:p>
        </w:tc>
        <w:tc>
          <w:tcPr>
            <w:tcW w:w="1400" w:type="dxa"/>
            <w:vAlign w:val="bottom"/>
            <w:tcBorders>
              <w:top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rPr>
              <w:t>1-Year Term</w:t>
            </w:r>
          </w:p>
        </w:tc>
        <w:tc>
          <w:tcPr>
            <w:tcW w:w="1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3-Year Term</w:t>
            </w: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6-Year Term</w:t>
            </w:r>
          </w:p>
        </w:tc>
      </w:tr>
      <w:tr>
        <w:trPr>
          <w:trHeight w:val="169"/>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Shield 10</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420" w:type="dxa"/>
            <w:vAlign w:val="bottom"/>
            <w:tcBorders>
              <w:bottom w:val="single" w:sz="8" w:color="auto"/>
              <w:right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rPr>
              <w:t>15%</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30%</w:t>
            </w:r>
          </w:p>
        </w:tc>
      </w:tr>
      <w:tr>
        <w:trPr>
          <w:trHeight w:val="169"/>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Shield 15</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4.5%</w:t>
            </w:r>
          </w:p>
        </w:tc>
        <w:tc>
          <w:tcPr>
            <w:tcW w:w="1420" w:type="dxa"/>
            <w:vAlign w:val="bottom"/>
            <w:tcBorders>
              <w:bottom w:val="single" w:sz="8" w:color="auto"/>
              <w:right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color w:val="auto"/>
              </w:rPr>
              <w:t>13.5%</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27%</w:t>
            </w:r>
          </w:p>
        </w:tc>
      </w:tr>
      <w:tr>
        <w:trPr>
          <w:trHeight w:val="164"/>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Shield 25</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3.5%</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N/A*</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21%</w:t>
            </w:r>
          </w:p>
        </w:tc>
      </w:tr>
    </w:tbl>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 Cap Rates are not offered with a Shield 25 with a 3-Year Term.</w:t>
      </w:r>
    </w:p>
    <w:p>
      <w:pPr>
        <w:spacing w:after="0" w:line="87"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There are two ways you may find out what the renewal Cap Rates will be for a subsequent Term. Thirty (30) days before the current Term expires, we will send you notification, written or electronic depending on your selected preferences, indicating your maturing Shield Options and how you can obtain the new Cap Rates. You may also access our website at https://www.brighthousefinancial.com/products/rates/ where at least two months of renewal rates for the Rate Crediting Types and the interest rate for the Fixed Account are posted – i.e., for the current month and the following month. At the Term End Date, the Investment Amount will automatically be renewed into the same Shield Option, with the new Cap Rate, unless you elect to transfer such amount into a different Shield Option(s) or the Fixed Account. See “TRANSFERS.”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Step Rate</w:t>
      </w:r>
    </w:p>
    <w:p>
      <w:pPr>
        <w:spacing w:after="0" w:line="82"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 xml:space="preserve">The Step Rate is the rate credited at the Term End Date if the Index Performance is equal to or greater than zero. For example, a 15% Index Performance with an 8% Step Rate will result in an 8% Performance Rate (the Step Rate); or, a 5% Index Performance with an 8% Step Rate will result in an 8% Performance Rate (the Step Rate), meaning that we will increase the Investment Amount by 8%. The Step Rate only applies to amounts held in the Shield Option until the Term End Date. </w:t>
      </w:r>
      <w:r>
        <w:rPr>
          <w:rFonts w:ascii="Times New Roman" w:cs="Times New Roman" w:eastAsia="Times New Roman" w:hAnsi="Times New Roman"/>
          <w:sz w:val="12"/>
          <w:szCs w:val="12"/>
          <w:b w:val="1"/>
          <w:bCs w:val="1"/>
          <w:color w:val="auto"/>
        </w:rPr>
        <w:t>The Step Rate may vary between Shield Options and, unless you</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have a Shield Option with a 1-year Term, is not an annual rate.</w:t>
      </w:r>
    </w:p>
    <w:p>
      <w:pPr>
        <w:spacing w:after="0" w:line="17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32</w:t>
      </w:r>
    </w:p>
    <w:p>
      <w:pPr>
        <w:sectPr>
          <w:pgSz w:w="11900" w:h="16838" w:orient="portrait"/>
          <w:cols w:equalWidth="0" w:num="1">
            <w:col w:w="9359"/>
          </w:cols>
          <w:pgMar w:left="1100" w:top="962" w:right="1440" w:bottom="1440" w:gutter="0" w:footer="0" w:header="0"/>
        </w:sectPr>
      </w:pPr>
    </w:p>
    <w:bookmarkStart w:id="33" w:name="page34"/>
    <w:bookmarkEnd w:id="33"/>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57395" cy="36830"/>
                    </a:xfrm>
                    <a:prstGeom prst="rect">
                      <a:avLst/>
                    </a:prstGeom>
                    <a:noFill/>
                  </pic:spPr>
                </pic:pic>
              </a:graphicData>
            </a:graphic>
          </wp:anchor>
        </w:drawing>
        <w:t>For renewals into the same Shield Option a new Step Rate is declared for each subsequent Term, and such rate will not be less than the Minimum Guaranteed Step Rate shown in the Step Rate Shield Option Rider attached to your Contract, but the rates will not be less than what is shown in the Minimum Guaranteed Step Rates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3504565" cy="469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04565" cy="469900"/>
                    </a:xfrm>
                    <a:prstGeom prst="rect">
                      <a:avLst/>
                    </a:prstGeom>
                    <a:noFill/>
                  </pic:spPr>
                </pic:pic>
              </a:graphicData>
            </a:graphic>
          </wp:anchor>
        </w:drawing>
      </w:r>
    </w:p>
    <w:p>
      <w:pPr>
        <w:spacing w:after="0" w:line="9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0"/>
          <w:szCs w:val="10"/>
          <w:b w:val="1"/>
          <w:bCs w:val="1"/>
          <w:color w:val="auto"/>
        </w:rPr>
        <w:t>Minimum Guaranteed Step Rates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840" w:type="dxa"/>
            <w:vAlign w:val="bottom"/>
            <w:tcBorders>
              <w:top w:val="single" w:sz="8" w:color="auto"/>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Shield Rate</w:t>
            </w:r>
          </w:p>
        </w:tc>
        <w:tc>
          <w:tcPr>
            <w:tcW w:w="188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2"/>
                <w:szCs w:val="12"/>
                <w:b w:val="1"/>
                <w:bCs w:val="1"/>
                <w:color w:val="auto"/>
              </w:rPr>
              <w:t>1-Year Term</w:t>
            </w:r>
          </w:p>
        </w:tc>
        <w:tc>
          <w:tcPr>
            <w:tcW w:w="1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2"/>
                <w:szCs w:val="12"/>
                <w:b w:val="1"/>
                <w:bCs w:val="1"/>
                <w:color w:val="auto"/>
              </w:rPr>
              <w:t>2-Year Term</w:t>
            </w:r>
          </w:p>
        </w:tc>
      </w:tr>
      <w:tr>
        <w:trPr>
          <w:trHeight w:val="169"/>
        </w:trPr>
        <w:tc>
          <w:tcPr>
            <w:tcW w:w="184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color w:val="auto"/>
              </w:rPr>
              <w:t>Shield 10</w:t>
            </w:r>
          </w:p>
        </w:tc>
        <w:tc>
          <w:tcPr>
            <w:tcW w:w="1880" w:type="dxa"/>
            <w:vAlign w:val="bottom"/>
            <w:tcBorders>
              <w:bottom w:val="single" w:sz="8" w:color="auto"/>
              <w:right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color w:val="auto"/>
              </w:rPr>
              <w:t>5%</w:t>
            </w:r>
          </w:p>
        </w:tc>
        <w:tc>
          <w:tcPr>
            <w:tcW w:w="180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color w:val="auto"/>
              </w:rPr>
              <w:t>10%</w:t>
            </w:r>
          </w:p>
        </w:tc>
      </w:tr>
      <w:tr>
        <w:trPr>
          <w:trHeight w:val="164"/>
        </w:trPr>
        <w:tc>
          <w:tcPr>
            <w:tcW w:w="184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color w:val="auto"/>
              </w:rPr>
              <w:t>Shield 15</w:t>
            </w:r>
          </w:p>
        </w:tc>
        <w:tc>
          <w:tcPr>
            <w:tcW w:w="1880" w:type="dxa"/>
            <w:vAlign w:val="bottom"/>
            <w:tcBorders>
              <w:bottom w:val="single" w:sz="8" w:color="auto"/>
              <w:right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color w:val="auto"/>
              </w:rPr>
              <w:t>4.5%</w:t>
            </w:r>
          </w:p>
        </w:tc>
        <w:tc>
          <w:tcPr>
            <w:tcW w:w="18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2"/>
                <w:szCs w:val="12"/>
                <w:color w:val="auto"/>
              </w:rPr>
              <w:t>9%</w:t>
            </w:r>
          </w:p>
        </w:tc>
      </w:tr>
    </w:tbl>
    <w:p>
      <w:pPr>
        <w:spacing w:after="0" w:line="128"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There are two ways you may find out what the renewal Step Rates will be for a subsequent Term. Thirty (30) days before the current Term expires, we will send you a notification, written or electronic depending on your selected preferences, indicating your maturing Shield Options and how you can obtain the new Step Rates. You may also access our website at https://www.brighthousefinancial.com/products/rates/ where at least two months of renewal rates for the Rate Crediting Types and the interest rate for the Fixed Account are posted – i.e., for the current month and the following month. At the Term End Date, the Investment Amount will automatically be renewed into the same Shield Option, with the new Step Rate, unless you elect to transfer such amount into a different Shield Option(s) or the Fixed Account. See “TRANSFERS.”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Step Rate Edge</w:t>
      </w:r>
    </w:p>
    <w:p>
      <w:pPr>
        <w:spacing w:after="0" w:line="82"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 xml:space="preserve">For Shield Options with Step Rate Edge, the Edge Rate is the rate credited at the Term End Date if the Index Performance is equal to or greater than the Shield Rate. Step Rate Edge therefore, provides the opportunity to receive the Edge Rate even when Index Performance is negative, so long as Index Performance is equal to or greater than the Shield Rate. For example, a 3% Index Performance with a 7% Edge Rate and a 10% Shield Rate will result in a 7% Performance Rate, or, a -10% Index Performance with a 7% Edge Rate and a 10% Shield Rate (Index Performance greater than the Shield Rate) will result in a 7% Performance Rate, meaning that we will increase the Investment Amount associated with the Shield Option by 7%. The Edge Rate only applies to amounts held in the Shield Option until the Term End Date. </w:t>
      </w:r>
      <w:r>
        <w:rPr>
          <w:rFonts w:ascii="Times New Roman" w:cs="Times New Roman" w:eastAsia="Times New Roman" w:hAnsi="Times New Roman"/>
          <w:sz w:val="12"/>
          <w:szCs w:val="12"/>
          <w:b w:val="1"/>
          <w:bCs w:val="1"/>
          <w:color w:val="auto"/>
        </w:rPr>
        <w:t>The Edge Rate may vary between Shield Options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unless you have a Shield Option with a 1-year Term, is not an annual rate.</w:t>
      </w:r>
    </w:p>
    <w:p>
      <w:pPr>
        <w:spacing w:after="0" w:line="54"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For renewals into the same Shield Option a new Edge Rate is declared for each subsequent Term, and such rate will not be less than the Minimum Guaranteed Edge Rate shown in the Step Rate Edge Shield Option Rider attached to your Contract, but the rate will not be less than what is shown in the Minimum Guaranteed Edge Rates table below. See “RATE CREDITING TYPES—Step Rate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wp:posOffset>
            </wp:positionV>
            <wp:extent cx="3504565" cy="469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04565" cy="469900"/>
                    </a:xfrm>
                    <a:prstGeom prst="rect">
                      <a:avLst/>
                    </a:prstGeom>
                    <a:noFill/>
                  </pic:spPr>
                </pic:pic>
              </a:graphicData>
            </a:graphic>
          </wp:anchor>
        </w:drawing>
      </w:r>
    </w:p>
    <w:p>
      <w:pPr>
        <w:spacing w:after="0" w:line="9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0"/>
          <w:szCs w:val="10"/>
          <w:b w:val="1"/>
          <w:bCs w:val="1"/>
          <w:color w:val="auto"/>
        </w:rPr>
        <w:t>Minimum Guaranteed Edge Rates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840" w:type="dxa"/>
            <w:vAlign w:val="bottom"/>
            <w:tcBorders>
              <w:top w:val="single" w:sz="8" w:color="auto"/>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Shield Rate</w:t>
            </w:r>
          </w:p>
        </w:tc>
        <w:tc>
          <w:tcPr>
            <w:tcW w:w="188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2"/>
                <w:szCs w:val="12"/>
                <w:b w:val="1"/>
                <w:bCs w:val="1"/>
                <w:color w:val="auto"/>
              </w:rPr>
              <w:t>1-Year Term</w:t>
            </w:r>
          </w:p>
        </w:tc>
        <w:tc>
          <w:tcPr>
            <w:tcW w:w="1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2"/>
                <w:szCs w:val="12"/>
                <w:b w:val="1"/>
                <w:bCs w:val="1"/>
                <w:color w:val="auto"/>
              </w:rPr>
              <w:t>2-Year Term</w:t>
            </w:r>
          </w:p>
        </w:tc>
      </w:tr>
      <w:tr>
        <w:trPr>
          <w:trHeight w:val="169"/>
        </w:trPr>
        <w:tc>
          <w:tcPr>
            <w:tcW w:w="184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color w:val="auto"/>
              </w:rPr>
              <w:t>Shield 10</w:t>
            </w:r>
          </w:p>
        </w:tc>
        <w:tc>
          <w:tcPr>
            <w:tcW w:w="1880" w:type="dxa"/>
            <w:vAlign w:val="bottom"/>
            <w:tcBorders>
              <w:bottom w:val="single" w:sz="8" w:color="auto"/>
              <w:right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color w:val="auto"/>
              </w:rPr>
              <w:t>5%</w:t>
            </w:r>
          </w:p>
        </w:tc>
        <w:tc>
          <w:tcPr>
            <w:tcW w:w="180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color w:val="auto"/>
              </w:rPr>
              <w:t>10%</w:t>
            </w:r>
          </w:p>
        </w:tc>
      </w:tr>
      <w:tr>
        <w:trPr>
          <w:trHeight w:val="164"/>
        </w:trPr>
        <w:tc>
          <w:tcPr>
            <w:tcW w:w="1840" w:type="dxa"/>
            <w:vAlign w:val="bottom"/>
            <w:tcBorders>
              <w:bottom w:val="single" w:sz="8" w:color="auto"/>
              <w:right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color w:val="auto"/>
              </w:rPr>
              <w:t>Shield 15</w:t>
            </w:r>
          </w:p>
        </w:tc>
        <w:tc>
          <w:tcPr>
            <w:tcW w:w="1880" w:type="dxa"/>
            <w:vAlign w:val="bottom"/>
            <w:tcBorders>
              <w:bottom w:val="single" w:sz="8" w:color="auto"/>
              <w:right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color w:val="auto"/>
              </w:rPr>
              <w:t>4.5%</w:t>
            </w:r>
          </w:p>
        </w:tc>
        <w:tc>
          <w:tcPr>
            <w:tcW w:w="18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2"/>
                <w:szCs w:val="12"/>
                <w:color w:val="auto"/>
              </w:rPr>
              <w:t>9%</w:t>
            </w:r>
          </w:p>
        </w:tc>
      </w:tr>
    </w:tbl>
    <w:p>
      <w:pPr>
        <w:spacing w:after="0" w:line="128"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There are two ways you may find out what the renewal Edge Rates will be for a subsequent Term. Thirty (30) days before the current Term expires, we will send you a notification, written or electronic depending on your selected preferences, indicating your maturing Shield Options and how you can obtain the new Edge Rates. You may also access our website at https://www.brighthousefinancial.com/products/rates/ where at least two months of renewal rates for the Rate Crediting Types and the interest rate for the Fixed Account are posted – i.e., for the current month and the following month. At the Term End Date, the Investment Amount will automatically be renewed into the same Shield Option, with the new Edge Rate, unless you elect to transfer such amount into a different Shield Option(s) or the Fixed Account. See “TRANSFERS.”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Rate Crediting Type Considerations</w:t>
      </w:r>
    </w:p>
    <w:p>
      <w:pPr>
        <w:spacing w:after="0" w:line="82"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In deciding whether to purchase a Shield Option with a Cap Rate versus a Step Rate or Step Rate Edge, you should consider the following:</w:t>
      </w:r>
    </w:p>
    <w:p>
      <w:pPr>
        <w:spacing w:after="0" w:line="39"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Step Rates and Edge Rates are generally lower than Cap Rates. For example, if Index Performance is equal to or greater than zero but less than the Step Rate, and you chose a Cap Rate for your Shield Option, your Performance Rate Adjustment will be lower than it otherwise would be had you chosen a Step Rate.</w:t>
      </w:r>
    </w:p>
    <w:p>
      <w:pPr>
        <w:spacing w:after="0" w:line="47"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Similarly, if Index Performance is equal to or greater than the Shield Rate but less than the Edge Rate, and you chose a Cap Rate for your Shield Option, your Performance Rate Adjustment will be lower than it otherwise would be had you chosen an Edge Rate.</w:t>
      </w:r>
    </w:p>
    <w:p>
      <w:pPr>
        <w:spacing w:after="0" w:line="17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9359"/>
          </w:cols>
          <w:pgMar w:left="1100" w:top="966" w:right="1440" w:bottom="1440" w:gutter="0" w:footer="0" w:header="0"/>
        </w:sectPr>
      </w:pPr>
    </w:p>
    <w:bookmarkStart w:id="34" w:name="page35"/>
    <w:bookmarkEnd w:id="34"/>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57395" cy="36830"/>
                    </a:xfrm>
                    <a:prstGeom prst="rect">
                      <a:avLst/>
                    </a:prstGeom>
                    <a:noFill/>
                  </pic:spPr>
                </pic:pic>
              </a:graphicData>
            </a:graphic>
          </wp:anchor>
        </w:drawing>
        <w:t>Alternatively, if Index Performance is positive and exceeds the Step Rate, and you chose a Step Rate for your Shield Option, your Performance Rate Adjustment will be lower than it otherwise would be had you chosen a Cap Rate. For example, if you chose a Shield Option with a 10% Cap Rate and there is a 15% Index Performance, your Performance Rate is 10%; however, if instead you were to choose a Shield Option with an 8% Step Rate, your Performance Rate would instead be 8%.</w:t>
      </w:r>
    </w:p>
    <w:p>
      <w:pPr>
        <w:spacing w:after="0" w:line="53"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Similarly, if the Index Performance is equal to or greater than the Shield Rate and exceeds the Edge Rate, and you chose an Edge Rate for your Shield Option, your Performance Rate Adjustment will be lower than it otherwise would be had you chosen a Cap Rate. For example, if you chose a Shield Option with a 10% Cap Rate and there is a 15% Index Performance, your Performance Rate is 10%; however, if instead you were to choose a Shield Option with an 7% Edge Rate, your Performance Rate would instead be 7%.</w:t>
      </w:r>
    </w:p>
    <w:p>
      <w:pPr>
        <w:spacing w:after="0" w:line="53"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In deciding whether to purchase a Shield Option with a Step Rate versus Step Rate Edge, you should consider that Edge Rates are generally lower than Step Rates. However, Edge Rates may credit a positive Performance Rate even when Index Performance is negative up to the Shield Rate, whereas Step Rates are applicable only when Index Performance is zero or positive. For example, if you chose an Edge Rate of 7% and Index Performance is equal to or greater than the Shield Rate but less than zero, your Performance Rate would be 7%. On the other hand, if you chose a Step Rate of 8% and Index Performance is equal to or greater than the Shield Rate but less than zero, your Performance Rate would be 0% even though the Step Rate is higher than the Edge Rate. Conversely, if you chose an Edge Rate of 7% and Index Performance is equal to or greater than zero, your Performance Rate would be 7% whereas if you had chosen a Step Rate of 8%, your Performance Rate would be 8% rather than 7%.</w:t>
      </w:r>
    </w:p>
    <w:p>
      <w:pPr>
        <w:spacing w:after="0" w:line="57"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You should keep in mind that unlike Shield Options with a Cap Rate or Step Rate , with a Shield Option with Step Rate Edge you will receive a positive Performance Rate equal to the Edge Rate even if Index Performance is negative, so long as such negative Index Performance does not exceed the Shield Rate.</w:t>
      </w:r>
    </w:p>
    <w:p>
      <w:pPr>
        <w:spacing w:after="0" w:line="18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b w:val="1"/>
          <w:bCs w:val="1"/>
          <w:color w:val="auto"/>
        </w:rPr>
        <w:t>ADDITION OR DISCONTINUANCE OF A SHIELD OPTION</w:t>
      </w:r>
    </w:p>
    <w:p>
      <w:pPr>
        <w:spacing w:after="0" w:line="82"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color w:val="auto"/>
        </w:rPr>
        <w:t>A Shield Option will always be available; however, we can add or discontinue any Shield Option. When a change is made to a Shield Option or an Index, or a change is made subsequent to the Issue Date, we will send a notification describing any changes to the Shield Option, as required by law. This change will take effect under your Contract as of the next Contract Anniversary for any allowable transfers into the Shield Option(s). If you are currently allocated in a Shield Option which is no longer available, you will remain in that Shield Option until the Term End Date, but that Shield Option will no longer be available following the Term End Date. For more on transfers and renewals, see “TRANSFERS.”</w:t>
      </w:r>
    </w:p>
    <w:p>
      <w:pPr>
        <w:spacing w:after="0" w:line="19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2"/>
          <w:szCs w:val="12"/>
          <w:b w:val="1"/>
          <w:bCs w:val="1"/>
          <w:color w:val="auto"/>
        </w:rPr>
        <w:t>ACCOUNT VALUE</w:t>
      </w:r>
    </w:p>
    <w:p>
      <w:pPr>
        <w:spacing w:after="0" w:line="82"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Your Account Value is the total of the Fixed Account Value, the value of the Shield Option(s), and the Holding Account value under your Contract during the Accumulation Period.</w:t>
      </w:r>
    </w:p>
    <w:p>
      <w:pPr>
        <w:spacing w:after="0" w:line="39"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 xml:space="preserve">The following five sections of the prospectus describe (1) the calculation of Investment Amount, (2) Interim Value Calculation, (3) how withdrawals work, (4) how Transfers work, and (5) how Performance Lock works. Each section has corresponding example(s). These examples should not be considered a representation of past or future performance for any Shield Option. </w:t>
      </w:r>
      <w:r>
        <w:rPr>
          <w:rFonts w:ascii="Times New Roman" w:cs="Times New Roman" w:eastAsia="Times New Roman" w:hAnsi="Times New Roman"/>
          <w:sz w:val="12"/>
          <w:szCs w:val="12"/>
          <w:b w:val="1"/>
          <w:bCs w:val="1"/>
          <w:color w:val="auto"/>
        </w:rPr>
        <w:t>Actual performance may be greater or less than those shown in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examples. Similarly, the Index Values in the examples are not an estimate or guarantee of future Index Performance.</w:t>
      </w:r>
    </w:p>
    <w:p>
      <w:pPr>
        <w:spacing w:after="0" w:line="53"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The rates for the Rate Crediting Types shown in the following examples are for illustrative purposes only and may not reflect actual declared rates. Values are rounded for display purposes only.</w:t>
      </w:r>
    </w:p>
    <w:p>
      <w:pPr>
        <w:spacing w:after="0" w:line="17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2"/>
          <w:szCs w:val="12"/>
          <w:b w:val="1"/>
          <w:bCs w:val="1"/>
          <w:color w:val="auto"/>
        </w:rPr>
        <w:t>INVESTMENT AMOUNT</w:t>
      </w:r>
    </w:p>
    <w:p>
      <w:pPr>
        <w:spacing w:after="0" w:line="82"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The Investment Amount for each Shield Option is equal to the Investment Amount at the Term Start Date, reduced proportionately for any withdrawals (including RMDs, and systematic withdrawals) by the same percentage that the withdrawal reduces the Interim Value attributable to that Shield Option, adjusted by the Performance Rate at the Term End Date.</w:t>
      </w:r>
    </w:p>
    <w:p>
      <w:pPr>
        <w:spacing w:after="0" w:line="50"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The remaining Investment Amount after a withdrawal will be used as the new Investment Amount for the Term until the Term End Date for that Shield Option, or the next Interim Value calculation. On the Term End Date, we apply the Performance Rate to your Investment Amount.</w:t>
      </w:r>
    </w:p>
    <w:p>
      <w:pPr>
        <w:spacing w:after="0" w:line="17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9359"/>
          </w:cols>
          <w:pgMar w:left="1100" w:top="966" w:right="1440" w:bottom="1440" w:gutter="0" w:footer="0" w:header="0"/>
        </w:sectPr>
      </w:pPr>
    </w:p>
    <w:bookmarkStart w:id="35" w:name="page36"/>
    <w:bookmarkEnd w:id="35"/>
    <w:p>
      <w:pPr>
        <w:ind w:left="7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57395" cy="36830"/>
                    </a:xfrm>
                    <a:prstGeom prst="rect">
                      <a:avLst/>
                    </a:prstGeom>
                    <a:noFill/>
                  </pic:spPr>
                </pic:pic>
              </a:graphicData>
            </a:graphic>
          </wp:anchor>
        </w:drawing>
        <w:t>CALCULATING YOUR INVESTMENT AMOUNT ON A TERM END DATE</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Performance Rate can be positive, zero or negative and is determined as follows:</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160"/>
        </w:trPr>
        <w:tc>
          <w:tcPr>
            <w:tcW w:w="19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Shield Option type:</w:t>
            </w:r>
          </w:p>
        </w:tc>
        <w:tc>
          <w:tcPr>
            <w:tcW w:w="1920" w:type="dxa"/>
            <w:vAlign w:val="bottom"/>
            <w:tcBorders>
              <w:top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0"/>
                <w:szCs w:val="10"/>
                <w:b w:val="1"/>
                <w:bCs w:val="1"/>
                <w:color w:val="auto"/>
              </w:rPr>
              <w:t>If Index Performance is:</w:t>
            </w:r>
          </w:p>
        </w:tc>
        <w:tc>
          <w:tcPr>
            <w:tcW w:w="202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0"/>
                <w:szCs w:val="10"/>
                <w:b w:val="1"/>
                <w:bCs w:val="1"/>
                <w:color w:val="auto"/>
              </w:rPr>
              <w:t>Performance Rate will equal:</w:t>
            </w:r>
          </w:p>
        </w:tc>
      </w:tr>
      <w:tr>
        <w:trPr>
          <w:trHeight w:val="26"/>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131"/>
        </w:trPr>
        <w:tc>
          <w:tcPr>
            <w:tcW w:w="190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Shield Options with a Cap Rate</w:t>
            </w:r>
          </w:p>
        </w:tc>
        <w:tc>
          <w:tcPr>
            <w:tcW w:w="19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less than or equal to zero</w:t>
            </w:r>
          </w:p>
        </w:tc>
        <w:tc>
          <w:tcPr>
            <w:tcW w:w="20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the lesser of: zero or the Index</w:t>
            </w:r>
          </w:p>
        </w:tc>
      </w:tr>
      <w:tr>
        <w:trPr>
          <w:trHeight w:val="126"/>
        </w:trPr>
        <w:tc>
          <w:tcPr>
            <w:tcW w:w="190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Performance increased by the Shield</w:t>
            </w:r>
          </w:p>
        </w:tc>
      </w:tr>
      <w:tr>
        <w:trPr>
          <w:trHeight w:val="135"/>
        </w:trPr>
        <w:tc>
          <w:tcPr>
            <w:tcW w:w="1900" w:type="dxa"/>
            <w:vAlign w:val="bottom"/>
            <w:tcBorders>
              <w:left w:val="single" w:sz="8" w:color="auto"/>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Rate (For example: a -15% Index</w:t>
            </w:r>
          </w:p>
        </w:tc>
      </w:tr>
      <w:tr>
        <w:trPr>
          <w:trHeight w:val="135"/>
        </w:trPr>
        <w:tc>
          <w:tcPr>
            <w:tcW w:w="1900" w:type="dxa"/>
            <w:vAlign w:val="bottom"/>
            <w:tcBorders>
              <w:left w:val="single" w:sz="8" w:color="auto"/>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Performance with Shield 10 will result</w:t>
            </w:r>
          </w:p>
        </w:tc>
      </w:tr>
      <w:tr>
        <w:trPr>
          <w:trHeight w:val="126"/>
        </w:trPr>
        <w:tc>
          <w:tcPr>
            <w:tcW w:w="190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in a -5% Performance Rate. The</w:t>
            </w:r>
          </w:p>
        </w:tc>
      </w:tr>
      <w:tr>
        <w:trPr>
          <w:trHeight w:val="135"/>
        </w:trPr>
        <w:tc>
          <w:tcPr>
            <w:tcW w:w="1900" w:type="dxa"/>
            <w:vAlign w:val="bottom"/>
            <w:tcBorders>
              <w:left w:val="single" w:sz="8" w:color="auto"/>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Performance Rate can never be</w:t>
            </w:r>
          </w:p>
        </w:tc>
      </w:tr>
      <w:tr>
        <w:trPr>
          <w:trHeight w:val="135"/>
        </w:trPr>
        <w:tc>
          <w:tcPr>
            <w:tcW w:w="1900" w:type="dxa"/>
            <w:vAlign w:val="bottom"/>
            <w:tcBorders>
              <w:left w:val="single" w:sz="8" w:color="auto"/>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greater than zero if the Index</w:t>
            </w:r>
          </w:p>
        </w:tc>
      </w:tr>
      <w:tr>
        <w:trPr>
          <w:trHeight w:val="155"/>
        </w:trPr>
        <w:tc>
          <w:tcPr>
            <w:tcW w:w="1900" w:type="dxa"/>
            <w:vAlign w:val="bottom"/>
            <w:tcBorders>
              <w:left w:val="single" w:sz="8" w:color="auto"/>
              <w:right w:val="single" w:sz="8" w:color="auto"/>
            </w:tcBorders>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Performance is negative.)</w:t>
            </w:r>
          </w:p>
        </w:tc>
      </w:tr>
      <w:tr>
        <w:trPr>
          <w:trHeight w:val="196"/>
        </w:trPr>
        <w:tc>
          <w:tcPr>
            <w:tcW w:w="190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greater than zero and less than the</w:t>
            </w: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the Index Performance</w:t>
            </w:r>
          </w:p>
        </w:tc>
      </w:tr>
      <w:tr>
        <w:trPr>
          <w:trHeight w:val="155"/>
        </w:trPr>
        <w:tc>
          <w:tcPr>
            <w:tcW w:w="1900" w:type="dxa"/>
            <w:vAlign w:val="bottom"/>
            <w:tcBorders>
              <w:left w:val="single" w:sz="8" w:color="auto"/>
              <w:right w:val="single" w:sz="8" w:color="auto"/>
            </w:tcBorders>
          </w:tcPr>
          <w:p>
            <w:pPr>
              <w:spacing w:after="0"/>
              <w:rPr>
                <w:sz w:val="13"/>
                <w:szCs w:val="13"/>
                <w:color w:val="auto"/>
              </w:rPr>
            </w:pPr>
          </w:p>
        </w:tc>
        <w:tc>
          <w:tcPr>
            <w:tcW w:w="1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Cap Rate</w:t>
            </w:r>
          </w:p>
        </w:tc>
        <w:tc>
          <w:tcPr>
            <w:tcW w:w="2020" w:type="dxa"/>
            <w:vAlign w:val="bottom"/>
            <w:tcBorders>
              <w:right w:val="single" w:sz="8" w:color="auto"/>
            </w:tcBorders>
          </w:tcPr>
          <w:p>
            <w:pPr>
              <w:spacing w:after="0"/>
              <w:rPr>
                <w:sz w:val="13"/>
                <w:szCs w:val="13"/>
                <w:color w:val="auto"/>
              </w:rPr>
            </w:pPr>
          </w:p>
        </w:tc>
      </w:tr>
      <w:tr>
        <w:trPr>
          <w:trHeight w:val="214"/>
        </w:trPr>
        <w:tc>
          <w:tcPr>
            <w:tcW w:w="190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greater than zero and equals or</w:t>
            </w: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the Cap Rate</w:t>
            </w:r>
          </w:p>
        </w:tc>
      </w:tr>
      <w:tr>
        <w:trPr>
          <w:trHeight w:val="155"/>
        </w:trPr>
        <w:tc>
          <w:tcPr>
            <w:tcW w:w="1900" w:type="dxa"/>
            <w:vAlign w:val="bottom"/>
            <w:tcBorders>
              <w:left w:val="single" w:sz="8" w:color="auto"/>
              <w:right w:val="single" w:sz="8" w:color="auto"/>
            </w:tcBorders>
          </w:tcPr>
          <w:p>
            <w:pPr>
              <w:spacing w:after="0"/>
              <w:rPr>
                <w:sz w:val="13"/>
                <w:szCs w:val="13"/>
                <w:color w:val="auto"/>
              </w:rPr>
            </w:pPr>
          </w:p>
        </w:tc>
        <w:tc>
          <w:tcPr>
            <w:tcW w:w="1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exceeds the Cap Rate</w:t>
            </w:r>
          </w:p>
        </w:tc>
        <w:tc>
          <w:tcPr>
            <w:tcW w:w="2020" w:type="dxa"/>
            <w:vAlign w:val="bottom"/>
            <w:tcBorders>
              <w:right w:val="single" w:sz="8" w:color="auto"/>
            </w:tcBorders>
          </w:tcPr>
          <w:p>
            <w:pPr>
              <w:spacing w:after="0"/>
              <w:rPr>
                <w:sz w:val="13"/>
                <w:szCs w:val="13"/>
                <w:color w:val="auto"/>
              </w:rPr>
            </w:pPr>
          </w:p>
        </w:tc>
      </w:tr>
      <w:tr>
        <w:trPr>
          <w:trHeight w:val="27"/>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131"/>
        </w:trPr>
        <w:tc>
          <w:tcPr>
            <w:tcW w:w="190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Shield Options with a Step Rate</w:t>
            </w:r>
          </w:p>
        </w:tc>
        <w:tc>
          <w:tcPr>
            <w:tcW w:w="19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less than zero</w:t>
            </w:r>
          </w:p>
        </w:tc>
        <w:tc>
          <w:tcPr>
            <w:tcW w:w="20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the lesser of: zero or the Index</w:t>
            </w:r>
          </w:p>
        </w:tc>
      </w:tr>
      <w:tr>
        <w:trPr>
          <w:trHeight w:val="126"/>
        </w:trPr>
        <w:tc>
          <w:tcPr>
            <w:tcW w:w="190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Performance increased by the Shield</w:t>
            </w:r>
          </w:p>
        </w:tc>
      </w:tr>
      <w:tr>
        <w:trPr>
          <w:trHeight w:val="135"/>
        </w:trPr>
        <w:tc>
          <w:tcPr>
            <w:tcW w:w="1900" w:type="dxa"/>
            <w:vAlign w:val="bottom"/>
            <w:tcBorders>
              <w:left w:val="single" w:sz="8" w:color="auto"/>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Rate (For example: a -15% Index</w:t>
            </w:r>
          </w:p>
        </w:tc>
      </w:tr>
      <w:tr>
        <w:trPr>
          <w:trHeight w:val="135"/>
        </w:trPr>
        <w:tc>
          <w:tcPr>
            <w:tcW w:w="1900" w:type="dxa"/>
            <w:vAlign w:val="bottom"/>
            <w:tcBorders>
              <w:left w:val="single" w:sz="8" w:color="auto"/>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Performance with Shield 10 will result</w:t>
            </w:r>
          </w:p>
        </w:tc>
      </w:tr>
      <w:tr>
        <w:trPr>
          <w:trHeight w:val="126"/>
        </w:trPr>
        <w:tc>
          <w:tcPr>
            <w:tcW w:w="190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in a -5% Performance Rate. The</w:t>
            </w:r>
          </w:p>
        </w:tc>
      </w:tr>
      <w:tr>
        <w:trPr>
          <w:trHeight w:val="135"/>
        </w:trPr>
        <w:tc>
          <w:tcPr>
            <w:tcW w:w="1900" w:type="dxa"/>
            <w:vAlign w:val="bottom"/>
            <w:tcBorders>
              <w:left w:val="single" w:sz="8" w:color="auto"/>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Performance Rate can never be</w:t>
            </w:r>
          </w:p>
        </w:tc>
      </w:tr>
      <w:tr>
        <w:trPr>
          <w:trHeight w:val="135"/>
        </w:trPr>
        <w:tc>
          <w:tcPr>
            <w:tcW w:w="1900" w:type="dxa"/>
            <w:vAlign w:val="bottom"/>
            <w:tcBorders>
              <w:left w:val="single" w:sz="8" w:color="auto"/>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greater than zero if the Index</w:t>
            </w:r>
          </w:p>
        </w:tc>
      </w:tr>
      <w:tr>
        <w:trPr>
          <w:trHeight w:val="155"/>
        </w:trPr>
        <w:tc>
          <w:tcPr>
            <w:tcW w:w="1900" w:type="dxa"/>
            <w:vAlign w:val="bottom"/>
            <w:tcBorders>
              <w:left w:val="single" w:sz="8" w:color="auto"/>
              <w:right w:val="single" w:sz="8" w:color="auto"/>
            </w:tcBorders>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Performance is negative.)</w:t>
            </w:r>
          </w:p>
        </w:tc>
      </w:tr>
      <w:tr>
        <w:trPr>
          <w:trHeight w:val="225"/>
        </w:trPr>
        <w:tc>
          <w:tcPr>
            <w:tcW w:w="1900" w:type="dxa"/>
            <w:vAlign w:val="bottom"/>
            <w:tcBorders>
              <w:left w:val="single" w:sz="8" w:color="auto"/>
              <w:right w:val="single" w:sz="8" w:color="auto"/>
            </w:tcBorders>
          </w:tcPr>
          <w:p>
            <w:pPr>
              <w:spacing w:after="0"/>
              <w:rPr>
                <w:sz w:val="19"/>
                <w:szCs w:val="19"/>
                <w:color w:val="auto"/>
              </w:rPr>
            </w:pPr>
          </w:p>
        </w:tc>
        <w:tc>
          <w:tcPr>
            <w:tcW w:w="1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equal to or greater than zero</w:t>
            </w: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the Step Rate</w:t>
            </w:r>
          </w:p>
        </w:tc>
      </w:tr>
      <w:tr>
        <w:trPr>
          <w:trHeight w:val="27"/>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131"/>
        </w:trPr>
        <w:tc>
          <w:tcPr>
            <w:tcW w:w="1900" w:type="dxa"/>
            <w:vAlign w:val="bottom"/>
            <w:tcBorders>
              <w:left w:val="single" w:sz="8" w:color="auto"/>
              <w:right w:val="single" w:sz="8" w:color="auto"/>
            </w:tcBorders>
          </w:tcPr>
          <w:p>
            <w:pPr>
              <w:ind w:left="80"/>
              <w:spacing w:after="0" w:line="132" w:lineRule="exact"/>
              <w:rPr>
                <w:sz w:val="20"/>
                <w:szCs w:val="20"/>
                <w:color w:val="auto"/>
              </w:rPr>
            </w:pPr>
            <w:r>
              <w:rPr>
                <w:rFonts w:ascii="Times New Roman" w:cs="Times New Roman" w:eastAsia="Times New Roman" w:hAnsi="Times New Roman"/>
                <w:sz w:val="12"/>
                <w:szCs w:val="12"/>
                <w:color w:val="auto"/>
              </w:rPr>
              <w:t>Shield Options with Step Rate Edge</w:t>
            </w:r>
          </w:p>
        </w:tc>
        <w:tc>
          <w:tcPr>
            <w:tcW w:w="19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less than zero and exceeds the Shield</w:t>
            </w:r>
          </w:p>
        </w:tc>
        <w:tc>
          <w:tcPr>
            <w:tcW w:w="2020" w:type="dxa"/>
            <w:vAlign w:val="bottom"/>
            <w:tcBorders>
              <w:right w:val="single" w:sz="8" w:color="auto"/>
            </w:tcBorders>
          </w:tcPr>
          <w:p>
            <w:pPr>
              <w:ind w:left="60"/>
              <w:spacing w:after="0" w:line="132" w:lineRule="exact"/>
              <w:rPr>
                <w:sz w:val="20"/>
                <w:szCs w:val="20"/>
                <w:color w:val="auto"/>
              </w:rPr>
            </w:pPr>
            <w:r>
              <w:rPr>
                <w:rFonts w:ascii="Times New Roman" w:cs="Times New Roman" w:eastAsia="Times New Roman" w:hAnsi="Times New Roman"/>
                <w:sz w:val="12"/>
                <w:szCs w:val="12"/>
                <w:color w:val="auto"/>
              </w:rPr>
              <w:t>Index Performance increased by the</w:t>
            </w:r>
          </w:p>
        </w:tc>
      </w:tr>
      <w:tr>
        <w:trPr>
          <w:trHeight w:val="126"/>
        </w:trPr>
        <w:tc>
          <w:tcPr>
            <w:tcW w:w="190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Rate</w:t>
            </w:r>
          </w:p>
        </w:tc>
        <w:tc>
          <w:tcPr>
            <w:tcW w:w="2020" w:type="dxa"/>
            <w:vAlign w:val="bottom"/>
            <w:tcBorders>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color w:val="auto"/>
              </w:rPr>
              <w:t>Shield Rate (For example: a -15%</w:t>
            </w:r>
          </w:p>
        </w:tc>
      </w:tr>
      <w:tr>
        <w:trPr>
          <w:trHeight w:val="135"/>
        </w:trPr>
        <w:tc>
          <w:tcPr>
            <w:tcW w:w="1900" w:type="dxa"/>
            <w:vAlign w:val="bottom"/>
            <w:tcBorders>
              <w:left w:val="single" w:sz="8" w:color="auto"/>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2020" w:type="dxa"/>
            <w:vAlign w:val="bottom"/>
            <w:tcBorders>
              <w:right w:val="single" w:sz="8" w:color="auto"/>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Index Performance with Shield 10 will</w:t>
            </w:r>
          </w:p>
        </w:tc>
      </w:tr>
      <w:tr>
        <w:trPr>
          <w:trHeight w:val="155"/>
        </w:trPr>
        <w:tc>
          <w:tcPr>
            <w:tcW w:w="1900" w:type="dxa"/>
            <w:vAlign w:val="bottom"/>
            <w:tcBorders>
              <w:left w:val="single" w:sz="8" w:color="auto"/>
              <w:right w:val="single" w:sz="8" w:color="auto"/>
            </w:tcBorders>
          </w:tcPr>
          <w:p>
            <w:pPr>
              <w:spacing w:after="0"/>
              <w:rPr>
                <w:sz w:val="13"/>
                <w:szCs w:val="13"/>
                <w:color w:val="auto"/>
              </w:rPr>
            </w:pPr>
          </w:p>
        </w:tc>
        <w:tc>
          <w:tcPr>
            <w:tcW w:w="1920" w:type="dxa"/>
            <w:vAlign w:val="bottom"/>
            <w:tcBorders>
              <w:right w:val="single" w:sz="8" w:color="auto"/>
            </w:tcBorders>
          </w:tcPr>
          <w:p>
            <w:pPr>
              <w:spacing w:after="0"/>
              <w:rPr>
                <w:sz w:val="13"/>
                <w:szCs w:val="13"/>
                <w:color w:val="auto"/>
              </w:rPr>
            </w:pP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result in a -5% Performance Rate.)</w:t>
            </w:r>
          </w:p>
        </w:tc>
      </w:tr>
      <w:tr>
        <w:trPr>
          <w:trHeight w:val="205"/>
        </w:trPr>
        <w:tc>
          <w:tcPr>
            <w:tcW w:w="190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less than zero but does not exceed</w:t>
            </w:r>
          </w:p>
        </w:tc>
        <w:tc>
          <w:tcPr>
            <w:tcW w:w="2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the Edge Rate</w:t>
            </w:r>
          </w:p>
        </w:tc>
      </w:tr>
      <w:tr>
        <w:trPr>
          <w:trHeight w:val="155"/>
        </w:trPr>
        <w:tc>
          <w:tcPr>
            <w:tcW w:w="1900" w:type="dxa"/>
            <w:vAlign w:val="bottom"/>
            <w:tcBorders>
              <w:left w:val="single" w:sz="8" w:color="auto"/>
              <w:right w:val="single" w:sz="8" w:color="auto"/>
            </w:tcBorders>
          </w:tcPr>
          <w:p>
            <w:pPr>
              <w:spacing w:after="0"/>
              <w:rPr>
                <w:sz w:val="13"/>
                <w:szCs w:val="13"/>
                <w:color w:val="auto"/>
              </w:rPr>
            </w:pPr>
          </w:p>
        </w:tc>
        <w:tc>
          <w:tcPr>
            <w:tcW w:w="19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the Shield Rate</w:t>
            </w:r>
          </w:p>
        </w:tc>
        <w:tc>
          <w:tcPr>
            <w:tcW w:w="2020" w:type="dxa"/>
            <w:vAlign w:val="bottom"/>
            <w:tcBorders>
              <w:right w:val="single" w:sz="8" w:color="auto"/>
            </w:tcBorders>
          </w:tcPr>
          <w:p>
            <w:pPr>
              <w:spacing w:after="0"/>
              <w:rPr>
                <w:sz w:val="13"/>
                <w:szCs w:val="13"/>
                <w:color w:val="auto"/>
              </w:rPr>
            </w:pPr>
          </w:p>
        </w:tc>
      </w:tr>
      <w:tr>
        <w:trPr>
          <w:trHeight w:val="229"/>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zero or positive</w:t>
            </w:r>
          </w:p>
        </w:tc>
        <w:tc>
          <w:tcPr>
            <w:tcW w:w="2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the Edge Rate</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Example 1—Calculating your Investment Amount without the Performance Lock on a Term End Date</w:t>
      </w:r>
    </w:p>
    <w:p>
      <w:pPr>
        <w:spacing w:after="0" w:line="82"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The following examples illustrate how we calculate and credit interest under each Index crediting methodology assuming hypothetical Index Performance and hypothetical limits on Index gains and losses. The examples assume no withdrawals.</w:t>
      </w:r>
    </w:p>
    <w:p>
      <w:pPr>
        <w:spacing w:after="0" w:line="47" w:lineRule="exact"/>
        <w:rPr>
          <w:sz w:val="20"/>
          <w:szCs w:val="20"/>
          <w:color w:val="auto"/>
        </w:rPr>
      </w:pPr>
    </w:p>
    <w:p>
      <w:pPr>
        <w:jc w:val="both"/>
        <w:ind w:right="3839" w:firstLine="240"/>
        <w:spacing w:after="0" w:line="239" w:lineRule="auto"/>
        <w:rPr>
          <w:sz w:val="20"/>
          <w:szCs w:val="20"/>
          <w:color w:val="auto"/>
        </w:rPr>
      </w:pPr>
      <w:r>
        <w:rPr>
          <w:rFonts w:ascii="Times New Roman" w:cs="Times New Roman" w:eastAsia="Times New Roman" w:hAnsi="Times New Roman"/>
          <w:sz w:val="12"/>
          <w:szCs w:val="12"/>
          <w:color w:val="auto"/>
        </w:rPr>
        <w:t>Examples 1A, 1B, and 1C are intended to show how the Investment Amount on a Term End Date is calculated. In each example, assume Owner 1 allocates her $50,000 Purchase Payment into a 1-Year Term / Shield 10 /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and she allows her allocation to renew year to year for five years. In Example 1A she has selected the Shield 10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with a Cap Rate of 10%, in Example 1B she has selected the Shield 10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with a Step Rate of 8%, and in Example 1C she has selected the Shield 10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with an Edge Rate of 7%. For purposes of each example, assume the Example 1A Cap Rate stays at 10% for all five years, the Example 1B Step Rate stays at 8% for all five years, and the Example 1C Edge Rate stays at 7% for all five years. If a withdrawal were made, a Withdrawal Charge during the first 6 Contract Years as well as an Interim Value calculation may apply; and consequently the Investment Amount for the Term would be adjusted accordingly.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Example 1A—Shield Option with Cap Rate:</w:t>
      </w:r>
    </w:p>
    <w:p>
      <w:pPr>
        <w:spacing w:after="0" w:line="65" w:lineRule="exact"/>
        <w:rPr>
          <w:sz w:val="20"/>
          <w:szCs w:val="20"/>
          <w:color w:val="auto"/>
        </w:rPr>
      </w:pPr>
    </w:p>
    <w:p>
      <w:pPr>
        <w:jc w:val="both"/>
        <w:ind w:right="3839" w:firstLine="240"/>
        <w:spacing w:after="0" w:line="251" w:lineRule="auto"/>
        <w:rPr>
          <w:sz w:val="20"/>
          <w:szCs w:val="20"/>
          <w:color w:val="auto"/>
        </w:rPr>
      </w:pPr>
      <w:r>
        <w:rPr>
          <w:rFonts w:ascii="Times New Roman" w:cs="Times New Roman" w:eastAsia="Times New Roman" w:hAnsi="Times New Roman"/>
          <w:sz w:val="12"/>
          <w:szCs w:val="12"/>
          <w:color w:val="auto"/>
        </w:rPr>
        <w:t>Owner 1 allocates her $50,000 Purchase Payment into a 1-Year Term / Shield 10 /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with a Cap Rate of 10% and lets it renew year after year for five years. The following example illustrates how her initial $50,000 Purchase Payment could perform over a five-year period given fluctuating Index Values. For renewals into the same Shield Option a new Cap Rate would be declared and go into effect on the Contract Anniversary that coincides with the beginning of the new Shield Option. In some cases, we may declare a Cap Rate for a Shield Option as “uncapped” in which case the Performance Rate that can be received is equal to the Index Performance, subject to the Shield Rate.</w:t>
      </w:r>
    </w:p>
    <w:p>
      <w:pPr>
        <w:spacing w:after="0" w:line="18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9359"/>
          </w:cols>
          <w:pgMar w:left="1100" w:top="962"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57395" cy="36830"/>
                    </a:xfrm>
                    <a:prstGeom prst="rect">
                      <a:avLst/>
                    </a:prstGeom>
                    <a:noFill/>
                  </pic:spPr>
                </pic:pic>
              </a:graphicData>
            </a:graphic>
          </wp:anchor>
        </w:drawing>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-40005</wp:posOffset>
            </wp:positionV>
            <wp:extent cx="2754630" cy="16059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54630" cy="1605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590" w:type="dxa"/>
        <w:tblCellMar>
          <w:top w:w="0" w:type="dxa"/>
          <w:left w:w="0" w:type="dxa"/>
          <w:bottom w:w="0" w:type="dxa"/>
          <w:right w:w="0" w:type="dxa"/>
        </w:tblCellMar>
      </w:tblPr>
      <w:tr>
        <w:trPr>
          <w:trHeight w:val="159"/>
        </w:trPr>
        <w:tc>
          <w:tcPr>
            <w:tcW w:w="202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Contract Year</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1</w:t>
            </w:r>
          </w:p>
        </w:tc>
        <w:tc>
          <w:tcPr>
            <w:tcW w:w="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2</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3</w:t>
            </w:r>
          </w:p>
        </w:tc>
        <w:tc>
          <w:tcPr>
            <w:tcW w:w="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4</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5</w:t>
            </w:r>
          </w:p>
        </w:tc>
      </w:tr>
      <w:tr>
        <w:trPr>
          <w:trHeight w:val="168"/>
        </w:trPr>
        <w:tc>
          <w:tcPr>
            <w:tcW w:w="20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Term Start Date</w:t>
            </w: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r>
      <w:tr>
        <w:trPr>
          <w:trHeight w:val="187"/>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Investment Amount</w:t>
            </w:r>
            <w:r>
              <w:rPr>
                <w:rFonts w:ascii="Times New Roman" w:cs="Times New Roman" w:eastAsia="Times New Roman" w:hAnsi="Times New Roman"/>
                <w:sz w:val="15"/>
                <w:szCs w:val="15"/>
                <w:color w:val="auto"/>
                <w:vertAlign w:val="superscript"/>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$50,000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$55,000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$57,750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$57,750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$57,750</w:t>
            </w:r>
          </w:p>
        </w:tc>
      </w:tr>
      <w:tr>
        <w:trPr>
          <w:trHeight w:val="160"/>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Index Value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1,000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1,200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1,260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1,260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1,197</w:t>
            </w:r>
          </w:p>
        </w:tc>
      </w:tr>
      <w:tr>
        <w:trPr>
          <w:trHeight w:val="169"/>
        </w:trPr>
        <w:tc>
          <w:tcPr>
            <w:tcW w:w="20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Term End Date</w:t>
            </w: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r>
      <w:tr>
        <w:trPr>
          <w:trHeight w:val="169"/>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Index Value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1,200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1,260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1,260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1,197</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1,017</w:t>
            </w:r>
          </w:p>
        </w:tc>
      </w:tr>
      <w:tr>
        <w:trPr>
          <w:trHeight w:val="187"/>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Index Performance</w:t>
            </w:r>
            <w:r>
              <w:rPr>
                <w:rFonts w:ascii="Times New Roman" w:cs="Times New Roman" w:eastAsia="Times New Roman" w:hAnsi="Times New Roman"/>
                <w:sz w:val="15"/>
                <w:szCs w:val="15"/>
                <w:color w:val="auto"/>
                <w:vertAlign w:val="superscript"/>
              </w:rPr>
              <w:t>(2)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2"/>
              </w:rPr>
              <w:t>-15%</w:t>
            </w:r>
          </w:p>
        </w:tc>
      </w:tr>
      <w:tr>
        <w:trPr>
          <w:trHeight w:val="160"/>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Cap Rate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0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9"/>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0"/>
              </w:rPr>
              <w:t>10%</w:t>
            </w:r>
          </w:p>
        </w:tc>
      </w:tr>
      <w:tr>
        <w:trPr>
          <w:trHeight w:val="169"/>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Shield Rate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0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9"/>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0"/>
              </w:rPr>
              <w:t>10%</w:t>
            </w:r>
          </w:p>
        </w:tc>
      </w:tr>
      <w:tr>
        <w:trPr>
          <w:trHeight w:val="187"/>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Performance Rate (one year)</w:t>
            </w:r>
            <w:r>
              <w:rPr>
                <w:rFonts w:ascii="Times New Roman" w:cs="Times New Roman" w:eastAsia="Times New Roman" w:hAnsi="Times New Roman"/>
                <w:sz w:val="15"/>
                <w:szCs w:val="15"/>
                <w:color w:val="auto"/>
                <w:vertAlign w:val="superscript"/>
              </w:rPr>
              <w:t>(3)</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w:t>
            </w:r>
          </w:p>
        </w:tc>
      </w:tr>
      <w:tr>
        <w:trPr>
          <w:trHeight w:val="178"/>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Performance Rate Adjustment</w:t>
            </w:r>
            <w:r>
              <w:rPr>
                <w:rFonts w:ascii="Times New Roman" w:cs="Times New Roman" w:eastAsia="Times New Roman" w:hAnsi="Times New Roman"/>
                <w:sz w:val="15"/>
                <w:szCs w:val="15"/>
                <w:color w:val="auto"/>
                <w:vertAlign w:val="superscript"/>
              </w:rPr>
              <w:t>(4)</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$5,000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$2,750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-$2,888</w:t>
            </w:r>
          </w:p>
        </w:tc>
      </w:tr>
      <w:tr>
        <w:trPr>
          <w:trHeight w:val="173"/>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Investment Amount</w:t>
            </w:r>
            <w:r>
              <w:rPr>
                <w:rFonts w:ascii="Times New Roman" w:cs="Times New Roman" w:eastAsia="Times New Roman" w:hAnsi="Times New Roman"/>
                <w:sz w:val="15"/>
                <w:szCs w:val="15"/>
                <w:b w:val="1"/>
                <w:bCs w:val="1"/>
                <w:color w:val="auto"/>
                <w:vertAlign w:val="superscript"/>
              </w:rPr>
              <w:t>(5)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$55,000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$57,750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$57,750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$57,750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$54,862</w:t>
            </w:r>
          </w:p>
        </w:tc>
      </w:tr>
      <w:tr>
        <w:trPr>
          <w:trHeight w:val="128"/>
        </w:trPr>
        <w:tc>
          <w:tcPr>
            <w:tcW w:w="740" w:type="dxa"/>
            <w:vAlign w:val="bottom"/>
            <w:tcBorders>
              <w:bottom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-29210</wp:posOffset>
            </wp:positionV>
            <wp:extent cx="3111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-29210</wp:posOffset>
            </wp:positionV>
            <wp:extent cx="3111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pacing w:after="0" w:line="37" w:lineRule="exact"/>
        <w:rPr>
          <w:sz w:val="20"/>
          <w:szCs w:val="20"/>
          <w:color w:val="auto"/>
        </w:rPr>
      </w:pPr>
    </w:p>
    <w:p>
      <w:pPr>
        <w:ind w:left="580" w:right="4179"/>
        <w:spacing w:after="0" w:line="263" w:lineRule="auto"/>
        <w:rPr>
          <w:sz w:val="20"/>
          <w:szCs w:val="20"/>
          <w:color w:val="auto"/>
        </w:rPr>
      </w:pPr>
      <w:r>
        <w:rPr>
          <w:rFonts w:ascii="Times New Roman" w:cs="Times New Roman" w:eastAsia="Times New Roman" w:hAnsi="Times New Roman"/>
          <w:sz w:val="12"/>
          <w:szCs w:val="12"/>
          <w:b w:val="1"/>
          <w:bCs w:val="1"/>
          <w:color w:val="auto"/>
        </w:rPr>
        <w:t>The following notes to the table above provide important calculations showing how certain values are determined.</w:t>
      </w:r>
    </w:p>
    <w:p>
      <w:pPr>
        <w:spacing w:after="0" w:line="26" w:lineRule="exact"/>
        <w:rPr>
          <w:sz w:val="20"/>
          <w:szCs w:val="20"/>
          <w:color w:val="auto"/>
        </w:rPr>
      </w:pPr>
    </w:p>
    <w:p>
      <w:pPr>
        <w:jc w:val="both"/>
        <w:ind w:left="820" w:right="3899" w:hanging="232"/>
        <w:spacing w:after="0" w:line="210" w:lineRule="auto"/>
        <w:tabs>
          <w:tab w:leader="none" w:pos="82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Investment Amount at Term Start Date in year one is the $50,000 Purchase Payment. In years two through five, the Investment Amount at Term Start Date would be $55,000, $57,750, $57,750 and $57,750,</w:t>
      </w:r>
    </w:p>
    <w:p>
      <w:pPr>
        <w:ind w:left="820"/>
        <w:spacing w:after="0" w:line="237" w:lineRule="auto"/>
        <w:rPr>
          <w:sz w:val="20"/>
          <w:szCs w:val="20"/>
          <w:color w:val="auto"/>
        </w:rPr>
      </w:pPr>
      <w:r>
        <w:rPr>
          <w:rFonts w:ascii="Times New Roman" w:cs="Times New Roman" w:eastAsia="Times New Roman" w:hAnsi="Times New Roman"/>
          <w:sz w:val="12"/>
          <w:szCs w:val="12"/>
          <w:color w:val="auto"/>
        </w:rPr>
        <w:t>respectively, which was the Investment Amount at Term End Date for the prior year.</w:t>
      </w:r>
    </w:p>
    <w:p>
      <w:pPr>
        <w:ind w:left="580"/>
        <w:spacing w:after="0" w:line="183" w:lineRule="auto"/>
        <w:rPr>
          <w:sz w:val="20"/>
          <w:szCs w:val="20"/>
          <w:color w:val="auto"/>
        </w:rPr>
      </w:pPr>
      <w:r>
        <w:rPr>
          <w:rFonts w:ascii="Times New Roman" w:cs="Times New Roman" w:eastAsia="Times New Roman" w:hAnsi="Times New Roman"/>
          <w:sz w:val="5"/>
          <w:szCs w:val="5"/>
          <w:color w:val="auto"/>
        </w:rPr>
        <w:t>(2)</w:t>
      </w:r>
    </w:p>
    <w:p>
      <w:pPr>
        <w:jc w:val="both"/>
        <w:ind w:left="820" w:right="3919"/>
        <w:spacing w:after="0" w:line="233" w:lineRule="auto"/>
        <w:rPr>
          <w:sz w:val="20"/>
          <w:szCs w:val="20"/>
          <w:color w:val="auto"/>
        </w:rPr>
      </w:pPr>
      <w:r>
        <w:rPr>
          <w:rFonts w:ascii="Times New Roman" w:cs="Times New Roman" w:eastAsia="Times New Roman" w:hAnsi="Times New Roman"/>
          <w:sz w:val="12"/>
          <w:szCs w:val="12"/>
          <w:color w:val="auto"/>
        </w:rPr>
        <w:t>Index Performance is equal to the percentage change in the Index Value measured from the Term Start Date to the Term End Date. For example, in year one, Index Performance is calculated as follows:</w:t>
      </w:r>
    </w:p>
    <w:p>
      <w:pPr>
        <w:spacing w:after="0" w:line="35" w:lineRule="exact"/>
        <w:rPr>
          <w:sz w:val="20"/>
          <w:szCs w:val="20"/>
          <w:color w:val="auto"/>
        </w:rPr>
      </w:pPr>
    </w:p>
    <w:p>
      <w:pPr>
        <w:jc w:val="center"/>
        <w:ind w:right="3279"/>
        <w:spacing w:after="0"/>
        <w:rPr>
          <w:sz w:val="20"/>
          <w:szCs w:val="20"/>
          <w:color w:val="auto"/>
        </w:rPr>
      </w:pPr>
      <w:r>
        <w:rPr>
          <w:rFonts w:ascii="Times New Roman" w:cs="Times New Roman" w:eastAsia="Times New Roman" w:hAnsi="Times New Roman"/>
          <w:sz w:val="12"/>
          <w:szCs w:val="12"/>
          <w:color w:val="auto"/>
        </w:rPr>
        <w:t>(1,200 [Index Value at Term End Date] –1,000 [Index Value at Term Start Date])</w:t>
      </w:r>
    </w:p>
    <w:p>
      <w:pPr>
        <w:spacing w:after="0" w:line="7" w:lineRule="exact"/>
        <w:rPr>
          <w:sz w:val="20"/>
          <w:szCs w:val="20"/>
          <w:color w:val="auto"/>
        </w:rPr>
      </w:pPr>
    </w:p>
    <w:p>
      <w:pPr>
        <w:jc w:val="center"/>
        <w:ind w:right="3259"/>
        <w:spacing w:after="0"/>
        <w:rPr>
          <w:sz w:val="20"/>
          <w:szCs w:val="20"/>
          <w:color w:val="auto"/>
        </w:rPr>
      </w:pPr>
      <w:r>
        <w:rPr>
          <w:rFonts w:ascii="Times New Roman" w:cs="Times New Roman" w:eastAsia="Times New Roman" w:hAnsi="Times New Roman"/>
          <w:sz w:val="12"/>
          <w:szCs w:val="12"/>
          <w:color w:val="auto"/>
        </w:rPr>
        <w:t>÷ 1,000 [Index Value at Term Start Date] = 20%</w:t>
      </w:r>
    </w:p>
    <w:p>
      <w:pPr>
        <w:ind w:left="580"/>
        <w:spacing w:after="0" w:line="181" w:lineRule="auto"/>
        <w:rPr>
          <w:sz w:val="20"/>
          <w:szCs w:val="20"/>
          <w:color w:val="auto"/>
        </w:rPr>
      </w:pPr>
      <w:r>
        <w:rPr>
          <w:rFonts w:ascii="Times New Roman" w:cs="Times New Roman" w:eastAsia="Times New Roman" w:hAnsi="Times New Roman"/>
          <w:sz w:val="5"/>
          <w:szCs w:val="5"/>
          <w:color w:val="auto"/>
        </w:rPr>
        <w:t>(3)</w:t>
      </w:r>
    </w:p>
    <w:p>
      <w:pPr>
        <w:ind w:left="820"/>
        <w:spacing w:after="0" w:line="235" w:lineRule="auto"/>
        <w:rPr>
          <w:sz w:val="20"/>
          <w:szCs w:val="20"/>
          <w:color w:val="auto"/>
        </w:rPr>
      </w:pPr>
      <w:r>
        <w:rPr>
          <w:rFonts w:ascii="Times New Roman" w:cs="Times New Roman" w:eastAsia="Times New Roman" w:hAnsi="Times New Roman"/>
          <w:sz w:val="12"/>
          <w:szCs w:val="12"/>
          <w:color w:val="auto"/>
        </w:rPr>
        <w:t>In year one, Index Performance exceeds the Cap Rate and therefore the Performance Rate is equal to the</w:t>
      </w:r>
    </w:p>
    <w:p>
      <w:pPr>
        <w:jc w:val="both"/>
        <w:ind w:left="820" w:right="3899"/>
        <w:spacing w:after="0" w:line="229" w:lineRule="auto"/>
        <w:rPr>
          <w:sz w:val="20"/>
          <w:szCs w:val="20"/>
          <w:color w:val="auto"/>
        </w:rPr>
      </w:pPr>
      <w:r>
        <w:rPr>
          <w:rFonts w:ascii="Times New Roman" w:cs="Times New Roman" w:eastAsia="Times New Roman" w:hAnsi="Times New Roman"/>
          <w:sz w:val="12"/>
          <w:szCs w:val="12"/>
          <w:color w:val="auto"/>
        </w:rPr>
        <w:t>Cap Rate. In years two and three the Performance Rate is equal to the Index Performance because the Index Performance is not negative and does not exceed the Cap Rate. In year four the Performance Rate is 0% because the Index Performance is –5% and the Shield 10 absorbs up to 10% of the negative Index Performance. In year five, the Performance Rate is –5% because the Index Performance is –15% and the Shield 10 absorbs up to 10% of negative Index Performance.</w:t>
      </w:r>
    </w:p>
    <w:p>
      <w:pPr>
        <w:ind w:left="580"/>
        <w:spacing w:after="0" w:line="182" w:lineRule="auto"/>
        <w:rPr>
          <w:sz w:val="20"/>
          <w:szCs w:val="20"/>
          <w:color w:val="auto"/>
        </w:rPr>
      </w:pPr>
      <w:r>
        <w:rPr>
          <w:rFonts w:ascii="Times New Roman" w:cs="Times New Roman" w:eastAsia="Times New Roman" w:hAnsi="Times New Roman"/>
          <w:sz w:val="5"/>
          <w:szCs w:val="5"/>
          <w:color w:val="auto"/>
        </w:rPr>
        <w:t>(4)</w:t>
      </w:r>
    </w:p>
    <w:p>
      <w:pPr>
        <w:jc w:val="right"/>
        <w:ind w:right="3899"/>
        <w:spacing w:after="0" w:line="234" w:lineRule="auto"/>
        <w:rPr>
          <w:sz w:val="20"/>
          <w:szCs w:val="20"/>
          <w:color w:val="auto"/>
        </w:rPr>
      </w:pPr>
      <w:r>
        <w:rPr>
          <w:rFonts w:ascii="Times New Roman" w:cs="Times New Roman" w:eastAsia="Times New Roman" w:hAnsi="Times New Roman"/>
          <w:sz w:val="12"/>
          <w:szCs w:val="12"/>
          <w:color w:val="auto"/>
        </w:rPr>
        <w:t>The Performance Rate Adjustment is equal to the product of the Investment Amount at the Term Start Date</w:t>
      </w:r>
    </w:p>
    <w:p>
      <w:pPr>
        <w:spacing w:after="0" w:line="1" w:lineRule="exact"/>
        <w:rPr>
          <w:sz w:val="20"/>
          <w:szCs w:val="20"/>
          <w:color w:val="auto"/>
        </w:rPr>
      </w:pPr>
    </w:p>
    <w:p>
      <w:pPr>
        <w:jc w:val="both"/>
        <w:ind w:left="820" w:right="3899"/>
        <w:spacing w:after="0" w:line="234" w:lineRule="auto"/>
        <w:rPr>
          <w:sz w:val="20"/>
          <w:szCs w:val="20"/>
          <w:color w:val="auto"/>
        </w:rPr>
      </w:pPr>
      <w:r>
        <w:rPr>
          <w:rFonts w:ascii="Times New Roman" w:cs="Times New Roman" w:eastAsia="Times New Roman" w:hAnsi="Times New Roman"/>
          <w:sz w:val="12"/>
          <w:szCs w:val="12"/>
          <w:color w:val="auto"/>
        </w:rPr>
        <w:t>adjusted for any withdrawals (including RMDs, systematic withdrawals, and any applicable Withdrawal Charge) (there are no withdrawals in the example) multiplied by the Performance Rate. For example, in year one the Performance Rate Adjustment is calculated as follows:</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auto"/>
        </w:rPr>
        <w:t>$50,000 [Investment Amount at Term Start Date] x 10% [Performance Rate] = $5,000</w:t>
      </w:r>
    </w:p>
    <w:p>
      <w:pPr>
        <w:spacing w:after="0" w:line="200" w:lineRule="exact"/>
        <w:rPr>
          <w:sz w:val="20"/>
          <w:szCs w:val="20"/>
          <w:color w:val="auto"/>
        </w:rPr>
      </w:pPr>
    </w:p>
    <w:p>
      <w:pPr>
        <w:spacing w:after="0" w:line="27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9939"/>
          </w:cols>
          <w:pgMar w:left="520" w:top="903"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8"/>
          <w:szCs w:val="8"/>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57395" cy="36830"/>
                    </a:xfrm>
                    <a:prstGeom prst="rect">
                      <a:avLst/>
                    </a:prstGeom>
                    <a:noFill/>
                  </pic:spPr>
                </pic:pic>
              </a:graphicData>
            </a:graphic>
          </wp:anchor>
        </w:drawing>
        <w:t>(5)</w:t>
      </w:r>
    </w:p>
    <w:p>
      <w:pPr>
        <w:jc w:val="both"/>
        <w:ind w:left="820" w:right="3899"/>
        <w:spacing w:after="0" w:line="234" w:lineRule="auto"/>
        <w:rPr>
          <w:sz w:val="20"/>
          <w:szCs w:val="20"/>
          <w:color w:val="auto"/>
        </w:rPr>
      </w:pPr>
      <w:r>
        <w:rPr>
          <w:rFonts w:ascii="Times New Roman" w:cs="Times New Roman" w:eastAsia="Times New Roman" w:hAnsi="Times New Roman"/>
          <w:sz w:val="12"/>
          <w:szCs w:val="12"/>
          <w:color w:val="auto"/>
        </w:rPr>
        <w:t>The Investment Amount at the Term End Date is equal to the Investment Amount at Term Start Date adjusted for any withdrawals (including RMDs, systematic withdrawals, and any applicable Withdrawal Charge) (there are no withdrawals in the example) plus the Performance Rate Adjustment. For example, in year one the Investment Amount at the Term End Date is calculated as follows:</w:t>
      </w:r>
    </w:p>
    <w:p>
      <w:pPr>
        <w:spacing w:after="0" w:line="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2"/>
          <w:szCs w:val="12"/>
          <w:color w:val="auto"/>
        </w:rPr>
        <w:t>$50,000 [Investment Amount at Term Start Date] + $5,000 [Performance Rate Adjustment] = $55,000</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u w:val="single" w:color="auto"/>
          <w:color w:val="auto"/>
        </w:rPr>
        <w:t>Example 1B—Shield Option with Step Rate:</w:t>
      </w:r>
    </w:p>
    <w:p>
      <w:pPr>
        <w:spacing w:after="0" w:line="65" w:lineRule="exact"/>
        <w:rPr>
          <w:sz w:val="20"/>
          <w:szCs w:val="20"/>
          <w:color w:val="auto"/>
        </w:rPr>
      </w:pPr>
    </w:p>
    <w:p>
      <w:pPr>
        <w:jc w:val="both"/>
        <w:ind w:left="580" w:right="3839" w:firstLine="240"/>
        <w:spacing w:after="0" w:line="249" w:lineRule="auto"/>
        <w:rPr>
          <w:sz w:val="20"/>
          <w:szCs w:val="20"/>
          <w:color w:val="auto"/>
        </w:rPr>
      </w:pPr>
      <w:r>
        <w:rPr>
          <w:rFonts w:ascii="Times New Roman" w:cs="Times New Roman" w:eastAsia="Times New Roman" w:hAnsi="Times New Roman"/>
          <w:sz w:val="12"/>
          <w:szCs w:val="12"/>
          <w:color w:val="auto"/>
        </w:rPr>
        <w:t>Owner 1 allocates her $50,000 Purchase Payment into a 1-Year Term / Shield 10 /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with a Step Rate of 8% and lets it renew year after year for five years. The following example illustrates how her initial $50,000 Purchase Payment could perform over a five-year period given fluctuating Index Values. For renewals into the same Shield Option a new Step Rate would be declared and go into effect on the Contract Anniversary that coincides with the beginning of the new Shield Option.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-41275</wp:posOffset>
            </wp:positionV>
            <wp:extent cx="2754630" cy="16059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54630" cy="1605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590" w:type="dxa"/>
        <w:tblCellMar>
          <w:top w:w="0" w:type="dxa"/>
          <w:left w:w="0" w:type="dxa"/>
          <w:bottom w:w="0" w:type="dxa"/>
          <w:right w:w="0" w:type="dxa"/>
        </w:tblCellMar>
      </w:tblPr>
      <w:tr>
        <w:trPr>
          <w:trHeight w:val="159"/>
        </w:trPr>
        <w:tc>
          <w:tcPr>
            <w:tcW w:w="202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Contract Year</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1</w:t>
            </w:r>
          </w:p>
        </w:tc>
        <w:tc>
          <w:tcPr>
            <w:tcW w:w="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2</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3</w:t>
            </w:r>
          </w:p>
        </w:tc>
        <w:tc>
          <w:tcPr>
            <w:tcW w:w="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4</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5</w:t>
            </w:r>
          </w:p>
        </w:tc>
      </w:tr>
      <w:tr>
        <w:trPr>
          <w:trHeight w:val="168"/>
        </w:trPr>
        <w:tc>
          <w:tcPr>
            <w:tcW w:w="20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Term Start Date</w:t>
            </w: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r>
      <w:tr>
        <w:trPr>
          <w:trHeight w:val="187"/>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Investment Amount</w:t>
            </w:r>
            <w:r>
              <w:rPr>
                <w:rFonts w:ascii="Times New Roman" w:cs="Times New Roman" w:eastAsia="Times New Roman" w:hAnsi="Times New Roman"/>
                <w:sz w:val="15"/>
                <w:szCs w:val="15"/>
                <w:color w:val="auto"/>
                <w:vertAlign w:val="superscript"/>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$50,000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$54,000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$58,320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$62,986</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$62,986</w:t>
            </w:r>
          </w:p>
        </w:tc>
      </w:tr>
      <w:tr>
        <w:trPr>
          <w:trHeight w:val="160"/>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Index Value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1,000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1,050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1,260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1,260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1,134</w:t>
            </w:r>
          </w:p>
        </w:tc>
      </w:tr>
      <w:tr>
        <w:trPr>
          <w:trHeight w:val="169"/>
        </w:trPr>
        <w:tc>
          <w:tcPr>
            <w:tcW w:w="20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Term End Date</w:t>
            </w: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r>
      <w:tr>
        <w:trPr>
          <w:trHeight w:val="169"/>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Index Value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1,050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1,260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1,260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1,134</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88"/>
              </w:rPr>
              <w:t>964</w:t>
            </w:r>
          </w:p>
        </w:tc>
      </w:tr>
      <w:tr>
        <w:trPr>
          <w:trHeight w:val="187"/>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Index Performance</w:t>
            </w:r>
            <w:r>
              <w:rPr>
                <w:rFonts w:ascii="Times New Roman" w:cs="Times New Roman" w:eastAsia="Times New Roman" w:hAnsi="Times New Roman"/>
                <w:sz w:val="15"/>
                <w:szCs w:val="15"/>
                <w:color w:val="auto"/>
                <w:vertAlign w:val="superscript"/>
              </w:rPr>
              <w:t>(2)</w:t>
            </w:r>
          </w:p>
        </w:tc>
        <w:tc>
          <w:tcPr>
            <w:tcW w:w="62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9"/>
              </w:rPr>
              <w:t>5%</w:t>
            </w:r>
          </w:p>
        </w:tc>
        <w:tc>
          <w:tcPr>
            <w:tcW w:w="60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9"/>
              </w:rPr>
              <w:t>20%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2"/>
              </w:rPr>
              <w:t>-15%</w:t>
            </w:r>
          </w:p>
        </w:tc>
      </w:tr>
      <w:tr>
        <w:trPr>
          <w:trHeight w:val="160"/>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Step Rate</w:t>
            </w:r>
          </w:p>
        </w:tc>
        <w:tc>
          <w:tcPr>
            <w:tcW w:w="62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9"/>
              </w:rPr>
              <w:t>8%</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w:t>
            </w:r>
          </w:p>
        </w:tc>
      </w:tr>
      <w:tr>
        <w:trPr>
          <w:trHeight w:val="169"/>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Shield Rate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0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9"/>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0"/>
              </w:rPr>
              <w:t>10%</w:t>
            </w:r>
          </w:p>
        </w:tc>
      </w:tr>
      <w:tr>
        <w:trPr>
          <w:trHeight w:val="187"/>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Performance Rate (one year)</w:t>
            </w:r>
            <w:r>
              <w:rPr>
                <w:rFonts w:ascii="Times New Roman" w:cs="Times New Roman" w:eastAsia="Times New Roman" w:hAnsi="Times New Roman"/>
                <w:sz w:val="15"/>
                <w:szCs w:val="15"/>
                <w:color w:val="auto"/>
                <w:vertAlign w:val="superscript"/>
              </w:rPr>
              <w:t>(3)</w:t>
            </w:r>
          </w:p>
        </w:tc>
        <w:tc>
          <w:tcPr>
            <w:tcW w:w="62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9"/>
              </w:rPr>
              <w:t>8%</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w:t>
            </w:r>
          </w:p>
        </w:tc>
      </w:tr>
      <w:tr>
        <w:trPr>
          <w:trHeight w:val="178"/>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Performance Rate Adjustment</w:t>
            </w:r>
            <w:r>
              <w:rPr>
                <w:rFonts w:ascii="Times New Roman" w:cs="Times New Roman" w:eastAsia="Times New Roman" w:hAnsi="Times New Roman"/>
                <w:sz w:val="15"/>
                <w:szCs w:val="15"/>
                <w:color w:val="auto"/>
                <w:vertAlign w:val="superscript"/>
              </w:rPr>
              <w:t>(4)</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$4,000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$4,320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$4,666</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-$3,149</w:t>
            </w:r>
          </w:p>
        </w:tc>
      </w:tr>
      <w:tr>
        <w:trPr>
          <w:trHeight w:val="173"/>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Investment Amount</w:t>
            </w:r>
            <w:r>
              <w:rPr>
                <w:rFonts w:ascii="Times New Roman" w:cs="Times New Roman" w:eastAsia="Times New Roman" w:hAnsi="Times New Roman"/>
                <w:sz w:val="15"/>
                <w:szCs w:val="15"/>
                <w:b w:val="1"/>
                <w:bCs w:val="1"/>
                <w:color w:val="auto"/>
                <w:vertAlign w:val="superscript"/>
              </w:rPr>
              <w:t>(5)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$54,000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$58,320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$62,986</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$62,986</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$59,837</w:t>
            </w:r>
          </w:p>
        </w:tc>
      </w:tr>
      <w:tr>
        <w:trPr>
          <w:trHeight w:val="128"/>
        </w:trPr>
        <w:tc>
          <w:tcPr>
            <w:tcW w:w="740" w:type="dxa"/>
            <w:vAlign w:val="bottom"/>
            <w:tcBorders>
              <w:bottom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-29210</wp:posOffset>
            </wp:positionV>
            <wp:extent cx="3111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-29210</wp:posOffset>
            </wp:positionV>
            <wp:extent cx="3111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pacing w:after="0" w:line="37" w:lineRule="exact"/>
        <w:rPr>
          <w:sz w:val="20"/>
          <w:szCs w:val="20"/>
          <w:color w:val="auto"/>
        </w:rPr>
      </w:pPr>
    </w:p>
    <w:p>
      <w:pPr>
        <w:ind w:left="580" w:right="4179"/>
        <w:spacing w:after="0" w:line="257" w:lineRule="auto"/>
        <w:rPr>
          <w:sz w:val="20"/>
          <w:szCs w:val="20"/>
          <w:color w:val="auto"/>
        </w:rPr>
      </w:pPr>
      <w:r>
        <w:rPr>
          <w:rFonts w:ascii="Times New Roman" w:cs="Times New Roman" w:eastAsia="Times New Roman" w:hAnsi="Times New Roman"/>
          <w:sz w:val="12"/>
          <w:szCs w:val="12"/>
          <w:b w:val="1"/>
          <w:bCs w:val="1"/>
          <w:color w:val="auto"/>
        </w:rPr>
        <w:t>The following notes to the table above provide important calculations showing how certain values are determined.</w:t>
      </w:r>
    </w:p>
    <w:p>
      <w:pPr>
        <w:ind w:left="580"/>
        <w:spacing w:after="0" w:line="185" w:lineRule="auto"/>
        <w:rPr>
          <w:sz w:val="20"/>
          <w:szCs w:val="20"/>
          <w:color w:val="auto"/>
        </w:rPr>
      </w:pPr>
      <w:r>
        <w:rPr>
          <w:rFonts w:ascii="Times New Roman" w:cs="Times New Roman" w:eastAsia="Times New Roman" w:hAnsi="Times New Roman"/>
          <w:sz w:val="5"/>
          <w:szCs w:val="5"/>
          <w:color w:val="auto"/>
        </w:rPr>
        <w:t>(1)</w:t>
      </w:r>
    </w:p>
    <w:p>
      <w:pPr>
        <w:jc w:val="both"/>
        <w:ind w:left="820" w:right="3899"/>
        <w:spacing w:after="0" w:line="234" w:lineRule="auto"/>
        <w:rPr>
          <w:sz w:val="20"/>
          <w:szCs w:val="20"/>
          <w:color w:val="auto"/>
        </w:rPr>
      </w:pPr>
      <w:r>
        <w:rPr>
          <w:rFonts w:ascii="Times New Roman" w:cs="Times New Roman" w:eastAsia="Times New Roman" w:hAnsi="Times New Roman"/>
          <w:sz w:val="12"/>
          <w:szCs w:val="12"/>
          <w:color w:val="auto"/>
        </w:rPr>
        <w:t>The Investment Amount at Term Start Date in year one is the $50,000 Purchase Payment. In years two through five, the Investment Amount at the Term Start Date would be $54,000, $58,320, $62,986 and $62,986, respectively, which was the Investment Amount at the Term End Date for the prior year.</w:t>
      </w:r>
    </w:p>
    <w:p>
      <w:pPr>
        <w:spacing w:after="0" w:line="25" w:lineRule="exact"/>
        <w:rPr>
          <w:sz w:val="20"/>
          <w:szCs w:val="20"/>
          <w:color w:val="auto"/>
        </w:rPr>
      </w:pPr>
    </w:p>
    <w:p>
      <w:pPr>
        <w:ind w:left="820" w:right="3919" w:hanging="232"/>
        <w:spacing w:after="0" w:line="216" w:lineRule="auto"/>
        <w:tabs>
          <w:tab w:leader="none" w:pos="82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Index Performance is equal to the percentage change in the Index Value measured from the Term Start Date to the Term End Date. For example, in year one, Index Performance is calculated as follows:</w:t>
      </w:r>
    </w:p>
    <w:p>
      <w:pPr>
        <w:spacing w:after="0" w:line="3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2"/>
          <w:szCs w:val="12"/>
          <w:color w:val="auto"/>
        </w:rPr>
        <w:t>(1,050 [Index Value at Term End Date] – 1,000 [Index Value at Term Start Date])</w:t>
      </w:r>
    </w:p>
    <w:p>
      <w:pPr>
        <w:spacing w:after="0" w:line="9" w:lineRule="exact"/>
        <w:rPr>
          <w:sz w:val="20"/>
          <w:szCs w:val="20"/>
          <w:color w:val="auto"/>
        </w:rPr>
      </w:pPr>
    </w:p>
    <w:p>
      <w:pPr>
        <w:ind w:left="2300" w:hanging="103"/>
        <w:spacing w:after="0"/>
        <w:tabs>
          <w:tab w:leader="none" w:pos="230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1,000 [Index Value at Term Start Date]) = 5%</w:t>
      </w:r>
    </w:p>
    <w:p>
      <w:pPr>
        <w:spacing w:after="0" w:line="183" w:lineRule="exact"/>
        <w:rPr>
          <w:rFonts w:ascii="Times New Roman" w:cs="Times New Roman" w:eastAsia="Times New Roman" w:hAnsi="Times New Roman"/>
          <w:sz w:val="12"/>
          <w:szCs w:val="12"/>
          <w:color w:val="auto"/>
        </w:rPr>
      </w:pPr>
    </w:p>
    <w:p>
      <w:pPr>
        <w:ind w:left="33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37</w:t>
      </w:r>
    </w:p>
    <w:p>
      <w:pPr>
        <w:sectPr>
          <w:pgSz w:w="11900" w:h="16838" w:orient="portrait"/>
          <w:cols w:equalWidth="0" w:num="1">
            <w:col w:w="9939"/>
          </w:cols>
          <w:pgMar w:left="520" w:top="877"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8"/>
          <w:szCs w:val="8"/>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57395" cy="36830"/>
                    </a:xfrm>
                    <a:prstGeom prst="rect">
                      <a:avLst/>
                    </a:prstGeom>
                    <a:noFill/>
                  </pic:spPr>
                </pic:pic>
              </a:graphicData>
            </a:graphic>
          </wp:anchor>
        </w:drawing>
        <w:t>(3)</w:t>
      </w:r>
    </w:p>
    <w:p>
      <w:pPr>
        <w:jc w:val="both"/>
        <w:ind w:left="820" w:right="3899"/>
        <w:spacing w:after="0" w:line="231" w:lineRule="auto"/>
        <w:rPr>
          <w:sz w:val="20"/>
          <w:szCs w:val="20"/>
          <w:color w:val="auto"/>
        </w:rPr>
      </w:pPr>
      <w:r>
        <w:rPr>
          <w:rFonts w:ascii="Times New Roman" w:cs="Times New Roman" w:eastAsia="Times New Roman" w:hAnsi="Times New Roman"/>
          <w:sz w:val="12"/>
          <w:szCs w:val="12"/>
          <w:color w:val="auto"/>
        </w:rPr>
        <w:t>In years one, two and three the Performance Rate is equal to the Step Rate because the Index Performance is positive or zero. It should be noted that although Index Performance was 20% in year two, the Performance Rate is capped at 8% by the Step Rate. In year four the Performance Rate is 0% because the Index Performance is –10% and the Shield 10 absorbs up to 10% of the negative Index Performance. In year five, the Performance Rate is –5% because the Index Performance is –15% and the Shield 10 absorbs up to 10% of the negative Index Performance.</w:t>
      </w:r>
    </w:p>
    <w:p>
      <w:pPr>
        <w:spacing w:after="0" w:line="28" w:lineRule="exact"/>
        <w:rPr>
          <w:sz w:val="20"/>
          <w:szCs w:val="20"/>
          <w:color w:val="auto"/>
        </w:rPr>
      </w:pPr>
    </w:p>
    <w:p>
      <w:pPr>
        <w:jc w:val="both"/>
        <w:ind w:left="820" w:right="3899" w:hanging="232"/>
        <w:spacing w:after="0" w:line="221" w:lineRule="auto"/>
        <w:tabs>
          <w:tab w:leader="none" w:pos="82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Performance Rate Adjustment is equal to the product of the Investment Amount at the Term Start Date adjusted for any withdrawals (including RMDs, systematic withdrawals, and any applicable Withdrawal Charge) (there are no withdrawals in the example) multiplied by the Performance Rate. For example, in year one the Performance Rate Adjustment is calculated as follows:</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color w:val="auto"/>
        </w:rPr>
        <w:t>$50,000 [Investment Amount at Term Start Date] x 8% [Performance Rate] = $4,000</w:t>
      </w:r>
    </w:p>
    <w:p>
      <w:pPr>
        <w:spacing w:after="0" w:line="42" w:lineRule="exact"/>
        <w:rPr>
          <w:sz w:val="20"/>
          <w:szCs w:val="20"/>
          <w:color w:val="auto"/>
        </w:rPr>
      </w:pPr>
    </w:p>
    <w:p>
      <w:pPr>
        <w:jc w:val="both"/>
        <w:ind w:left="820" w:right="3899" w:hanging="232"/>
        <w:spacing w:after="0" w:line="221" w:lineRule="auto"/>
        <w:tabs>
          <w:tab w:leader="none" w:pos="82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Investment Amount at the Term End Date is equal to the Investment Amount at Term Start Date adjusted for any withdrawals (including RMDs, systematic withdrawals, and any applicable Withdrawal Charge) (there are no withdrawals in the example) plus the Performance Rate Adjustment. For example, in year one the Investment Amount at the Term End Date is calculated as follows:</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2"/>
          <w:szCs w:val="12"/>
          <w:color w:val="auto"/>
        </w:rPr>
        <w:t>$50,000 [Investment Amount at Term Start Date] + $4,000 [Performance Rate Adjustment] = $54,000</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2"/>
          <w:szCs w:val="12"/>
          <w:u w:val="single" w:color="auto"/>
          <w:color w:val="auto"/>
        </w:rPr>
        <w:t>Example 1C—Shield Option with Step Rate Edge:</w:t>
      </w:r>
    </w:p>
    <w:p>
      <w:pPr>
        <w:spacing w:after="0" w:line="65" w:lineRule="exact"/>
        <w:rPr>
          <w:sz w:val="20"/>
          <w:szCs w:val="20"/>
          <w:color w:val="auto"/>
        </w:rPr>
      </w:pPr>
    </w:p>
    <w:p>
      <w:pPr>
        <w:jc w:val="both"/>
        <w:ind w:left="580" w:right="3839" w:firstLine="240"/>
        <w:spacing w:after="0" w:line="249" w:lineRule="auto"/>
        <w:rPr>
          <w:sz w:val="20"/>
          <w:szCs w:val="20"/>
          <w:color w:val="auto"/>
        </w:rPr>
      </w:pPr>
      <w:r>
        <w:rPr>
          <w:rFonts w:ascii="Times New Roman" w:cs="Times New Roman" w:eastAsia="Times New Roman" w:hAnsi="Times New Roman"/>
          <w:sz w:val="12"/>
          <w:szCs w:val="12"/>
          <w:color w:val="auto"/>
        </w:rPr>
        <w:t>Owner 1 allocates her $50,000 Purchase Payment into a 1-Year Term / Shield 10 /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with an Edge Rate of 7% and lets it renew year after year for five years. The following example illustrates how her initial $50,000 Purchase Payment could perform over a five-year period given fluctuating Index Values. For renewals into the same Shield Option a new Edge Rate would be declared and go into effect on the Contract Anniversary that coincides with the beginning of the new Shield Option.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-41275</wp:posOffset>
            </wp:positionV>
            <wp:extent cx="2754630" cy="17659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5463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2"/>
          <w:szCs w:val="12"/>
          <w:color w:val="auto"/>
        </w:rPr>
        <w:t>38</w:t>
      </w:r>
    </w:p>
    <w:p>
      <w:pPr>
        <w:sectPr>
          <w:pgSz w:w="11900" w:h="16838" w:orient="portrait"/>
          <w:cols w:equalWidth="0" w:num="1">
            <w:col w:w="9939"/>
          </w:cols>
          <w:pgMar w:left="520" w:top="877" w:right="1440" w:bottom="1440" w:gutter="0" w:footer="0" w:header="0"/>
        </w:sectPr>
      </w:pPr>
    </w:p>
    <w:bookmarkStart w:id="39" w:name="page40"/>
    <w:bookmarkEnd w:id="39"/>
    <w:tbl>
      <w:tblPr>
        <w:tblLayout w:type="fixed"/>
        <w:tblInd w:w="10" w:type="dxa"/>
        <w:tblCellMar>
          <w:top w:w="0" w:type="dxa"/>
          <w:left w:w="0" w:type="dxa"/>
          <w:bottom w:w="0" w:type="dxa"/>
          <w:right w:w="0" w:type="dxa"/>
        </w:tblCellMar>
      </w:tblPr>
      <w:tr>
        <w:trPr>
          <w:trHeight w:val="159"/>
        </w:trPr>
        <w:tc>
          <w:tcPr>
            <w:tcW w:w="202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Contract Year</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1</w:t>
            </w:r>
          </w:p>
        </w:tc>
        <w:tc>
          <w:tcPr>
            <w:tcW w:w="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2</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3</w:t>
            </w:r>
          </w:p>
        </w:tc>
        <w:tc>
          <w:tcPr>
            <w:tcW w:w="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4</w:t>
            </w:r>
          </w:p>
        </w:tc>
        <w:tc>
          <w:tcPr>
            <w:tcW w:w="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5</w:t>
            </w:r>
          </w:p>
        </w:tc>
      </w:tr>
      <w:tr>
        <w:trPr>
          <w:trHeight w:val="168"/>
        </w:trPr>
        <w:tc>
          <w:tcPr>
            <w:tcW w:w="20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Term Start Date</w:t>
            </w: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r>
      <w:tr>
        <w:trPr>
          <w:trHeight w:val="187"/>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Investment Amount</w:t>
            </w:r>
            <w:r>
              <w:rPr>
                <w:rFonts w:ascii="Times New Roman" w:cs="Times New Roman" w:eastAsia="Times New Roman" w:hAnsi="Times New Roman"/>
                <w:sz w:val="15"/>
                <w:szCs w:val="15"/>
                <w:color w:val="auto"/>
                <w:vertAlign w:val="superscript"/>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$50,000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$53,500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$57,245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$61,252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$65,540</w:t>
            </w:r>
          </w:p>
        </w:tc>
      </w:tr>
      <w:tr>
        <w:trPr>
          <w:trHeight w:val="160"/>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Index Value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1,000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1,050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1,260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1,260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1,134</w:t>
            </w:r>
          </w:p>
        </w:tc>
      </w:tr>
      <w:tr>
        <w:trPr>
          <w:trHeight w:val="169"/>
        </w:trPr>
        <w:tc>
          <w:tcPr>
            <w:tcW w:w="202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Term End Date</w:t>
            </w: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r>
      <w:tr>
        <w:trPr>
          <w:trHeight w:val="169"/>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Index Value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1,050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1,260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1,260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1,134</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88"/>
              </w:rPr>
              <w:t>964</w:t>
            </w:r>
          </w:p>
        </w:tc>
      </w:tr>
      <w:tr>
        <w:trPr>
          <w:trHeight w:val="187"/>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Index Performance</w:t>
            </w:r>
            <w:r>
              <w:rPr>
                <w:rFonts w:ascii="Times New Roman" w:cs="Times New Roman" w:eastAsia="Times New Roman" w:hAnsi="Times New Roman"/>
                <w:sz w:val="15"/>
                <w:szCs w:val="15"/>
                <w:color w:val="auto"/>
                <w:vertAlign w:val="superscript"/>
              </w:rPr>
              <w:t>(2)</w:t>
            </w:r>
          </w:p>
        </w:tc>
        <w:tc>
          <w:tcPr>
            <w:tcW w:w="62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9"/>
              </w:rPr>
              <w:t>5%</w:t>
            </w:r>
          </w:p>
        </w:tc>
        <w:tc>
          <w:tcPr>
            <w:tcW w:w="60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9"/>
              </w:rPr>
              <w:t>20%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2"/>
              </w:rPr>
              <w:t>-15%</w:t>
            </w:r>
          </w:p>
        </w:tc>
      </w:tr>
      <w:tr>
        <w:trPr>
          <w:trHeight w:val="160"/>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Edge Rate</w:t>
            </w:r>
          </w:p>
        </w:tc>
        <w:tc>
          <w:tcPr>
            <w:tcW w:w="62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9"/>
              </w:rPr>
              <w:t>7%</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w:t>
            </w:r>
          </w:p>
        </w:tc>
      </w:tr>
      <w:tr>
        <w:trPr>
          <w:trHeight w:val="169"/>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Shield Rate</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0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9"/>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0"/>
              </w:rPr>
              <w:t>10%</w:t>
            </w:r>
          </w:p>
        </w:tc>
      </w:tr>
      <w:tr>
        <w:trPr>
          <w:trHeight w:val="187"/>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Performance Rate (one year)</w:t>
            </w:r>
            <w:r>
              <w:rPr>
                <w:rFonts w:ascii="Times New Roman" w:cs="Times New Roman" w:eastAsia="Times New Roman" w:hAnsi="Times New Roman"/>
                <w:sz w:val="15"/>
                <w:szCs w:val="15"/>
                <w:color w:val="auto"/>
                <w:vertAlign w:val="superscript"/>
              </w:rPr>
              <w:t>(3)</w:t>
            </w:r>
          </w:p>
        </w:tc>
        <w:tc>
          <w:tcPr>
            <w:tcW w:w="620" w:type="dxa"/>
            <w:vAlign w:val="bottom"/>
            <w:tcBorders>
              <w:bottom w:val="single" w:sz="8" w:color="auto"/>
              <w:right w:val="single" w:sz="8" w:color="auto"/>
            </w:tcBorders>
          </w:tcPr>
          <w:p>
            <w:pPr>
              <w:jc w:val="center"/>
              <w:ind w:right="1"/>
              <w:spacing w:after="0"/>
              <w:rPr>
                <w:sz w:val="20"/>
                <w:szCs w:val="20"/>
                <w:color w:val="auto"/>
              </w:rPr>
            </w:pPr>
            <w:r>
              <w:rPr>
                <w:rFonts w:ascii="Times New Roman" w:cs="Times New Roman" w:eastAsia="Times New Roman" w:hAnsi="Times New Roman"/>
                <w:sz w:val="12"/>
                <w:szCs w:val="12"/>
                <w:color w:val="auto"/>
                <w:w w:val="99"/>
              </w:rPr>
              <w:t>7%</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w:t>
            </w:r>
          </w:p>
        </w:tc>
      </w:tr>
      <w:tr>
        <w:trPr>
          <w:trHeight w:val="178"/>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Performance Rate Adjustment</w:t>
            </w:r>
            <w:r>
              <w:rPr>
                <w:rFonts w:ascii="Times New Roman" w:cs="Times New Roman" w:eastAsia="Times New Roman" w:hAnsi="Times New Roman"/>
                <w:sz w:val="15"/>
                <w:szCs w:val="15"/>
                <w:color w:val="auto"/>
                <w:vertAlign w:val="superscript"/>
              </w:rPr>
              <w:t>(4)</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$3,500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$3,745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$4,007</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$4,288</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-$3,277</w:t>
            </w:r>
          </w:p>
        </w:tc>
      </w:tr>
      <w:tr>
        <w:trPr>
          <w:trHeight w:val="173"/>
        </w:trPr>
        <w:tc>
          <w:tcPr>
            <w:tcW w:w="202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Investment Amount</w:t>
            </w:r>
            <w:r>
              <w:rPr>
                <w:rFonts w:ascii="Times New Roman" w:cs="Times New Roman" w:eastAsia="Times New Roman" w:hAnsi="Times New Roman"/>
                <w:sz w:val="15"/>
                <w:szCs w:val="15"/>
                <w:color w:val="auto"/>
                <w:vertAlign w:val="superscript"/>
              </w:rPr>
              <w:t>(5)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$53,500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$57,245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$61,252</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$65,540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$62,263</w:t>
            </w:r>
          </w:p>
        </w:tc>
      </w:tr>
      <w:tr>
        <w:trPr>
          <w:trHeight w:val="127"/>
        </w:trPr>
        <w:tc>
          <w:tcPr>
            <w:tcW w:w="740" w:type="dxa"/>
            <w:vAlign w:val="bottom"/>
            <w:tcBorders>
              <w:bottom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57395" cy="36830"/>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-29210</wp:posOffset>
            </wp:positionV>
            <wp:extent cx="3111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111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The following notes to the table above provide important calculations showing how certain values are determined.</w:t>
      </w:r>
    </w:p>
    <w:p>
      <w:pPr>
        <w:sectPr>
          <w:pgSz w:w="11900" w:h="16838" w:orient="portrait"/>
          <w:cols w:equalWidth="0" w:num="1">
            <w:col w:w="9359"/>
          </w:cols>
          <w:pgMar w:left="1100" w:top="951" w:right="1440" w:bottom="1440" w:gutter="0" w:footer="0" w:header="0"/>
        </w:sectPr>
      </w:pPr>
    </w:p>
    <w:p>
      <w:pPr>
        <w:spacing w:after="0"/>
        <w:rPr>
          <w:sz w:val="20"/>
          <w:szCs w:val="20"/>
          <w:color w:val="auto"/>
        </w:rPr>
      </w:pPr>
      <w:r>
        <w:rPr>
          <w:rFonts w:ascii="Times New Roman" w:cs="Times New Roman" w:eastAsia="Times New Roman" w:hAnsi="Times New Roman"/>
          <w:sz w:val="6"/>
          <w:szCs w:val="6"/>
          <w:color w:val="auto"/>
        </w:rPr>
        <w:t>(1)</w:t>
      </w:r>
    </w:p>
    <w:p>
      <w:pPr>
        <w:jc w:val="both"/>
        <w:ind w:left="240"/>
        <w:spacing w:after="0" w:line="230" w:lineRule="auto"/>
        <w:rPr>
          <w:sz w:val="20"/>
          <w:szCs w:val="20"/>
          <w:color w:val="auto"/>
        </w:rPr>
      </w:pPr>
      <w:r>
        <w:rPr>
          <w:rFonts w:ascii="Times New Roman" w:cs="Times New Roman" w:eastAsia="Times New Roman" w:hAnsi="Times New Roman"/>
          <w:sz w:val="12"/>
          <w:szCs w:val="12"/>
          <w:color w:val="auto"/>
        </w:rPr>
        <w:t>The Investment Amount at Term Start Date in year one is the $50,000 Purchase Payment. In years through five, the Investment Amount at the Term Start Date would be $53,500, $57,245, $61,252 $65,540, respectively, which was the Investment Amount at the Term End Date for the prior year.</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two</w:t>
      </w:r>
    </w:p>
    <w:p>
      <w:pPr>
        <w:spacing w:after="0"/>
        <w:rPr>
          <w:sz w:val="20"/>
          <w:szCs w:val="20"/>
          <w:color w:val="auto"/>
        </w:rPr>
      </w:pPr>
      <w:r>
        <w:rPr>
          <w:rFonts w:ascii="Times New Roman" w:cs="Times New Roman" w:eastAsia="Times New Roman" w:hAnsi="Times New Roman"/>
          <w:sz w:val="12"/>
          <w:szCs w:val="12"/>
          <w:color w:val="auto"/>
        </w:rPr>
        <w:t>and</w:t>
      </w:r>
    </w:p>
    <w:p>
      <w:pPr>
        <w:spacing w:after="0" w:line="133" w:lineRule="exact"/>
        <w:rPr>
          <w:sz w:val="20"/>
          <w:szCs w:val="20"/>
          <w:color w:val="auto"/>
        </w:rPr>
      </w:pPr>
    </w:p>
    <w:p>
      <w:pPr>
        <w:sectPr>
          <w:pgSz w:w="11900" w:h="16838" w:orient="portrait"/>
          <w:cols w:equalWidth="0" w:num="2">
            <w:col w:w="5220" w:space="60"/>
            <w:col w:w="4079"/>
          </w:cols>
          <w:pgMar w:left="1100" w:top="951" w:right="1440" w:bottom="1440" w:gutter="0" w:footer="0" w:header="0"/>
          <w:type w:val="continuous"/>
        </w:sectPr>
      </w:pPr>
    </w:p>
    <w:p>
      <w:pPr>
        <w:spacing w:after="0" w:line="184" w:lineRule="auto"/>
        <w:rPr>
          <w:sz w:val="20"/>
          <w:szCs w:val="20"/>
          <w:color w:val="auto"/>
        </w:rPr>
      </w:pPr>
      <w:r>
        <w:rPr>
          <w:rFonts w:ascii="Times New Roman" w:cs="Times New Roman" w:eastAsia="Times New Roman" w:hAnsi="Times New Roman"/>
          <w:sz w:val="5"/>
          <w:szCs w:val="5"/>
          <w:color w:val="auto"/>
        </w:rPr>
        <w:t>(2)</w:t>
      </w:r>
    </w:p>
    <w:p>
      <w:pPr>
        <w:ind w:left="240" w:right="3919"/>
        <w:spacing w:after="0" w:line="243" w:lineRule="auto"/>
        <w:rPr>
          <w:sz w:val="20"/>
          <w:szCs w:val="20"/>
          <w:color w:val="auto"/>
        </w:rPr>
      </w:pPr>
      <w:r>
        <w:rPr>
          <w:rFonts w:ascii="Times New Roman" w:cs="Times New Roman" w:eastAsia="Times New Roman" w:hAnsi="Times New Roman"/>
          <w:sz w:val="12"/>
          <w:szCs w:val="12"/>
          <w:color w:val="auto"/>
        </w:rPr>
        <w:t>Index Performance is equal to the percentage change in the Index Value measured from the Term Start Date to the Term End Date. For example, in year one, Index Performance is calculated as follows:</w:t>
      </w:r>
    </w:p>
    <w:p>
      <w:pPr>
        <w:spacing w:after="0" w:line="3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color w:val="auto"/>
        </w:rPr>
        <w:t>(1,050 [Index Value at Term End Date] – 1,000 [Index Value at Term Start Date])</w:t>
      </w:r>
    </w:p>
    <w:p>
      <w:pPr>
        <w:ind w:left="1720" w:hanging="103"/>
        <w:spacing w:after="0"/>
        <w:tabs>
          <w:tab w:leader="none" w:pos="172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1,000 [Index Value at Term Start Date]) = 5%</w:t>
      </w:r>
    </w:p>
    <w:p>
      <w:pPr>
        <w:spacing w:after="0" w:line="30" w:lineRule="exact"/>
        <w:rPr>
          <w:rFonts w:ascii="Times New Roman" w:cs="Times New Roman" w:eastAsia="Times New Roman" w:hAnsi="Times New Roman"/>
          <w:sz w:val="12"/>
          <w:szCs w:val="12"/>
          <w:color w:val="auto"/>
        </w:rPr>
      </w:pPr>
    </w:p>
    <w:p>
      <w:pPr>
        <w:jc w:val="both"/>
        <w:ind w:left="240" w:right="3899" w:hanging="232"/>
        <w:spacing w:after="0" w:line="222" w:lineRule="auto"/>
        <w:tabs>
          <w:tab w:leader="none" w:pos="24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 years one, two and three the Performance Rate is equal to the Edge Rate because the Index Performance is positive or zero. It should be noted that although Index Performance was 20% in year two, the Performance Rate is capped at 7% by the Edge Rate. In year four the Performance Rate is 7% because the Index Performance is –10% and does not exceed the Shield 10 which absorbs up to 10% of the negative Index Performance. In year five, the Performance Rate is –5% because the Index Performance is –15% and the Shield 10 absorbs up to 10% of the negative Index Performance.</w:t>
      </w:r>
    </w:p>
    <w:p>
      <w:pPr>
        <w:spacing w:after="0" w:line="28" w:lineRule="exact"/>
        <w:rPr>
          <w:rFonts w:ascii="Times New Roman" w:cs="Times New Roman" w:eastAsia="Times New Roman" w:hAnsi="Times New Roman"/>
          <w:sz w:val="16"/>
          <w:szCs w:val="16"/>
          <w:color w:val="auto"/>
          <w:vertAlign w:val="superscript"/>
        </w:rPr>
      </w:pPr>
    </w:p>
    <w:p>
      <w:pPr>
        <w:jc w:val="both"/>
        <w:ind w:left="240" w:right="3899" w:hanging="232"/>
        <w:spacing w:after="0" w:line="221" w:lineRule="auto"/>
        <w:tabs>
          <w:tab w:leader="none" w:pos="24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Performance Rate Adjustment is equal to the product of the Investment Amount at the Term Start Date adjusted for any withdrawals (including RMDs, systematic withdrawals, and any applicable Withdrawal Charge) (there are no withdrawals in the example) multiplied by the Performance Rate. For example, in year one the Performance Rate Adjustment is calculated as follows:</w:t>
      </w:r>
    </w:p>
    <w:p>
      <w:pPr>
        <w:spacing w:after="0" w:line="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$50,000 [Investment Amount at Term Start Date] x 7% [Performance Rate] = $3,500</w:t>
      </w:r>
    </w:p>
    <w:p>
      <w:pPr>
        <w:spacing w:after="0" w:line="42" w:lineRule="exact"/>
        <w:rPr>
          <w:sz w:val="20"/>
          <w:szCs w:val="20"/>
          <w:color w:val="auto"/>
        </w:rPr>
      </w:pPr>
    </w:p>
    <w:p>
      <w:pPr>
        <w:jc w:val="both"/>
        <w:ind w:left="240" w:right="3899" w:hanging="232"/>
        <w:spacing w:after="0" w:line="221" w:lineRule="auto"/>
        <w:tabs>
          <w:tab w:leader="none" w:pos="240"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Investment Amount at the Term End Date is equal to the Investment Amount at Term Start Date adjusted for any withdrawals (including RMDs, systematic withdrawals, and any applicable Withdrawal Charge) (there are no withdrawals in the example) plus the Performance Rate Adjustment. For example, in year one the Investment Amount at the Term End Date is calculated as follows:</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$50,000 [Investment Amount at Term Start Date] + $3,500 [Performance Rate Adjustment] = $53,500</w:t>
      </w:r>
    </w:p>
    <w:p>
      <w:pPr>
        <w:spacing w:after="0" w:line="21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2"/>
          <w:szCs w:val="12"/>
          <w:b w:val="1"/>
          <w:bCs w:val="1"/>
          <w:color w:val="auto"/>
        </w:rPr>
        <w:t>CHARGES, FEES, AND ADJUSTMENTS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Interim Value Calculation</w:t>
      </w:r>
    </w:p>
    <w:p>
      <w:pPr>
        <w:spacing w:after="0" w:line="82"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Your Investment Amount in each Shield Option on the Term End Date is calculated as described above under “Calculating your Investment Amount on a Term End Date”. In setting the various rates we use in calculating the Investment Amount, we assume that you are going to hold a Shield Option until the Term End Date. Nevertheless, you have the right under the Contract to make withdrawals, Surrender the Contract, annuitize, and exercise Performance Lock before the Term End Date. Therefore, we calculate an Interim Value on each Business Day between the Term Start Date and the Term End Date.</w:t>
      </w:r>
    </w:p>
    <w:p>
      <w:pPr>
        <w:spacing w:after="0" w:line="53" w:lineRule="exact"/>
        <w:rPr>
          <w:sz w:val="20"/>
          <w:szCs w:val="20"/>
          <w:color w:val="auto"/>
        </w:rPr>
      </w:pPr>
    </w:p>
    <w:p>
      <w:pPr>
        <w:jc w:val="both"/>
        <w:ind w:right="3839" w:firstLine="240"/>
        <w:spacing w:after="0" w:line="283" w:lineRule="auto"/>
        <w:rPr>
          <w:sz w:val="20"/>
          <w:szCs w:val="20"/>
          <w:color w:val="auto"/>
        </w:rPr>
      </w:pPr>
      <w:r>
        <w:rPr>
          <w:rFonts w:ascii="Times New Roman" w:cs="Times New Roman" w:eastAsia="Times New Roman" w:hAnsi="Times New Roman"/>
          <w:sz w:val="11"/>
          <w:szCs w:val="11"/>
          <w:color w:val="auto"/>
        </w:rPr>
        <w:t>Between the Term Start Date and the Term End Date, we use the Interim Value to calculate the amount that is available for (1) annuitization; (2) death benefits; (3) withdrawals (including RMDs and systematic withdrawals);</w:t>
      </w:r>
    </w:p>
    <w:p>
      <w:pPr>
        <w:spacing w:after="0" w:line="1" w:lineRule="exact"/>
        <w:rPr>
          <w:sz w:val="20"/>
          <w:szCs w:val="20"/>
          <w:color w:val="auto"/>
        </w:rPr>
      </w:pPr>
    </w:p>
    <w:p>
      <w:pPr>
        <w:jc w:val="both"/>
        <w:ind w:right="3839" w:firstLine="8"/>
        <w:spacing w:after="0" w:line="253" w:lineRule="auto"/>
        <w:tabs>
          <w:tab w:leader="none" w:pos="173"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Surrenders; and (5) Performance Lock. The Interim Value is also used to determine how much the Investment Amount will be reduced by a withdrawal. You may obtain your Interim Value on any Business Day by calling us at (888) 243-1932 or by accessing our website at www.brighthousefinancial.com. However, Interim Values fluctuate daily, and the current value(s) quoted may differ from the actual value(s) calculated.</w:t>
      </w:r>
    </w:p>
    <w:p>
      <w:pPr>
        <w:spacing w:after="0" w:line="18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9359"/>
          </w:cols>
          <w:pgMar w:left="1100" w:top="951" w:right="1440" w:bottom="1440" w:gutter="0" w:footer="0" w:header="0"/>
          <w:type w:val="continuous"/>
        </w:sectPr>
      </w:pPr>
    </w:p>
    <w:bookmarkStart w:id="40" w:name="page41"/>
    <w:bookmarkEnd w:id="40"/>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57395" cy="36830"/>
                    </a:xfrm>
                    <a:prstGeom prst="rect">
                      <a:avLst/>
                    </a:prstGeom>
                    <a:noFill/>
                  </pic:spPr>
                </pic:pic>
              </a:graphicData>
            </a:graphic>
          </wp:anchor>
        </w:drawing>
        <w:t>We calculate the Interim Value of each Shield Option on any Business Day other than the Term Start Date and Term End Date. If you request a full or partial withdrawal during a Term, the Withdrawal Amount will be deducted from the Interim Values of the Shield Options in which you are invested (unless you instruct us otherwise for a partial withdrawal). Withdrawals from the Shield Options during the Term will reduce the Interim Values of those Shield Options on a dollar-for-dollar basis by the portion of the Withdrawal Amount deducted from each Shield Option. We will pay you a net amount after adjustments for any Withdrawal Charge. The net amount payable to you is equal to the amount withdrawn (including any applicable Withdrawal Charge), less Premium Tax and other taxes, if any. (See “WITHDRAWAL PROVISIONS” for more information.) Once a Shield Option reaches the Term End Date, there is no Interim Value, and the Performance Rate will be applied to the Investment Amount based off the Rate Crediting Type and applicable Shield Rate.</w:t>
      </w:r>
    </w:p>
    <w:p>
      <w:pPr>
        <w:spacing w:after="0" w:line="66" w:lineRule="exact"/>
        <w:rPr>
          <w:sz w:val="20"/>
          <w:szCs w:val="20"/>
          <w:color w:val="auto"/>
        </w:rPr>
      </w:pPr>
    </w:p>
    <w:p>
      <w:pPr>
        <w:jc w:val="both"/>
        <w:ind w:right="3839" w:firstLine="240"/>
        <w:spacing w:after="0" w:line="291" w:lineRule="auto"/>
        <w:rPr>
          <w:sz w:val="20"/>
          <w:szCs w:val="20"/>
          <w:color w:val="auto"/>
        </w:rPr>
      </w:pPr>
      <w:r>
        <w:rPr>
          <w:rFonts w:ascii="Times New Roman" w:cs="Times New Roman" w:eastAsia="Times New Roman" w:hAnsi="Times New Roman"/>
          <w:sz w:val="11"/>
          <w:szCs w:val="11"/>
          <w:color w:val="auto"/>
        </w:rPr>
        <w:t>If you have not exercised the Performance Lock, the Interim Value is included in the Account Value to reflect the amount in the applicable Shield Option prior to the Term End Date. If you exercise the Performance Lock for a Shield Option, the Performance Lock Value will be the Interim Value calculated at the end of the current Business Day on which you exercise the Performance Lock. See “PERFORMANCE LOCK” for more information.</w:t>
      </w:r>
    </w:p>
    <w:p>
      <w:pPr>
        <w:spacing w:after="0" w:line="35"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The Interim Value is a calculated value that reflects the value of each Shield Option taking into account the applicable Shield Rate and Rate Crediting Type, current price of the underlying Index, the time remaining until the Term End Date, and the current value of the investments we have made to fund our obligations under the Shield Option. The Interim Value is an estimate of the current value of fixed income and derivative instruments we could purchase to assure our ability to meet our obligations to the Owner at a Term End Date. The Interim Value calculation is different than the calculation we use to calculate the Investment Amount for a Shield Option on the Term End Date. The Interim Value calculation is intended to protect the Company from losses on those fixed income and derivative instruments when amounts are withdrawn (or otherwise removed) from a Shield Option before the Term End Date. The Interim Value calculation transfers this risk from the Company to Contract Owners.</w:t>
      </w:r>
    </w:p>
    <w:p>
      <w:pPr>
        <w:spacing w:after="0" w:line="66"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The Interim Value assesses the fair value of the assets allocated to the Shield Option (Investment Amount) plus the current value of the portfolio of options utilized to replicate the performance of these Shield Options.</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Interim Value for a Shield Option is equal to the sum of (1) and (2), where:</w:t>
      </w:r>
    </w:p>
    <w:p>
      <w:pPr>
        <w:spacing w:after="0" w:line="78" w:lineRule="exact"/>
        <w:rPr>
          <w:sz w:val="20"/>
          <w:szCs w:val="20"/>
          <w:color w:val="auto"/>
        </w:rPr>
      </w:pPr>
    </w:p>
    <w:p>
      <w:pPr>
        <w:ind w:left="240" w:right="4179" w:firstLine="8"/>
        <w:spacing w:after="0" w:line="327" w:lineRule="auto"/>
        <w:tabs>
          <w:tab w:leader="none" w:pos="36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(1) Is the market value of the Fixed Income Asset Proxy on the Business Day the Interim Value is calculated.</w:t>
      </w:r>
    </w:p>
    <w:p>
      <w:pPr>
        <w:spacing w:after="0" w:line="15" w:lineRule="exact"/>
        <w:rPr>
          <w:rFonts w:ascii="Times New Roman" w:cs="Times New Roman" w:eastAsia="Times New Roman" w:hAnsi="Times New Roman"/>
          <w:sz w:val="11"/>
          <w:szCs w:val="11"/>
          <w:color w:val="auto"/>
        </w:rPr>
      </w:pPr>
    </w:p>
    <w:p>
      <w:pPr>
        <w:ind w:left="360" w:hanging="112"/>
        <w:spacing w:after="0"/>
        <w:tabs>
          <w:tab w:leader="none" w:pos="360"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(2) Is the current market value of the Derivative Asset Proxy.</w:t>
      </w:r>
    </w:p>
    <w:p>
      <w:pPr>
        <w:spacing w:after="0" w:line="89" w:lineRule="exact"/>
        <w:rPr>
          <w:rFonts w:ascii="Times New Roman" w:cs="Times New Roman" w:eastAsia="Times New Roman" w:hAnsi="Times New Roman"/>
          <w:sz w:val="11"/>
          <w:szCs w:val="11"/>
          <w:color w:val="auto"/>
        </w:rPr>
      </w:pPr>
    </w:p>
    <w:p>
      <w:pPr>
        <w:ind w:right="3839" w:firstLine="248"/>
        <w:spacing w:after="0" w:line="279" w:lineRule="auto"/>
        <w:tabs>
          <w:tab w:leader="none" w:pos="391"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Fixed Income Asset Proxy is meant to represent the market value of the fixed income assets supporting each Shield Option.</w:t>
      </w:r>
    </w:p>
    <w:p>
      <w:pPr>
        <w:spacing w:after="0" w:line="39"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The Market Value Rate is the Constant Maturity Treasury (CMT) rate with a maturity equal to that of the Term. If a maturity of the CMT rate is not available that equals the Term, then the Market Value Rate will be linearly interpolated between the two closest available CMT maturities. The Market Value Rate will apply on a uniform basis for a class of Contract Owners in the same Shield Option and will be administered in a uniform and non-discriminatory manner.</w:t>
      </w:r>
    </w:p>
    <w:p>
      <w:pPr>
        <w:spacing w:after="0" w:line="53" w:lineRule="exact"/>
        <w:rPr>
          <w:sz w:val="20"/>
          <w:szCs w:val="20"/>
          <w:color w:val="auto"/>
        </w:rPr>
      </w:pPr>
    </w:p>
    <w:p>
      <w:pPr>
        <w:jc w:val="both"/>
        <w:ind w:right="3839" w:firstLine="248"/>
        <w:spacing w:after="0" w:line="255" w:lineRule="auto"/>
        <w:tabs>
          <w:tab w:leader="none" w:pos="37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Derivative Asset Proxy is meant to represent an estimation of the market value of the possibility of gain or loss on the Term End Date. The value may be positive or negative. For each Shield Option, we solely designate and value options using the Black-Scholes Model, each of which is tied to the performance of the underlying Index associated with the Shield Option. We use derivatives to provide an estimate of the gain or loss on the Investment Amount allocated to the Shield Option that could occur on the Term End Date. This estimate also reflects the impact of the Shield Rate, Cap Rate, Step Rate, or Edge Rate, at the end of the Term as well as the estimated cost of exiting the replicating options prior to the Term End Date.</w:t>
      </w:r>
    </w:p>
    <w:p>
      <w:pPr>
        <w:spacing w:after="0" w:line="54"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The valuation of the options is based on the Black-Scholes Model, which is one of the standard methods for valuing derivatives based on inputs from third party vendors. The methodology used to value these options is determined solely by us and may vary, higher or lower, from other estimated valuations or the actual selling price of identical derivatives. Any variance between our estimated fair value price and other estimated or actual prices may be different from Shield Option type to Shield Option type and may also change from day to day.</w:t>
      </w:r>
    </w:p>
    <w:p>
      <w:pPr>
        <w:spacing w:after="0" w:line="53"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There are many external factors that may impact the Interim Value including changes in the Indices, changes in the interest rate environment, and volatility.</w:t>
      </w:r>
    </w:p>
    <w:p>
      <w:pPr>
        <w:spacing w:after="0" w:line="39" w:lineRule="exact"/>
        <w:rPr>
          <w:sz w:val="20"/>
          <w:szCs w:val="20"/>
          <w:color w:val="auto"/>
        </w:rPr>
      </w:pPr>
    </w:p>
    <w:p>
      <w:pPr>
        <w:jc w:val="both"/>
        <w:ind w:right="3859" w:firstLine="240"/>
        <w:spacing w:after="0" w:line="265" w:lineRule="auto"/>
        <w:rPr>
          <w:sz w:val="20"/>
          <w:szCs w:val="20"/>
          <w:color w:val="auto"/>
        </w:rPr>
      </w:pPr>
      <w:r>
        <w:rPr>
          <w:rFonts w:ascii="Times New Roman" w:cs="Times New Roman" w:eastAsia="Times New Roman" w:hAnsi="Times New Roman"/>
          <w:sz w:val="12"/>
          <w:szCs w:val="12"/>
          <w:color w:val="auto"/>
        </w:rPr>
        <w:t>When we calculate the Interim Value, we will obtain market data for derivative pricing each Business Day from outside vendors. If these values are available and we are delayed in receiving these values, and cannot calculate a new Interim Value, we will use the prior Business Day’s Interim Value.</w:t>
      </w:r>
    </w:p>
    <w:p>
      <w:pPr>
        <w:spacing w:after="0" w:line="47"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Detailed information on the Interim Value calculation and examples can be found in the Statement of Additional Information (“SAI”) that accompanies this prospectus.</w:t>
      </w:r>
    </w:p>
    <w:p>
      <w:pPr>
        <w:spacing w:after="0" w:line="16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40</w:t>
      </w:r>
    </w:p>
    <w:p>
      <w:pPr>
        <w:sectPr>
          <w:pgSz w:w="11900" w:h="16838" w:orient="portrait"/>
          <w:cols w:equalWidth="0" w:num="1">
            <w:col w:w="9359"/>
          </w:cols>
          <w:pgMar w:left="1100" w:top="966" w:right="1440" w:bottom="1440" w:gutter="0" w:footer="0" w:header="0"/>
        </w:sectPr>
      </w:pPr>
    </w:p>
    <w:bookmarkStart w:id="41" w:name="page42"/>
    <w:bookmarkEnd w:id="41"/>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57395" cy="36830"/>
                    </a:xfrm>
                    <a:prstGeom prst="rect">
                      <a:avLst/>
                    </a:prstGeom>
                    <a:noFill/>
                  </pic:spPr>
                </pic:pic>
              </a:graphicData>
            </a:graphic>
          </wp:anchor>
        </w:drawing>
        <w:t>The Interim Value calculated may be less than the Investment Amount at the time the Interim Value is calculated even if the current Index Value is higher than it was on the Term Start Date. Additionally, the Shield Rate and the Rate Crediting Type only apply to amounts held in the Shield Option until the Term End Date. This means that the Interim Value does not receive the protection from loss provided by the Shield Rate, or the application of the Rate Crediting Type. The Interim Value could be more or less than the amount you would receive had you held the investment until the Term End Date, after the Performance Rate Adjustment. As a result, there could be less money available under your Contract for withdrawals, Surrenders, death benefit payments, and annuitization. A negative Interim Value could result in a loss beyond the protection of the Shield Rate. In extreme circumstances, you could lose up to 100% of the value of the Shield Option if you exercise the Performance Lock, or if you make a withdrawal, Surrender, or otherwise remove amounts from the Shield Options before the Term End Date.</w:t>
      </w:r>
    </w:p>
    <w:p>
      <w:pPr>
        <w:spacing w:after="0" w:line="52"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If you have not exercised the Performance Lock, the withdrawal amount (including any applicable Withdrawal Charge) will reduce the Investment Amount for each Shield Option by the percentage reduction in the Interim Value of such Shield Option (i.e. a proportional reduction). Accordingly, when the Interim Value is </w:t>
      </w:r>
      <w:r>
        <w:rPr>
          <w:rFonts w:ascii="Times New Roman" w:cs="Times New Roman" w:eastAsia="Times New Roman" w:hAnsi="Times New Roman"/>
          <w:sz w:val="12"/>
          <w:szCs w:val="12"/>
          <w:b w:val="1"/>
          <w:bCs w:val="1"/>
          <w:i w:val="1"/>
          <w:iCs w:val="1"/>
          <w:color w:val="auto"/>
        </w:rPr>
        <w:t>less</w:t>
      </w:r>
      <w:r>
        <w:rPr>
          <w:rFonts w:ascii="Times New Roman" w:cs="Times New Roman" w:eastAsia="Times New Roman" w:hAnsi="Times New Roman"/>
          <w:sz w:val="12"/>
          <w:szCs w:val="12"/>
          <w:b w:val="1"/>
          <w:bCs w:val="1"/>
          <w:color w:val="auto"/>
        </w:rPr>
        <w:t xml:space="preserve"> than the Investment Amount, the reduction to the Shield Option is on a more than dollar for dollar basis. On the other hand, when the Interim Value is </w:t>
      </w:r>
      <w:r>
        <w:rPr>
          <w:rFonts w:ascii="Times New Roman" w:cs="Times New Roman" w:eastAsia="Times New Roman" w:hAnsi="Times New Roman"/>
          <w:sz w:val="12"/>
          <w:szCs w:val="12"/>
          <w:b w:val="1"/>
          <w:bCs w:val="1"/>
          <w:i w:val="1"/>
          <w:iCs w:val="1"/>
          <w:color w:val="auto"/>
        </w:rPr>
        <w:t>greater</w:t>
      </w:r>
      <w:r>
        <w:rPr>
          <w:rFonts w:ascii="Times New Roman" w:cs="Times New Roman" w:eastAsia="Times New Roman" w:hAnsi="Times New Roman"/>
          <w:sz w:val="12"/>
          <w:szCs w:val="12"/>
          <w:b w:val="1"/>
          <w:bCs w:val="1"/>
          <w:color w:val="auto"/>
        </w:rPr>
        <w:t xml:space="preserve"> than the Investment Amount, the reduction to the Shield Option is on a less than dollar for dollar basis. The remaining Investment Amount after a withdrawal will be used as the new Investment Amount for the Term until the Term End Date or the next Interim Value calculation for that Shield Option. To see how a withdrawal impacts the Performance Lock Value, see “PERFORMANCE LOCK”.</w:t>
      </w:r>
    </w:p>
    <w:p>
      <w:pPr>
        <w:spacing w:after="0" w:line="58"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 xml:space="preserve">Reductions to the Investment Amount will reduce the Interim Value for that Shield Option for the remainder of the Term, and, as a result, the positive interest, if any, credited to the remaining Investment Amount on the Term End Date will be less than if you had not taken a withdrawal. </w:t>
      </w:r>
      <w:r>
        <w:rPr>
          <w:rFonts w:ascii="Times New Roman" w:cs="Times New Roman" w:eastAsia="Times New Roman" w:hAnsi="Times New Roman"/>
          <w:sz w:val="12"/>
          <w:szCs w:val="12"/>
          <w:b w:val="1"/>
          <w:bCs w:val="1"/>
          <w:color w:val="auto"/>
        </w:rPr>
        <w:t>Withdrawals and deductions from the</w:t>
      </w:r>
    </w:p>
    <w:p>
      <w:pPr>
        <w:spacing w:after="0" w:line="1" w:lineRule="exact"/>
        <w:rPr>
          <w:sz w:val="20"/>
          <w:szCs w:val="20"/>
          <w:color w:val="auto"/>
        </w:rPr>
      </w:pPr>
    </w:p>
    <w:p>
      <w:pPr>
        <w:jc w:val="both"/>
        <w:ind w:right="3839"/>
        <w:spacing w:after="0" w:line="253" w:lineRule="auto"/>
        <w:rPr>
          <w:sz w:val="20"/>
          <w:szCs w:val="20"/>
          <w:color w:val="auto"/>
        </w:rPr>
      </w:pPr>
      <w:r>
        <w:rPr>
          <w:rFonts w:ascii="Times New Roman" w:cs="Times New Roman" w:eastAsia="Times New Roman" w:hAnsi="Times New Roman"/>
          <w:sz w:val="12"/>
          <w:szCs w:val="12"/>
          <w:b w:val="1"/>
          <w:bCs w:val="1"/>
          <w:color w:val="auto"/>
        </w:rPr>
        <w:t>Shield Options prior to the Term End Date, such as systematic withdrawals and RMDs, may have an adverse effect on the values and benefits under your Contract. If you intend to make such ongoing withdrawals, you should consult with a financial professional about whether this Contract is appropriate for you.</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Withdrawal Charge</w:t>
      </w:r>
    </w:p>
    <w:p>
      <w:pPr>
        <w:spacing w:after="0" w:line="82"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We impose a Withdrawal Charge to reimburse us for contract sales expenses, including commissions and other distribution, promotion, and acquisition expenses. During the Accumulation Period, you can make a partial or complete withdrawal from your Contract.</w:t>
      </w:r>
    </w:p>
    <w:p>
      <w:pPr>
        <w:spacing w:after="0" w:line="47"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The Withdrawal Charge is a percentage that is applied to any amount that is withdrawn from the Account Value in a Contract Year in excess of the Free Withdrawal Amount.</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Withdrawal Charge is calculated at the time of each withdrawal in accordance with the following:</w:t>
      </w:r>
    </w:p>
    <w:p>
      <w:pPr>
        <w:spacing w:after="0" w:line="144" w:lineRule="exact"/>
        <w:rPr>
          <w:sz w:val="20"/>
          <w:szCs w:val="20"/>
          <w:color w:val="auto"/>
        </w:rPr>
      </w:pPr>
    </w:p>
    <w:tbl>
      <w:tblPr>
        <w:tblLayout w:type="fixed"/>
        <w:tblInd w:w="1320" w:type="dxa"/>
        <w:tblCellMar>
          <w:top w:w="0" w:type="dxa"/>
          <w:left w:w="0" w:type="dxa"/>
          <w:bottom w:w="0" w:type="dxa"/>
          <w:right w:w="0" w:type="dxa"/>
        </w:tblCellMar>
      </w:tblPr>
      <w:tr>
        <w:trPr>
          <w:trHeight w:val="117"/>
        </w:trPr>
        <w:tc>
          <w:tcPr>
            <w:tcW w:w="17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Number of Complete Contract</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4"/>
        </w:trPr>
        <w:tc>
          <w:tcPr>
            <w:tcW w:w="17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Years since Issue Date</w:t>
            </w:r>
          </w:p>
        </w:tc>
        <w:tc>
          <w:tcPr>
            <w:tcW w:w="12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3"/>
              </w:rPr>
              <w:t>Withdrawal Charge percentage</w:t>
            </w:r>
          </w:p>
        </w:tc>
      </w:tr>
      <w:tr>
        <w:trPr>
          <w:trHeight w:val="205"/>
        </w:trPr>
        <w:tc>
          <w:tcPr>
            <w:tcW w:w="11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0</w:t>
            </w:r>
          </w:p>
        </w:tc>
        <w:tc>
          <w:tcPr>
            <w:tcW w:w="580" w:type="dxa"/>
            <w:vAlign w:val="bottom"/>
          </w:tcPr>
          <w:p>
            <w:pPr>
              <w:spacing w:after="0"/>
              <w:rPr>
                <w:sz w:val="17"/>
                <w:szCs w:val="17"/>
                <w:color w:val="auto"/>
              </w:rPr>
            </w:pPr>
          </w:p>
        </w:tc>
        <w:tc>
          <w:tcPr>
            <w:tcW w:w="1180" w:type="dxa"/>
            <w:vAlign w:val="bottom"/>
            <w:tcBorders>
              <w:top w:val="single" w:sz="8" w:color="auto"/>
            </w:tcBorders>
          </w:tcPr>
          <w:p>
            <w:pPr>
              <w:jc w:val="right"/>
              <w:ind w:right="462"/>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7"/>
                <w:szCs w:val="17"/>
                <w:color w:val="auto"/>
              </w:rPr>
            </w:pPr>
          </w:p>
        </w:tc>
      </w:tr>
      <w:tr>
        <w:trPr>
          <w:trHeight w:val="216"/>
        </w:trPr>
        <w:tc>
          <w:tcPr>
            <w:tcW w:w="1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1</w:t>
            </w:r>
          </w:p>
        </w:tc>
        <w:tc>
          <w:tcPr>
            <w:tcW w:w="580" w:type="dxa"/>
            <w:vAlign w:val="bottom"/>
          </w:tcPr>
          <w:p>
            <w:pPr>
              <w:spacing w:after="0"/>
              <w:rPr>
                <w:sz w:val="18"/>
                <w:szCs w:val="18"/>
                <w:color w:val="auto"/>
              </w:rPr>
            </w:pPr>
          </w:p>
        </w:tc>
        <w:tc>
          <w:tcPr>
            <w:tcW w:w="1180" w:type="dxa"/>
            <w:vAlign w:val="bottom"/>
          </w:tcPr>
          <w:p>
            <w:pPr>
              <w:jc w:val="right"/>
              <w:ind w:right="462"/>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8"/>
                <w:szCs w:val="18"/>
                <w:color w:val="auto"/>
              </w:rPr>
            </w:pPr>
          </w:p>
        </w:tc>
      </w:tr>
      <w:tr>
        <w:trPr>
          <w:trHeight w:val="216"/>
        </w:trPr>
        <w:tc>
          <w:tcPr>
            <w:tcW w:w="1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w:t>
            </w:r>
          </w:p>
        </w:tc>
        <w:tc>
          <w:tcPr>
            <w:tcW w:w="580" w:type="dxa"/>
            <w:vAlign w:val="bottom"/>
          </w:tcPr>
          <w:p>
            <w:pPr>
              <w:spacing w:after="0"/>
              <w:rPr>
                <w:sz w:val="18"/>
                <w:szCs w:val="18"/>
                <w:color w:val="auto"/>
              </w:rPr>
            </w:pPr>
          </w:p>
        </w:tc>
        <w:tc>
          <w:tcPr>
            <w:tcW w:w="1180" w:type="dxa"/>
            <w:vAlign w:val="bottom"/>
          </w:tcPr>
          <w:p>
            <w:pPr>
              <w:jc w:val="right"/>
              <w:ind w:right="462"/>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8"/>
                <w:szCs w:val="18"/>
                <w:color w:val="auto"/>
              </w:rPr>
            </w:pPr>
          </w:p>
        </w:tc>
      </w:tr>
      <w:tr>
        <w:trPr>
          <w:trHeight w:val="216"/>
        </w:trPr>
        <w:tc>
          <w:tcPr>
            <w:tcW w:w="1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3</w:t>
            </w:r>
          </w:p>
        </w:tc>
        <w:tc>
          <w:tcPr>
            <w:tcW w:w="580" w:type="dxa"/>
            <w:vAlign w:val="bottom"/>
          </w:tcPr>
          <w:p>
            <w:pPr>
              <w:spacing w:after="0"/>
              <w:rPr>
                <w:sz w:val="18"/>
                <w:szCs w:val="18"/>
                <w:color w:val="auto"/>
              </w:rPr>
            </w:pPr>
          </w:p>
        </w:tc>
        <w:tc>
          <w:tcPr>
            <w:tcW w:w="1180" w:type="dxa"/>
            <w:vAlign w:val="bottom"/>
          </w:tcPr>
          <w:p>
            <w:pPr>
              <w:jc w:val="right"/>
              <w:ind w:right="462"/>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8"/>
                <w:szCs w:val="18"/>
                <w:color w:val="auto"/>
              </w:rPr>
            </w:pPr>
          </w:p>
        </w:tc>
      </w:tr>
      <w:tr>
        <w:trPr>
          <w:trHeight w:val="216"/>
        </w:trPr>
        <w:tc>
          <w:tcPr>
            <w:tcW w:w="1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4</w:t>
            </w:r>
          </w:p>
        </w:tc>
        <w:tc>
          <w:tcPr>
            <w:tcW w:w="580" w:type="dxa"/>
            <w:vAlign w:val="bottom"/>
          </w:tcPr>
          <w:p>
            <w:pPr>
              <w:spacing w:after="0"/>
              <w:rPr>
                <w:sz w:val="18"/>
                <w:szCs w:val="18"/>
                <w:color w:val="auto"/>
              </w:rPr>
            </w:pPr>
          </w:p>
        </w:tc>
        <w:tc>
          <w:tcPr>
            <w:tcW w:w="1180" w:type="dxa"/>
            <w:vAlign w:val="bottom"/>
          </w:tcPr>
          <w:p>
            <w:pPr>
              <w:jc w:val="right"/>
              <w:ind w:right="462"/>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8"/>
                <w:szCs w:val="18"/>
                <w:color w:val="auto"/>
              </w:rPr>
            </w:pPr>
          </w:p>
        </w:tc>
      </w:tr>
      <w:tr>
        <w:trPr>
          <w:trHeight w:val="216"/>
        </w:trPr>
        <w:tc>
          <w:tcPr>
            <w:tcW w:w="1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5</w:t>
            </w:r>
          </w:p>
        </w:tc>
        <w:tc>
          <w:tcPr>
            <w:tcW w:w="580" w:type="dxa"/>
            <w:vAlign w:val="bottom"/>
          </w:tcPr>
          <w:p>
            <w:pPr>
              <w:spacing w:after="0"/>
              <w:rPr>
                <w:sz w:val="18"/>
                <w:szCs w:val="18"/>
                <w:color w:val="auto"/>
              </w:rPr>
            </w:pPr>
          </w:p>
        </w:tc>
        <w:tc>
          <w:tcPr>
            <w:tcW w:w="1180" w:type="dxa"/>
            <w:vAlign w:val="bottom"/>
          </w:tcPr>
          <w:p>
            <w:pPr>
              <w:jc w:val="right"/>
              <w:ind w:right="462"/>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8"/>
                <w:szCs w:val="18"/>
                <w:color w:val="auto"/>
              </w:rPr>
            </w:pPr>
          </w:p>
        </w:tc>
      </w:tr>
      <w:tr>
        <w:trPr>
          <w:trHeight w:val="216"/>
        </w:trPr>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6 or more</w:t>
            </w:r>
          </w:p>
        </w:tc>
        <w:tc>
          <w:tcPr>
            <w:tcW w:w="1180" w:type="dxa"/>
            <w:vAlign w:val="bottom"/>
          </w:tcPr>
          <w:p>
            <w:pPr>
              <w:jc w:val="right"/>
              <w:ind w:right="462"/>
              <w:spacing w:after="0"/>
              <w:rPr>
                <w:sz w:val="20"/>
                <w:szCs w:val="20"/>
                <w:color w:val="auto"/>
              </w:rPr>
            </w:pPr>
            <w:r>
              <w:rPr>
                <w:rFonts w:ascii="Times New Roman" w:cs="Times New Roman" w:eastAsia="Times New Roman" w:hAnsi="Times New Roman"/>
                <w:sz w:val="12"/>
                <w:szCs w:val="12"/>
                <w:color w:val="auto"/>
              </w:rPr>
              <w:t>0%</w:t>
            </w:r>
          </w:p>
        </w:tc>
        <w:tc>
          <w:tcPr>
            <w:tcW w:w="100" w:type="dxa"/>
            <w:vAlign w:val="bottom"/>
          </w:tcPr>
          <w:p>
            <w:pPr>
              <w:spacing w:after="0"/>
              <w:rPr>
                <w:sz w:val="18"/>
                <w:szCs w:val="18"/>
                <w:color w:val="auto"/>
              </w:rPr>
            </w:pPr>
          </w:p>
        </w:tc>
      </w:tr>
    </w:tbl>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 xml:space="preserve">Note: </w:t>
      </w:r>
      <w:r>
        <w:rPr>
          <w:rFonts w:ascii="Times New Roman" w:cs="Times New Roman" w:eastAsia="Times New Roman" w:hAnsi="Times New Roman"/>
          <w:sz w:val="12"/>
          <w:szCs w:val="12"/>
          <w:color w:val="auto"/>
        </w:rPr>
        <w:t>For tax purposes, earnings from Non-Qualified Contracts are generally considered to come out first.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When No Withdrawal Charge Applies</w:t>
      </w:r>
    </w:p>
    <w:p>
      <w:pPr>
        <w:spacing w:after="0" w:line="82" w:lineRule="exact"/>
        <w:rPr>
          <w:sz w:val="20"/>
          <w:szCs w:val="20"/>
          <w:color w:val="auto"/>
        </w:rPr>
      </w:pPr>
    </w:p>
    <w:p>
      <w:pPr>
        <w:ind w:right="3839" w:firstLine="240"/>
        <w:spacing w:after="0" w:line="279" w:lineRule="auto"/>
        <w:rPr>
          <w:sz w:val="20"/>
          <w:szCs w:val="20"/>
          <w:color w:val="auto"/>
        </w:rPr>
      </w:pPr>
      <w:r>
        <w:rPr>
          <w:rFonts w:ascii="Times New Roman" w:cs="Times New Roman" w:eastAsia="Times New Roman" w:hAnsi="Times New Roman"/>
          <w:sz w:val="12"/>
          <w:szCs w:val="12"/>
          <w:color w:val="auto"/>
        </w:rPr>
        <w:t>In some cases we will not charge you the Withdrawal Charge when you make a withdrawal. We may, however, ask you to prove that you meet any of the following conditions:</w:t>
      </w:r>
    </w:p>
    <w:p>
      <w:pPr>
        <w:spacing w:after="0" w:line="66" w:lineRule="exact"/>
        <w:rPr>
          <w:sz w:val="20"/>
          <w:szCs w:val="20"/>
          <w:color w:val="auto"/>
        </w:rPr>
      </w:pPr>
    </w:p>
    <w:p>
      <w:pPr>
        <w:ind w:left="720" w:hanging="472"/>
        <w:spacing w:after="0"/>
        <w:tabs>
          <w:tab w:leader="none" w:pos="7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Maturity of the Contract;</w:t>
      </w:r>
    </w:p>
    <w:p>
      <w:pPr>
        <w:spacing w:after="0" w:line="105" w:lineRule="exact"/>
        <w:rPr>
          <w:rFonts w:ascii="Times New Roman" w:cs="Times New Roman" w:eastAsia="Times New Roman" w:hAnsi="Times New Roman"/>
          <w:sz w:val="12"/>
          <w:szCs w:val="12"/>
          <w:color w:val="auto"/>
        </w:rPr>
      </w:pPr>
    </w:p>
    <w:p>
      <w:pPr>
        <w:ind w:left="720" w:hanging="472"/>
        <w:spacing w:after="0"/>
        <w:tabs>
          <w:tab w:leader="none" w:pos="7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of the death benefit;</w:t>
      </w:r>
    </w:p>
    <w:p>
      <w:pPr>
        <w:spacing w:after="0" w:line="105" w:lineRule="exact"/>
        <w:rPr>
          <w:rFonts w:ascii="Times New Roman" w:cs="Times New Roman" w:eastAsia="Times New Roman" w:hAnsi="Times New Roman"/>
          <w:sz w:val="12"/>
          <w:szCs w:val="12"/>
          <w:color w:val="auto"/>
        </w:rPr>
      </w:pPr>
    </w:p>
    <w:p>
      <w:pPr>
        <w:ind w:left="720" w:hanging="472"/>
        <w:spacing w:after="0"/>
        <w:tabs>
          <w:tab w:leader="none" w:pos="7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Application of your Account Value to an Annuity Option;</w:t>
      </w:r>
    </w:p>
    <w:p>
      <w:pPr>
        <w:spacing w:after="0" w:line="96" w:lineRule="exact"/>
        <w:rPr>
          <w:rFonts w:ascii="Times New Roman" w:cs="Times New Roman" w:eastAsia="Times New Roman" w:hAnsi="Times New Roman"/>
          <w:sz w:val="12"/>
          <w:szCs w:val="12"/>
          <w:color w:val="auto"/>
        </w:rPr>
      </w:pPr>
    </w:p>
    <w:p>
      <w:pPr>
        <w:ind w:left="720" w:right="3899" w:hanging="472"/>
        <w:spacing w:after="0" w:line="259" w:lineRule="auto"/>
        <w:tabs>
          <w:tab w:leader="none" w:pos="7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withdrawal is to avoid required Federal income tax penalties or to satisfy Federal income tax rules</w:t>
      </w:r>
    </w:p>
    <w:p>
      <w:pPr>
        <w:spacing w:after="0" w:line="1" w:lineRule="exact"/>
        <w:rPr>
          <w:sz w:val="20"/>
          <w:szCs w:val="20"/>
          <w:color w:val="auto"/>
        </w:rPr>
      </w:pPr>
    </w:p>
    <w:p>
      <w:pPr>
        <w:ind w:left="240" w:right="3919"/>
        <w:spacing w:after="0" w:line="260" w:lineRule="auto"/>
        <w:rPr>
          <w:sz w:val="20"/>
          <w:szCs w:val="20"/>
          <w:color w:val="auto"/>
        </w:rPr>
      </w:pPr>
      <w:r>
        <w:rPr>
          <w:rFonts w:ascii="Times New Roman" w:cs="Times New Roman" w:eastAsia="Times New Roman" w:hAnsi="Times New Roman"/>
          <w:sz w:val="12"/>
          <w:szCs w:val="12"/>
          <w:color w:val="auto"/>
        </w:rPr>
        <w:t>concerning minimum distribution requirements that apply to your Contract, except for RMDs on a decedent Roth IRA. For</w:t>
      </w:r>
    </w:p>
    <w:p>
      <w:pPr>
        <w:spacing w:after="0" w:line="17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41</w:t>
      </w:r>
    </w:p>
    <w:p>
      <w:pPr>
        <w:sectPr>
          <w:pgSz w:w="11900" w:h="16838" w:orient="portrait"/>
          <w:cols w:equalWidth="0" w:num="1">
            <w:col w:w="9359"/>
          </w:cols>
          <w:pgMar w:left="1100" w:top="966" w:right="1440" w:bottom="1440" w:gutter="0" w:footer="0" w:header="0"/>
        </w:sectPr>
      </w:pPr>
    </w:p>
    <w:bookmarkStart w:id="42" w:name="page43"/>
    <w:bookmarkEnd w:id="42"/>
    <w:p>
      <w:pPr>
        <w:ind w:left="240" w:right="38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57395" cy="36830"/>
                    </a:xfrm>
                    <a:prstGeom prst="rect">
                      <a:avLst/>
                    </a:prstGeom>
                    <a:noFill/>
                  </pic:spPr>
                </pic:pic>
              </a:graphicData>
            </a:graphic>
          </wp:anchor>
        </w:drawing>
        <w:t>purposes of this exception, we assume that the Contract is the only contract or funding vehicle from which distributions are required to be taken and we will ignore all other Account Values;</w:t>
      </w:r>
    </w:p>
    <w:p>
      <w:pPr>
        <w:spacing w:after="0" w:line="66" w:lineRule="exact"/>
        <w:rPr>
          <w:sz w:val="20"/>
          <w:szCs w:val="20"/>
          <w:color w:val="auto"/>
        </w:rPr>
      </w:pPr>
    </w:p>
    <w:p>
      <w:pPr>
        <w:ind w:left="720" w:hanging="472"/>
        <w:spacing w:after="0"/>
        <w:tabs>
          <w:tab w:leader="none" w:pos="7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you properly “recharacterize” as permitted under Federal tax law your Traditional IRA Contract</w:t>
      </w:r>
    </w:p>
    <w:p>
      <w:pPr>
        <w:spacing w:after="0" w:line="17" w:lineRule="exact"/>
        <w:rPr>
          <w:sz w:val="20"/>
          <w:szCs w:val="20"/>
          <w:color w:val="auto"/>
        </w:rPr>
      </w:pPr>
    </w:p>
    <w:p>
      <w:pPr>
        <w:jc w:val="right"/>
        <w:ind w:right="8039"/>
        <w:spacing w:after="0"/>
        <w:rPr>
          <w:sz w:val="20"/>
          <w:szCs w:val="20"/>
          <w:color w:val="auto"/>
        </w:rPr>
      </w:pPr>
      <w:r>
        <w:rPr>
          <w:rFonts w:ascii="Times New Roman" w:cs="Times New Roman" w:eastAsia="Times New Roman" w:hAnsi="Times New Roman"/>
          <w:sz w:val="12"/>
          <w:szCs w:val="12"/>
          <w:color w:val="auto"/>
        </w:rPr>
        <w:t>or Roth IRA</w:t>
      </w:r>
    </w:p>
    <w:p>
      <w:pPr>
        <w:spacing w:after="0" w:line="6" w:lineRule="exact"/>
        <w:rPr>
          <w:sz w:val="20"/>
          <w:szCs w:val="20"/>
          <w:color w:val="auto"/>
        </w:rPr>
      </w:pPr>
    </w:p>
    <w:p>
      <w:pPr>
        <w:jc w:val="right"/>
        <w:ind w:right="8039"/>
        <w:spacing w:after="0"/>
        <w:rPr>
          <w:sz w:val="20"/>
          <w:szCs w:val="20"/>
          <w:color w:val="auto"/>
        </w:rPr>
      </w:pPr>
      <w:r>
        <w:rPr>
          <w:rFonts w:ascii="Times New Roman" w:cs="Times New Roman" w:eastAsia="Times New Roman" w:hAnsi="Times New Roman"/>
          <w:sz w:val="12"/>
          <w:szCs w:val="12"/>
          <w:color w:val="auto"/>
        </w:rPr>
        <w:t>Contract issued by us;</w:t>
      </w:r>
    </w:p>
    <w:p>
      <w:pPr>
        <w:spacing w:after="0" w:line="94" w:lineRule="exact"/>
        <w:rPr>
          <w:sz w:val="20"/>
          <w:szCs w:val="20"/>
          <w:color w:val="auto"/>
        </w:rPr>
      </w:pPr>
    </w:p>
    <w:p>
      <w:pPr>
        <w:ind w:left="720" w:right="3899" w:hanging="472"/>
        <w:spacing w:after="0" w:line="259" w:lineRule="auto"/>
        <w:tabs>
          <w:tab w:leader="none" w:pos="7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agree in writing that none will apply. For example, if you transfer your Account Value to another approved</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annuity contract issued by us or one of our affiliates;</w:t>
      </w:r>
    </w:p>
    <w:p>
      <w:pPr>
        <w:spacing w:after="0" w:line="94" w:lineRule="exact"/>
        <w:rPr>
          <w:sz w:val="20"/>
          <w:szCs w:val="20"/>
          <w:color w:val="auto"/>
        </w:rPr>
      </w:pPr>
    </w:p>
    <w:p>
      <w:pPr>
        <w:ind w:left="720" w:right="4099" w:hanging="472"/>
        <w:spacing w:after="0" w:line="279" w:lineRule="auto"/>
        <w:tabs>
          <w:tab w:leader="none" w:pos="7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Withdrawals pursuant to either the Nursing Home Exception or the Terminal Illness Exception (see below); or</w:t>
      </w:r>
    </w:p>
    <w:p>
      <w:pPr>
        <w:spacing w:after="0" w:line="57" w:lineRule="exact"/>
        <w:rPr>
          <w:rFonts w:ascii="Times New Roman" w:cs="Times New Roman" w:eastAsia="Times New Roman" w:hAnsi="Times New Roman"/>
          <w:sz w:val="12"/>
          <w:szCs w:val="12"/>
          <w:color w:val="auto"/>
        </w:rPr>
      </w:pPr>
    </w:p>
    <w:p>
      <w:pPr>
        <w:ind w:left="720" w:hanging="472"/>
        <w:spacing w:after="0"/>
        <w:tabs>
          <w:tab w:leader="none" w:pos="7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Withdrawals up to the Free Withdrawal Amount.</w:t>
      </w:r>
    </w:p>
    <w:p>
      <w:pPr>
        <w:spacing w:after="0" w:line="83" w:lineRule="exact"/>
        <w:rPr>
          <w:sz w:val="20"/>
          <w:szCs w:val="20"/>
          <w:color w:val="auto"/>
        </w:rPr>
      </w:pPr>
    </w:p>
    <w:p>
      <w:pPr>
        <w:ind w:right="3839" w:firstLine="2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Nursing Home Exception/Terminal Illness Exception. </w:t>
      </w:r>
      <w:r>
        <w:rPr>
          <w:rFonts w:ascii="Times New Roman" w:cs="Times New Roman" w:eastAsia="Times New Roman" w:hAnsi="Times New Roman"/>
          <w:sz w:val="12"/>
          <w:szCs w:val="12"/>
          <w:color w:val="auto"/>
        </w:rPr>
        <w:t>After the first Contract Year, a Withdrawal Charge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which would otherwise apply to a withdrawal will be waived, if you, or your Joint Owner:</w:t>
      </w:r>
    </w:p>
    <w:p>
      <w:pPr>
        <w:spacing w:after="0" w:line="44" w:lineRule="exact"/>
        <w:rPr>
          <w:sz w:val="20"/>
          <w:szCs w:val="20"/>
          <w:color w:val="auto"/>
        </w:rPr>
      </w:pPr>
    </w:p>
    <w:p>
      <w:pPr>
        <w:jc w:val="both"/>
        <w:ind w:left="400" w:right="3899" w:hanging="152"/>
        <w:spacing w:after="0" w:line="257" w:lineRule="auto"/>
        <w:tabs>
          <w:tab w:leader="none" w:pos="40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(Nursing Home Exception) Has been a resident of certain nursing home facilities or a hospital for a minimum of 90 consecutive days or for a minimum total of 90 days where there is no more than a 6-month break in that residency and the residencies are for related causes, where you have exercised this right no later than 90 days after exiting the nursing home facility or hospital. The confinement must be prescribed by a physician and be medically necessary; or</w:t>
      </w:r>
    </w:p>
    <w:p>
      <w:pPr>
        <w:spacing w:after="0" w:line="53" w:lineRule="exact"/>
        <w:rPr>
          <w:rFonts w:ascii="Times New Roman" w:cs="Times New Roman" w:eastAsia="Times New Roman" w:hAnsi="Times New Roman"/>
          <w:sz w:val="12"/>
          <w:szCs w:val="12"/>
          <w:color w:val="auto"/>
        </w:rPr>
      </w:pPr>
    </w:p>
    <w:p>
      <w:pPr>
        <w:jc w:val="both"/>
        <w:ind w:left="400" w:right="3899" w:hanging="152"/>
        <w:spacing w:after="0" w:line="265" w:lineRule="auto"/>
        <w:tabs>
          <w:tab w:leader="none" w:pos="40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(Terminal Illness Exception) Is diagnosed with a terminal illness and not expected to live more than 12 months (a physician certifies to your illness and life expectancy) and you were not diagnosed with the terminal illness as of the date we issued your Contract.</w:t>
      </w:r>
    </w:p>
    <w:p>
      <w:pPr>
        <w:spacing w:after="0" w:line="56"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These Contract features are only available if you are less than 81 years old on the Issue Date of your Contract and terminate on the Annuity Date. These Contract features are free of charge. Additional conditions and requirements apply and are specified in the rider(s) that are part of your Contract.</w:t>
      </w:r>
    </w:p>
    <w:p>
      <w:pPr>
        <w:spacing w:after="0" w:line="52" w:lineRule="exact"/>
        <w:rPr>
          <w:sz w:val="20"/>
          <w:szCs w:val="20"/>
          <w:color w:val="auto"/>
        </w:rPr>
      </w:pPr>
    </w:p>
    <w:p>
      <w:pPr>
        <w:jc w:val="both"/>
        <w:ind w:right="3839" w:firstLine="240"/>
        <w:spacing w:after="0" w:line="259" w:lineRule="auto"/>
        <w:rPr>
          <w:sz w:val="20"/>
          <w:szCs w:val="20"/>
          <w:color w:val="auto"/>
        </w:rPr>
      </w:pPr>
      <w:r>
        <w:rPr>
          <w:rFonts w:ascii="Times New Roman" w:cs="Times New Roman" w:eastAsia="Times New Roman" w:hAnsi="Times New Roman"/>
          <w:sz w:val="12"/>
          <w:szCs w:val="12"/>
          <w:b w:val="1"/>
          <w:bCs w:val="1"/>
          <w:color w:val="auto"/>
        </w:rPr>
        <w:t>Free Withdrawal Amount.</w:t>
      </w:r>
      <w:r>
        <w:rPr>
          <w:rFonts w:ascii="Times New Roman" w:cs="Times New Roman" w:eastAsia="Times New Roman" w:hAnsi="Times New Roman"/>
          <w:sz w:val="12"/>
          <w:szCs w:val="12"/>
          <w:color w:val="auto"/>
        </w:rPr>
        <w:t xml:space="preserve">  After the first Contract Year, you may withdraw a portion of your Account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Value free from any Withdrawal Charge. The Free Withdrawal Amount each Contract Year is equal to 10% of your Account Value as of the prior Contract Anniversary, less the total amount withdrawn from the Account Value in the current Contract Year. The Free Withdrawal Amount is non-cumulative and is not carried over to other Contract Years.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Premium and Other Taxes</w:t>
      </w:r>
    </w:p>
    <w:p>
      <w:pPr>
        <w:spacing w:after="0" w:line="82"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We reserve the right to deduct from the Purchase Payment or Account Value any taxes relating to the Contract paid by us to any government entity. New York state does not currently assess Premium Taxes on purchase payments you make. We will determine when taxes relate to the Contract.</w:t>
      </w:r>
    </w:p>
    <w:p>
      <w:pPr>
        <w:spacing w:after="0" w:line="47"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We may pay taxes when due and deduct that amount from the Account Value at a later date. Payment at an earlier date does not waive any right we may have to deduct amounts at a later date. Generally, it is our practice not to charge Premium Taxes until Annuity Payments begin.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Taxes</w:t>
      </w:r>
    </w:p>
    <w:p>
      <w:pPr>
        <w:spacing w:after="0" w:line="82"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We reserve the right to deduct from the Contract for any income taxes which we incur because of the Contract. At the present time, however, we are not incurring any such income tax or making any such deductions.</w:t>
      </w:r>
    </w:p>
    <w:p>
      <w:pPr>
        <w:spacing w:after="0" w:line="17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b w:val="1"/>
          <w:bCs w:val="1"/>
          <w:color w:val="auto"/>
        </w:rPr>
        <w:t>WITHDRAWAL PROVISIONS</w:t>
      </w:r>
    </w:p>
    <w:p>
      <w:pPr>
        <w:spacing w:after="0" w:line="82"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Prior to the Annuity Date, you may, upon Notice to us, request a full or a partial withdrawal and we will withdraw that amount from your Account Value (the “Withdrawal Amount”). A withdrawal (including RMDs, systematic withdrawals, and any applicable Withdrawal Charge) will result in a reduction to the Investment Amount in each Shield Option, the Fixed Account, and the Holding Account in the ratio that each Shield Option, the Fixed Account, and the Holding Account bears to the total Account Value, unless you instruct us otherwise.</w:t>
      </w:r>
    </w:p>
    <w:p>
      <w:pPr>
        <w:spacing w:after="0" w:line="53"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If a Withdrawal Charge is applicable, it is applied to the Withdrawal Amount that is in excess of the applicable Free Withdrawal Amount. See “Withdrawal Charge” and “When No Withdrawal Charge Applies” under “CHARGES, FEES, AND ADJUSTMENTS”. For a partial withdrawal, the amount payable to you will be a net amount equal to the requested Withdrawal Amount reduced by any applicable Withdrawal Charge and Premium Tax and other taxes. Alternatively, you can choose to have the Withdrawal Charge and Premium Tax and other taxes deducted from the remaining Account Value, in which case you would receive the full dollar amount you requested. However, this may result in a higher Withdrawal Charge because the charge increases the amount taken from your Account Value to cover the withdrawal and, since it is a percentage of the total</w:t>
      </w:r>
    </w:p>
    <w:p>
      <w:pPr>
        <w:spacing w:after="0" w:line="17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42</w:t>
      </w:r>
    </w:p>
    <w:p>
      <w:pPr>
        <w:sectPr>
          <w:pgSz w:w="11900" w:h="16838" w:orient="portrait"/>
          <w:cols w:equalWidth="0" w:num="1">
            <w:col w:w="9359"/>
          </w:cols>
          <w:pgMar w:left="1100" w:top="966" w:right="1440" w:bottom="1440" w:gutter="0" w:footer="0" w:header="0"/>
        </w:sectPr>
      </w:pPr>
    </w:p>
    <w:bookmarkStart w:id="43" w:name="page44"/>
    <w:bookmarkEnd w:id="43"/>
    <w:p>
      <w:pPr>
        <w:jc w:val="both"/>
        <w:ind w:right="383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57395" cy="36830"/>
                    </a:xfrm>
                    <a:prstGeom prst="rect">
                      <a:avLst/>
                    </a:prstGeom>
                    <a:noFill/>
                  </pic:spPr>
                </pic:pic>
              </a:graphicData>
            </a:graphic>
          </wp:anchor>
        </w:drawing>
        <w:t>amount withdrawn, the Withdrawal Charge will also be higher. A withdrawal (including RMDs, systematic withdrawals, and any applicable Withdrawal Charge) will also result in a proportionate reduction to the death benefit under the Contract.</w:t>
      </w:r>
    </w:p>
    <w:p>
      <w:pPr>
        <w:spacing w:after="0" w:line="47"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If you have the Return of Premium death benefit, your Purchase Payment is reduced proportionally by the percentage reduction in Account Value of the Shield Option(s), the Fixed Account, and the Holding Account for each partial withdrawal.</w:t>
      </w:r>
    </w:p>
    <w:p>
      <w:pPr>
        <w:spacing w:after="0" w:line="47"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The total Withdrawal Amount from the Account Value must not be less than $500, which is the minimum partial withdrawal amount. If the withdrawal would result in the Account Value being less than the Minimum Account Value ($2,000), we will treat the withdrawal request as a request for a full withdrawal. We will not terminate any Contract if at the time the termination would otherwise occur the guaranteed amount under any death benefit is greater than the Account Value.</w:t>
      </w:r>
    </w:p>
    <w:p>
      <w:pPr>
        <w:spacing w:after="0" w:line="53"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If you request a full or partial withdrawal (unless you instruct us otherwise for a partial withdrawal), the Withdrawal Amount after adjustments for any Withdrawal Charge will result in our paying you a net amount. The net amount payable to you is equal to the amount withdrawn (reduced by any Withdrawal Charge) from the Account Value, less Premium Tax and other taxes, if any.</w:t>
      </w:r>
    </w:p>
    <w:p>
      <w:pPr>
        <w:spacing w:after="0" w:line="50"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Withdrawals (including RMDs, systematic withdrawals, and any applicable Withdrawal Charge) from the Fixed Account (if available) will reduce the Fixed Account Value dollar for dollar by the portion of the Withdrawal Amount deducted from the Fixed Account. Withdrawals from the Shield Options on the Term End Date will reduce the Investment Amount dollar for dollar by the portion of the Withdrawal Amount deducted from the Shield Options after the application of the Performance Rate.</w:t>
      </w:r>
    </w:p>
    <w:p>
      <w:pPr>
        <w:spacing w:after="0" w:line="49"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If the withdrawal is taken during a Term, the Withdrawal Amount (including RMDs, systematic withdrawals, and any applicable Withdrawal Charge) will reduce the Investment Amount for each Shield Option by the percentage reduction in the Interim Value of such Shield Option </w:t>
      </w:r>
      <w:r>
        <w:rPr>
          <w:rFonts w:ascii="Times New Roman" w:cs="Times New Roman" w:eastAsia="Times New Roman" w:hAnsi="Times New Roman"/>
          <w:sz w:val="12"/>
          <w:szCs w:val="12"/>
          <w:b w:val="1"/>
          <w:bCs w:val="1"/>
          <w:i w:val="1"/>
          <w:iCs w:val="1"/>
          <w:color w:val="auto"/>
        </w:rPr>
        <w:t>(i.e.</w:t>
      </w:r>
      <w:r>
        <w:rPr>
          <w:rFonts w:ascii="Times New Roman" w:cs="Times New Roman" w:eastAsia="Times New Roman" w:hAnsi="Times New Roman"/>
          <w:sz w:val="12"/>
          <w:szCs w:val="12"/>
          <w:b w:val="1"/>
          <w:bCs w:val="1"/>
          <w:color w:val="auto"/>
        </w:rPr>
        <w:t xml:space="preserve"> a proportional reduction), or, if you have exercised the Performance Lock, it will reduce the Performance Lock Value of the Shield Option by the dollar amount of the withdrawal. Accordingly, when the Interim Value is </w:t>
      </w:r>
      <w:r>
        <w:rPr>
          <w:rFonts w:ascii="Times New Roman" w:cs="Times New Roman" w:eastAsia="Times New Roman" w:hAnsi="Times New Roman"/>
          <w:sz w:val="12"/>
          <w:szCs w:val="12"/>
          <w:b w:val="1"/>
          <w:bCs w:val="1"/>
          <w:i w:val="1"/>
          <w:iCs w:val="1"/>
          <w:color w:val="auto"/>
        </w:rPr>
        <w:t>less</w:t>
      </w:r>
      <w:r>
        <w:rPr>
          <w:rFonts w:ascii="Times New Roman" w:cs="Times New Roman" w:eastAsia="Times New Roman" w:hAnsi="Times New Roman"/>
          <w:sz w:val="12"/>
          <w:szCs w:val="12"/>
          <w:b w:val="1"/>
          <w:bCs w:val="1"/>
          <w:color w:val="auto"/>
        </w:rPr>
        <w:t xml:space="preserve"> than the Investment Amount, the reduction to the Shield Option is on a more than dollar for dollar basis. On the other hand, when the Interim Value is </w:t>
      </w:r>
      <w:r>
        <w:rPr>
          <w:rFonts w:ascii="Times New Roman" w:cs="Times New Roman" w:eastAsia="Times New Roman" w:hAnsi="Times New Roman"/>
          <w:sz w:val="12"/>
          <w:szCs w:val="12"/>
          <w:b w:val="1"/>
          <w:bCs w:val="1"/>
          <w:i w:val="1"/>
          <w:iCs w:val="1"/>
          <w:color w:val="auto"/>
        </w:rPr>
        <w:t>greater</w:t>
      </w:r>
      <w:r>
        <w:rPr>
          <w:rFonts w:ascii="Times New Roman" w:cs="Times New Roman" w:eastAsia="Times New Roman" w:hAnsi="Times New Roman"/>
          <w:sz w:val="12"/>
          <w:szCs w:val="12"/>
          <w:b w:val="1"/>
          <w:bCs w:val="1"/>
          <w:color w:val="auto"/>
        </w:rPr>
        <w:t xml:space="preserve"> than the Investment Amount, the reduction to the Shield Option is on a less than dollar for dollar basis. </w:t>
      </w:r>
      <w:r>
        <w:rPr>
          <w:rFonts w:ascii="Times New Roman" w:cs="Times New Roman" w:eastAsia="Times New Roman" w:hAnsi="Times New Roman"/>
          <w:sz w:val="12"/>
          <w:szCs w:val="12"/>
          <w:color w:val="auto"/>
        </w:rPr>
        <w:t>See “Interim Value Calculation” under “CHARGES, FEES,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ADJUSTMENTS” for more information.</w:t>
      </w:r>
    </w:p>
    <w:p>
      <w:pPr>
        <w:spacing w:after="0" w:line="58"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For example, assume the Performance Lock has not been exercised and Owner 1 makes a $100,000 Purchase Payment at Contract issue and allocates the Purchase Payment equally to two Shield Options so that each starts with $50,000. This amount is the initial Investment Amount. Assume in 6 months Shield Option A has an Interim Value of $65,000 and Shield Option B has an Interim Value of $45,000. Assume at this time Owner 1 decides to make a withdrawal of $20,000. If the entire withdrawal is taken from Shield Option A, the reduction in the Interim Value is 30.77% ($20,000 ÷ $65,000). The Investment Amount for Shield Option A would then be reduced to $34,615.38 ($50,000 x (1-30.77%)). The total Investment Amount is then $84,615.38 ($34,615.38 + $50,000). If the entire withdrawal is taken from Shield Option B, the reduction in the Interim Value is 44.44% ($20,000 ÷ $45,000). The Investment Amount for Shield Option B would be reduced to $27,777.78 ($50,000 x (1-44.44%)). The total Investment Amount is then $77,777.78 ($50,000 + $27,777.78).</w:t>
      </w:r>
    </w:p>
    <w:p>
      <w:pPr>
        <w:spacing w:after="0" w:line="57"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color w:val="auto"/>
        </w:rPr>
        <w:t>Using the same example above and assuming Owner 1 exercised the Performance Lock on Shield Option A and Shield Option B resulting in a Performance Lock Value of $65,000 for Shield Option A and $45,000 for Shield Option B. Assume that after exercising the Performance Lock, Owner 1 makes a withdrawal of $20,000. If the entire withdrawal is taken from Shield Option A, the Performance Lock Value of that Shield Option would be after the withdrawal is then $90,000 ($45,000 + $45,000). If the entire withdrawal is taken from Shield Option B, the Performance Lock Value of that Shield Option would be reduced to $25,000 ($45,000 - $20,000). The Account Value after the withdrawal is then $90,000 ($65,000 + $25,000).</w:t>
      </w:r>
    </w:p>
    <w:p>
      <w:pPr>
        <w:spacing w:after="0" w:line="54"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The remaining Investment Amount after a withdrawal will be used as the new Investment Amount for the Term until the Term End Date or the next Interim Value calculation for that Shield Option. A partial withdrawal from a Shield Option does not affect the Cap Rate, Step Rate, or Edge Rate as applicable, and the Shield Rate that will apply to the remaining Investment Amounts that are held in the Shield Option through the Term End Date.</w:t>
      </w:r>
    </w:p>
    <w:p>
      <w:pPr>
        <w:spacing w:after="0" w:line="50"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After receipt of a Notice of withdrawal from you, we reserve the right to defer payment for a withdrawal for the period permitted by applicable law but not more than six (6) months.</w:t>
      </w:r>
    </w:p>
    <w:p>
      <w:pPr>
        <w:spacing w:after="0" w:line="35" w:lineRule="exact"/>
        <w:rPr>
          <w:sz w:val="20"/>
          <w:szCs w:val="20"/>
          <w:color w:val="auto"/>
        </w:rPr>
      </w:pPr>
    </w:p>
    <w:p>
      <w:pPr>
        <w:jc w:val="both"/>
        <w:ind w:right="3839" w:firstLine="240"/>
        <w:spacing w:after="0" w:line="259" w:lineRule="auto"/>
        <w:rPr>
          <w:sz w:val="20"/>
          <w:szCs w:val="20"/>
          <w:color w:val="auto"/>
        </w:rPr>
      </w:pPr>
      <w:r>
        <w:rPr>
          <w:rFonts w:ascii="Times New Roman" w:cs="Times New Roman" w:eastAsia="Times New Roman" w:hAnsi="Times New Roman"/>
          <w:sz w:val="12"/>
          <w:szCs w:val="12"/>
          <w:b w:val="1"/>
          <w:bCs w:val="1"/>
          <w:color w:val="auto"/>
        </w:rPr>
        <w:t>Divorce.</w:t>
      </w:r>
      <w:r>
        <w:rPr>
          <w:rFonts w:ascii="Times New Roman" w:cs="Times New Roman" w:eastAsia="Times New Roman" w:hAnsi="Times New Roman"/>
          <w:sz w:val="12"/>
          <w:szCs w:val="12"/>
          <w:color w:val="auto"/>
        </w:rPr>
        <w:t xml:space="preserve">  A withdrawal made pursuant to a divorce or separation agreement is subject to the same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Withdrawal Charge provisions described in this section, if permissible under tax law. In addition, the withdrawal will reduce the Account Value and the death benefit. The withdrawal could have a significant negative impact on the death benefit. Withdrawals pursuant to divorce may have tax consequences, so it is important that you consult a qualified tax advisor.</w:t>
      </w:r>
    </w:p>
    <w:p>
      <w:pPr>
        <w:spacing w:after="0" w:line="17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43</w:t>
      </w:r>
    </w:p>
    <w:p>
      <w:pPr>
        <w:sectPr>
          <w:pgSz w:w="11900" w:h="16838" w:orient="portrait"/>
          <w:cols w:equalWidth="0" w:num="1">
            <w:col w:w="9359"/>
          </w:cols>
          <w:pgMar w:left="1100" w:top="96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57395" cy="36830"/>
                    </a:xfrm>
                    <a:prstGeom prst="rect">
                      <a:avLst/>
                    </a:prstGeom>
                    <a:noFill/>
                  </pic:spPr>
                </pic:pic>
              </a:graphicData>
            </a:graphic>
          </wp:anchor>
        </w:drawing>
        <w:t>Systematic Withdrawal Program</w:t>
      </w:r>
    </w:p>
    <w:p>
      <w:pPr>
        <w:spacing w:after="0" w:line="91"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For automated processing of RMD amounts withdrawn from an IRA Contract or qualified annuity Contract, you may elect this program in any Contract Year. However, for automated processing of amounts withdrawn for purposes other than RMDs, you may elect this program after the first Contract Year for up to 10% of your Account Value as of the prior Contract Anniversary. We do not assess a charge for this program. You can receive payments monthly, quarterly, semi-annually, or annually provided that each payment must amount to at least $100 (a minimum of $500 must be distributed per Contract Year). We reserve the right to change the required minimum or the availability of this program. If the New York Stock Exchange is closed on a day when the withdrawal is to be made, we will process the withdrawal on the next Business Day. While the Systematic Withdrawal Program is in effect, you can make additional withdrawals outside the program. However, such withdrawals, in addition to the systematic withdrawals, will be considered when determining the applicability of any Withdrawal Charge.</w:t>
      </w:r>
    </w:p>
    <w:p>
      <w:pPr>
        <w:spacing w:after="0" w:line="57"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Withdrawals under the Systematic Withdrawal Program may either be drawn proportionally from all Allocation Options or you can designate where the withdrawal will be drawn: one or more Shield Options, the Fixed Account, and/or the Holding Account.</w:t>
      </w:r>
    </w:p>
    <w:p>
      <w:pPr>
        <w:spacing w:after="0" w:line="43"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b w:val="1"/>
          <w:bCs w:val="1"/>
          <w:color w:val="auto"/>
        </w:rPr>
        <w:t>Unless you have exercised the Performance Lock, each withdrawal, systematic or otherwise (including any applicable Withdrawal Charge), will reduce the Investment Amount for each Shield Option by the same percentage reduction in the Interim Value of such Shield Option (</w:t>
      </w:r>
      <w:r>
        <w:rPr>
          <w:rFonts w:ascii="Times New Roman" w:cs="Times New Roman" w:eastAsia="Times New Roman" w:hAnsi="Times New Roman"/>
          <w:sz w:val="12"/>
          <w:szCs w:val="12"/>
          <w:b w:val="1"/>
          <w:bCs w:val="1"/>
          <w:i w:val="1"/>
          <w:iCs w:val="1"/>
          <w:color w:val="auto"/>
        </w:rPr>
        <w:t>i.e.</w:t>
      </w:r>
      <w:r>
        <w:rPr>
          <w:rFonts w:ascii="Times New Roman" w:cs="Times New Roman" w:eastAsia="Times New Roman" w:hAnsi="Times New Roman"/>
          <w:sz w:val="12"/>
          <w:szCs w:val="12"/>
          <w:b w:val="1"/>
          <w:bCs w:val="1"/>
          <w:color w:val="auto"/>
        </w:rPr>
        <w:t xml:space="preserve"> a proportional reduction). Therefore, a withdrawal when Interim Value is less than the Investment Amount will cause a greater percentage reduction in the remaining Investment Amount relative to the percentage reduction for the same Withdrawal Amount when Interim Value is greater than the Investment Amount. If you exercise Performance Lock on any Shield Option, the Performance Lock Value for that Shield Option will be reduced by the dollar amount of the withdrawal. Each withdrawal from the Fixed Account or the Holding Account reduces the value of that account by the amount of the withdrawal (dollar for dollar). These systematic withdrawals may have an adverse effect on the values and benefits under your Contract. If you intend to make such ongoing withdrawals, you should consult with a financial professional about whether this Contract is appropriate for you.</w:t>
      </w:r>
    </w:p>
    <w:p>
      <w:pPr>
        <w:spacing w:after="0" w:line="58" w:lineRule="exact"/>
        <w:rPr>
          <w:sz w:val="20"/>
          <w:szCs w:val="20"/>
          <w:color w:val="auto"/>
        </w:rPr>
      </w:pPr>
    </w:p>
    <w:p>
      <w:pPr>
        <w:jc w:val="both"/>
        <w:ind w:right="3859" w:firstLine="240"/>
        <w:spacing w:after="0" w:line="265" w:lineRule="auto"/>
        <w:rPr>
          <w:sz w:val="20"/>
          <w:szCs w:val="20"/>
          <w:color w:val="auto"/>
        </w:rPr>
      </w:pPr>
      <w:r>
        <w:rPr>
          <w:rFonts w:ascii="Times New Roman" w:cs="Times New Roman" w:eastAsia="Times New Roman" w:hAnsi="Times New Roman"/>
          <w:sz w:val="12"/>
          <w:szCs w:val="12"/>
          <w:color w:val="auto"/>
        </w:rPr>
        <w:t>If you choose proportional withdrawals, all withdrawals are drawn from the Shield Options, the Fixed Account, and the Holding Account in the ratio that each Shield Option(s), the Fixed Account and/or the Holding Account bears to your Account Value.</w:t>
      </w:r>
    </w:p>
    <w:p>
      <w:pPr>
        <w:spacing w:after="0" w:line="47"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If you choose withdrawals from specific Shield Option(s), the Fixed Account, and/or the Holding Account all withdrawals are drawn from the specified Shield Option(s), Fixed Account, and/or the Holding Account in an amount you determine. If there are insufficient funds in the specified Shield Options, the Fixed Account, and the Holding Account to cover the amount of the withdrawal, the withdrawal will be processed to take the amount in that Shield Option, Fixed Account, or the Holding Account to $0, and the remaining amount of the withdrawal will default to proportional from all Shield Options, the Fixed Account, and the Holding Account to which you are allocated. Future withdrawals under the Systematic Withdrawal Program will continue to be drawn proportionally, unless you instruct us otherwise.</w:t>
      </w:r>
    </w:p>
    <w:p>
      <w:pPr>
        <w:spacing w:after="0" w:line="56"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You may terminate your participation in the Systematic Withdrawal Program at any time. We will terminate your participation in the Systematic Withdrawal Program when we receive notification of your death.</w:t>
      </w:r>
    </w:p>
    <w:p>
      <w:pPr>
        <w:spacing w:after="0" w:line="35"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b w:val="1"/>
          <w:bCs w:val="1"/>
          <w:color w:val="auto"/>
        </w:rPr>
        <w:t>Income taxes, tax penalties, and certain restrictions may apply to withdrawals under the Systematic Withdrawal Program. Withdrawals under the Systematic Withdrawal Program are subject to the same Withdrawal Charge provisions and risks as any other withdrawals under the Contract. Among other things, this means that Withdrawal Amounts in excess of the Free Withdrawal Amount are subject to a Withdrawal Charge. Moreover, since Withdrawal Amounts from a Shield Option will reduce the Investment Amount for that Shield Option by the percentage reduction in the Interim Value of that Shield Option, a withdrawal when the Interim Value is lower than the Investment Amount will cause a greater percentage reduction in the Investment Amount relative to the percentage reduction for the same Withdrawal Amount when the Interim Value is higher than the Investment Amount. If you exercise Performance Lock on any Shield Option, the Performance Lock Value for that Shield Option will be reduced by the dollar amount of the withdrawal. Since withdrawals under the Systematic Withdrawal Program are automatic, you will have no control over the timing of those withdrawals.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Example 2—Withdrawals</w:t>
      </w:r>
    </w:p>
    <w:p>
      <w:pPr>
        <w:spacing w:after="0" w:line="82" w:lineRule="exact"/>
        <w:rPr>
          <w:sz w:val="20"/>
          <w:szCs w:val="20"/>
          <w:color w:val="auto"/>
        </w:rPr>
      </w:pPr>
    </w:p>
    <w:p>
      <w:pPr>
        <w:jc w:val="both"/>
        <w:ind w:right="3839" w:firstLine="240"/>
        <w:spacing w:after="0" w:line="246" w:lineRule="auto"/>
        <w:rPr>
          <w:sz w:val="20"/>
          <w:szCs w:val="20"/>
          <w:color w:val="auto"/>
        </w:rPr>
      </w:pPr>
      <w:r>
        <w:rPr>
          <w:rFonts w:ascii="Times New Roman" w:cs="Times New Roman" w:eastAsia="Times New Roman" w:hAnsi="Times New Roman"/>
          <w:sz w:val="12"/>
          <w:szCs w:val="12"/>
          <w:color w:val="auto"/>
        </w:rPr>
        <w:t>Examples 2A and 2B are intended to show how withdrawals work. Both examples assume that that the Performance Lock has not been exercised and Owner 1 allocates her $50,000 Purchase Payment to the 1-Year Term / Shield 10 /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with a Cap Rate of 10%. Example 2A will illustrate a withdrawal when Interim Value, at the time of the withdrawal is greater than the Investment Amount on the Term Start Date and assumes no Withdrawal Charge applies due to a</w:t>
      </w:r>
    </w:p>
    <w:p>
      <w:pPr>
        <w:spacing w:after="0" w:line="17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44</w:t>
      </w:r>
    </w:p>
    <w:p>
      <w:pPr>
        <w:sectPr>
          <w:pgSz w:w="11900" w:h="16838" w:orient="portrait"/>
          <w:cols w:equalWidth="0" w:num="1">
            <w:col w:w="9359"/>
          </w:cols>
          <w:pgMar w:left="1100" w:top="962" w:right="1440" w:bottom="1440" w:gutter="0" w:footer="0" w:header="0"/>
        </w:sectPr>
      </w:pPr>
    </w:p>
    <w:bookmarkStart w:id="45" w:name="page46"/>
    <w:bookmarkEnd w:id="45"/>
    <w:p>
      <w:pPr>
        <w:jc w:val="both"/>
        <w:ind w:right="3839"/>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57395" cy="36830"/>
                    </a:xfrm>
                    <a:prstGeom prst="rect">
                      <a:avLst/>
                    </a:prstGeom>
                    <a:noFill/>
                  </pic:spPr>
                </pic:pic>
              </a:graphicData>
            </a:graphic>
          </wp:anchor>
        </w:drawing>
        <w:t>Withdrawal Charge waiver. Example 2B will illustrate a withdrawal when Interim Value, at the time of the withdrawal, is less than the Investment Amount on the Term Start Date and a 7% Withdrawal Charge is applied. In both examples, Owner 1 takes only one $20,000 withdrawal exactly halfway through the Term. The remaining Investment Amount after a withdrawal will be used as the new Investment Amount for the Term until the Term End Date for that Shield Option (assuming no additional withdrawals).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Example 2A—Interim Value is greater than Investment Amount and no Withdrawal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3504565" cy="2698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04565" cy="2698750"/>
                    </a:xfrm>
                    <a:prstGeom prst="rect">
                      <a:avLst/>
                    </a:prstGeom>
                    <a:noFill/>
                  </pic:spPr>
                </pic:pic>
              </a:graphicData>
            </a:graphic>
          </wp:anchor>
        </w:drawing>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Term Start Date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Borders>
              <w:top w:val="single" w:sz="8" w:color="auto"/>
              <w:bottom w:val="single" w:sz="8" w:color="auto"/>
            </w:tcBorders>
          </w:tcPr>
          <w:p>
            <w:pPr>
              <w:spacing w:after="0"/>
              <w:rPr>
                <w:sz w:val="15"/>
                <w:szCs w:val="15"/>
                <w:color w:val="auto"/>
              </w:rPr>
            </w:pPr>
          </w:p>
        </w:tc>
        <w:tc>
          <w:tcPr>
            <w:tcW w:w="428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Investment Amount</w:t>
            </w: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$50,000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Shield Rate</w:t>
            </w:r>
          </w:p>
        </w:tc>
        <w:tc>
          <w:tcPr>
            <w:tcW w:w="12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color w:val="auto"/>
              </w:rPr>
              <w:t>Shield 10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Cap Rate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Index Value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500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Interim Value Calculation Halfway Through Term</w:t>
            </w:r>
          </w:p>
        </w:tc>
        <w:tc>
          <w:tcPr>
            <w:tcW w:w="1220" w:type="dxa"/>
            <w:vAlign w:val="bottom"/>
            <w:tcBorders>
              <w:bottom w:val="single" w:sz="8" w:color="auto"/>
            </w:tcBorders>
          </w:tcPr>
          <w:p>
            <w:pPr>
              <w:spacing w:after="0"/>
              <w:rPr>
                <w:sz w:val="14"/>
                <w:szCs w:val="14"/>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Index Value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600</w:t>
            </w:r>
          </w:p>
        </w:tc>
      </w:tr>
      <w:tr>
        <w:trPr>
          <w:trHeight w:val="187"/>
        </w:trPr>
        <w:tc>
          <w:tcPr>
            <w:tcW w:w="20" w:type="dxa"/>
            <w:vAlign w:val="bottom"/>
            <w:tcBorders>
              <w:bottom w:val="single" w:sz="8" w:color="auto"/>
            </w:tcBorders>
          </w:tcPr>
          <w:p>
            <w:pPr>
              <w:spacing w:after="0"/>
              <w:rPr>
                <w:sz w:val="16"/>
                <w:szCs w:val="16"/>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Index Performance</w:t>
            </w:r>
            <w:r>
              <w:rPr>
                <w:rFonts w:ascii="Times New Roman" w:cs="Times New Roman" w:eastAsia="Times New Roman" w:hAnsi="Times New Roman"/>
                <w:sz w:val="15"/>
                <w:szCs w:val="15"/>
                <w:color w:val="auto"/>
                <w:vertAlign w:val="superscript"/>
              </w:rPr>
              <w:t>(1)</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r>
      <w:tr>
        <w:trPr>
          <w:trHeight w:val="160"/>
        </w:trPr>
        <w:tc>
          <w:tcPr>
            <w:tcW w:w="20" w:type="dxa"/>
            <w:vAlign w:val="bottom"/>
            <w:tcBorders>
              <w:bottom w:val="single" w:sz="8" w:color="auto"/>
            </w:tcBorders>
          </w:tcPr>
          <w:p>
            <w:pPr>
              <w:spacing w:after="0"/>
              <w:rPr>
                <w:sz w:val="13"/>
                <w:szCs w:val="13"/>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Time Remaining in Shield Option (in months)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Market Value Rate on calculation date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Market value of Fixed Income Asset Proxy</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$49,452.40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Market value of Derivative Asset Proxy</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$4,062.37</w:t>
            </w:r>
          </w:p>
        </w:tc>
      </w:tr>
      <w:tr>
        <w:trPr>
          <w:trHeight w:val="187"/>
        </w:trPr>
        <w:tc>
          <w:tcPr>
            <w:tcW w:w="20" w:type="dxa"/>
            <w:vAlign w:val="bottom"/>
            <w:tcBorders>
              <w:bottom w:val="single" w:sz="8" w:color="auto"/>
            </w:tcBorders>
          </w:tcPr>
          <w:p>
            <w:pPr>
              <w:spacing w:after="0"/>
              <w:rPr>
                <w:sz w:val="16"/>
                <w:szCs w:val="16"/>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Interim Value of Shield Option</w:t>
            </w:r>
            <w:r>
              <w:rPr>
                <w:rFonts w:ascii="Times New Roman" w:cs="Times New Roman" w:eastAsia="Times New Roman" w:hAnsi="Times New Roman"/>
                <w:sz w:val="15"/>
                <w:szCs w:val="15"/>
                <w:color w:val="auto"/>
                <w:vertAlign w:val="superscript"/>
              </w:rPr>
              <w:t>(2)</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$53,514.77</w:t>
            </w:r>
          </w:p>
        </w:tc>
      </w:tr>
      <w:tr>
        <w:trPr>
          <w:trHeight w:val="160"/>
        </w:trPr>
        <w:tc>
          <w:tcPr>
            <w:tcW w:w="20" w:type="dxa"/>
            <w:vAlign w:val="bottom"/>
            <w:tcBorders>
              <w:bottom w:val="single" w:sz="8" w:color="auto"/>
            </w:tcBorders>
          </w:tcPr>
          <w:p>
            <w:pPr>
              <w:spacing w:after="0"/>
              <w:rPr>
                <w:sz w:val="13"/>
                <w:szCs w:val="13"/>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Withdrawal Amount taken</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$20,000</w:t>
            </w:r>
          </w:p>
        </w:tc>
      </w:tr>
      <w:tr>
        <w:trPr>
          <w:trHeight w:val="187"/>
        </w:trPr>
        <w:tc>
          <w:tcPr>
            <w:tcW w:w="20" w:type="dxa"/>
            <w:vAlign w:val="bottom"/>
            <w:tcBorders>
              <w:bottom w:val="single" w:sz="8" w:color="auto"/>
            </w:tcBorders>
          </w:tcPr>
          <w:p>
            <w:pPr>
              <w:spacing w:after="0"/>
              <w:rPr>
                <w:sz w:val="16"/>
                <w:szCs w:val="16"/>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Investment Amount at Term Start Date adjusted for any withdrawals</w:t>
            </w:r>
            <w:r>
              <w:rPr>
                <w:rFonts w:ascii="Times New Roman" w:cs="Times New Roman" w:eastAsia="Times New Roman" w:hAnsi="Times New Roman"/>
                <w:sz w:val="15"/>
                <w:szCs w:val="15"/>
                <w:color w:val="auto"/>
                <w:vertAlign w:val="superscript"/>
              </w:rPr>
              <w:t>(3)</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$31,313.57</w:t>
            </w:r>
          </w:p>
        </w:tc>
      </w:tr>
      <w:tr>
        <w:trPr>
          <w:trHeight w:val="178"/>
        </w:trPr>
        <w:tc>
          <w:tcPr>
            <w:tcW w:w="20" w:type="dxa"/>
            <w:vAlign w:val="bottom"/>
            <w:tcBorders>
              <w:bottom w:val="single" w:sz="8" w:color="auto"/>
            </w:tcBorders>
          </w:tcPr>
          <w:p>
            <w:pPr>
              <w:spacing w:after="0"/>
              <w:rPr>
                <w:sz w:val="15"/>
                <w:szCs w:val="15"/>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Net Proceeds from withdrawal paid to Contract Owner</w:t>
            </w:r>
            <w:r>
              <w:rPr>
                <w:rFonts w:ascii="Times New Roman" w:cs="Times New Roman" w:eastAsia="Times New Roman" w:hAnsi="Times New Roman"/>
                <w:sz w:val="15"/>
                <w:szCs w:val="15"/>
                <w:color w:val="auto"/>
                <w:vertAlign w:val="superscript"/>
              </w:rPr>
              <w:t>(4)</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$20,000</w:t>
            </w:r>
          </w:p>
        </w:tc>
      </w:tr>
      <w:tr>
        <w:trPr>
          <w:trHeight w:val="160"/>
        </w:trPr>
        <w:tc>
          <w:tcPr>
            <w:tcW w:w="20" w:type="dxa"/>
            <w:vAlign w:val="bottom"/>
            <w:tcBorders>
              <w:bottom w:val="single" w:sz="8" w:color="auto"/>
            </w:tcBorders>
          </w:tcPr>
          <w:p>
            <w:pPr>
              <w:spacing w:after="0"/>
              <w:rPr>
                <w:sz w:val="13"/>
                <w:szCs w:val="13"/>
                <w:color w:val="auto"/>
              </w:rPr>
            </w:pPr>
          </w:p>
        </w:tc>
        <w:tc>
          <w:tcPr>
            <w:tcW w:w="4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Term End Date</w:t>
            </w:r>
          </w:p>
        </w:tc>
        <w:tc>
          <w:tcPr>
            <w:tcW w:w="1220" w:type="dxa"/>
            <w:vAlign w:val="bottom"/>
            <w:tcBorders>
              <w:bottom w:val="single" w:sz="8" w:color="auto"/>
            </w:tcBorders>
          </w:tcPr>
          <w:p>
            <w:pPr>
              <w:spacing w:after="0"/>
              <w:rPr>
                <w:sz w:val="13"/>
                <w:szCs w:val="13"/>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Index Value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560</w:t>
            </w:r>
          </w:p>
        </w:tc>
      </w:tr>
      <w:tr>
        <w:trPr>
          <w:trHeight w:val="187"/>
        </w:trPr>
        <w:tc>
          <w:tcPr>
            <w:tcW w:w="20" w:type="dxa"/>
            <w:vAlign w:val="bottom"/>
            <w:tcBorders>
              <w:bottom w:val="single" w:sz="8" w:color="auto"/>
            </w:tcBorders>
          </w:tcPr>
          <w:p>
            <w:pPr>
              <w:spacing w:after="0"/>
              <w:rPr>
                <w:sz w:val="16"/>
                <w:szCs w:val="16"/>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Index Performance</w:t>
            </w:r>
            <w:r>
              <w:rPr>
                <w:rFonts w:ascii="Times New Roman" w:cs="Times New Roman" w:eastAsia="Times New Roman" w:hAnsi="Times New Roman"/>
                <w:sz w:val="15"/>
                <w:szCs w:val="15"/>
                <w:color w:val="auto"/>
                <w:vertAlign w:val="superscript"/>
              </w:rPr>
              <w:t>(5)</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r>
      <w:tr>
        <w:trPr>
          <w:trHeight w:val="178"/>
        </w:trPr>
        <w:tc>
          <w:tcPr>
            <w:tcW w:w="20" w:type="dxa"/>
            <w:vAlign w:val="bottom"/>
            <w:tcBorders>
              <w:bottom w:val="single" w:sz="8" w:color="auto"/>
            </w:tcBorders>
          </w:tcPr>
          <w:p>
            <w:pPr>
              <w:spacing w:after="0"/>
              <w:rPr>
                <w:sz w:val="15"/>
                <w:szCs w:val="15"/>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Performance Rate</w:t>
            </w:r>
            <w:r>
              <w:rPr>
                <w:rFonts w:ascii="Times New Roman" w:cs="Times New Roman" w:eastAsia="Times New Roman" w:hAnsi="Times New Roman"/>
                <w:sz w:val="15"/>
                <w:szCs w:val="15"/>
                <w:color w:val="auto"/>
                <w:vertAlign w:val="superscript"/>
              </w:rPr>
              <w:t>(6)</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r>
      <w:tr>
        <w:trPr>
          <w:trHeight w:val="178"/>
        </w:trPr>
        <w:tc>
          <w:tcPr>
            <w:tcW w:w="20" w:type="dxa"/>
            <w:vAlign w:val="bottom"/>
            <w:tcBorders>
              <w:bottom w:val="single" w:sz="8" w:color="auto"/>
            </w:tcBorders>
          </w:tcPr>
          <w:p>
            <w:pPr>
              <w:spacing w:after="0"/>
              <w:rPr>
                <w:sz w:val="15"/>
                <w:szCs w:val="15"/>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Performance Rate Adjustment</w:t>
            </w:r>
            <w:r>
              <w:rPr>
                <w:rFonts w:ascii="Times New Roman" w:cs="Times New Roman" w:eastAsia="Times New Roman" w:hAnsi="Times New Roman"/>
                <w:sz w:val="15"/>
                <w:szCs w:val="15"/>
                <w:color w:val="auto"/>
                <w:vertAlign w:val="superscript"/>
              </w:rPr>
              <w:t>(7)</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$3,131.36</w:t>
            </w:r>
          </w:p>
        </w:tc>
      </w:tr>
      <w:tr>
        <w:trPr>
          <w:trHeight w:val="164"/>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line="164" w:lineRule="exact"/>
              <w:rPr>
                <w:sz w:val="20"/>
                <w:szCs w:val="20"/>
                <w:color w:val="auto"/>
              </w:rPr>
            </w:pPr>
            <w:r>
              <w:rPr>
                <w:rFonts w:ascii="Times New Roman" w:cs="Times New Roman" w:eastAsia="Times New Roman" w:hAnsi="Times New Roman"/>
                <w:sz w:val="12"/>
                <w:szCs w:val="12"/>
                <w:color w:val="auto"/>
              </w:rPr>
              <w:t>Investment Amount</w:t>
            </w:r>
            <w:r>
              <w:rPr>
                <w:rFonts w:ascii="Times New Roman" w:cs="Times New Roman" w:eastAsia="Times New Roman" w:hAnsi="Times New Roman"/>
                <w:sz w:val="15"/>
                <w:szCs w:val="15"/>
                <w:color w:val="auto"/>
                <w:vertAlign w:val="superscript"/>
              </w:rPr>
              <w:t>(8)</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$34,444.93</w:t>
            </w:r>
          </w:p>
        </w:tc>
      </w:tr>
      <w:tr>
        <w:trPr>
          <w:trHeight w:val="118"/>
        </w:trPr>
        <w:tc>
          <w:tcPr>
            <w:tcW w:w="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3560" w:type="dxa"/>
            <w:vAlign w:val="bottom"/>
          </w:tcPr>
          <w:p>
            <w:pPr>
              <w:spacing w:after="0"/>
              <w:rPr>
                <w:sz w:val="10"/>
                <w:szCs w:val="10"/>
                <w:color w:val="auto"/>
              </w:rPr>
            </w:pPr>
          </w:p>
        </w:tc>
        <w:tc>
          <w:tcPr>
            <w:tcW w:w="12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-29210</wp:posOffset>
            </wp:positionV>
            <wp:extent cx="3111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111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b w:val="1"/>
          <w:bCs w:val="1"/>
          <w:color w:val="auto"/>
        </w:rPr>
        <w:t>The following notes to the table above provide important calculations showing how certain values are determined.</w:t>
      </w:r>
    </w:p>
    <w:p>
      <w:pPr>
        <w:spacing w:after="0" w:line="197" w:lineRule="auto"/>
        <w:rPr>
          <w:sz w:val="20"/>
          <w:szCs w:val="20"/>
          <w:color w:val="auto"/>
        </w:rPr>
      </w:pPr>
      <w:r>
        <w:rPr>
          <w:rFonts w:ascii="Times New Roman" w:cs="Times New Roman" w:eastAsia="Times New Roman" w:hAnsi="Times New Roman"/>
          <w:sz w:val="6"/>
          <w:szCs w:val="6"/>
          <w:color w:val="auto"/>
        </w:rPr>
        <w:t>(1)</w:t>
      </w:r>
    </w:p>
    <w:p>
      <w:pPr>
        <w:ind w:left="240" w:right="3919"/>
        <w:spacing w:after="0" w:line="233" w:lineRule="auto"/>
        <w:rPr>
          <w:sz w:val="20"/>
          <w:szCs w:val="20"/>
          <w:color w:val="auto"/>
        </w:rPr>
      </w:pPr>
      <w:r>
        <w:rPr>
          <w:rFonts w:ascii="Times New Roman" w:cs="Times New Roman" w:eastAsia="Times New Roman" w:hAnsi="Times New Roman"/>
          <w:sz w:val="12"/>
          <w:szCs w:val="12"/>
          <w:color w:val="auto"/>
        </w:rPr>
        <w:t>Index Performance is equal to the percentage change in the Index Value measured from the Term Start Date to the date of the Interim Value calculation. Index Performance is calculated as follows:</w:t>
      </w:r>
    </w:p>
    <w:p>
      <w:pPr>
        <w:spacing w:after="0" w:line="35" w:lineRule="exact"/>
        <w:rPr>
          <w:sz w:val="20"/>
          <w:szCs w:val="20"/>
          <w:color w:val="auto"/>
        </w:rPr>
      </w:pPr>
    </w:p>
    <w:p>
      <w:pPr>
        <w:jc w:val="center"/>
        <w:ind w:right="3879"/>
        <w:spacing w:after="0"/>
        <w:rPr>
          <w:sz w:val="20"/>
          <w:szCs w:val="20"/>
          <w:color w:val="auto"/>
        </w:rPr>
      </w:pPr>
      <w:r>
        <w:rPr>
          <w:rFonts w:ascii="Times New Roman" w:cs="Times New Roman" w:eastAsia="Times New Roman" w:hAnsi="Times New Roman"/>
          <w:sz w:val="12"/>
          <w:szCs w:val="12"/>
          <w:color w:val="auto"/>
        </w:rPr>
        <w:t>(600 [Index Value on date of Interim Value calculation] – 500 [Index Value at Term Start Date])</w:t>
      </w:r>
    </w:p>
    <w:p>
      <w:pPr>
        <w:spacing w:after="0" w:line="7"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color w:val="auto"/>
        </w:rPr>
        <w:t>÷ 500 [Index Value at Term Start Date]) = 20%</w:t>
      </w:r>
    </w:p>
    <w:p>
      <w:pPr>
        <w:spacing w:after="0" w:line="181" w:lineRule="auto"/>
        <w:rPr>
          <w:sz w:val="20"/>
          <w:szCs w:val="20"/>
          <w:color w:val="auto"/>
        </w:rPr>
      </w:pPr>
      <w:r>
        <w:rPr>
          <w:rFonts w:ascii="Times New Roman" w:cs="Times New Roman" w:eastAsia="Times New Roman" w:hAnsi="Times New Roman"/>
          <w:sz w:val="5"/>
          <w:szCs w:val="5"/>
          <w:color w:val="auto"/>
        </w:rPr>
        <w:t>(2)</w:t>
      </w:r>
    </w:p>
    <w:p>
      <w:pPr>
        <w:ind w:left="240"/>
        <w:spacing w:after="0" w:line="237" w:lineRule="auto"/>
        <w:rPr>
          <w:sz w:val="20"/>
          <w:szCs w:val="20"/>
          <w:color w:val="auto"/>
        </w:rPr>
      </w:pPr>
      <w:r>
        <w:rPr>
          <w:rFonts w:ascii="Times New Roman" w:cs="Times New Roman" w:eastAsia="Times New Roman" w:hAnsi="Times New Roman"/>
          <w:sz w:val="12"/>
          <w:szCs w:val="12"/>
          <w:color w:val="auto"/>
        </w:rPr>
        <w:t>For examples demonstrating the calculation of the Interim Value, see the SAI.</w:t>
      </w:r>
    </w:p>
    <w:p>
      <w:pPr>
        <w:spacing w:after="0" w:line="183" w:lineRule="auto"/>
        <w:rPr>
          <w:sz w:val="20"/>
          <w:szCs w:val="20"/>
          <w:color w:val="auto"/>
        </w:rPr>
      </w:pPr>
      <w:r>
        <w:rPr>
          <w:rFonts w:ascii="Times New Roman" w:cs="Times New Roman" w:eastAsia="Times New Roman" w:hAnsi="Times New Roman"/>
          <w:sz w:val="5"/>
          <w:szCs w:val="5"/>
          <w:color w:val="auto"/>
        </w:rPr>
        <w:t>(3)</w:t>
      </w:r>
    </w:p>
    <w:p>
      <w:pPr>
        <w:ind w:left="240"/>
        <w:spacing w:after="0" w:line="234" w:lineRule="auto"/>
        <w:rPr>
          <w:sz w:val="20"/>
          <w:szCs w:val="20"/>
          <w:color w:val="auto"/>
        </w:rPr>
      </w:pPr>
      <w:r>
        <w:rPr>
          <w:rFonts w:ascii="Times New Roman" w:cs="Times New Roman" w:eastAsia="Times New Roman" w:hAnsi="Times New Roman"/>
          <w:sz w:val="12"/>
          <w:szCs w:val="12"/>
          <w:color w:val="auto"/>
        </w:rPr>
        <w:t>The Investment Amount is reduced proportionally by the withdrawal taken based on the reduction in</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Interim Value. Therefore, the Investment Amount adjusted for any withdrawals is calculated as follows:</w:t>
      </w:r>
    </w:p>
    <w:p>
      <w:pPr>
        <w:spacing w:after="0" w:line="39" w:lineRule="exact"/>
        <w:rPr>
          <w:sz w:val="20"/>
          <w:szCs w:val="20"/>
          <w:color w:val="auto"/>
        </w:rPr>
      </w:pPr>
    </w:p>
    <w:p>
      <w:pPr>
        <w:jc w:val="center"/>
        <w:ind w:right="3879"/>
        <w:spacing w:after="0"/>
        <w:rPr>
          <w:sz w:val="20"/>
          <w:szCs w:val="20"/>
          <w:color w:val="auto"/>
        </w:rPr>
      </w:pPr>
      <w:r>
        <w:rPr>
          <w:rFonts w:ascii="Times New Roman" w:cs="Times New Roman" w:eastAsia="Times New Roman" w:hAnsi="Times New Roman"/>
          <w:sz w:val="12"/>
          <w:szCs w:val="12"/>
          <w:color w:val="auto"/>
        </w:rPr>
        <w:t>$50,000 [Investment Amount on Term Start Date]</w:t>
      </w:r>
    </w:p>
    <w:p>
      <w:pPr>
        <w:jc w:val="center"/>
        <w:ind w:right="3839"/>
        <w:spacing w:after="0"/>
        <w:rPr>
          <w:sz w:val="20"/>
          <w:szCs w:val="20"/>
          <w:color w:val="auto"/>
        </w:rPr>
      </w:pPr>
      <w:r>
        <w:rPr>
          <w:rFonts w:ascii="Times New Roman" w:cs="Times New Roman" w:eastAsia="Times New Roman" w:hAnsi="Times New Roman"/>
          <w:sz w:val="12"/>
          <w:szCs w:val="12"/>
          <w:color w:val="auto"/>
        </w:rPr>
        <w:t>x (1-$20,000 [gross withdrawal amount halfway through the Term] ÷ $53,514.77 [Interim Value on date of</w:t>
      </w:r>
    </w:p>
    <w:p>
      <w:pPr>
        <w:ind w:left="2440"/>
        <w:spacing w:after="0" w:line="229" w:lineRule="auto"/>
        <w:rPr>
          <w:sz w:val="20"/>
          <w:szCs w:val="20"/>
          <w:color w:val="auto"/>
        </w:rPr>
      </w:pPr>
      <w:r>
        <w:rPr>
          <w:rFonts w:ascii="Times New Roman" w:cs="Times New Roman" w:eastAsia="Times New Roman" w:hAnsi="Times New Roman"/>
          <w:sz w:val="12"/>
          <w:szCs w:val="12"/>
          <w:color w:val="auto"/>
        </w:rPr>
        <w:t>withdrawal])</w:t>
      </w:r>
    </w:p>
    <w:p>
      <w:pPr>
        <w:ind w:left="2440"/>
        <w:spacing w:after="0"/>
        <w:rPr>
          <w:sz w:val="20"/>
          <w:szCs w:val="20"/>
          <w:color w:val="auto"/>
        </w:rPr>
      </w:pPr>
      <w:r>
        <w:rPr>
          <w:rFonts w:ascii="Times New Roman" w:cs="Times New Roman" w:eastAsia="Times New Roman" w:hAnsi="Times New Roman"/>
          <w:sz w:val="12"/>
          <w:szCs w:val="12"/>
          <w:color w:val="auto"/>
        </w:rPr>
        <w:t>= $31,313.57</w:t>
      </w:r>
    </w:p>
    <w:p>
      <w:pPr>
        <w:spacing w:after="0" w:line="30" w:lineRule="exact"/>
        <w:rPr>
          <w:sz w:val="20"/>
          <w:szCs w:val="20"/>
          <w:color w:val="auto"/>
        </w:rPr>
      </w:pPr>
    </w:p>
    <w:p>
      <w:pPr>
        <w:ind w:right="3859"/>
        <w:spacing w:after="0" w:line="246" w:lineRule="auto"/>
        <w:rPr>
          <w:sz w:val="20"/>
          <w:szCs w:val="20"/>
          <w:color w:val="auto"/>
        </w:rPr>
      </w:pPr>
      <w:r>
        <w:rPr>
          <w:rFonts w:ascii="Times New Roman" w:cs="Times New Roman" w:eastAsia="Times New Roman" w:hAnsi="Times New Roman"/>
          <w:sz w:val="12"/>
          <w:szCs w:val="12"/>
          <w:color w:val="auto"/>
        </w:rPr>
        <w:t>The proportionally reduced Investment Amount is used as the new Investment Amount at Term Start Date for the Term until the Term End Date for this Shield Option (assuming no additional withdrawals).</w:t>
      </w:r>
    </w:p>
    <w:p>
      <w:pPr>
        <w:spacing w:after="0" w:line="184" w:lineRule="auto"/>
        <w:rPr>
          <w:sz w:val="20"/>
          <w:szCs w:val="20"/>
          <w:color w:val="auto"/>
        </w:rPr>
      </w:pPr>
      <w:r>
        <w:rPr>
          <w:rFonts w:ascii="Times New Roman" w:cs="Times New Roman" w:eastAsia="Times New Roman" w:hAnsi="Times New Roman"/>
          <w:sz w:val="5"/>
          <w:szCs w:val="5"/>
          <w:color w:val="auto"/>
        </w:rPr>
        <w:t>(4)</w:t>
      </w:r>
    </w:p>
    <w:p>
      <w:pPr>
        <w:ind w:left="240" w:right="3899"/>
        <w:spacing w:after="0" w:line="243" w:lineRule="auto"/>
        <w:rPr>
          <w:sz w:val="20"/>
          <w:szCs w:val="20"/>
          <w:color w:val="auto"/>
        </w:rPr>
      </w:pPr>
      <w:r>
        <w:rPr>
          <w:rFonts w:ascii="Times New Roman" w:cs="Times New Roman" w:eastAsia="Times New Roman" w:hAnsi="Times New Roman"/>
          <w:sz w:val="12"/>
          <w:szCs w:val="12"/>
          <w:color w:val="auto"/>
        </w:rPr>
        <w:t>The net amount payable to the Contract Owner is equal to the amount withdrawn minus the Withdrawal Charge. The net amount payable is calculated as follows:</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$20,000 [amount withdrawn] – $0 [Withdrawal Charge] = $20,000.</w:t>
      </w:r>
    </w:p>
    <w:p>
      <w:pPr>
        <w:spacing w:after="0" w:line="200" w:lineRule="exact"/>
        <w:rPr>
          <w:sz w:val="20"/>
          <w:szCs w:val="20"/>
          <w:color w:val="auto"/>
        </w:rPr>
      </w:pPr>
    </w:p>
    <w:p>
      <w:pPr>
        <w:spacing w:after="0" w:line="24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45</w:t>
      </w:r>
    </w:p>
    <w:p>
      <w:pPr>
        <w:sectPr>
          <w:pgSz w:w="11900" w:h="16838" w:orient="portrait"/>
          <w:cols w:equalWidth="0" w:num="1">
            <w:col w:w="9359"/>
          </w:cols>
          <w:pgMar w:left="1100" w:top="96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8"/>
          <w:szCs w:val="8"/>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57395" cy="36830"/>
                    </a:xfrm>
                    <a:prstGeom prst="rect">
                      <a:avLst/>
                    </a:prstGeom>
                    <a:noFill/>
                  </pic:spPr>
                </pic:pic>
              </a:graphicData>
            </a:graphic>
          </wp:anchor>
        </w:drawing>
        <w:t>(5)</w:t>
      </w:r>
    </w:p>
    <w:p>
      <w:pPr>
        <w:ind w:left="240"/>
        <w:spacing w:after="0" w:line="234" w:lineRule="auto"/>
        <w:rPr>
          <w:sz w:val="20"/>
          <w:szCs w:val="20"/>
          <w:color w:val="auto"/>
        </w:rPr>
      </w:pPr>
      <w:r>
        <w:rPr>
          <w:rFonts w:ascii="Times New Roman" w:cs="Times New Roman" w:eastAsia="Times New Roman" w:hAnsi="Times New Roman"/>
          <w:sz w:val="12"/>
          <w:szCs w:val="12"/>
          <w:color w:val="auto"/>
        </w:rPr>
        <w:t>Index Performance at the Term End Date is equal to the percentage change in the Index Value measured</w:t>
      </w:r>
    </w:p>
    <w:p>
      <w:pPr>
        <w:ind w:left="240" w:right="3899"/>
        <w:spacing w:after="0" w:line="233" w:lineRule="auto"/>
        <w:rPr>
          <w:sz w:val="20"/>
          <w:szCs w:val="20"/>
          <w:color w:val="auto"/>
        </w:rPr>
      </w:pPr>
      <w:r>
        <w:rPr>
          <w:rFonts w:ascii="Times New Roman" w:cs="Times New Roman" w:eastAsia="Times New Roman" w:hAnsi="Times New Roman"/>
          <w:sz w:val="12"/>
          <w:szCs w:val="12"/>
          <w:color w:val="auto"/>
        </w:rPr>
        <w:t>from the Term Start Date to the Term End Date. Index Performance at the Term End Date is calculated as follows:</w:t>
      </w:r>
    </w:p>
    <w:p>
      <w:pPr>
        <w:spacing w:after="0" w:line="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color w:val="auto"/>
        </w:rPr>
        <w:t>(560 [Index Value at Term End Date] – 500 [Index Value at Term Start Date])</w:t>
      </w:r>
    </w:p>
    <w:p>
      <w:pPr>
        <w:spacing w:after="0" w:line="9" w:lineRule="exact"/>
        <w:rPr>
          <w:sz w:val="20"/>
          <w:szCs w:val="20"/>
          <w:color w:val="auto"/>
        </w:rPr>
      </w:pPr>
    </w:p>
    <w:p>
      <w:pPr>
        <w:ind w:left="1740" w:hanging="88"/>
        <w:spacing w:after="0"/>
        <w:tabs>
          <w:tab w:leader="none" w:pos="1740" w:val="left"/>
        </w:tabs>
        <w:numPr>
          <w:ilvl w:val="1"/>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500 [Index Value at Term Start Date] = 12%</w:t>
      </w:r>
    </w:p>
    <w:p>
      <w:pPr>
        <w:spacing w:after="0" w:line="30" w:lineRule="exact"/>
        <w:rPr>
          <w:rFonts w:ascii="Times New Roman" w:cs="Times New Roman" w:eastAsia="Times New Roman" w:hAnsi="Times New Roman"/>
          <w:sz w:val="12"/>
          <w:szCs w:val="12"/>
          <w:color w:val="auto"/>
        </w:rPr>
      </w:pPr>
    </w:p>
    <w:p>
      <w:pPr>
        <w:ind w:left="240" w:right="3919" w:hanging="232"/>
        <w:spacing w:after="0" w:line="216" w:lineRule="auto"/>
        <w:tabs>
          <w:tab w:leader="none" w:pos="240" w:val="left"/>
        </w:tabs>
        <w:numPr>
          <w:ilvl w:val="0"/>
          <w:numId w:val="3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Index Performance at the Term End Date exceeds the Cap Rate and therefore the Performance Rate at the Term End Date is equal to the Cap Rate.</w:t>
      </w:r>
    </w:p>
    <w:p>
      <w:pPr>
        <w:spacing w:after="0" w:line="192" w:lineRule="auto"/>
        <w:rPr>
          <w:sz w:val="20"/>
          <w:szCs w:val="20"/>
          <w:color w:val="auto"/>
        </w:rPr>
      </w:pPr>
      <w:r>
        <w:rPr>
          <w:rFonts w:ascii="Times New Roman" w:cs="Times New Roman" w:eastAsia="Times New Roman" w:hAnsi="Times New Roman"/>
          <w:sz w:val="5"/>
          <w:szCs w:val="5"/>
          <w:color w:val="auto"/>
        </w:rPr>
        <w:t>(7)</w:t>
      </w:r>
    </w:p>
    <w:p>
      <w:pPr>
        <w:ind w:left="240" w:right="3899"/>
        <w:spacing w:after="0" w:line="226" w:lineRule="auto"/>
        <w:rPr>
          <w:sz w:val="20"/>
          <w:szCs w:val="20"/>
          <w:color w:val="auto"/>
        </w:rPr>
      </w:pPr>
      <w:r>
        <w:rPr>
          <w:rFonts w:ascii="Times New Roman" w:cs="Times New Roman" w:eastAsia="Times New Roman" w:hAnsi="Times New Roman"/>
          <w:sz w:val="12"/>
          <w:szCs w:val="12"/>
          <w:color w:val="auto"/>
        </w:rPr>
        <w:t>The Performance Rate Adjustment at the Term End Date is equal to the Investment Amount at the Term Start Date adjusted for any withdrawals multiplied by the Performance Rate at the Term End Date. The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Performance Rate Adjustment at the Term End Date is calculated as follows:</w:t>
      </w:r>
    </w:p>
    <w:p>
      <w:pPr>
        <w:spacing w:after="0" w:line="39"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color w:val="auto"/>
        </w:rPr>
        <w:t>$31,313.57 [Investment Amount adjusted for withdrawal] x 10% [Performance Rate at Term End Date] =</w:t>
      </w:r>
    </w:p>
    <w:p>
      <w:pPr>
        <w:jc w:val="center"/>
        <w:ind w:right="3839"/>
        <w:spacing w:after="0"/>
        <w:rPr>
          <w:sz w:val="20"/>
          <w:szCs w:val="20"/>
          <w:color w:val="auto"/>
        </w:rPr>
      </w:pPr>
      <w:r>
        <w:rPr>
          <w:rFonts w:ascii="Times New Roman" w:cs="Times New Roman" w:eastAsia="Times New Roman" w:hAnsi="Times New Roman"/>
          <w:sz w:val="12"/>
          <w:szCs w:val="12"/>
          <w:color w:val="auto"/>
        </w:rPr>
        <w:t>$3,131.36</w:t>
      </w:r>
    </w:p>
    <w:p>
      <w:pPr>
        <w:spacing w:after="0" w:line="212" w:lineRule="auto"/>
        <w:rPr>
          <w:sz w:val="20"/>
          <w:szCs w:val="20"/>
          <w:color w:val="auto"/>
        </w:rPr>
      </w:pPr>
      <w:r>
        <w:rPr>
          <w:rFonts w:ascii="Times New Roman" w:cs="Times New Roman" w:eastAsia="Times New Roman" w:hAnsi="Times New Roman"/>
          <w:sz w:val="5"/>
          <w:szCs w:val="5"/>
          <w:color w:val="auto"/>
        </w:rPr>
        <w:t>(8)</w:t>
      </w:r>
    </w:p>
    <w:p>
      <w:pPr>
        <w:ind w:left="240"/>
        <w:spacing w:after="0" w:line="235" w:lineRule="auto"/>
        <w:rPr>
          <w:sz w:val="20"/>
          <w:szCs w:val="20"/>
          <w:color w:val="auto"/>
        </w:rPr>
      </w:pPr>
      <w:r>
        <w:rPr>
          <w:rFonts w:ascii="Times New Roman" w:cs="Times New Roman" w:eastAsia="Times New Roman" w:hAnsi="Times New Roman"/>
          <w:sz w:val="12"/>
          <w:szCs w:val="12"/>
          <w:color w:val="auto"/>
        </w:rPr>
        <w:t>The Investment Amount at the Term End Date is equal to the Investment Amount one year after the Term</w:t>
      </w:r>
    </w:p>
    <w:p>
      <w:pPr>
        <w:ind w:left="240" w:right="3899"/>
        <w:spacing w:after="0" w:line="233" w:lineRule="auto"/>
        <w:rPr>
          <w:sz w:val="20"/>
          <w:szCs w:val="20"/>
          <w:color w:val="auto"/>
        </w:rPr>
      </w:pPr>
      <w:r>
        <w:rPr>
          <w:rFonts w:ascii="Times New Roman" w:cs="Times New Roman" w:eastAsia="Times New Roman" w:hAnsi="Times New Roman"/>
          <w:sz w:val="12"/>
          <w:szCs w:val="12"/>
          <w:color w:val="auto"/>
        </w:rPr>
        <w:t>Start Date adjusted for any withdrawals plus the Performance Rate Adjustment at Term End Date. The Investment Amount at the Term End Date is calculated as follows:</w:t>
      </w:r>
    </w:p>
    <w:p>
      <w:pPr>
        <w:spacing w:after="0" w:line="4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2"/>
          <w:szCs w:val="12"/>
          <w:color w:val="auto"/>
        </w:rPr>
        <w:t>$31,313.57 [Investment Amount adjusted for withdrawal]</w:t>
      </w:r>
    </w:p>
    <w:p>
      <w:pPr>
        <w:ind w:right="4759" w:firstLine="920"/>
        <w:spacing w:after="0" w:line="471" w:lineRule="auto"/>
        <w:tabs>
          <w:tab w:leader="none" w:pos="1009"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$3,131.36 [Performance Rate Adjustment at Term End Date] = $34,444.93 </w:t>
      </w:r>
      <w:r>
        <w:rPr>
          <w:rFonts w:ascii="Times New Roman" w:cs="Times New Roman" w:eastAsia="Times New Roman" w:hAnsi="Times New Roman"/>
          <w:sz w:val="11"/>
          <w:szCs w:val="11"/>
          <w:u w:val="single" w:color="auto"/>
          <w:color w:val="auto"/>
        </w:rPr>
        <w:t>Example 2B—Interim Value is less than the Investment Amount and Withdrawal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3504565" cy="2950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04565" cy="295021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2"/>
          <w:szCs w:val="12"/>
          <w:b w:val="1"/>
          <w:bCs w:val="1"/>
          <w:color w:val="auto"/>
        </w:rPr>
        <w:t>Term Start Date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Borders>
              <w:top w:val="single" w:sz="8" w:color="auto"/>
              <w:bottom w:val="single" w:sz="8" w:color="auto"/>
            </w:tcBorders>
          </w:tcPr>
          <w:p>
            <w:pPr>
              <w:spacing w:after="0"/>
              <w:rPr>
                <w:sz w:val="15"/>
                <w:szCs w:val="15"/>
                <w:color w:val="auto"/>
              </w:rPr>
            </w:pPr>
          </w:p>
        </w:tc>
        <w:tc>
          <w:tcPr>
            <w:tcW w:w="428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Investment Amount</w:t>
            </w: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$50,000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Shield Rate</w:t>
            </w:r>
          </w:p>
        </w:tc>
        <w:tc>
          <w:tcPr>
            <w:tcW w:w="12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color w:val="auto"/>
              </w:rPr>
              <w:t>Shield 10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Cap Rate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Index Value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500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Interim Value Calculation Halfway Through Term</w:t>
            </w:r>
          </w:p>
        </w:tc>
        <w:tc>
          <w:tcPr>
            <w:tcW w:w="1220" w:type="dxa"/>
            <w:vAlign w:val="bottom"/>
            <w:tcBorders>
              <w:bottom w:val="single" w:sz="8" w:color="auto"/>
            </w:tcBorders>
          </w:tcPr>
          <w:p>
            <w:pPr>
              <w:spacing w:after="0"/>
              <w:rPr>
                <w:sz w:val="14"/>
                <w:szCs w:val="14"/>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Index Value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400</w:t>
            </w:r>
          </w:p>
        </w:tc>
      </w:tr>
      <w:tr>
        <w:trPr>
          <w:trHeight w:val="187"/>
        </w:trPr>
        <w:tc>
          <w:tcPr>
            <w:tcW w:w="20" w:type="dxa"/>
            <w:vAlign w:val="bottom"/>
            <w:tcBorders>
              <w:bottom w:val="single" w:sz="8" w:color="auto"/>
            </w:tcBorders>
          </w:tcPr>
          <w:p>
            <w:pPr>
              <w:spacing w:after="0"/>
              <w:rPr>
                <w:sz w:val="16"/>
                <w:szCs w:val="16"/>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Index Performance</w:t>
            </w:r>
            <w:r>
              <w:rPr>
                <w:rFonts w:ascii="Times New Roman" w:cs="Times New Roman" w:eastAsia="Times New Roman" w:hAnsi="Times New Roman"/>
                <w:sz w:val="15"/>
                <w:szCs w:val="15"/>
                <w:color w:val="auto"/>
                <w:vertAlign w:val="superscript"/>
              </w:rPr>
              <w:t>(1)</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r>
      <w:tr>
        <w:trPr>
          <w:trHeight w:val="160"/>
        </w:trPr>
        <w:tc>
          <w:tcPr>
            <w:tcW w:w="20" w:type="dxa"/>
            <w:vAlign w:val="bottom"/>
            <w:tcBorders>
              <w:bottom w:val="single" w:sz="8" w:color="auto"/>
            </w:tcBorders>
          </w:tcPr>
          <w:p>
            <w:pPr>
              <w:spacing w:after="0"/>
              <w:rPr>
                <w:sz w:val="13"/>
                <w:szCs w:val="13"/>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Time Remaining in Shield Option (in months)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Market Value Rate on calculation date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Market value of Fixed Income Asset Proxy</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$49,452.40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Market value of Derivative Asset Proxy</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–$4,661.31</w:t>
            </w:r>
          </w:p>
        </w:tc>
      </w:tr>
      <w:tr>
        <w:trPr>
          <w:trHeight w:val="187"/>
        </w:trPr>
        <w:tc>
          <w:tcPr>
            <w:tcW w:w="20" w:type="dxa"/>
            <w:vAlign w:val="bottom"/>
            <w:tcBorders>
              <w:bottom w:val="single" w:sz="8" w:color="auto"/>
            </w:tcBorders>
          </w:tcPr>
          <w:p>
            <w:pPr>
              <w:spacing w:after="0"/>
              <w:rPr>
                <w:sz w:val="16"/>
                <w:szCs w:val="16"/>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Interim Value of Shield Option</w:t>
            </w:r>
            <w:r>
              <w:rPr>
                <w:rFonts w:ascii="Times New Roman" w:cs="Times New Roman" w:eastAsia="Times New Roman" w:hAnsi="Times New Roman"/>
                <w:sz w:val="15"/>
                <w:szCs w:val="15"/>
                <w:color w:val="auto"/>
                <w:vertAlign w:val="superscript"/>
              </w:rPr>
              <w:t>(2)</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$44,791.09</w:t>
            </w:r>
          </w:p>
        </w:tc>
      </w:tr>
      <w:tr>
        <w:trPr>
          <w:trHeight w:val="160"/>
        </w:trPr>
        <w:tc>
          <w:tcPr>
            <w:tcW w:w="20" w:type="dxa"/>
            <w:vAlign w:val="bottom"/>
            <w:tcBorders>
              <w:bottom w:val="single" w:sz="8" w:color="auto"/>
            </w:tcBorders>
          </w:tcPr>
          <w:p>
            <w:pPr>
              <w:spacing w:after="0"/>
              <w:rPr>
                <w:sz w:val="13"/>
                <w:szCs w:val="13"/>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Withdrawal Amount taken</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$20,000</w:t>
            </w:r>
          </w:p>
        </w:tc>
      </w:tr>
      <w:tr>
        <w:trPr>
          <w:trHeight w:val="187"/>
        </w:trPr>
        <w:tc>
          <w:tcPr>
            <w:tcW w:w="20" w:type="dxa"/>
            <w:vAlign w:val="bottom"/>
            <w:tcBorders>
              <w:bottom w:val="single" w:sz="8" w:color="auto"/>
            </w:tcBorders>
          </w:tcPr>
          <w:p>
            <w:pPr>
              <w:spacing w:after="0"/>
              <w:rPr>
                <w:sz w:val="16"/>
                <w:szCs w:val="16"/>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Investment Amount adjusted for any withdrawals</w:t>
            </w:r>
            <w:r>
              <w:rPr>
                <w:rFonts w:ascii="Times New Roman" w:cs="Times New Roman" w:eastAsia="Times New Roman" w:hAnsi="Times New Roman"/>
                <w:sz w:val="15"/>
                <w:szCs w:val="15"/>
                <w:color w:val="auto"/>
                <w:vertAlign w:val="superscript"/>
              </w:rPr>
              <w:t>(3)</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$27,674.13</w:t>
            </w:r>
          </w:p>
        </w:tc>
      </w:tr>
      <w:tr>
        <w:trPr>
          <w:trHeight w:val="178"/>
        </w:trPr>
        <w:tc>
          <w:tcPr>
            <w:tcW w:w="20" w:type="dxa"/>
            <w:vAlign w:val="bottom"/>
            <w:tcBorders>
              <w:bottom w:val="single" w:sz="8" w:color="auto"/>
            </w:tcBorders>
          </w:tcPr>
          <w:p>
            <w:pPr>
              <w:spacing w:after="0"/>
              <w:rPr>
                <w:sz w:val="15"/>
                <w:szCs w:val="15"/>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Free Withdrawal Amount</w:t>
            </w:r>
            <w:r>
              <w:rPr>
                <w:rFonts w:ascii="Times New Roman" w:cs="Times New Roman" w:eastAsia="Times New Roman" w:hAnsi="Times New Roman"/>
                <w:sz w:val="15"/>
                <w:szCs w:val="15"/>
                <w:color w:val="auto"/>
                <w:vertAlign w:val="superscript"/>
              </w:rPr>
              <w:t>(4)</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$5,000</w:t>
            </w:r>
          </w:p>
        </w:tc>
      </w:tr>
      <w:tr>
        <w:trPr>
          <w:trHeight w:val="178"/>
        </w:trPr>
        <w:tc>
          <w:tcPr>
            <w:tcW w:w="20" w:type="dxa"/>
            <w:vAlign w:val="bottom"/>
            <w:tcBorders>
              <w:bottom w:val="single" w:sz="8" w:color="auto"/>
            </w:tcBorders>
          </w:tcPr>
          <w:p>
            <w:pPr>
              <w:spacing w:after="0"/>
              <w:rPr>
                <w:sz w:val="15"/>
                <w:szCs w:val="15"/>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Withdrawal Charge Amount</w:t>
            </w:r>
            <w:r>
              <w:rPr>
                <w:rFonts w:ascii="Times New Roman" w:cs="Times New Roman" w:eastAsia="Times New Roman" w:hAnsi="Times New Roman"/>
                <w:sz w:val="15"/>
                <w:szCs w:val="15"/>
                <w:color w:val="auto"/>
                <w:vertAlign w:val="superscript"/>
              </w:rPr>
              <w:t>(5)</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$1,050</w:t>
            </w:r>
          </w:p>
        </w:tc>
      </w:tr>
      <w:tr>
        <w:trPr>
          <w:trHeight w:val="178"/>
        </w:trPr>
        <w:tc>
          <w:tcPr>
            <w:tcW w:w="20" w:type="dxa"/>
            <w:vAlign w:val="bottom"/>
            <w:tcBorders>
              <w:bottom w:val="single" w:sz="8" w:color="auto"/>
            </w:tcBorders>
          </w:tcPr>
          <w:p>
            <w:pPr>
              <w:spacing w:after="0"/>
              <w:rPr>
                <w:sz w:val="15"/>
                <w:szCs w:val="15"/>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Net Proceeds from Withdrawal paid to Contract Owner</w:t>
            </w:r>
            <w:r>
              <w:rPr>
                <w:rFonts w:ascii="Times New Roman" w:cs="Times New Roman" w:eastAsia="Times New Roman" w:hAnsi="Times New Roman"/>
                <w:sz w:val="15"/>
                <w:szCs w:val="15"/>
                <w:color w:val="auto"/>
                <w:vertAlign w:val="superscript"/>
              </w:rPr>
              <w:t>(6)</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$18,950</w:t>
            </w:r>
          </w:p>
        </w:tc>
      </w:tr>
      <w:tr>
        <w:trPr>
          <w:trHeight w:val="160"/>
        </w:trPr>
        <w:tc>
          <w:tcPr>
            <w:tcW w:w="20" w:type="dxa"/>
            <w:vAlign w:val="bottom"/>
            <w:tcBorders>
              <w:bottom w:val="single" w:sz="8" w:color="auto"/>
            </w:tcBorders>
          </w:tcPr>
          <w:p>
            <w:pPr>
              <w:spacing w:after="0"/>
              <w:rPr>
                <w:sz w:val="13"/>
                <w:szCs w:val="13"/>
                <w:color w:val="auto"/>
              </w:rPr>
            </w:pPr>
          </w:p>
        </w:tc>
        <w:tc>
          <w:tcPr>
            <w:tcW w:w="4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Term End Date</w:t>
            </w:r>
          </w:p>
        </w:tc>
        <w:tc>
          <w:tcPr>
            <w:tcW w:w="1220" w:type="dxa"/>
            <w:vAlign w:val="bottom"/>
            <w:tcBorders>
              <w:bottom w:val="single" w:sz="8" w:color="auto"/>
            </w:tcBorders>
          </w:tcPr>
          <w:p>
            <w:pPr>
              <w:spacing w:after="0"/>
              <w:rPr>
                <w:sz w:val="13"/>
                <w:szCs w:val="13"/>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Index Value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450</w:t>
            </w:r>
          </w:p>
        </w:tc>
      </w:tr>
      <w:tr>
        <w:trPr>
          <w:trHeight w:val="187"/>
        </w:trPr>
        <w:tc>
          <w:tcPr>
            <w:tcW w:w="20" w:type="dxa"/>
            <w:vAlign w:val="bottom"/>
            <w:tcBorders>
              <w:bottom w:val="single" w:sz="8" w:color="auto"/>
            </w:tcBorders>
          </w:tcPr>
          <w:p>
            <w:pPr>
              <w:spacing w:after="0"/>
              <w:rPr>
                <w:sz w:val="16"/>
                <w:szCs w:val="16"/>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Index Performance</w:t>
            </w:r>
            <w:r>
              <w:rPr>
                <w:rFonts w:ascii="Times New Roman" w:cs="Times New Roman" w:eastAsia="Times New Roman" w:hAnsi="Times New Roman"/>
                <w:sz w:val="15"/>
                <w:szCs w:val="15"/>
                <w:color w:val="auto"/>
                <w:vertAlign w:val="superscript"/>
              </w:rPr>
              <w:t>(7)</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r>
      <w:tr>
        <w:trPr>
          <w:trHeight w:val="178"/>
        </w:trPr>
        <w:tc>
          <w:tcPr>
            <w:tcW w:w="20" w:type="dxa"/>
            <w:vAlign w:val="bottom"/>
            <w:tcBorders>
              <w:bottom w:val="single" w:sz="8" w:color="auto"/>
            </w:tcBorders>
          </w:tcPr>
          <w:p>
            <w:pPr>
              <w:spacing w:after="0"/>
              <w:rPr>
                <w:sz w:val="15"/>
                <w:szCs w:val="15"/>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Performance Rate</w:t>
            </w:r>
            <w:r>
              <w:rPr>
                <w:rFonts w:ascii="Times New Roman" w:cs="Times New Roman" w:eastAsia="Times New Roman" w:hAnsi="Times New Roman"/>
                <w:sz w:val="15"/>
                <w:szCs w:val="15"/>
                <w:color w:val="auto"/>
                <w:vertAlign w:val="superscript"/>
              </w:rPr>
              <w:t>(8)</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r>
      <w:tr>
        <w:trPr>
          <w:trHeight w:val="178"/>
        </w:trPr>
        <w:tc>
          <w:tcPr>
            <w:tcW w:w="20" w:type="dxa"/>
            <w:vAlign w:val="bottom"/>
            <w:tcBorders>
              <w:bottom w:val="single" w:sz="8" w:color="auto"/>
            </w:tcBorders>
          </w:tcPr>
          <w:p>
            <w:pPr>
              <w:spacing w:after="0"/>
              <w:rPr>
                <w:sz w:val="15"/>
                <w:szCs w:val="15"/>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Performance Rate Adjustment</w:t>
            </w:r>
            <w:r>
              <w:rPr>
                <w:rFonts w:ascii="Times New Roman" w:cs="Times New Roman" w:eastAsia="Times New Roman" w:hAnsi="Times New Roman"/>
                <w:sz w:val="15"/>
                <w:szCs w:val="15"/>
                <w:color w:val="auto"/>
                <w:vertAlign w:val="superscript"/>
              </w:rPr>
              <w:t>(9)</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r>
      <w:tr>
        <w:trPr>
          <w:trHeight w:val="163"/>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line="164" w:lineRule="exact"/>
              <w:rPr>
                <w:sz w:val="20"/>
                <w:szCs w:val="20"/>
                <w:color w:val="auto"/>
              </w:rPr>
            </w:pPr>
            <w:r>
              <w:rPr>
                <w:rFonts w:ascii="Times New Roman" w:cs="Times New Roman" w:eastAsia="Times New Roman" w:hAnsi="Times New Roman"/>
                <w:sz w:val="12"/>
                <w:szCs w:val="12"/>
                <w:color w:val="auto"/>
              </w:rPr>
              <w:t>Investment Amount</w:t>
            </w:r>
            <w:r>
              <w:rPr>
                <w:rFonts w:ascii="Times New Roman" w:cs="Times New Roman" w:eastAsia="Times New Roman" w:hAnsi="Times New Roman"/>
                <w:sz w:val="15"/>
                <w:szCs w:val="15"/>
                <w:color w:val="auto"/>
                <w:vertAlign w:val="superscript"/>
              </w:rPr>
              <w:t>(10)</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$27,674.13</w:t>
            </w:r>
          </w:p>
        </w:tc>
      </w:tr>
      <w:tr>
        <w:trPr>
          <w:trHeight w:val="128"/>
        </w:trPr>
        <w:tc>
          <w:tcPr>
            <w:tcW w:w="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1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-29210</wp:posOffset>
            </wp:positionV>
            <wp:extent cx="3111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111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pacing w:after="0" w:line="46" w:lineRule="exact"/>
        <w:rPr>
          <w:sz w:val="20"/>
          <w:szCs w:val="20"/>
          <w:color w:val="auto"/>
        </w:rPr>
      </w:pPr>
    </w:p>
    <w:p>
      <w:pPr>
        <w:jc w:val="both"/>
        <w:ind w:right="4179"/>
        <w:spacing w:after="0" w:line="263" w:lineRule="auto"/>
        <w:rPr>
          <w:sz w:val="20"/>
          <w:szCs w:val="20"/>
          <w:color w:val="auto"/>
        </w:rPr>
      </w:pPr>
      <w:r>
        <w:rPr>
          <w:rFonts w:ascii="Times New Roman" w:cs="Times New Roman" w:eastAsia="Times New Roman" w:hAnsi="Times New Roman"/>
          <w:sz w:val="12"/>
          <w:szCs w:val="12"/>
          <w:b w:val="1"/>
          <w:bCs w:val="1"/>
          <w:color w:val="auto"/>
        </w:rPr>
        <w:t>The following notes to the table above provide important calculations showing how certain values are determined.</w:t>
      </w:r>
    </w:p>
    <w:p>
      <w:pPr>
        <w:spacing w:after="0" w:line="194" w:lineRule="auto"/>
        <w:rPr>
          <w:sz w:val="20"/>
          <w:szCs w:val="20"/>
          <w:color w:val="auto"/>
        </w:rPr>
      </w:pPr>
      <w:r>
        <w:rPr>
          <w:rFonts w:ascii="Times New Roman" w:cs="Times New Roman" w:eastAsia="Times New Roman" w:hAnsi="Times New Roman"/>
          <w:sz w:val="5"/>
          <w:szCs w:val="5"/>
          <w:color w:val="auto"/>
        </w:rPr>
        <w:t>(1)</w:t>
      </w:r>
    </w:p>
    <w:p>
      <w:pPr>
        <w:ind w:left="240" w:right="3919"/>
        <w:spacing w:after="0" w:line="233" w:lineRule="auto"/>
        <w:rPr>
          <w:sz w:val="20"/>
          <w:szCs w:val="20"/>
          <w:color w:val="auto"/>
        </w:rPr>
      </w:pPr>
      <w:r>
        <w:rPr>
          <w:rFonts w:ascii="Times New Roman" w:cs="Times New Roman" w:eastAsia="Times New Roman" w:hAnsi="Times New Roman"/>
          <w:sz w:val="12"/>
          <w:szCs w:val="12"/>
          <w:color w:val="auto"/>
        </w:rPr>
        <w:t>Index Performance is equal to the percentage change in the Index Value measured from the Term Start Date to the date of the Interim Value calculation. Index Performance is calculated as follows:</w:t>
      </w:r>
    </w:p>
    <w:p>
      <w:pPr>
        <w:spacing w:after="0" w:line="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(400 [Index Value on date of Interim Value calculation] – 500 [Index Value at Term Start Date])</w:t>
      </w:r>
    </w:p>
    <w:p>
      <w:pPr>
        <w:spacing w:after="0" w:line="9" w:lineRule="exact"/>
        <w:rPr>
          <w:sz w:val="20"/>
          <w:szCs w:val="20"/>
          <w:color w:val="auto"/>
        </w:rPr>
      </w:pPr>
    </w:p>
    <w:p>
      <w:pPr>
        <w:ind w:left="1700" w:hanging="98"/>
        <w:spacing w:after="0"/>
        <w:tabs>
          <w:tab w:leader="none" w:pos="170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500 [Index Value at Term Start Date]) = –20%</w:t>
      </w:r>
    </w:p>
    <w:p>
      <w:pPr>
        <w:spacing w:after="0" w:line="183" w:lineRule="exact"/>
        <w:rPr>
          <w:rFonts w:ascii="Times New Roman" w:cs="Times New Roman" w:eastAsia="Times New Roman" w:hAnsi="Times New Roman"/>
          <w:sz w:val="12"/>
          <w:szCs w:val="12"/>
          <w:color w:val="auto"/>
        </w:rPr>
      </w:pPr>
    </w:p>
    <w:p>
      <w:pPr>
        <w:ind w:left="27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46</w:t>
      </w:r>
    </w:p>
    <w:p>
      <w:pPr>
        <w:sectPr>
          <w:pgSz w:w="11900" w:h="16838" w:orient="portrait"/>
          <w:cols w:equalWidth="0" w:num="1">
            <w:col w:w="9359"/>
          </w:cols>
          <w:pgMar w:left="1100" w:top="877"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8"/>
          <w:szCs w:val="8"/>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57395" cy="36830"/>
                    </a:xfrm>
                    <a:prstGeom prst="rect">
                      <a:avLst/>
                    </a:prstGeom>
                    <a:noFill/>
                  </pic:spPr>
                </pic:pic>
              </a:graphicData>
            </a:graphic>
          </wp:anchor>
        </w:drawing>
        <w:t>(2)</w:t>
      </w:r>
    </w:p>
    <w:p>
      <w:pPr>
        <w:ind w:left="240"/>
        <w:spacing w:after="0" w:line="237" w:lineRule="auto"/>
        <w:rPr>
          <w:sz w:val="20"/>
          <w:szCs w:val="20"/>
          <w:color w:val="auto"/>
        </w:rPr>
      </w:pPr>
      <w:r>
        <w:rPr>
          <w:rFonts w:ascii="Times New Roman" w:cs="Times New Roman" w:eastAsia="Times New Roman" w:hAnsi="Times New Roman"/>
          <w:sz w:val="12"/>
          <w:szCs w:val="12"/>
          <w:color w:val="auto"/>
        </w:rPr>
        <w:t>For examples demonstrating the calculation of the Interim Value, see the SAI.</w:t>
      </w:r>
    </w:p>
    <w:p>
      <w:pPr>
        <w:spacing w:after="0" w:line="182" w:lineRule="auto"/>
        <w:rPr>
          <w:sz w:val="20"/>
          <w:szCs w:val="20"/>
          <w:color w:val="auto"/>
        </w:rPr>
      </w:pPr>
      <w:r>
        <w:rPr>
          <w:rFonts w:ascii="Times New Roman" w:cs="Times New Roman" w:eastAsia="Times New Roman" w:hAnsi="Times New Roman"/>
          <w:sz w:val="5"/>
          <w:szCs w:val="5"/>
          <w:color w:val="auto"/>
        </w:rPr>
        <w:t>(3)</w:t>
      </w:r>
    </w:p>
    <w:p>
      <w:pPr>
        <w:ind w:left="240"/>
        <w:spacing w:after="0" w:line="235" w:lineRule="auto"/>
        <w:rPr>
          <w:sz w:val="20"/>
          <w:szCs w:val="20"/>
          <w:color w:val="auto"/>
        </w:rPr>
      </w:pPr>
      <w:r>
        <w:rPr>
          <w:rFonts w:ascii="Times New Roman" w:cs="Times New Roman" w:eastAsia="Times New Roman" w:hAnsi="Times New Roman"/>
          <w:sz w:val="12"/>
          <w:szCs w:val="12"/>
          <w:color w:val="auto"/>
        </w:rPr>
        <w:t>The Investment Amount is reduced proportionally by the withdrawal taken based on the reduction in</w:t>
      </w:r>
    </w:p>
    <w:p>
      <w:pPr>
        <w:ind w:left="240"/>
        <w:spacing w:after="0"/>
        <w:rPr>
          <w:sz w:val="20"/>
          <w:szCs w:val="20"/>
          <w:color w:val="auto"/>
        </w:rPr>
      </w:pPr>
      <w:r>
        <w:rPr>
          <w:rFonts w:ascii="Times New Roman" w:cs="Times New Roman" w:eastAsia="Times New Roman" w:hAnsi="Times New Roman"/>
          <w:sz w:val="12"/>
          <w:szCs w:val="12"/>
          <w:color w:val="auto"/>
        </w:rPr>
        <w:t>Interim Value. Therefore, the Investment Amount adjusted for any withdrawals is calculated as follows:</w:t>
      </w:r>
    </w:p>
    <w:p>
      <w:pPr>
        <w:spacing w:after="0" w:line="39" w:lineRule="exact"/>
        <w:rPr>
          <w:sz w:val="20"/>
          <w:szCs w:val="20"/>
          <w:color w:val="auto"/>
        </w:rPr>
      </w:pPr>
    </w:p>
    <w:p>
      <w:pPr>
        <w:jc w:val="center"/>
        <w:ind w:right="3879"/>
        <w:spacing w:after="0"/>
        <w:rPr>
          <w:sz w:val="20"/>
          <w:szCs w:val="20"/>
          <w:color w:val="auto"/>
        </w:rPr>
      </w:pPr>
      <w:r>
        <w:rPr>
          <w:rFonts w:ascii="Times New Roman" w:cs="Times New Roman" w:eastAsia="Times New Roman" w:hAnsi="Times New Roman"/>
          <w:sz w:val="12"/>
          <w:szCs w:val="12"/>
          <w:color w:val="auto"/>
        </w:rPr>
        <w:t>$50,000 [Investment Amount on the Term Start Date]</w:t>
      </w:r>
    </w:p>
    <w:p>
      <w:pPr>
        <w:jc w:val="center"/>
        <w:ind w:right="3839"/>
        <w:spacing w:after="0"/>
        <w:rPr>
          <w:sz w:val="20"/>
          <w:szCs w:val="20"/>
          <w:color w:val="auto"/>
        </w:rPr>
      </w:pPr>
      <w:r>
        <w:rPr>
          <w:rFonts w:ascii="Times New Roman" w:cs="Times New Roman" w:eastAsia="Times New Roman" w:hAnsi="Times New Roman"/>
          <w:sz w:val="12"/>
          <w:szCs w:val="12"/>
          <w:color w:val="auto"/>
        </w:rPr>
        <w:t>x (1-$20,000 [gross withdrawal amount halfway through the Term]) ÷ $44,791.09 [Interim Value on date of</w:t>
      </w:r>
    </w:p>
    <w:p>
      <w:pPr>
        <w:spacing w:after="0" w:line="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2"/>
          <w:szCs w:val="12"/>
          <w:color w:val="auto"/>
        </w:rPr>
        <w:t>withdrawal]</w:t>
      </w:r>
    </w:p>
    <w:p>
      <w:pPr>
        <w:ind w:left="2440"/>
        <w:spacing w:after="0"/>
        <w:rPr>
          <w:sz w:val="20"/>
          <w:szCs w:val="20"/>
          <w:color w:val="auto"/>
        </w:rPr>
      </w:pPr>
      <w:r>
        <w:rPr>
          <w:rFonts w:ascii="Times New Roman" w:cs="Times New Roman" w:eastAsia="Times New Roman" w:hAnsi="Times New Roman"/>
          <w:sz w:val="12"/>
          <w:szCs w:val="12"/>
          <w:color w:val="auto"/>
        </w:rPr>
        <w:t>= $27,674.13</w:t>
      </w:r>
    </w:p>
    <w:p>
      <w:pPr>
        <w:spacing w:after="0" w:line="30" w:lineRule="exact"/>
        <w:rPr>
          <w:sz w:val="20"/>
          <w:szCs w:val="20"/>
          <w:color w:val="auto"/>
        </w:rPr>
      </w:pPr>
    </w:p>
    <w:p>
      <w:pPr>
        <w:ind w:left="240" w:right="3859"/>
        <w:spacing w:after="0" w:line="244" w:lineRule="auto"/>
        <w:rPr>
          <w:sz w:val="20"/>
          <w:szCs w:val="20"/>
          <w:color w:val="auto"/>
        </w:rPr>
      </w:pPr>
      <w:r>
        <w:rPr>
          <w:rFonts w:ascii="Times New Roman" w:cs="Times New Roman" w:eastAsia="Times New Roman" w:hAnsi="Times New Roman"/>
          <w:sz w:val="12"/>
          <w:szCs w:val="12"/>
          <w:color w:val="auto"/>
        </w:rPr>
        <w:t>The proportionally reduced Investment Amount is used as the new Investment Amount at Term Start Date for the Term until the Term End Date for this Shield Option (assuming no additional withdrawals).</w:t>
      </w:r>
    </w:p>
    <w:p>
      <w:pPr>
        <w:spacing w:after="0" w:line="25" w:lineRule="exact"/>
        <w:rPr>
          <w:sz w:val="20"/>
          <w:szCs w:val="20"/>
          <w:color w:val="auto"/>
        </w:rPr>
      </w:pPr>
    </w:p>
    <w:p>
      <w:pPr>
        <w:ind w:left="240" w:right="3919" w:hanging="232"/>
        <w:spacing w:after="0" w:line="216" w:lineRule="auto"/>
        <w:tabs>
          <w:tab w:leader="none" w:pos="240" w:val="left"/>
        </w:tabs>
        <w:numPr>
          <w:ilvl w:val="0"/>
          <w:numId w:val="3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Free Withdrawal Amount is the value as of the most recent Contract Anniversary multiplied by the Free Withdrawal Amount Percentage. The Free Withdrawal Amount is calculated as follows:</w:t>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$50,000 [value as of most recent Contract Anniversary] x 10% [Free Withdrawal Amount percentage] = $5,000</w:t>
      </w:r>
    </w:p>
    <w:p>
      <w:pPr>
        <w:spacing w:after="0" w:line="187" w:lineRule="auto"/>
        <w:rPr>
          <w:sz w:val="20"/>
          <w:szCs w:val="20"/>
          <w:color w:val="auto"/>
        </w:rPr>
      </w:pPr>
      <w:r>
        <w:rPr>
          <w:rFonts w:ascii="Times New Roman" w:cs="Times New Roman" w:eastAsia="Times New Roman" w:hAnsi="Times New Roman"/>
          <w:sz w:val="6"/>
          <w:szCs w:val="6"/>
          <w:color w:val="auto"/>
        </w:rPr>
        <w:t>(5)</w:t>
      </w:r>
    </w:p>
    <w:p>
      <w:pPr>
        <w:ind w:left="240" w:right="3899"/>
        <w:spacing w:after="0" w:line="233" w:lineRule="auto"/>
        <w:rPr>
          <w:sz w:val="20"/>
          <w:szCs w:val="20"/>
          <w:color w:val="auto"/>
        </w:rPr>
      </w:pPr>
      <w:r>
        <w:rPr>
          <w:rFonts w:ascii="Times New Roman" w:cs="Times New Roman" w:eastAsia="Times New Roman" w:hAnsi="Times New Roman"/>
          <w:sz w:val="12"/>
          <w:szCs w:val="12"/>
          <w:color w:val="auto"/>
        </w:rPr>
        <w:t>The Withdrawal Charge Amount is the gross withdrawal amount minus the Free Withdrawal Amount multiplied by the Withdrawal Charge.</w:t>
      </w:r>
    </w:p>
    <w:p>
      <w:pPr>
        <w:spacing w:after="0" w:line="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($20,000 [gross withdrawal amount] – $5,000 [Free Withdrawal Amount]) x 7% [Withdrawal Charge] = $1,050</w:t>
      </w:r>
    </w:p>
    <w:p>
      <w:pPr>
        <w:spacing w:after="0" w:line="42" w:lineRule="exact"/>
        <w:rPr>
          <w:sz w:val="20"/>
          <w:szCs w:val="20"/>
          <w:color w:val="auto"/>
        </w:rPr>
      </w:pPr>
    </w:p>
    <w:p>
      <w:pPr>
        <w:ind w:left="240" w:right="3899" w:hanging="232"/>
        <w:spacing w:after="0" w:line="216" w:lineRule="auto"/>
        <w:tabs>
          <w:tab w:leader="none" w:pos="240"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net amount payable to the Contract Owner is equal to the amount withdrawn minus the Withdrawal Charge. The net amount payable is calculated as follows:</w:t>
      </w:r>
    </w:p>
    <w:p>
      <w:pPr>
        <w:spacing w:after="0" w:line="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2"/>
          <w:szCs w:val="12"/>
          <w:color w:val="auto"/>
        </w:rPr>
        <w:t>$20,000 [amount withdrawn] – $1,050 [Withdrawal Charge] = $18,950</w:t>
      </w:r>
    </w:p>
    <w:p>
      <w:pPr>
        <w:spacing w:after="0" w:line="187" w:lineRule="auto"/>
        <w:rPr>
          <w:sz w:val="20"/>
          <w:szCs w:val="20"/>
          <w:color w:val="auto"/>
        </w:rPr>
      </w:pPr>
      <w:r>
        <w:rPr>
          <w:rFonts w:ascii="Times New Roman" w:cs="Times New Roman" w:eastAsia="Times New Roman" w:hAnsi="Times New Roman"/>
          <w:sz w:val="6"/>
          <w:szCs w:val="6"/>
          <w:color w:val="auto"/>
        </w:rPr>
        <w:t>(7)</w:t>
      </w:r>
    </w:p>
    <w:p>
      <w:pPr>
        <w:jc w:val="both"/>
        <w:ind w:left="240" w:right="3899"/>
        <w:spacing w:after="0" w:line="234" w:lineRule="auto"/>
        <w:rPr>
          <w:sz w:val="20"/>
          <w:szCs w:val="20"/>
          <w:color w:val="auto"/>
        </w:rPr>
      </w:pPr>
      <w:r>
        <w:rPr>
          <w:rFonts w:ascii="Times New Roman" w:cs="Times New Roman" w:eastAsia="Times New Roman" w:hAnsi="Times New Roman"/>
          <w:sz w:val="12"/>
          <w:szCs w:val="12"/>
          <w:color w:val="auto"/>
        </w:rPr>
        <w:t>Index Performance at the Term End Date is equal to the percentage change in the Index Value measured from the Term Start Date to the Term End Date. Index Performance at the Term End Date is calculated as follows:</w:t>
      </w:r>
    </w:p>
    <w:p>
      <w:pPr>
        <w:spacing w:after="0" w:line="34" w:lineRule="exact"/>
        <w:rPr>
          <w:sz w:val="20"/>
          <w:szCs w:val="20"/>
          <w:color w:val="auto"/>
        </w:rPr>
      </w:pPr>
    </w:p>
    <w:p>
      <w:pPr>
        <w:jc w:val="center"/>
        <w:ind w:right="3879"/>
        <w:spacing w:after="0"/>
        <w:rPr>
          <w:sz w:val="20"/>
          <w:szCs w:val="20"/>
          <w:color w:val="auto"/>
        </w:rPr>
      </w:pPr>
      <w:r>
        <w:rPr>
          <w:rFonts w:ascii="Times New Roman" w:cs="Times New Roman" w:eastAsia="Times New Roman" w:hAnsi="Times New Roman"/>
          <w:sz w:val="12"/>
          <w:szCs w:val="12"/>
          <w:color w:val="auto"/>
        </w:rPr>
        <w:t>(450 [Index Value at Term End Date] – 500 [Index Value at Term Start Date])</w:t>
      </w:r>
    </w:p>
    <w:p>
      <w:pPr>
        <w:spacing w:after="0" w:line="7"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color w:val="auto"/>
        </w:rPr>
        <w:t>÷ 500 [Index Value at Term Start Date] = –10%</w:t>
      </w:r>
    </w:p>
    <w:p>
      <w:pPr>
        <w:spacing w:after="0" w:line="181" w:lineRule="auto"/>
        <w:rPr>
          <w:sz w:val="20"/>
          <w:szCs w:val="20"/>
          <w:color w:val="auto"/>
        </w:rPr>
      </w:pPr>
      <w:r>
        <w:rPr>
          <w:rFonts w:ascii="Times New Roman" w:cs="Times New Roman" w:eastAsia="Times New Roman" w:hAnsi="Times New Roman"/>
          <w:sz w:val="5"/>
          <w:szCs w:val="5"/>
          <w:color w:val="auto"/>
        </w:rPr>
        <w:t>(8)</w:t>
      </w:r>
    </w:p>
    <w:p>
      <w:pPr>
        <w:jc w:val="both"/>
        <w:ind w:left="240" w:right="3899"/>
        <w:spacing w:after="0" w:line="236" w:lineRule="auto"/>
        <w:rPr>
          <w:sz w:val="20"/>
          <w:szCs w:val="20"/>
          <w:color w:val="auto"/>
        </w:rPr>
      </w:pPr>
      <w:r>
        <w:rPr>
          <w:rFonts w:ascii="Times New Roman" w:cs="Times New Roman" w:eastAsia="Times New Roman" w:hAnsi="Times New Roman"/>
          <w:sz w:val="12"/>
          <w:szCs w:val="12"/>
          <w:color w:val="auto"/>
        </w:rPr>
        <w:t>The Performance rate at the Term End Date is 0% because the Index Performance at the Term End Date is – 10% and the Shield 10 absorbs up to 10% of the negative Index Performance.</w:t>
      </w:r>
    </w:p>
    <w:p>
      <w:pPr>
        <w:spacing w:after="0" w:line="182" w:lineRule="auto"/>
        <w:rPr>
          <w:sz w:val="20"/>
          <w:szCs w:val="20"/>
          <w:color w:val="auto"/>
        </w:rPr>
      </w:pPr>
      <w:r>
        <w:rPr>
          <w:rFonts w:ascii="Times New Roman" w:cs="Times New Roman" w:eastAsia="Times New Roman" w:hAnsi="Times New Roman"/>
          <w:sz w:val="5"/>
          <w:szCs w:val="5"/>
          <w:color w:val="auto"/>
        </w:rPr>
        <w:t>(9)</w:t>
      </w:r>
    </w:p>
    <w:p>
      <w:pPr>
        <w:jc w:val="both"/>
        <w:ind w:left="240" w:right="3899"/>
        <w:spacing w:after="0" w:line="234" w:lineRule="auto"/>
        <w:rPr>
          <w:sz w:val="20"/>
          <w:szCs w:val="20"/>
          <w:color w:val="auto"/>
        </w:rPr>
      </w:pPr>
      <w:r>
        <w:rPr>
          <w:rFonts w:ascii="Times New Roman" w:cs="Times New Roman" w:eastAsia="Times New Roman" w:hAnsi="Times New Roman"/>
          <w:sz w:val="12"/>
          <w:szCs w:val="12"/>
          <w:color w:val="auto"/>
        </w:rPr>
        <w:t>The Performance Rate Adjustment at the Term End Date is equal to the Investment Amount at the Term Start Date adjusted for any withdrawals multiplied by the Performance Rate at the Term End Date. The Performance Rate Adjustment at the Term End Date is calculated as follows:</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$27,674.13 [Investment Amount adjusted for withdrawal] x 0% [Performance Rate at Term End Date] = $0</w:t>
      </w:r>
    </w:p>
    <w:p>
      <w:pPr>
        <w:spacing w:after="0" w:line="42" w:lineRule="exact"/>
        <w:rPr>
          <w:sz w:val="20"/>
          <w:szCs w:val="20"/>
          <w:color w:val="auto"/>
        </w:rPr>
      </w:pPr>
    </w:p>
    <w:p>
      <w:pPr>
        <w:jc w:val="both"/>
        <w:ind w:left="240" w:right="3899" w:hanging="232"/>
        <w:spacing w:after="0" w:line="217" w:lineRule="auto"/>
        <w:tabs>
          <w:tab w:leader="none" w:pos="240"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Investment Amount at the Term End Date is equal to the Investment Amount adjusted for any withdrawals plus the Performance Rate Adjustment at Term End Date. The Investment Amount at the Term End Date is calculated as follows:</w:t>
      </w:r>
    </w:p>
    <w:p>
      <w:pPr>
        <w:spacing w:after="0" w:line="3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2"/>
          <w:szCs w:val="12"/>
          <w:color w:val="auto"/>
        </w:rPr>
        <w:t>$27,674.13 [Investment Amount adjusted for withdrawal]</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2"/>
          <w:szCs w:val="12"/>
          <w:color w:val="auto"/>
        </w:rPr>
        <w:t>+ $0 [Performance Rate Adjustment at Term End Date] = $27,674.13</w:t>
      </w:r>
    </w:p>
    <w:p>
      <w:pPr>
        <w:spacing w:after="0" w:line="20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2"/>
          <w:szCs w:val="12"/>
          <w:b w:val="1"/>
          <w:bCs w:val="1"/>
          <w:color w:val="auto"/>
        </w:rPr>
        <w:t>TRANSFERS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Transfers without the Performance Lock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Transfers or Renewals during Transfer Period following Term End Date</w:t>
      </w:r>
    </w:p>
    <w:p>
      <w:pPr>
        <w:spacing w:after="0" w:line="82"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If you have not exercised the Performance Lock, you may make transfers only during the Transfer Period following the Term End Date. You may transfer all or a portion of the amount in your Shield Option. Subject to the minimum allocation of $500, you may make transfers to or from the Fixed Account, to or from the Shield Option(s), and from the Holding Account. We must receive Notice of your election to transfer, in a form satisfactory to us or by calling us at 1-888-243-1932, no later than five (5) calendar days after the Contract Anniversary on which the transfer will take place. Your financial professional can provide more information or you may contact our Annuity Service Office. You cannot make transfers outside the Transfer Period and transfers may not be made after the Annuity Date. To make a transfer from a Shield Option in which you have an Investment Amount the Shield Option must have reached its Term End Date. The Transfer Period is the five (5) days following the Contract Anniversary coinciding with the Term End Date and Fixed Account Term End Date, as applicable, for the Shield Option(s) and/or the Fixed Account. The effective date of such transfer is the first day of the Fixed Account Term and/or a Term(s) in which the transfer is made.</w:t>
      </w:r>
    </w:p>
    <w:p>
      <w:pPr>
        <w:spacing w:after="0" w:line="54"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If you make a transfer during the Transfer Period, the amount available to transfer is the Interim Value of each Shield Option, which will equal the Investment Amount in that Shield Option at the Term End Date. After the Transfer Period, the Interim Value of that Shield Option is a calculated value (as described in the “Interim Value Calculation” section). Once you exercise the Performance Lock, the Performance Lock Value will be used as value of the Shield Option for the remainder of the Term.</w:t>
      </w:r>
    </w:p>
    <w:p>
      <w:pPr>
        <w:spacing w:after="0" w:line="17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47</w:t>
      </w:r>
    </w:p>
    <w:p>
      <w:pPr>
        <w:sectPr>
          <w:pgSz w:w="11900" w:h="16838" w:orient="portrait"/>
          <w:cols w:equalWidth="0" w:num="1">
            <w:col w:w="9359"/>
          </w:cols>
          <w:pgMar w:left="1100" w:top="877" w:right="1440" w:bottom="1440" w:gutter="0" w:footer="0" w:header="0"/>
        </w:sectPr>
      </w:pPr>
    </w:p>
    <w:bookmarkStart w:id="48" w:name="page49"/>
    <w:bookmarkEnd w:id="48"/>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57395" cy="36830"/>
                    </a:xfrm>
                    <a:prstGeom prst="rect">
                      <a:avLst/>
                    </a:prstGeom>
                    <a:noFill/>
                  </pic:spPr>
                </pic:pic>
              </a:graphicData>
            </a:graphic>
          </wp:anchor>
        </w:drawing>
        <w:t>If you do not make a transfer during the Transfer Period following the Term End Date, the Investment Amount allocated to the Shield Option that has reached its Term End Date will automatically be renewed into the same Shield Option unless you elect to transfer into a different Shield Option or the Fixed Account.</w:t>
      </w:r>
    </w:p>
    <w:p>
      <w:pPr>
        <w:spacing w:after="0" w:line="47"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There are two ways you may find out what the renewal Cap Rates, Step Rates, and Edge Rates will be for a subsequent Term. Thirty (30) days before the current Term expires, we will send you a notification, written or electronic depending on your selected preference, indicating your maturing Shield Options and how you can obtain the new Cap Rates, Step Rates, and Edge Rates. You may also access our website at https://www.brighthousefinancial.com/products/rates/ where at least two months of renewal rates for the Rate Crediting Types and the interest rate for the Fixed Account are posted – i.e., for the current month and the following month. See “RATE CREDITING TYPES.” You have the Transfer Period to notify us if you want to transfer some or all of your Investment Amount to a new Shield Option(s) or the Fixed Account.</w:t>
      </w:r>
    </w:p>
    <w:p>
      <w:pPr>
        <w:spacing w:after="0" w:line="54" w:lineRule="exact"/>
        <w:rPr>
          <w:sz w:val="20"/>
          <w:szCs w:val="20"/>
          <w:color w:val="auto"/>
        </w:rPr>
      </w:pPr>
    </w:p>
    <w:p>
      <w:pPr>
        <w:jc w:val="both"/>
        <w:ind w:right="3859" w:firstLine="240"/>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Renewals. </w:t>
      </w:r>
      <w:r>
        <w:rPr>
          <w:rFonts w:ascii="Times New Roman" w:cs="Times New Roman" w:eastAsia="Times New Roman" w:hAnsi="Times New Roman"/>
          <w:sz w:val="12"/>
          <w:szCs w:val="12"/>
          <w:color w:val="auto"/>
        </w:rPr>
        <w:t>For renewals into the same Shield Option, a new Cap Rate, Step Rate or Edge Rate, 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applicable, will be declared and will go into effect on the Contract Anniversary that coincides with the beginning of the new Shield Option.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Example 3—Transfers</w:t>
      </w:r>
    </w:p>
    <w:p>
      <w:pPr>
        <w:spacing w:after="0" w:line="82" w:lineRule="exact"/>
        <w:rPr>
          <w:sz w:val="20"/>
          <w:szCs w:val="20"/>
          <w:color w:val="auto"/>
        </w:rPr>
      </w:pPr>
    </w:p>
    <w:p>
      <w:pPr>
        <w:jc w:val="both"/>
        <w:ind w:right="3839" w:firstLine="240"/>
        <w:spacing w:after="0" w:line="229" w:lineRule="auto"/>
        <w:rPr>
          <w:sz w:val="20"/>
          <w:szCs w:val="20"/>
          <w:color w:val="auto"/>
        </w:rPr>
      </w:pPr>
      <w:r>
        <w:rPr>
          <w:rFonts w:ascii="Times New Roman" w:cs="Times New Roman" w:eastAsia="Times New Roman" w:hAnsi="Times New Roman"/>
          <w:sz w:val="12"/>
          <w:szCs w:val="12"/>
          <w:color w:val="auto"/>
        </w:rPr>
        <w:t>Example 3 is intended to show how transfers work. Owner 1 allocates her $50,000 Purchase Payment to the 1-Year Term / Shield 10 /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with a Cap Rate of 10%. At the end of the 1-Year Term, she transfers 50% of her 1-Year Term / Shield 10 /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with a Cap Rate of 10% into a 1-Year Term / Shield 10 / Russell 2000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with a Cap Rate of 12% and opts to let the remaining 50% of her Investment Amount automatically renew.</w:t>
      </w:r>
    </w:p>
    <w:p>
      <w:pPr>
        <w:spacing w:after="0" w:line="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Shield Options prior to Transfer:</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430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Contract Year</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1</w:t>
            </w:r>
          </w:p>
        </w:tc>
      </w:tr>
      <w:tr>
        <w:trPr>
          <w:trHeight w:val="168"/>
        </w:trPr>
        <w:tc>
          <w:tcPr>
            <w:tcW w:w="430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Term Start Date</w:t>
            </w:r>
          </w:p>
        </w:tc>
        <w:tc>
          <w:tcPr>
            <w:tcW w:w="1220" w:type="dxa"/>
            <w:vAlign w:val="bottom"/>
            <w:tcBorders>
              <w:bottom w:val="single" w:sz="8" w:color="auto"/>
              <w:right w:val="single" w:sz="8" w:color="auto"/>
            </w:tcBorders>
          </w:tcPr>
          <w:p>
            <w:pPr>
              <w:spacing w:after="0"/>
              <w:rPr>
                <w:sz w:val="14"/>
                <w:szCs w:val="14"/>
                <w:color w:val="auto"/>
              </w:rPr>
            </w:pPr>
          </w:p>
        </w:tc>
      </w:tr>
      <w:tr>
        <w:trPr>
          <w:trHeight w:val="169"/>
        </w:trPr>
        <w:tc>
          <w:tcPr>
            <w:tcW w:w="430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Investment Amount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$50,000</w:t>
            </w:r>
          </w:p>
        </w:tc>
      </w:tr>
      <w:tr>
        <w:trPr>
          <w:trHeight w:val="169"/>
        </w:trPr>
        <w:tc>
          <w:tcPr>
            <w:tcW w:w="430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Index Value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1,000</w:t>
            </w:r>
          </w:p>
        </w:tc>
      </w:tr>
      <w:tr>
        <w:trPr>
          <w:trHeight w:val="169"/>
        </w:trPr>
        <w:tc>
          <w:tcPr>
            <w:tcW w:w="4300" w:type="dxa"/>
            <w:vAlign w:val="bottom"/>
            <w:tcBorders>
              <w:left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Term End Dat</w:t>
            </w:r>
            <w:r>
              <w:rPr>
                <w:rFonts w:ascii="Times New Roman" w:cs="Times New Roman" w:eastAsia="Times New Roman" w:hAnsi="Times New Roman"/>
                <w:sz w:val="12"/>
                <w:szCs w:val="12"/>
                <w:color w:val="auto"/>
              </w:rPr>
              <w:t>e</w:t>
            </w:r>
          </w:p>
        </w:tc>
        <w:tc>
          <w:tcPr>
            <w:tcW w:w="1220" w:type="dxa"/>
            <w:vAlign w:val="bottom"/>
            <w:tcBorders>
              <w:bottom w:val="single" w:sz="8" w:color="auto"/>
              <w:right w:val="single" w:sz="8" w:color="auto"/>
            </w:tcBorders>
          </w:tcPr>
          <w:p>
            <w:pPr>
              <w:spacing w:after="0"/>
              <w:rPr>
                <w:sz w:val="14"/>
                <w:szCs w:val="14"/>
                <w:color w:val="auto"/>
              </w:rPr>
            </w:pPr>
          </w:p>
        </w:tc>
      </w:tr>
      <w:tr>
        <w:trPr>
          <w:trHeight w:val="169"/>
        </w:trPr>
        <w:tc>
          <w:tcPr>
            <w:tcW w:w="430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Index Value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1,200</w:t>
            </w:r>
          </w:p>
        </w:tc>
      </w:tr>
      <w:tr>
        <w:trPr>
          <w:trHeight w:val="187"/>
        </w:trPr>
        <w:tc>
          <w:tcPr>
            <w:tcW w:w="430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Index Performance</w:t>
            </w:r>
            <w:r>
              <w:rPr>
                <w:rFonts w:ascii="Times New Roman" w:cs="Times New Roman" w:eastAsia="Times New Roman" w:hAnsi="Times New Roman"/>
                <w:sz w:val="15"/>
                <w:szCs w:val="15"/>
                <w:color w:val="auto"/>
                <w:vertAlign w:val="superscript"/>
              </w:rPr>
              <w:t>(1)</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r>
      <w:tr>
        <w:trPr>
          <w:trHeight w:val="160"/>
        </w:trPr>
        <w:tc>
          <w:tcPr>
            <w:tcW w:w="430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Cap Rate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r>
      <w:tr>
        <w:trPr>
          <w:trHeight w:val="169"/>
        </w:trPr>
        <w:tc>
          <w:tcPr>
            <w:tcW w:w="430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Shield Rate</w:t>
            </w:r>
          </w:p>
        </w:tc>
        <w:tc>
          <w:tcPr>
            <w:tcW w:w="122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2"/>
                <w:szCs w:val="12"/>
                <w:color w:val="auto"/>
              </w:rPr>
              <w:t>Shield 10</w:t>
            </w:r>
          </w:p>
        </w:tc>
      </w:tr>
      <w:tr>
        <w:trPr>
          <w:trHeight w:val="187"/>
        </w:trPr>
        <w:tc>
          <w:tcPr>
            <w:tcW w:w="430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Performance Rate (one year)</w:t>
            </w:r>
            <w:r>
              <w:rPr>
                <w:rFonts w:ascii="Times New Roman" w:cs="Times New Roman" w:eastAsia="Times New Roman" w:hAnsi="Times New Roman"/>
                <w:sz w:val="15"/>
                <w:szCs w:val="15"/>
                <w:color w:val="auto"/>
                <w:vertAlign w:val="superscript"/>
              </w:rPr>
              <w:t>(2)</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r>
      <w:tr>
        <w:trPr>
          <w:trHeight w:val="178"/>
        </w:trPr>
        <w:tc>
          <w:tcPr>
            <w:tcW w:w="430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color w:val="auto"/>
              </w:rPr>
              <w:t>Performance Rate Adjustment</w:t>
            </w:r>
            <w:r>
              <w:rPr>
                <w:rFonts w:ascii="Times New Roman" w:cs="Times New Roman" w:eastAsia="Times New Roman" w:hAnsi="Times New Roman"/>
                <w:sz w:val="15"/>
                <w:szCs w:val="15"/>
                <w:color w:val="auto"/>
                <w:vertAlign w:val="superscript"/>
              </w:rPr>
              <w:t>(3)</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$5,000</w:t>
            </w:r>
          </w:p>
        </w:tc>
      </w:tr>
      <w:tr>
        <w:trPr>
          <w:trHeight w:val="163"/>
        </w:trPr>
        <w:tc>
          <w:tcPr>
            <w:tcW w:w="4300" w:type="dxa"/>
            <w:vAlign w:val="bottom"/>
            <w:tcBorders>
              <w:left w:val="single" w:sz="8" w:color="auto"/>
              <w:bottom w:val="single" w:sz="8" w:color="auto"/>
              <w:right w:val="single" w:sz="8" w:color="auto"/>
            </w:tcBorders>
            <w:gridSpan w:val="2"/>
          </w:tcPr>
          <w:p>
            <w:pPr>
              <w:ind w:left="200"/>
              <w:spacing w:after="0" w:line="164" w:lineRule="exact"/>
              <w:rPr>
                <w:sz w:val="20"/>
                <w:szCs w:val="20"/>
                <w:color w:val="auto"/>
              </w:rPr>
            </w:pPr>
            <w:r>
              <w:rPr>
                <w:rFonts w:ascii="Times New Roman" w:cs="Times New Roman" w:eastAsia="Times New Roman" w:hAnsi="Times New Roman"/>
                <w:sz w:val="12"/>
                <w:szCs w:val="12"/>
                <w:b w:val="1"/>
                <w:bCs w:val="1"/>
                <w:color w:val="auto"/>
              </w:rPr>
              <w:t>Investment Amount</w:t>
            </w:r>
            <w:r>
              <w:rPr>
                <w:rFonts w:ascii="Times New Roman" w:cs="Times New Roman" w:eastAsia="Times New Roman" w:hAnsi="Times New Roman"/>
                <w:sz w:val="15"/>
                <w:szCs w:val="15"/>
                <w:color w:val="auto"/>
                <w:vertAlign w:val="superscript"/>
              </w:rPr>
              <w:t>(4)</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$55,000</w:t>
            </w:r>
          </w:p>
        </w:tc>
      </w:tr>
      <w:tr>
        <w:trPr>
          <w:trHeight w:val="128"/>
        </w:trPr>
        <w:tc>
          <w:tcPr>
            <w:tcW w:w="74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1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-29210</wp:posOffset>
            </wp:positionV>
            <wp:extent cx="3111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111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pacing w:after="0" w:line="37" w:lineRule="exact"/>
        <w:rPr>
          <w:sz w:val="20"/>
          <w:szCs w:val="20"/>
          <w:color w:val="auto"/>
        </w:rPr>
      </w:pPr>
    </w:p>
    <w:p>
      <w:pPr>
        <w:ind w:right="4179"/>
        <w:spacing w:after="0" w:line="257" w:lineRule="auto"/>
        <w:rPr>
          <w:sz w:val="20"/>
          <w:szCs w:val="20"/>
          <w:color w:val="auto"/>
        </w:rPr>
      </w:pPr>
      <w:r>
        <w:rPr>
          <w:rFonts w:ascii="Times New Roman" w:cs="Times New Roman" w:eastAsia="Times New Roman" w:hAnsi="Times New Roman"/>
          <w:sz w:val="12"/>
          <w:szCs w:val="12"/>
          <w:b w:val="1"/>
          <w:bCs w:val="1"/>
          <w:color w:val="auto"/>
        </w:rPr>
        <w:t>The following notes to the table above provide important calculations showing how certain values are determined.</w:t>
      </w:r>
    </w:p>
    <w:p>
      <w:pPr>
        <w:spacing w:after="0" w:line="185" w:lineRule="auto"/>
        <w:rPr>
          <w:sz w:val="20"/>
          <w:szCs w:val="20"/>
          <w:color w:val="auto"/>
        </w:rPr>
      </w:pPr>
      <w:r>
        <w:rPr>
          <w:rFonts w:ascii="Times New Roman" w:cs="Times New Roman" w:eastAsia="Times New Roman" w:hAnsi="Times New Roman"/>
          <w:sz w:val="5"/>
          <w:szCs w:val="5"/>
          <w:color w:val="auto"/>
        </w:rPr>
        <w:t>(1)</w:t>
      </w:r>
    </w:p>
    <w:p>
      <w:pPr>
        <w:ind w:left="240" w:right="3919"/>
        <w:spacing w:after="0" w:line="243" w:lineRule="auto"/>
        <w:rPr>
          <w:sz w:val="20"/>
          <w:szCs w:val="20"/>
          <w:color w:val="auto"/>
        </w:rPr>
      </w:pPr>
      <w:r>
        <w:rPr>
          <w:rFonts w:ascii="Times New Roman" w:cs="Times New Roman" w:eastAsia="Times New Roman" w:hAnsi="Times New Roman"/>
          <w:sz w:val="12"/>
          <w:szCs w:val="12"/>
          <w:color w:val="auto"/>
        </w:rPr>
        <w:t>Index Performance is equal to the percentage change in the Index Value measured from the Term Start Date to the Term End Date. Index Performance is calculated as follows:</w:t>
      </w:r>
    </w:p>
    <w:p>
      <w:pPr>
        <w:spacing w:after="0" w:line="3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2"/>
          <w:szCs w:val="12"/>
          <w:color w:val="auto"/>
        </w:rPr>
        <w:t>(1,200 [Index Value at Term End Date] – 1,000 [Index Value at Term Start Date])</w:t>
      </w:r>
    </w:p>
    <w:p>
      <w:pPr>
        <w:ind w:left="1680" w:hanging="93"/>
        <w:spacing w:after="0"/>
        <w:tabs>
          <w:tab w:leader="none" w:pos="1680"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1,000 [Index Value at Term Start Date]) = 20%</w:t>
      </w:r>
    </w:p>
    <w:p>
      <w:pPr>
        <w:spacing w:after="0" w:line="30" w:lineRule="exact"/>
        <w:rPr>
          <w:rFonts w:ascii="Times New Roman" w:cs="Times New Roman" w:eastAsia="Times New Roman" w:hAnsi="Times New Roman"/>
          <w:sz w:val="12"/>
          <w:szCs w:val="12"/>
          <w:color w:val="auto"/>
        </w:rPr>
      </w:pPr>
    </w:p>
    <w:p>
      <w:pPr>
        <w:ind w:left="240" w:right="4079" w:hanging="232"/>
        <w:spacing w:after="0" w:line="211" w:lineRule="auto"/>
        <w:tabs>
          <w:tab w:leader="none" w:pos="240" w:val="left"/>
        </w:tabs>
        <w:numPr>
          <w:ilvl w:val="0"/>
          <w:numId w:val="3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Since Index Performance is greater than zero and exceeds the Cap Rate, the Performance Rate equals the Cap Rate.</w:t>
      </w:r>
    </w:p>
    <w:p>
      <w:pPr>
        <w:spacing w:after="0" w:line="183" w:lineRule="auto"/>
        <w:rPr>
          <w:sz w:val="20"/>
          <w:szCs w:val="20"/>
          <w:color w:val="auto"/>
        </w:rPr>
      </w:pPr>
      <w:r>
        <w:rPr>
          <w:rFonts w:ascii="Times New Roman" w:cs="Times New Roman" w:eastAsia="Times New Roman" w:hAnsi="Times New Roman"/>
          <w:sz w:val="5"/>
          <w:szCs w:val="5"/>
          <w:color w:val="auto"/>
        </w:rPr>
        <w:t>(3)</w:t>
      </w:r>
    </w:p>
    <w:p>
      <w:pPr>
        <w:ind w:left="240"/>
        <w:spacing w:after="0" w:line="234" w:lineRule="auto"/>
        <w:rPr>
          <w:sz w:val="20"/>
          <w:szCs w:val="20"/>
          <w:color w:val="auto"/>
        </w:rPr>
      </w:pPr>
      <w:r>
        <w:rPr>
          <w:rFonts w:ascii="Times New Roman" w:cs="Times New Roman" w:eastAsia="Times New Roman" w:hAnsi="Times New Roman"/>
          <w:sz w:val="12"/>
          <w:szCs w:val="12"/>
          <w:color w:val="auto"/>
        </w:rPr>
        <w:t>The Performance Rate Adjustment is equal to the product of the Investment Amount at the Term Start Date</w:t>
      </w:r>
    </w:p>
    <w:p>
      <w:pPr>
        <w:ind w:left="240"/>
        <w:spacing w:after="0" w:line="220" w:lineRule="auto"/>
        <w:rPr>
          <w:sz w:val="20"/>
          <w:szCs w:val="20"/>
          <w:color w:val="auto"/>
        </w:rPr>
      </w:pPr>
      <w:r>
        <w:rPr>
          <w:rFonts w:ascii="Times New Roman" w:cs="Times New Roman" w:eastAsia="Times New Roman" w:hAnsi="Times New Roman"/>
          <w:sz w:val="12"/>
          <w:szCs w:val="12"/>
          <w:color w:val="auto"/>
        </w:rPr>
        <w:t>adjusted for any withdrawals (there are no withdrawals in the example) multiplied by the Performance Rate.</w:t>
      </w:r>
    </w:p>
    <w:p>
      <w:pPr>
        <w:ind w:left="240"/>
        <w:spacing w:after="0"/>
        <w:rPr>
          <w:sz w:val="20"/>
          <w:szCs w:val="20"/>
          <w:color w:val="auto"/>
        </w:rPr>
      </w:pPr>
      <w:r>
        <w:rPr>
          <w:rFonts w:ascii="Times New Roman" w:cs="Times New Roman" w:eastAsia="Times New Roman" w:hAnsi="Times New Roman"/>
          <w:sz w:val="12"/>
          <w:szCs w:val="12"/>
          <w:color w:val="auto"/>
        </w:rPr>
        <w:t>The Performance Rate Adjustment is calculated as follows:</w:t>
      </w:r>
    </w:p>
    <w:p>
      <w:pPr>
        <w:spacing w:after="0" w:line="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$50,000 [Investment Amount at Term Start Date] x 10% [Performance Rate] = $5,000</w:t>
      </w:r>
    </w:p>
    <w:p>
      <w:pPr>
        <w:spacing w:after="0" w:line="42" w:lineRule="exact"/>
        <w:rPr>
          <w:sz w:val="20"/>
          <w:szCs w:val="20"/>
          <w:color w:val="auto"/>
        </w:rPr>
      </w:pPr>
    </w:p>
    <w:p>
      <w:pPr>
        <w:jc w:val="both"/>
        <w:ind w:left="240" w:right="3899" w:hanging="232"/>
        <w:spacing w:after="0" w:line="217" w:lineRule="auto"/>
        <w:tabs>
          <w:tab w:leader="none" w:pos="240" w:val="left"/>
        </w:tabs>
        <w:numPr>
          <w:ilvl w:val="0"/>
          <w:numId w:val="3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Investment Amount at Term End Date is equal to the Investment Amount at Term Start Date adjusted for any withdrawals (there are no withdrawals in the example) plus the Performance Rate Adjustment. The Investment Amount is calculated as follows:</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$50,000 [Investment Amount at Term Start Date] + $5,000 [Performance Rate Adjustment] = $55,000</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Shield Options after Transfer:</w:t>
      </w:r>
    </w:p>
    <w:p>
      <w:pPr>
        <w:spacing w:after="0" w:line="24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48</w:t>
      </w:r>
    </w:p>
    <w:p>
      <w:pPr>
        <w:sectPr>
          <w:pgSz w:w="11900" w:h="16838" w:orient="portrait"/>
          <w:cols w:equalWidth="0" w:num="1">
            <w:col w:w="9359"/>
          </w:cols>
          <w:pgMar w:left="1100" w:top="966" w:right="1440"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195"/>
        </w:trPr>
        <w:tc>
          <w:tcPr>
            <w:tcW w:w="2040" w:type="dxa"/>
            <w:vAlign w:val="bottom"/>
            <w:tcBorders>
              <w:top w:val="single" w:sz="8" w:color="auto"/>
              <w:left w:val="single" w:sz="8" w:color="auto"/>
              <w:bottom w:val="single" w:sz="8" w:color="auto"/>
              <w:right w:val="single" w:sz="8" w:color="auto"/>
            </w:tcBorders>
            <w:gridSpan w:val="2"/>
          </w:tcPr>
          <w:p>
            <w:pPr>
              <w:ind w:left="720"/>
              <w:spacing w:after="0"/>
              <w:rPr>
                <w:sz w:val="20"/>
                <w:szCs w:val="20"/>
                <w:color w:val="auto"/>
              </w:rPr>
            </w:pPr>
            <w:r>
              <w:rPr>
                <w:rFonts w:ascii="Times New Roman" w:cs="Times New Roman" w:eastAsia="Times New Roman" w:hAnsi="Times New Roman"/>
                <w:sz w:val="10"/>
                <w:szCs w:val="10"/>
                <w:b w:val="1"/>
                <w:bCs w:val="1"/>
                <w:color w:val="auto"/>
              </w:rPr>
              <w:t>Contract Year</w:t>
            </w:r>
          </w:p>
        </w:tc>
        <w:tc>
          <w:tcPr>
            <w:tcW w:w="1840" w:type="dxa"/>
            <w:vAlign w:val="bottom"/>
            <w:tcBorders>
              <w:top w:val="single" w:sz="8" w:color="auto"/>
              <w:bottom w:val="single" w:sz="8" w:color="auto"/>
            </w:tcBorders>
          </w:tcPr>
          <w:p>
            <w:pPr>
              <w:spacing w:after="0"/>
              <w:rPr>
                <w:sz w:val="16"/>
                <w:szCs w:val="16"/>
                <w:color w:val="auto"/>
              </w:rPr>
            </w:pPr>
          </w:p>
        </w:tc>
        <w:tc>
          <w:tcPr>
            <w:tcW w:w="1960" w:type="dxa"/>
            <w:vAlign w:val="bottom"/>
            <w:tcBorders>
              <w:top w:val="single" w:sz="8" w:color="auto"/>
              <w:bottom w:val="single" w:sz="8" w:color="auto"/>
              <w:right w:val="single" w:sz="8" w:color="auto"/>
            </w:tcBorders>
            <w:gridSpan w:val="2"/>
          </w:tcPr>
          <w:p>
            <w:pPr>
              <w:jc w:val="right"/>
              <w:ind w:right="1820"/>
              <w:spacing w:after="0"/>
              <w:rPr>
                <w:sz w:val="20"/>
                <w:szCs w:val="20"/>
                <w:color w:val="auto"/>
              </w:rPr>
            </w:pPr>
            <w:r>
              <w:rPr>
                <w:rFonts w:ascii="Times New Roman" w:cs="Times New Roman" w:eastAsia="Times New Roman" w:hAnsi="Times New Roman"/>
                <w:sz w:val="10"/>
                <w:szCs w:val="10"/>
                <w:b w:val="1"/>
                <w:bCs w:val="1"/>
                <w:color w:val="auto"/>
              </w:rPr>
              <w:t>2</w:t>
            </w:r>
          </w:p>
        </w:tc>
      </w:tr>
      <w:tr>
        <w:trPr>
          <w:trHeight w:val="163"/>
        </w:trPr>
        <w:tc>
          <w:tcPr>
            <w:tcW w:w="740" w:type="dxa"/>
            <w:vAlign w:val="bottom"/>
            <w:tcBorders>
              <w:lef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840" w:type="dxa"/>
            <w:vAlign w:val="bottom"/>
          </w:tcPr>
          <w:p>
            <w:pPr>
              <w:jc w:val="center"/>
              <w:spacing w:after="0" w:line="163" w:lineRule="exact"/>
              <w:rPr>
                <w:sz w:val="20"/>
                <w:szCs w:val="20"/>
                <w:color w:val="auto"/>
              </w:rPr>
            </w:pPr>
            <w:r>
              <w:rPr>
                <w:rFonts w:ascii="Times New Roman" w:cs="Times New Roman" w:eastAsia="Times New Roman" w:hAnsi="Times New Roman"/>
                <w:sz w:val="12"/>
                <w:szCs w:val="12"/>
                <w:color w:val="auto"/>
                <w:w w:val="97"/>
              </w:rPr>
              <w:t>1-Year Term / Shield 10 / S&amp;P 500</w:t>
            </w:r>
            <w:r>
              <w:rPr>
                <w:rFonts w:ascii="Times New Roman" w:cs="Times New Roman" w:eastAsia="Times New Roman" w:hAnsi="Times New Roman"/>
                <w:sz w:val="15"/>
                <w:szCs w:val="15"/>
                <w:color w:val="auto"/>
                <w:w w:val="97"/>
                <w:vertAlign w:val="superscript"/>
              </w:rPr>
              <w:t>®</w:t>
            </w:r>
          </w:p>
        </w:tc>
        <w:tc>
          <w:tcPr>
            <w:tcW w:w="4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1-Year Term / Shield 10 / Russell</w:t>
            </w:r>
          </w:p>
        </w:tc>
      </w:tr>
      <w:tr>
        <w:trPr>
          <w:trHeight w:val="203"/>
        </w:trPr>
        <w:tc>
          <w:tcPr>
            <w:tcW w:w="740" w:type="dxa"/>
            <w:vAlign w:val="bottom"/>
            <w:tcBorders>
              <w:left w:val="single" w:sz="8" w:color="auto"/>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Index with a Cap Rate of 10%</w:t>
            </w:r>
          </w:p>
        </w:tc>
        <w:tc>
          <w:tcPr>
            <w:tcW w:w="4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2000</w:t>
            </w:r>
            <w:r>
              <w:rPr>
                <w:rFonts w:ascii="Times New Roman" w:cs="Times New Roman" w:eastAsia="Times New Roman" w:hAnsi="Times New Roman"/>
                <w:sz w:val="15"/>
                <w:szCs w:val="15"/>
                <w:color w:val="auto"/>
                <w:w w:val="98"/>
                <w:vertAlign w:val="superscript"/>
              </w:rPr>
              <w:t>®</w:t>
            </w:r>
            <w:r>
              <w:rPr>
                <w:rFonts w:ascii="Times New Roman" w:cs="Times New Roman" w:eastAsia="Times New Roman" w:hAnsi="Times New Roman"/>
                <w:sz w:val="12"/>
                <w:szCs w:val="12"/>
                <w:color w:val="auto"/>
                <w:w w:val="98"/>
              </w:rPr>
              <w:t xml:space="preserve"> Index with a Cap Rate of 12%</w:t>
            </w:r>
          </w:p>
        </w:tc>
      </w:tr>
      <w:tr>
        <w:trPr>
          <w:trHeight w:val="128"/>
        </w:trPr>
        <w:tc>
          <w:tcPr>
            <w:tcW w:w="2040" w:type="dxa"/>
            <w:vAlign w:val="bottom"/>
            <w:tcBorders>
              <w:left w:val="single" w:sz="8" w:color="auto"/>
              <w:right w:val="single" w:sz="8" w:color="auto"/>
            </w:tcBorders>
            <w:gridSpan w:val="2"/>
          </w:tcPr>
          <w:p>
            <w:pPr>
              <w:ind w:left="80"/>
              <w:spacing w:after="0" w:line="128" w:lineRule="exact"/>
              <w:rPr>
                <w:sz w:val="20"/>
                <w:szCs w:val="20"/>
                <w:color w:val="auto"/>
              </w:rPr>
            </w:pPr>
            <w:r>
              <w:rPr>
                <w:rFonts w:ascii="Times New Roman" w:cs="Times New Roman" w:eastAsia="Times New Roman" w:hAnsi="Times New Roman"/>
                <w:sz w:val="12"/>
                <w:szCs w:val="12"/>
                <w:color w:val="auto"/>
              </w:rPr>
              <w:t>Investment Amount at Term Start Date</w:t>
            </w:r>
          </w:p>
        </w:tc>
        <w:tc>
          <w:tcPr>
            <w:tcW w:w="184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r>
      <w:tr>
        <w:trPr>
          <w:trHeight w:val="198"/>
        </w:trPr>
        <w:tc>
          <w:tcPr>
            <w:tcW w:w="204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(second term)</w:t>
            </w:r>
            <w:r>
              <w:rPr>
                <w:rFonts w:ascii="Times New Roman" w:cs="Times New Roman" w:eastAsia="Times New Roman" w:hAnsi="Times New Roman"/>
                <w:sz w:val="15"/>
                <w:szCs w:val="15"/>
                <w:color w:val="auto"/>
                <w:vertAlign w:val="superscript"/>
              </w:rPr>
              <w:t>(1)</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$27,500</w:t>
            </w:r>
          </w:p>
        </w:tc>
        <w:tc>
          <w:tcPr>
            <w:tcW w:w="4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$27,500</w:t>
            </w:r>
          </w:p>
        </w:tc>
      </w:tr>
      <w:tr>
        <w:trPr>
          <w:trHeight w:val="130"/>
        </w:trPr>
        <w:tc>
          <w:tcPr>
            <w:tcW w:w="740" w:type="dxa"/>
            <w:vAlign w:val="bottom"/>
            <w:tcBorders>
              <w:bottom w:val="single" w:sz="8" w:color="9A9A9A"/>
            </w:tcBorders>
          </w:tcPr>
          <w:p>
            <w:pPr>
              <w:spacing w:after="0"/>
              <w:rPr>
                <w:sz w:val="11"/>
                <w:szCs w:val="11"/>
                <w:color w:val="auto"/>
              </w:rPr>
            </w:pPr>
          </w:p>
        </w:tc>
        <w:tc>
          <w:tcPr>
            <w:tcW w:w="1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57395" cy="36830"/>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-23495</wp:posOffset>
            </wp:positionV>
            <wp:extent cx="3111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3111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the table above.</w:t>
      </w:r>
    </w:p>
    <w:p>
      <w:pPr>
        <w:spacing w:after="0" w:line="233" w:lineRule="auto"/>
        <w:rPr>
          <w:sz w:val="20"/>
          <w:szCs w:val="20"/>
          <w:color w:val="auto"/>
        </w:rPr>
      </w:pPr>
      <w:r>
        <w:rPr>
          <w:rFonts w:ascii="Times New Roman" w:cs="Times New Roman" w:eastAsia="Times New Roman" w:hAnsi="Times New Roman"/>
          <w:sz w:val="6"/>
          <w:szCs w:val="6"/>
          <w:color w:val="auto"/>
        </w:rPr>
        <w:t>(1)</w:t>
      </w:r>
    </w:p>
    <w:p>
      <w:pPr>
        <w:ind w:left="240" w:right="3899"/>
        <w:spacing w:after="0" w:line="233" w:lineRule="auto"/>
        <w:rPr>
          <w:sz w:val="20"/>
          <w:szCs w:val="20"/>
          <w:color w:val="auto"/>
        </w:rPr>
      </w:pPr>
      <w:r>
        <w:rPr>
          <w:rFonts w:ascii="Times New Roman" w:cs="Times New Roman" w:eastAsia="Times New Roman" w:hAnsi="Times New Roman"/>
          <w:sz w:val="12"/>
          <w:szCs w:val="12"/>
          <w:color w:val="auto"/>
        </w:rPr>
        <w:t>The Investment Amount at Term End Date is reallocated so that 50% is renewed in the same Shield Option and 50% is allocated to a new Shield Option.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Transfers with the Performance Lock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Transfers or Renewals at Term End Date</w:t>
      </w:r>
    </w:p>
    <w:p>
      <w:pPr>
        <w:spacing w:after="0" w:line="82"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You may remain in your current Shield Option until the Term End Date and, during the Transfer Period, either (i) transfer all or a portion of the Performance Lock Value to a new Shield Option or to the Fixed Account (if available) or (ii) renew into the same Shield Option (if available) for a new Term. We must receive Notice of your election to transfer in a form satisfactory to us or by calling the Annuity Service Office at (888) 243-1932 no later than five (5) calendar days after the Contract Anniversary on which the transfer will take place. Your financial professional can provide more information, or you may contact our Annuity Service Office. If you decide to transfer the Performance Lock Value to a new Shield Option, the Index Value on the Term Start Date of your new Shield Option will be the then-current Index Value for that option. For renewals into the same Shield Option, a new Cap Rate, Step Rate, or Edge Rate will be declared and will go into effect on the Contract Anniversary that coincides with the beginning of the new Term in the Shield Option that just ended.</w:t>
      </w:r>
    </w:p>
    <w:p>
      <w:pPr>
        <w:spacing w:after="0" w:line="57" w:lineRule="exact"/>
        <w:rPr>
          <w:sz w:val="20"/>
          <w:szCs w:val="20"/>
          <w:color w:val="auto"/>
        </w:rPr>
      </w:pPr>
    </w:p>
    <w:p>
      <w:pPr>
        <w:jc w:val="both"/>
        <w:ind w:right="3859" w:firstLine="240"/>
        <w:spacing w:after="0" w:line="265" w:lineRule="auto"/>
        <w:rPr>
          <w:sz w:val="20"/>
          <w:szCs w:val="20"/>
          <w:color w:val="auto"/>
        </w:rPr>
      </w:pPr>
      <w:r>
        <w:rPr>
          <w:rFonts w:ascii="Times New Roman" w:cs="Times New Roman" w:eastAsia="Times New Roman" w:hAnsi="Times New Roman"/>
          <w:sz w:val="12"/>
          <w:szCs w:val="12"/>
          <w:color w:val="auto"/>
        </w:rPr>
        <w:t>If you do not notify us to transfer to a new Shield Option or to the Fixed Account, the Performance Lock Value will automatically be renewed into the same Shield Option, subject to the new Cap Rate, Step Rate, or Edge Rate, in effect.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Transfers on a Contract Anniversary before the Term End Date</w:t>
      </w:r>
    </w:p>
    <w:p>
      <w:pPr>
        <w:spacing w:after="0" w:line="82"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After exercising the Performance Lock, you may elect to transfer the Performance Lock Value to a new Shield Option or to the Fixed Account (if available) on any Contract Anniversary that is not a Term End Date. We must receive Notice of your election to transfer prior to or on any Contract Anniversary prior to the Term End Date. Notice of election to transfer under such circumstances must be received at our Annuity Service Office using one of the methods of communication identified in “REQUESTS AND ELECTIONS.” A transfer of the Performance Lock Value will only occur on a Contract Anniversary and you may only transfer the entire amount of the Performance Lock Value to a new Shield Option or to the Fixed Account (if available). On the Term End Date, you have the Transfer Period to transfer all or a portion of the Performance Lock Value.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Availability of Performance Lock with a New Shield Option</w:t>
      </w:r>
    </w:p>
    <w:p>
      <w:pPr>
        <w:spacing w:after="0" w:line="82"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Whether you choose to transfer or renew the Performance Lock Value to a new Shield Option at the Term End Date or transfer the Performance Lock Value to a new Shield Option prior to the Term End Date (or if the Performance Lock Value is automatically renewed or transferred), you will have the ability to elect the Performance Lock on that new Shield Option.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Transfer Requirements for the Fixed Account</w:t>
      </w:r>
    </w:p>
    <w:p>
      <w:pPr>
        <w:spacing w:after="0" w:line="82"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The amounts transferred to the Fixed Account must remain in the Fixed Account until the Fixed Account Term End Date (which, currently, will not be less than one (1) year). If the Fixed Account is not available, these amounts will automatically transfer into the Holding Account unless otherwise instructed by you during the Transfer Period.</w:t>
      </w:r>
    </w:p>
    <w:p>
      <w:pPr>
        <w:spacing w:after="0" w:line="19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PERFORMANCE LOCK</w:t>
      </w:r>
    </w:p>
    <w:p>
      <w:pPr>
        <w:spacing w:after="0" w:line="82"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With the Performance Lock, once during each Term you may elect to lock the Interim Value by providing Notice of election to the Annuity Service Office, using one of the methods identified in “REQUESTS AND ELECTIONS.” You may want to consult with your financial professional before exercising the Performance Lock. If you lock the Interim Value of a Shield Option (the “Performance Lock Value”), this means that under no circumstances will the Performance Lock Value increase or decrease during the remainder of the Term unless a withdrawal is taken.</w:t>
      </w:r>
    </w:p>
    <w:p>
      <w:pPr>
        <w:spacing w:after="0" w:line="53"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The Performance Lock may be requested on any Business Day prior to the Term End Date. We use the Interim Value calculated at the end of the current Business Day on which you exercise the Performance Lock to determine the Performance Lock Value. This means you will not be able to determine in advance the Performance Lock Value, and it may be higher or</w:t>
      </w:r>
    </w:p>
    <w:p>
      <w:pPr>
        <w:spacing w:after="0" w:line="17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49</w:t>
      </w:r>
    </w:p>
    <w:p>
      <w:pPr>
        <w:sectPr>
          <w:pgSz w:w="11900" w:h="16838" w:orient="portrait"/>
          <w:cols w:equalWidth="0" w:num="1">
            <w:col w:w="9359"/>
          </w:cols>
          <w:pgMar w:left="1100" w:top="951" w:right="1440" w:bottom="1440" w:gutter="0" w:footer="0" w:header="0"/>
        </w:sectPr>
      </w:pPr>
    </w:p>
    <w:bookmarkStart w:id="50" w:name="page51"/>
    <w:bookmarkEnd w:id="50"/>
    <w:p>
      <w:pPr>
        <w:jc w:val="both"/>
        <w:ind w:right="3839"/>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57395" cy="36830"/>
                    </a:xfrm>
                    <a:prstGeom prst="rect">
                      <a:avLst/>
                    </a:prstGeom>
                    <a:noFill/>
                  </pic:spPr>
                </pic:pic>
              </a:graphicData>
            </a:graphic>
          </wp:anchor>
        </w:drawing>
        <w:t>lower than it was at the point in time you requested the Performance Lock. If the Performance Lock is exercised when the Interim Value is less than the Investment Amount, you will lock in any loss, which could be below the Shield Rate. You may obtain your Interim Value on any Business Day by calling us at (888) 243-1932 or by accessing our website at www.brighthousefinancial.com. However, Interim Values fluctuate daily, and the current value(s) quoted may differ from the actual value(s) calculated at the time the Performance Lock is exercised.</w:t>
      </w:r>
    </w:p>
    <w:p>
      <w:pPr>
        <w:spacing w:after="0" w:line="53"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If we receive your Notice of election on a day that is not a Business Day, or after 4 PM Eastern Standard Time on a Business Day, the Notice of election will be deemed to have been received on the next Business Day. If multiple Notices of election are submitted during a Business Day, the last Notice received prior to 4 PM Eastern Standard Time or the close of the NYSE, whichever is earlier will be utilized. If the Performance Lock takes effect, subsequent Notices of election will be disregarded.</w:t>
      </w:r>
    </w:p>
    <w:p>
      <w:pPr>
        <w:spacing w:after="0" w:line="53"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color w:val="auto"/>
        </w:rPr>
        <w:t>Once the Performance Lock is exercised for a Shield Option, it is irrevocable for the remainder of that Term. The Performance Lock Value will be used as the value of that Shield Option for the remainder of the Term. This means, you will no longer participate in the Index Performance for the current Term and you may receive less than the full Cap Rate, Step Rate, or Edge Rate or less than the full protection of the Shield Rate, than you would have received if you waited for us to apply the Performance Rate Adjustment on the Term End Date. It is possible that you would have realized less of a loss or more of a gain if the Performance Lock occurred at a later time, or if the Shield Option was not locked.</w:t>
      </w:r>
    </w:p>
    <w:p>
      <w:pPr>
        <w:spacing w:after="0" w:line="54"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Only one Performance Lock can occur for any given Shield Option during a Term. The Performance Lock cannot be applied retroactively and must be for the full amount of the Interim Value at the end of the Business Day that we receive your request. Performance Lock requests for any amount other than the Interim Value are not permitted.</w:t>
      </w:r>
    </w:p>
    <w:p>
      <w:pPr>
        <w:spacing w:after="0" w:line="50"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Once a Shield Option is locked, the Performance Lock Value will not change for the rest of the Term, except that the Performance Lock Value will reflect any subsequent withdrawals that occur during the remainder of the Term. Withdrawals will reduce the Performance Lock Value by the dollar amount of the withdrawal. The amount in the Shield Option that is available before the Term End Date for annuitization, death benefits, withdrawals, and Surrenders will be the Performance Lock Value. The Performance Lock Value (reduced for any withdrawals from the locked value) is also the amount that is available for reallocation or transfer for a new Term.</w:t>
      </w:r>
    </w:p>
    <w:p>
      <w:pPr>
        <w:spacing w:after="0" w:line="53"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Upon executing the Performance Lock, the Performance Lock Value will remain in the Shield Option and you have the option of (1) transferring the entire Performance Lock Value to any available Shield Option or to the Fixed Account on any Contract Anniversary occurring prior to the Term End Date or (2) remaining in your current Shield Option until the Term End Date and either (i) transferring all or a portion of the Performance Lock Value to a new Shield Option or to the Fixed Account (if available) or (ii) renewing all or a portion into the same Shield Option (if available) for a new Term. See “Transfers” above for additional information.</w:t>
      </w:r>
    </w:p>
    <w:p>
      <w:pPr>
        <w:spacing w:after="0" w:line="53"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There may not be an optimal time to exercise the Performance Lock on a Shield Option. We will not advise you as to whether you should or should not exercise the Performance Lock, or the optimal time for doing so.</w:t>
      </w:r>
    </w:p>
    <w:p>
      <w:pPr>
        <w:spacing w:after="0" w:line="39"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We reserve the right to limit the use of the Performance Lock feature for certain Shield Options. Additionally, we may discontinue the use of this feature for future Performance Lock requests at any time.</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 currently offer the Performance Lock with all Shield Options.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Example 4—Calculating the Performance Lock Value</w:t>
      </w:r>
    </w:p>
    <w:p>
      <w:pPr>
        <w:spacing w:after="0" w:line="82" w:lineRule="exact"/>
        <w:rPr>
          <w:sz w:val="20"/>
          <w:szCs w:val="20"/>
          <w:color w:val="auto"/>
        </w:rPr>
      </w:pPr>
    </w:p>
    <w:p>
      <w:pPr>
        <w:jc w:val="both"/>
        <w:ind w:right="3839" w:firstLine="240"/>
        <w:spacing w:after="0" w:line="247" w:lineRule="auto"/>
        <w:rPr>
          <w:sz w:val="20"/>
          <w:szCs w:val="20"/>
          <w:color w:val="auto"/>
        </w:rPr>
      </w:pPr>
      <w:r>
        <w:rPr>
          <w:rFonts w:ascii="Times New Roman" w:cs="Times New Roman" w:eastAsia="Times New Roman" w:hAnsi="Times New Roman"/>
          <w:sz w:val="12"/>
          <w:szCs w:val="12"/>
          <w:color w:val="auto"/>
        </w:rPr>
        <w:t>Examples 4A and 4B are intended to show how the Performance Lock works. The examples assume a $100,000 Purchase Payment allocation to a 1-Year Term / Shield 10 /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with a Cap Rate of 10% and no Shield Option Fee. Example 4A illustrates the Performance Lock by locking in the Interim Value on the Business Day you request to exercise the Performance Lock, which in this example occurs halfway in the 1-Year Term. Example 4B illustrates the Performance Lock by calculating the remaining Performance Lock Value after a subsequent $50,000 withdrawal (including Withdrawal Charges) is taken halfway through the 1-Year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50</w:t>
      </w:r>
    </w:p>
    <w:p>
      <w:pPr>
        <w:sectPr>
          <w:pgSz w:w="11900" w:h="16838" w:orient="portrait"/>
          <w:cols w:equalWidth="0" w:num="1">
            <w:col w:w="9359"/>
          </w:cols>
          <w:pgMar w:left="1100" w:top="96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57395" cy="36830"/>
                    </a:xfrm>
                    <a:prstGeom prst="rect">
                      <a:avLst/>
                    </a:prstGeom>
                    <a:noFill/>
                  </pic:spPr>
                </pic:pic>
              </a:graphicData>
            </a:graphic>
          </wp:anchor>
        </w:drawing>
        <w:t>Example 4A—Locking in an Interim Value (no withdrawals):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3504565" cy="17100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04565" cy="1710055"/>
                    </a:xfrm>
                    <a:prstGeom prst="rect">
                      <a:avLst/>
                    </a:prstGeom>
                    <a:noFill/>
                  </pic:spPr>
                </pic:pic>
              </a:graphicData>
            </a:graphic>
          </wp:anchor>
        </w:drawing>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Term Start Date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Borders>
              <w:top w:val="single" w:sz="8" w:color="auto"/>
              <w:bottom w:val="single" w:sz="8" w:color="auto"/>
            </w:tcBorders>
          </w:tcPr>
          <w:p>
            <w:pPr>
              <w:spacing w:after="0"/>
              <w:rPr>
                <w:sz w:val="15"/>
                <w:szCs w:val="15"/>
                <w:color w:val="auto"/>
              </w:rPr>
            </w:pPr>
          </w:p>
        </w:tc>
        <w:tc>
          <w:tcPr>
            <w:tcW w:w="428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Investment Amount</w:t>
            </w: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$100,000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Shield Rate</w:t>
            </w:r>
          </w:p>
        </w:tc>
        <w:tc>
          <w:tcPr>
            <w:tcW w:w="12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color w:val="auto"/>
              </w:rPr>
              <w:t>Shield 10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Cap Rate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Index Value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1,000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Interim Value Calculation Halfway Through Term</w:t>
            </w:r>
          </w:p>
        </w:tc>
        <w:tc>
          <w:tcPr>
            <w:tcW w:w="1220" w:type="dxa"/>
            <w:vAlign w:val="bottom"/>
            <w:tcBorders>
              <w:bottom w:val="single" w:sz="8" w:color="auto"/>
            </w:tcBorders>
          </w:tcPr>
          <w:p>
            <w:pPr>
              <w:spacing w:after="0"/>
              <w:rPr>
                <w:sz w:val="14"/>
                <w:szCs w:val="14"/>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Index Value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1,200</w:t>
            </w:r>
          </w:p>
        </w:tc>
      </w:tr>
      <w:tr>
        <w:trPr>
          <w:trHeight w:val="187"/>
        </w:trPr>
        <w:tc>
          <w:tcPr>
            <w:tcW w:w="20" w:type="dxa"/>
            <w:vAlign w:val="bottom"/>
            <w:tcBorders>
              <w:bottom w:val="single" w:sz="8" w:color="auto"/>
            </w:tcBorders>
          </w:tcPr>
          <w:p>
            <w:pPr>
              <w:spacing w:after="0"/>
              <w:rPr>
                <w:sz w:val="16"/>
                <w:szCs w:val="16"/>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Index Performance</w:t>
            </w:r>
            <w:r>
              <w:rPr>
                <w:rFonts w:ascii="Times New Roman" w:cs="Times New Roman" w:eastAsia="Times New Roman" w:hAnsi="Times New Roman"/>
                <w:sz w:val="15"/>
                <w:szCs w:val="15"/>
                <w:color w:val="auto"/>
                <w:vertAlign w:val="superscript"/>
              </w:rPr>
              <w:t>(1)</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r>
      <w:tr>
        <w:trPr>
          <w:trHeight w:val="160"/>
        </w:trPr>
        <w:tc>
          <w:tcPr>
            <w:tcW w:w="20" w:type="dxa"/>
            <w:vAlign w:val="bottom"/>
            <w:tcBorders>
              <w:bottom w:val="single" w:sz="8" w:color="auto"/>
            </w:tcBorders>
          </w:tcPr>
          <w:p>
            <w:pPr>
              <w:spacing w:after="0"/>
              <w:rPr>
                <w:sz w:val="13"/>
                <w:szCs w:val="13"/>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Time Remaining in Shield Option (in months)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Market Value Rate on calculation date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Market value of Fixed Income Asset Proxy</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$98,904.80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Market value of Derivative Asset Proxy</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$8,124.74</w:t>
            </w:r>
          </w:p>
        </w:tc>
      </w:tr>
      <w:tr>
        <w:trPr>
          <w:trHeight w:val="187"/>
        </w:trPr>
        <w:tc>
          <w:tcPr>
            <w:tcW w:w="20" w:type="dxa"/>
            <w:vAlign w:val="bottom"/>
            <w:tcBorders>
              <w:bottom w:val="single" w:sz="8" w:color="auto"/>
            </w:tcBorders>
          </w:tcPr>
          <w:p>
            <w:pPr>
              <w:spacing w:after="0"/>
              <w:rPr>
                <w:sz w:val="16"/>
                <w:szCs w:val="16"/>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Interim Value of Shield Option</w:t>
            </w:r>
            <w:r>
              <w:rPr>
                <w:rFonts w:ascii="Times New Roman" w:cs="Times New Roman" w:eastAsia="Times New Roman" w:hAnsi="Times New Roman"/>
                <w:sz w:val="15"/>
                <w:szCs w:val="15"/>
                <w:color w:val="auto"/>
                <w:vertAlign w:val="superscript"/>
              </w:rPr>
              <w:t>(2)</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$107,029.53</w:t>
            </w:r>
          </w:p>
        </w:tc>
      </w:tr>
      <w:tr>
        <w:trPr>
          <w:trHeight w:val="163"/>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line="164" w:lineRule="exact"/>
              <w:rPr>
                <w:sz w:val="20"/>
                <w:szCs w:val="20"/>
                <w:color w:val="auto"/>
              </w:rPr>
            </w:pPr>
            <w:r>
              <w:rPr>
                <w:rFonts w:ascii="Times New Roman" w:cs="Times New Roman" w:eastAsia="Times New Roman" w:hAnsi="Times New Roman"/>
                <w:sz w:val="12"/>
                <w:szCs w:val="12"/>
                <w:b w:val="1"/>
                <w:bCs w:val="1"/>
                <w:color w:val="auto"/>
              </w:rPr>
              <w:t>Performance Lock Value</w:t>
            </w:r>
            <w:r>
              <w:rPr>
                <w:rFonts w:ascii="Times New Roman" w:cs="Times New Roman" w:eastAsia="Times New Roman" w:hAnsi="Times New Roman"/>
                <w:sz w:val="15"/>
                <w:szCs w:val="15"/>
                <w:color w:val="auto"/>
                <w:vertAlign w:val="superscript"/>
              </w:rPr>
              <w:t>(3)</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$107,029.53</w:t>
            </w:r>
          </w:p>
        </w:tc>
      </w:tr>
      <w:tr>
        <w:trPr>
          <w:trHeight w:val="128"/>
        </w:trPr>
        <w:tc>
          <w:tcPr>
            <w:tcW w:w="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1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-29210</wp:posOffset>
            </wp:positionV>
            <wp:extent cx="3111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111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The following notes to the table above provide important calculations showing how certain values are determined.</w:t>
      </w:r>
    </w:p>
    <w:p>
      <w:pPr>
        <w:spacing w:after="0" w:line="35" w:lineRule="exact"/>
        <w:rPr>
          <w:sz w:val="20"/>
          <w:szCs w:val="20"/>
          <w:color w:val="auto"/>
        </w:rPr>
      </w:pPr>
    </w:p>
    <w:p>
      <w:pPr>
        <w:ind w:left="240" w:right="3919" w:hanging="232"/>
        <w:spacing w:after="0" w:line="216" w:lineRule="auto"/>
        <w:tabs>
          <w:tab w:leader="none" w:pos="240" w:val="left"/>
        </w:tabs>
        <w:numPr>
          <w:ilvl w:val="0"/>
          <w:numId w:val="3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Index Performance is equal to the percentage change in the Index Value measured from the Term Start Date to the date of the Interim Value calculation. Index Performance is calculated as follows:</w:t>
      </w:r>
    </w:p>
    <w:p>
      <w:pPr>
        <w:spacing w:after="0" w:line="34" w:lineRule="exact"/>
        <w:rPr>
          <w:sz w:val="20"/>
          <w:szCs w:val="20"/>
          <w:color w:val="auto"/>
        </w:rPr>
      </w:pPr>
    </w:p>
    <w:p>
      <w:pPr>
        <w:jc w:val="center"/>
        <w:ind w:right="3879"/>
        <w:spacing w:after="0"/>
        <w:rPr>
          <w:sz w:val="20"/>
          <w:szCs w:val="20"/>
          <w:color w:val="auto"/>
        </w:rPr>
      </w:pPr>
      <w:r>
        <w:rPr>
          <w:rFonts w:ascii="Times New Roman" w:cs="Times New Roman" w:eastAsia="Times New Roman" w:hAnsi="Times New Roman"/>
          <w:sz w:val="12"/>
          <w:szCs w:val="12"/>
          <w:color w:val="auto"/>
        </w:rPr>
        <w:t>(1,200 [Index Value on date of the Interim Value calculation] – 1,000 [Index Value at Term Start Date])</w:t>
      </w:r>
    </w:p>
    <w:p>
      <w:pPr>
        <w:spacing w:after="0" w:line="7"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color w:val="auto"/>
        </w:rPr>
        <w:t>÷ 1,000 [Index Value at Term Start Date] = 20%</w:t>
      </w:r>
    </w:p>
    <w:p>
      <w:pPr>
        <w:spacing w:after="0" w:line="181" w:lineRule="auto"/>
        <w:rPr>
          <w:sz w:val="20"/>
          <w:szCs w:val="20"/>
          <w:color w:val="auto"/>
        </w:rPr>
      </w:pPr>
      <w:r>
        <w:rPr>
          <w:rFonts w:ascii="Times New Roman" w:cs="Times New Roman" w:eastAsia="Times New Roman" w:hAnsi="Times New Roman"/>
          <w:sz w:val="5"/>
          <w:szCs w:val="5"/>
          <w:color w:val="auto"/>
        </w:rPr>
        <w:t>(2)</w:t>
      </w:r>
    </w:p>
    <w:p>
      <w:pPr>
        <w:ind w:left="240" w:right="3899"/>
        <w:spacing w:after="0" w:line="226" w:lineRule="auto"/>
        <w:rPr>
          <w:sz w:val="20"/>
          <w:szCs w:val="20"/>
          <w:color w:val="auto"/>
        </w:rPr>
      </w:pPr>
      <w:r>
        <w:rPr>
          <w:rFonts w:ascii="Times New Roman" w:cs="Times New Roman" w:eastAsia="Times New Roman" w:hAnsi="Times New Roman"/>
          <w:sz w:val="12"/>
          <w:szCs w:val="12"/>
          <w:color w:val="auto"/>
        </w:rPr>
        <w:t>The Interim Value is equal to the sum of the market value of the Fixed Income Asset Proxy and the Derivative Asset Proxy. This is the amount in the Shield Option selected that would be available if you</w:t>
      </w:r>
    </w:p>
    <w:p>
      <w:pPr>
        <w:spacing w:after="0" w:line="1" w:lineRule="exact"/>
        <w:rPr>
          <w:sz w:val="20"/>
          <w:szCs w:val="20"/>
          <w:color w:val="auto"/>
        </w:rPr>
      </w:pPr>
    </w:p>
    <w:p>
      <w:pPr>
        <w:ind w:left="240" w:right="3919"/>
        <w:spacing w:after="0" w:line="243" w:lineRule="auto"/>
        <w:rPr>
          <w:sz w:val="20"/>
          <w:szCs w:val="20"/>
          <w:color w:val="auto"/>
        </w:rPr>
      </w:pPr>
      <w:r>
        <w:rPr>
          <w:rFonts w:ascii="Times New Roman" w:cs="Times New Roman" w:eastAsia="Times New Roman" w:hAnsi="Times New Roman"/>
          <w:sz w:val="12"/>
          <w:szCs w:val="12"/>
          <w:color w:val="auto"/>
        </w:rPr>
        <w:t>annuitize, die, make a withdrawal or Surrender your Contract on that date. The Interim Value is calculated as follows:</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$98,904.80 [Market value of Fixed Income Asset Proxy] + $8,124.74 [Market value of Derivative Asset Proxy]</w:t>
      </w:r>
    </w:p>
    <w:p>
      <w:pPr>
        <w:ind w:left="2520" w:hanging="107"/>
        <w:spacing w:after="0"/>
        <w:tabs>
          <w:tab w:leader="none" w:pos="2520"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$107,029.53</w:t>
      </w:r>
    </w:p>
    <w:p>
      <w:pPr>
        <w:spacing w:after="0" w:line="30" w:lineRule="exact"/>
        <w:rPr>
          <w:rFonts w:ascii="Times New Roman" w:cs="Times New Roman" w:eastAsia="Times New Roman" w:hAnsi="Times New Roman"/>
          <w:sz w:val="12"/>
          <w:szCs w:val="12"/>
          <w:color w:val="auto"/>
        </w:rPr>
      </w:pPr>
    </w:p>
    <w:p>
      <w:pPr>
        <w:jc w:val="both"/>
        <w:ind w:left="240" w:right="3899" w:hanging="232"/>
        <w:spacing w:after="0" w:line="217" w:lineRule="auto"/>
        <w:tabs>
          <w:tab w:leader="none" w:pos="240" w:val="left"/>
        </w:tabs>
        <w:numPr>
          <w:ilvl w:val="0"/>
          <w:numId w:val="4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Performance Lock Value is equal to the Interim Value of the Shield Option(s) at the end of the Business Day that you exercise Performance Lock, reduced by the dollar amount of any subsequent withdrawals (including any applicable Withdrawal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51</w:t>
      </w:r>
    </w:p>
    <w:p>
      <w:pPr>
        <w:sectPr>
          <w:pgSz w:w="11900" w:h="16838" w:orient="portrait"/>
          <w:cols w:equalWidth="0" w:num="1">
            <w:col w:w="9359"/>
          </w:cols>
          <w:pgMar w:left="1100" w:top="96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57395" cy="36830"/>
                    </a:xfrm>
                    <a:prstGeom prst="rect">
                      <a:avLst/>
                    </a:prstGeom>
                    <a:noFill/>
                  </pic:spPr>
                </pic:pic>
              </a:graphicData>
            </a:graphic>
          </wp:anchor>
        </w:drawing>
        <w:t>Example 4B—The Performance Lock Value After Withdrawal (including Withdrawal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3504565" cy="2327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04565" cy="2327275"/>
                    </a:xfrm>
                    <a:prstGeom prst="rect">
                      <a:avLst/>
                    </a:prstGeom>
                    <a:noFill/>
                  </pic:spPr>
                </pic:pic>
              </a:graphicData>
            </a:graphic>
          </wp:anchor>
        </w:drawing>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Term Start Date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Borders>
              <w:top w:val="single" w:sz="8" w:color="auto"/>
              <w:bottom w:val="single" w:sz="8" w:color="auto"/>
            </w:tcBorders>
          </w:tcPr>
          <w:p>
            <w:pPr>
              <w:spacing w:after="0"/>
              <w:rPr>
                <w:sz w:val="15"/>
                <w:szCs w:val="15"/>
                <w:color w:val="auto"/>
              </w:rPr>
            </w:pPr>
          </w:p>
        </w:tc>
        <w:tc>
          <w:tcPr>
            <w:tcW w:w="4280" w:type="dxa"/>
            <w:vAlign w:val="bottom"/>
            <w:tcBorders>
              <w:top w:val="single" w:sz="8" w:color="auto"/>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Investment Amount</w:t>
            </w: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$100,000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Shield Rate</w:t>
            </w:r>
          </w:p>
        </w:tc>
        <w:tc>
          <w:tcPr>
            <w:tcW w:w="12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color w:val="auto"/>
              </w:rPr>
              <w:t>Shield 10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Cap Rate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Index Value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1,000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Interim Value Calculation Halfway Through Term</w:t>
            </w:r>
          </w:p>
        </w:tc>
        <w:tc>
          <w:tcPr>
            <w:tcW w:w="1220" w:type="dxa"/>
            <w:vAlign w:val="bottom"/>
            <w:tcBorders>
              <w:bottom w:val="single" w:sz="8" w:color="auto"/>
            </w:tcBorders>
          </w:tcPr>
          <w:p>
            <w:pPr>
              <w:spacing w:after="0"/>
              <w:rPr>
                <w:sz w:val="14"/>
                <w:szCs w:val="14"/>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Index Value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1,200</w:t>
            </w:r>
          </w:p>
        </w:tc>
      </w:tr>
      <w:tr>
        <w:trPr>
          <w:trHeight w:val="187"/>
        </w:trPr>
        <w:tc>
          <w:tcPr>
            <w:tcW w:w="20" w:type="dxa"/>
            <w:vAlign w:val="bottom"/>
            <w:tcBorders>
              <w:bottom w:val="single" w:sz="8" w:color="auto"/>
            </w:tcBorders>
          </w:tcPr>
          <w:p>
            <w:pPr>
              <w:spacing w:after="0"/>
              <w:rPr>
                <w:sz w:val="16"/>
                <w:szCs w:val="16"/>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Index Performance</w:t>
            </w:r>
            <w:r>
              <w:rPr>
                <w:rFonts w:ascii="Times New Roman" w:cs="Times New Roman" w:eastAsia="Times New Roman" w:hAnsi="Times New Roman"/>
                <w:sz w:val="15"/>
                <w:szCs w:val="15"/>
                <w:color w:val="auto"/>
                <w:vertAlign w:val="superscript"/>
              </w:rPr>
              <w:t>(1)</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r>
      <w:tr>
        <w:trPr>
          <w:trHeight w:val="160"/>
        </w:trPr>
        <w:tc>
          <w:tcPr>
            <w:tcW w:w="20" w:type="dxa"/>
            <w:vAlign w:val="bottom"/>
            <w:tcBorders>
              <w:bottom w:val="single" w:sz="8" w:color="auto"/>
            </w:tcBorders>
          </w:tcPr>
          <w:p>
            <w:pPr>
              <w:spacing w:after="0"/>
              <w:rPr>
                <w:sz w:val="13"/>
                <w:szCs w:val="13"/>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Time Remaining in Shield Option (in months)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Market Value Rate on calculation date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Market value of Fixed Income Asset Proxy</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$98,904.80</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Market value of Derivative Asset Proxy</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$8,124.74</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Time Remaining in Shield Option (in months)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w:t>
            </w:r>
          </w:p>
        </w:tc>
      </w:tr>
      <w:tr>
        <w:trPr>
          <w:trHeight w:val="187"/>
        </w:trPr>
        <w:tc>
          <w:tcPr>
            <w:tcW w:w="20" w:type="dxa"/>
            <w:vAlign w:val="bottom"/>
            <w:tcBorders>
              <w:bottom w:val="single" w:sz="8" w:color="auto"/>
            </w:tcBorders>
          </w:tcPr>
          <w:p>
            <w:pPr>
              <w:spacing w:after="0"/>
              <w:rPr>
                <w:sz w:val="16"/>
                <w:szCs w:val="16"/>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Interim Value of Shield Option on day you exercise Performance Lock</w:t>
            </w:r>
            <w:r>
              <w:rPr>
                <w:rFonts w:ascii="Times New Roman" w:cs="Times New Roman" w:eastAsia="Times New Roman" w:hAnsi="Times New Roman"/>
                <w:sz w:val="15"/>
                <w:szCs w:val="15"/>
                <w:color w:val="auto"/>
                <w:vertAlign w:val="superscript"/>
              </w:rPr>
              <w:t>(2)</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$107,029.53</w:t>
            </w:r>
          </w:p>
        </w:tc>
      </w:tr>
      <w:tr>
        <w:trPr>
          <w:trHeight w:val="160"/>
        </w:trPr>
        <w:tc>
          <w:tcPr>
            <w:tcW w:w="20" w:type="dxa"/>
            <w:vAlign w:val="bottom"/>
            <w:tcBorders>
              <w:bottom w:val="single" w:sz="8" w:color="auto"/>
            </w:tcBorders>
          </w:tcPr>
          <w:p>
            <w:pPr>
              <w:spacing w:after="0"/>
              <w:rPr>
                <w:sz w:val="13"/>
                <w:szCs w:val="13"/>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Gross Withdrawal Amount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$50,000</w:t>
            </w:r>
          </w:p>
        </w:tc>
      </w:tr>
      <w:tr>
        <w:trPr>
          <w:trHeight w:val="187"/>
        </w:trPr>
        <w:tc>
          <w:tcPr>
            <w:tcW w:w="20" w:type="dxa"/>
            <w:vAlign w:val="bottom"/>
            <w:tcBorders>
              <w:bottom w:val="single" w:sz="8" w:color="auto"/>
            </w:tcBorders>
          </w:tcPr>
          <w:p>
            <w:pPr>
              <w:spacing w:after="0"/>
              <w:rPr>
                <w:sz w:val="16"/>
                <w:szCs w:val="16"/>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Free Withdrawal Amount</w:t>
            </w:r>
            <w:r>
              <w:rPr>
                <w:rFonts w:ascii="Times New Roman" w:cs="Times New Roman" w:eastAsia="Times New Roman" w:hAnsi="Times New Roman"/>
                <w:sz w:val="15"/>
                <w:szCs w:val="15"/>
                <w:color w:val="auto"/>
                <w:vertAlign w:val="superscript"/>
              </w:rPr>
              <w:t>(3)</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$10,000</w:t>
            </w:r>
          </w:p>
        </w:tc>
      </w:tr>
      <w:tr>
        <w:trPr>
          <w:trHeight w:val="178"/>
        </w:trPr>
        <w:tc>
          <w:tcPr>
            <w:tcW w:w="20" w:type="dxa"/>
            <w:vAlign w:val="bottom"/>
            <w:tcBorders>
              <w:bottom w:val="single" w:sz="8" w:color="auto"/>
            </w:tcBorders>
          </w:tcPr>
          <w:p>
            <w:pPr>
              <w:spacing w:after="0"/>
              <w:rPr>
                <w:sz w:val="15"/>
                <w:szCs w:val="15"/>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Withdrawal Charge Amount</w:t>
            </w:r>
            <w:r>
              <w:rPr>
                <w:rFonts w:ascii="Times New Roman" w:cs="Times New Roman" w:eastAsia="Times New Roman" w:hAnsi="Times New Roman"/>
                <w:sz w:val="15"/>
                <w:szCs w:val="15"/>
                <w:color w:val="auto"/>
                <w:vertAlign w:val="superscript"/>
              </w:rPr>
              <w:t>(4)</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$2,800</w:t>
            </w:r>
          </w:p>
        </w:tc>
      </w:tr>
      <w:tr>
        <w:trPr>
          <w:trHeight w:val="178"/>
        </w:trPr>
        <w:tc>
          <w:tcPr>
            <w:tcW w:w="20" w:type="dxa"/>
            <w:vAlign w:val="bottom"/>
            <w:tcBorders>
              <w:bottom w:val="single" w:sz="8" w:color="auto"/>
            </w:tcBorders>
          </w:tcPr>
          <w:p>
            <w:pPr>
              <w:spacing w:after="0"/>
              <w:rPr>
                <w:sz w:val="15"/>
                <w:szCs w:val="15"/>
                <w:color w:val="auto"/>
              </w:rPr>
            </w:pPr>
          </w:p>
        </w:tc>
        <w:tc>
          <w:tcPr>
            <w:tcW w:w="428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Net Proceeds from Withdrawal paid to Contract Owner</w:t>
            </w:r>
            <w:r>
              <w:rPr>
                <w:rFonts w:ascii="Times New Roman" w:cs="Times New Roman" w:eastAsia="Times New Roman" w:hAnsi="Times New Roman"/>
                <w:sz w:val="15"/>
                <w:szCs w:val="15"/>
                <w:color w:val="auto"/>
                <w:vertAlign w:val="superscript"/>
              </w:rPr>
              <w:t>(5)</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$47,200</w:t>
            </w:r>
          </w:p>
        </w:tc>
      </w:tr>
      <w:tr>
        <w:trPr>
          <w:trHeight w:val="164"/>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right w:val="single" w:sz="8" w:color="auto"/>
            </w:tcBorders>
            <w:gridSpan w:val="2"/>
          </w:tcPr>
          <w:p>
            <w:pPr>
              <w:ind w:left="180"/>
              <w:spacing w:after="0" w:line="164" w:lineRule="exact"/>
              <w:rPr>
                <w:sz w:val="20"/>
                <w:szCs w:val="20"/>
                <w:color w:val="auto"/>
              </w:rPr>
            </w:pPr>
            <w:r>
              <w:rPr>
                <w:rFonts w:ascii="Times New Roman" w:cs="Times New Roman" w:eastAsia="Times New Roman" w:hAnsi="Times New Roman"/>
                <w:sz w:val="12"/>
                <w:szCs w:val="12"/>
                <w:b w:val="1"/>
                <w:bCs w:val="1"/>
                <w:color w:val="auto"/>
              </w:rPr>
              <w:t>Performance Lock Value after Withdrawal</w:t>
            </w:r>
            <w:r>
              <w:rPr>
                <w:rFonts w:ascii="Times New Roman" w:cs="Times New Roman" w:eastAsia="Times New Roman" w:hAnsi="Times New Roman"/>
                <w:sz w:val="15"/>
                <w:szCs w:val="15"/>
                <w:color w:val="auto"/>
                <w:vertAlign w:val="superscript"/>
              </w:rPr>
              <w:t>(6)</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$57,029.53</w:t>
            </w:r>
          </w:p>
        </w:tc>
      </w:tr>
      <w:tr>
        <w:trPr>
          <w:trHeight w:val="128"/>
        </w:trPr>
        <w:tc>
          <w:tcPr>
            <w:tcW w:w="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560" w:type="dxa"/>
            <w:vAlign w:val="bottom"/>
          </w:tcPr>
          <w:p>
            <w:pPr>
              <w:spacing w:after="0"/>
              <w:rPr>
                <w:sz w:val="11"/>
                <w:szCs w:val="11"/>
                <w:color w:val="auto"/>
              </w:rPr>
            </w:pPr>
          </w:p>
        </w:tc>
        <w:tc>
          <w:tcPr>
            <w:tcW w:w="1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-29210</wp:posOffset>
            </wp:positionV>
            <wp:extent cx="3111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111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The following notes to the table above provide important calculations showing how certain values are determined.</w:t>
      </w:r>
    </w:p>
    <w:p>
      <w:pPr>
        <w:spacing w:after="0" w:line="197" w:lineRule="auto"/>
        <w:rPr>
          <w:sz w:val="20"/>
          <w:szCs w:val="20"/>
          <w:color w:val="auto"/>
        </w:rPr>
      </w:pPr>
      <w:r>
        <w:rPr>
          <w:rFonts w:ascii="Times New Roman" w:cs="Times New Roman" w:eastAsia="Times New Roman" w:hAnsi="Times New Roman"/>
          <w:sz w:val="6"/>
          <w:szCs w:val="6"/>
          <w:color w:val="auto"/>
        </w:rPr>
        <w:t>(1)</w:t>
      </w:r>
    </w:p>
    <w:p>
      <w:pPr>
        <w:jc w:val="both"/>
        <w:ind w:left="240" w:right="3919"/>
        <w:spacing w:after="0" w:line="233" w:lineRule="auto"/>
        <w:rPr>
          <w:sz w:val="20"/>
          <w:szCs w:val="20"/>
          <w:color w:val="auto"/>
        </w:rPr>
      </w:pPr>
      <w:r>
        <w:rPr>
          <w:rFonts w:ascii="Times New Roman" w:cs="Times New Roman" w:eastAsia="Times New Roman" w:hAnsi="Times New Roman"/>
          <w:sz w:val="12"/>
          <w:szCs w:val="12"/>
          <w:color w:val="auto"/>
        </w:rPr>
        <w:t>Index Performance is equal to the percentage change in the Index Value measured from the Term Start Date to the date of the Interim Value calculation. Index Performance is calculated as follows:</w:t>
      </w:r>
    </w:p>
    <w:p>
      <w:pPr>
        <w:spacing w:after="0" w:line="35" w:lineRule="exact"/>
        <w:rPr>
          <w:sz w:val="20"/>
          <w:szCs w:val="20"/>
          <w:color w:val="auto"/>
        </w:rPr>
      </w:pPr>
    </w:p>
    <w:p>
      <w:pPr>
        <w:jc w:val="center"/>
        <w:ind w:right="3879"/>
        <w:spacing w:after="0"/>
        <w:rPr>
          <w:sz w:val="20"/>
          <w:szCs w:val="20"/>
          <w:color w:val="auto"/>
        </w:rPr>
      </w:pPr>
      <w:r>
        <w:rPr>
          <w:rFonts w:ascii="Times New Roman" w:cs="Times New Roman" w:eastAsia="Times New Roman" w:hAnsi="Times New Roman"/>
          <w:sz w:val="12"/>
          <w:szCs w:val="12"/>
          <w:color w:val="auto"/>
        </w:rPr>
        <w:t>(1,200 [Index Value on the date of the Interim Value calculation] – 1,000 [Index Value at Term Start Date])</w:t>
      </w:r>
    </w:p>
    <w:p>
      <w:pPr>
        <w:spacing w:after="0" w:line="7"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color w:val="auto"/>
        </w:rPr>
        <w:t>÷ 1,000 [Index Value at Term Start Date] = 20%</w:t>
      </w:r>
    </w:p>
    <w:p>
      <w:pPr>
        <w:spacing w:after="0" w:line="181" w:lineRule="auto"/>
        <w:rPr>
          <w:sz w:val="20"/>
          <w:szCs w:val="20"/>
          <w:color w:val="auto"/>
        </w:rPr>
      </w:pPr>
      <w:r>
        <w:rPr>
          <w:rFonts w:ascii="Times New Roman" w:cs="Times New Roman" w:eastAsia="Times New Roman" w:hAnsi="Times New Roman"/>
          <w:sz w:val="5"/>
          <w:szCs w:val="5"/>
          <w:color w:val="auto"/>
        </w:rPr>
        <w:t>(2)</w:t>
      </w:r>
    </w:p>
    <w:p>
      <w:pPr>
        <w:ind w:left="240"/>
        <w:spacing w:after="0" w:line="235" w:lineRule="auto"/>
        <w:rPr>
          <w:sz w:val="20"/>
          <w:szCs w:val="20"/>
          <w:color w:val="auto"/>
        </w:rPr>
      </w:pPr>
      <w:r>
        <w:rPr>
          <w:rFonts w:ascii="Times New Roman" w:cs="Times New Roman" w:eastAsia="Times New Roman" w:hAnsi="Times New Roman"/>
          <w:sz w:val="12"/>
          <w:szCs w:val="12"/>
          <w:color w:val="auto"/>
        </w:rPr>
        <w:t>The Interim Value is equal to the sum of the market value of the Fixed Income Asset Proxy and the</w:t>
      </w:r>
    </w:p>
    <w:p>
      <w:pPr>
        <w:jc w:val="both"/>
        <w:ind w:left="240" w:right="3899"/>
        <w:spacing w:after="0" w:line="234" w:lineRule="auto"/>
        <w:rPr>
          <w:sz w:val="20"/>
          <w:szCs w:val="20"/>
          <w:color w:val="auto"/>
        </w:rPr>
      </w:pPr>
      <w:r>
        <w:rPr>
          <w:rFonts w:ascii="Times New Roman" w:cs="Times New Roman" w:eastAsia="Times New Roman" w:hAnsi="Times New Roman"/>
          <w:sz w:val="12"/>
          <w:szCs w:val="12"/>
          <w:color w:val="auto"/>
        </w:rPr>
        <w:t>Derivative Asset Proxy. This is the amount in the Shield Option selected that would be available if you annuitize, die, make a withdrawal or Surrender your Contract on that date. The Interim Value is calculated as follows:</w:t>
      </w:r>
    </w:p>
    <w:p>
      <w:pPr>
        <w:spacing w:after="0" w:line="34" w:lineRule="exact"/>
        <w:rPr>
          <w:sz w:val="20"/>
          <w:szCs w:val="20"/>
          <w:color w:val="auto"/>
        </w:rPr>
      </w:pPr>
    </w:p>
    <w:p>
      <w:pPr>
        <w:jc w:val="center"/>
        <w:ind w:right="3879"/>
        <w:spacing w:after="0"/>
        <w:rPr>
          <w:sz w:val="20"/>
          <w:szCs w:val="20"/>
          <w:color w:val="auto"/>
        </w:rPr>
      </w:pPr>
      <w:r>
        <w:rPr>
          <w:rFonts w:ascii="Times New Roman" w:cs="Times New Roman" w:eastAsia="Times New Roman" w:hAnsi="Times New Roman"/>
          <w:sz w:val="12"/>
          <w:szCs w:val="12"/>
          <w:color w:val="auto"/>
        </w:rPr>
        <w:t>$98,904.80 [Market value of Fixed Income Asset Proxy] + $8,124.74 [Market value of Derivative Asset Proxy]</w:t>
      </w:r>
    </w:p>
    <w:p>
      <w:pPr>
        <w:spacing w:after="0" w:line="7"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color w:val="auto"/>
        </w:rPr>
        <w:t>= $107,029.53</w:t>
      </w:r>
    </w:p>
    <w:p>
      <w:pPr>
        <w:spacing w:after="0" w:line="181" w:lineRule="auto"/>
        <w:rPr>
          <w:sz w:val="20"/>
          <w:szCs w:val="20"/>
          <w:color w:val="auto"/>
        </w:rPr>
      </w:pPr>
      <w:r>
        <w:rPr>
          <w:rFonts w:ascii="Times New Roman" w:cs="Times New Roman" w:eastAsia="Times New Roman" w:hAnsi="Times New Roman"/>
          <w:sz w:val="5"/>
          <w:szCs w:val="5"/>
          <w:color w:val="auto"/>
        </w:rPr>
        <w:t>(3)</w:t>
      </w:r>
    </w:p>
    <w:p>
      <w:pPr>
        <w:jc w:val="both"/>
        <w:ind w:left="240" w:right="3919"/>
        <w:spacing w:after="0" w:line="233" w:lineRule="auto"/>
        <w:rPr>
          <w:sz w:val="20"/>
          <w:szCs w:val="20"/>
          <w:color w:val="auto"/>
        </w:rPr>
      </w:pPr>
      <w:r>
        <w:rPr>
          <w:rFonts w:ascii="Times New Roman" w:cs="Times New Roman" w:eastAsia="Times New Roman" w:hAnsi="Times New Roman"/>
          <w:sz w:val="12"/>
          <w:szCs w:val="12"/>
          <w:color w:val="auto"/>
        </w:rPr>
        <w:t>The Free Withdrawal Amount is the value as of the most recent Contract Anniversary multiplied by the Free Withdrawal Amount Percentage. The Free Withdrawal Amount is amount is calculated as follows: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$100,000 [value as of most recent Contract Anniversary] x 10% [Free Withdrawal Amount Percentage] = $10,000</w:t>
      </w:r>
    </w:p>
    <w:p>
      <w:pPr>
        <w:spacing w:after="0" w:line="187" w:lineRule="auto"/>
        <w:rPr>
          <w:sz w:val="20"/>
          <w:szCs w:val="20"/>
          <w:color w:val="auto"/>
        </w:rPr>
      </w:pPr>
      <w:r>
        <w:rPr>
          <w:rFonts w:ascii="Times New Roman" w:cs="Times New Roman" w:eastAsia="Times New Roman" w:hAnsi="Times New Roman"/>
          <w:sz w:val="6"/>
          <w:szCs w:val="6"/>
          <w:color w:val="auto"/>
        </w:rPr>
        <w:t>(4)</w:t>
      </w:r>
    </w:p>
    <w:p>
      <w:pPr>
        <w:ind w:left="240" w:right="3899"/>
        <w:spacing w:after="0" w:line="243" w:lineRule="auto"/>
        <w:rPr>
          <w:sz w:val="20"/>
          <w:szCs w:val="20"/>
          <w:color w:val="auto"/>
        </w:rPr>
      </w:pPr>
      <w:r>
        <w:rPr>
          <w:rFonts w:ascii="Times New Roman" w:cs="Times New Roman" w:eastAsia="Times New Roman" w:hAnsi="Times New Roman"/>
          <w:sz w:val="12"/>
          <w:szCs w:val="12"/>
          <w:color w:val="auto"/>
        </w:rPr>
        <w:t>The Withdrawal Charge Amount is the gross withdrawal amount minus the Free Withdrawal Amount multiplied by the Withdrawal Charge.</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($50,000 [gross withdrawal amount] – $10,000 [Free Withdrawal Amount]) x 7% [Withdrawal Charge] = $2,800</w:t>
      </w:r>
    </w:p>
    <w:p>
      <w:pPr>
        <w:spacing w:after="0" w:line="187" w:lineRule="auto"/>
        <w:rPr>
          <w:sz w:val="20"/>
          <w:szCs w:val="20"/>
          <w:color w:val="auto"/>
        </w:rPr>
      </w:pPr>
      <w:r>
        <w:rPr>
          <w:rFonts w:ascii="Times New Roman" w:cs="Times New Roman" w:eastAsia="Times New Roman" w:hAnsi="Times New Roman"/>
          <w:sz w:val="6"/>
          <w:szCs w:val="6"/>
          <w:color w:val="auto"/>
        </w:rPr>
        <w:t>(5)</w:t>
      </w:r>
    </w:p>
    <w:p>
      <w:pPr>
        <w:ind w:left="240"/>
        <w:spacing w:after="0"/>
        <w:rPr>
          <w:sz w:val="20"/>
          <w:szCs w:val="20"/>
          <w:color w:val="auto"/>
        </w:rPr>
      </w:pPr>
      <w:r>
        <w:rPr>
          <w:rFonts w:ascii="Times New Roman" w:cs="Times New Roman" w:eastAsia="Times New Roman" w:hAnsi="Times New Roman"/>
          <w:sz w:val="12"/>
          <w:szCs w:val="12"/>
          <w:color w:val="auto"/>
        </w:rPr>
        <w:t>The net amount payable to the Contract Owner is equal to:</w:t>
      </w:r>
    </w:p>
    <w:p>
      <w:pPr>
        <w:spacing w:after="0" w:line="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$50,000 [the amount withdrawn] – $2,800 [Withdrawal Charges] = $47,200</w:t>
      </w:r>
    </w:p>
    <w:p>
      <w:pPr>
        <w:spacing w:after="0" w:line="187" w:lineRule="auto"/>
        <w:rPr>
          <w:sz w:val="20"/>
          <w:szCs w:val="20"/>
          <w:color w:val="auto"/>
        </w:rPr>
      </w:pPr>
      <w:r>
        <w:rPr>
          <w:rFonts w:ascii="Times New Roman" w:cs="Times New Roman" w:eastAsia="Times New Roman" w:hAnsi="Times New Roman"/>
          <w:sz w:val="6"/>
          <w:szCs w:val="6"/>
          <w:color w:val="auto"/>
        </w:rPr>
        <w:t>(6)</w:t>
      </w:r>
    </w:p>
    <w:p>
      <w:pPr>
        <w:jc w:val="both"/>
        <w:ind w:left="240" w:right="3899"/>
        <w:spacing w:after="0" w:line="233" w:lineRule="auto"/>
        <w:rPr>
          <w:sz w:val="20"/>
          <w:szCs w:val="20"/>
          <w:color w:val="auto"/>
        </w:rPr>
      </w:pPr>
      <w:r>
        <w:rPr>
          <w:rFonts w:ascii="Times New Roman" w:cs="Times New Roman" w:eastAsia="Times New Roman" w:hAnsi="Times New Roman"/>
          <w:sz w:val="12"/>
          <w:szCs w:val="12"/>
          <w:color w:val="auto"/>
        </w:rPr>
        <w:t>The Performance Lock Value is equal to the Interim Value of the Shield Option(s) at the end of the Business Day that you exercise Performance Lock, reduced by the dollar amount of the withdrawal.</w:t>
      </w:r>
    </w:p>
    <w:p>
      <w:pPr>
        <w:spacing w:after="0" w:line="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$107,029.53 [Performance Lock Value before Withdrawal] – $50,000 [Gross Withdrawal Amount]</w:t>
      </w:r>
    </w:p>
    <w:p>
      <w:pPr>
        <w:spacing w:after="0" w:line="9" w:lineRule="exact"/>
        <w:rPr>
          <w:sz w:val="20"/>
          <w:szCs w:val="20"/>
          <w:color w:val="auto"/>
        </w:rPr>
      </w:pPr>
    </w:p>
    <w:p>
      <w:pPr>
        <w:ind w:left="1460" w:hanging="88"/>
        <w:spacing w:after="0"/>
        <w:tabs>
          <w:tab w:leader="none" w:pos="146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$57,029.53 [Performance Lock Value after Withdrawal]</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85" w:lineRule="exact"/>
        <w:rPr>
          <w:rFonts w:ascii="Times New Roman" w:cs="Times New Roman" w:eastAsia="Times New Roman" w:hAnsi="Times New Roman"/>
          <w:sz w:val="12"/>
          <w:szCs w:val="12"/>
          <w:color w:val="auto"/>
        </w:rPr>
      </w:pPr>
    </w:p>
    <w:p>
      <w:pPr>
        <w:ind w:left="27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52</w:t>
      </w:r>
    </w:p>
    <w:p>
      <w:pPr>
        <w:sectPr>
          <w:pgSz w:w="11900" w:h="16838" w:orient="portrait"/>
          <w:cols w:equalWidth="0" w:num="1">
            <w:col w:w="9359"/>
          </w:cols>
          <w:pgMar w:left="1100" w:top="966" w:right="1440" w:bottom="1440" w:gutter="0" w:footer="0" w:header="0"/>
        </w:sectPr>
      </w:pPr>
    </w:p>
    <w:bookmarkStart w:id="53" w:name="page54"/>
    <w:bookmarkEnd w:id="53"/>
    <w:p>
      <w:pPr>
        <w:ind w:left="138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57395" cy="36830"/>
                    </a:xfrm>
                    <a:prstGeom prst="rect">
                      <a:avLst/>
                    </a:prstGeom>
                    <a:noFill/>
                  </pic:spPr>
                </pic:pic>
              </a:graphicData>
            </a:graphic>
          </wp:anchor>
        </w:drawing>
        <w:t>BENEFITS AVAILABLE UNDER THE CONTRACT</w:t>
      </w:r>
    </w:p>
    <w:p>
      <w:pPr>
        <w:spacing w:after="0" w:line="55" w:lineRule="exact"/>
        <w:rPr>
          <w:sz w:val="20"/>
          <w:szCs w:val="20"/>
          <w:color w:val="auto"/>
        </w:rPr>
      </w:pPr>
    </w:p>
    <w:p>
      <w:pPr>
        <w:ind w:right="3919"/>
        <w:spacing w:after="0" w:line="288" w:lineRule="auto"/>
        <w:rPr>
          <w:sz w:val="20"/>
          <w:szCs w:val="20"/>
          <w:color w:val="auto"/>
        </w:rPr>
      </w:pPr>
      <w:r>
        <w:rPr>
          <w:rFonts w:ascii="Times New Roman" w:cs="Times New Roman" w:eastAsia="Times New Roman" w:hAnsi="Times New Roman"/>
          <w:sz w:val="12"/>
          <w:szCs w:val="12"/>
          <w:color w:val="auto"/>
        </w:rPr>
        <w:t>The following table summarizes information about the standard benefits available under the Contract. The availability of Contract benefits may vary depending on the selling firm through which your Contract is sold. See Appendix G – Financial Intermediary Variations.</w:t>
      </w: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960" w:type="dxa"/>
            <w:vAlign w:val="bottom"/>
            <w:tcBorders>
              <w:top w:val="single" w:sz="8" w:color="auto"/>
              <w:left w:val="single" w:sz="8" w:color="auto"/>
              <w:right w:val="single" w:sz="8" w:color="auto"/>
            </w:tcBorders>
          </w:tcPr>
          <w:p>
            <w:pPr>
              <w:spacing w:after="0"/>
              <w:rPr>
                <w:sz w:val="14"/>
                <w:szCs w:val="14"/>
                <w:color w:val="auto"/>
              </w:rPr>
            </w:pPr>
          </w:p>
        </w:tc>
        <w:tc>
          <w:tcPr>
            <w:tcW w:w="1680" w:type="dxa"/>
            <w:vAlign w:val="bottom"/>
            <w:tcBorders>
              <w:top w:val="single" w:sz="8" w:color="auto"/>
              <w:right w:val="single" w:sz="8" w:color="auto"/>
            </w:tcBorders>
          </w:tcPr>
          <w:p>
            <w:pPr>
              <w:spacing w:after="0"/>
              <w:rPr>
                <w:sz w:val="14"/>
                <w:szCs w:val="14"/>
                <w:color w:val="auto"/>
              </w:rPr>
            </w:pPr>
          </w:p>
        </w:tc>
        <w:tc>
          <w:tcPr>
            <w:tcW w:w="118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2"/>
                <w:szCs w:val="12"/>
                <w:b w:val="1"/>
                <w:bCs w:val="1"/>
                <w:color w:val="auto"/>
              </w:rPr>
              <w:t>Brief Description of</w:t>
            </w:r>
          </w:p>
        </w:tc>
      </w:tr>
      <w:tr>
        <w:trPr>
          <w:trHeight w:val="168"/>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Name of Benefit</w:t>
            </w:r>
          </w:p>
        </w:tc>
        <w:tc>
          <w:tcPr>
            <w:tcW w:w="1680" w:type="dxa"/>
            <w:vAlign w:val="bottom"/>
            <w:tcBorders>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2"/>
                <w:szCs w:val="12"/>
                <w:b w:val="1"/>
                <w:bCs w:val="1"/>
                <w:color w:val="auto"/>
              </w:rPr>
              <w:t>Purpose</w:t>
            </w:r>
          </w:p>
        </w:tc>
        <w:tc>
          <w:tcPr>
            <w:tcW w:w="11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Maximum Fee</w:t>
            </w:r>
          </w:p>
        </w:tc>
        <w:tc>
          <w:tcPr>
            <w:tcW w:w="17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Restrictions/Limitations</w:t>
            </w:r>
          </w:p>
        </w:tc>
      </w:tr>
      <w:tr>
        <w:trPr>
          <w:trHeight w:val="145"/>
        </w:trPr>
        <w:tc>
          <w:tcPr>
            <w:tcW w:w="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Account Value</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Pays a death benefit equal to the</w:t>
            </w:r>
          </w:p>
        </w:tc>
        <w:tc>
          <w:tcPr>
            <w:tcW w:w="1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N/A</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Only available during the</w:t>
            </w:r>
          </w:p>
        </w:tc>
      </w:tr>
      <w:tr>
        <w:trPr>
          <w:trHeight w:val="144"/>
        </w:trPr>
        <w:tc>
          <w:tcPr>
            <w:tcW w:w="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Death Benefit</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Account Value</w:t>
            </w: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Accumulation Period.</w:t>
            </w:r>
          </w:p>
        </w:tc>
      </w:tr>
      <w:tr>
        <w:trPr>
          <w:trHeight w:val="144"/>
        </w:trPr>
        <w:tc>
          <w:tcPr>
            <w:tcW w:w="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(Standard Death</w:t>
            </w: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For Owners aged 81 or older</w:t>
            </w:r>
          </w:p>
        </w:tc>
      </w:tr>
      <w:tr>
        <w:trPr>
          <w:trHeight w:val="148"/>
        </w:trPr>
        <w:tc>
          <w:tcPr>
            <w:tcW w:w="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Benefit)</w:t>
            </w: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on the Issue Date of your</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Contract.</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Account Value may reflect an</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Interim Value calculation for</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the Shield Options, which may</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be less than the Investment</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Amount.</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Withdrawals will reduce the</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death benefit, perhaps</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significantly, and such</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reductions could be greater</w:t>
            </w:r>
          </w:p>
        </w:tc>
      </w:tr>
      <w:tr>
        <w:trPr>
          <w:trHeight w:val="164"/>
        </w:trPr>
        <w:tc>
          <w:tcPr>
            <w:tcW w:w="960" w:type="dxa"/>
            <w:vAlign w:val="bottom"/>
            <w:tcBorders>
              <w:left w:val="single" w:sz="8" w:color="auto"/>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than the amount withdrawn.</w:t>
            </w:r>
          </w:p>
        </w:tc>
      </w:tr>
      <w:tr>
        <w:trPr>
          <w:trHeight w:val="145"/>
        </w:trPr>
        <w:tc>
          <w:tcPr>
            <w:tcW w:w="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Return of</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Pays a death benefit equal to the</w:t>
            </w:r>
          </w:p>
        </w:tc>
        <w:tc>
          <w:tcPr>
            <w:tcW w:w="1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N/A</w:t>
            </w: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Only available during the</w:t>
            </w:r>
          </w:p>
        </w:tc>
      </w:tr>
      <w:tr>
        <w:trPr>
          <w:trHeight w:val="144"/>
        </w:trPr>
        <w:tc>
          <w:tcPr>
            <w:tcW w:w="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Premium Death</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greater of your Account Value or</w:t>
            </w: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Accumulation Period.</w:t>
            </w:r>
          </w:p>
        </w:tc>
      </w:tr>
      <w:tr>
        <w:trPr>
          <w:trHeight w:val="144"/>
        </w:trPr>
        <w:tc>
          <w:tcPr>
            <w:tcW w:w="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Benefit</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your Purchase Payment (adjusted</w:t>
            </w: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For Owners aged 80 or</w:t>
            </w:r>
          </w:p>
        </w:tc>
      </w:tr>
      <w:tr>
        <w:trPr>
          <w:trHeight w:val="144"/>
        </w:trPr>
        <w:tc>
          <w:tcPr>
            <w:tcW w:w="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(Standard Death</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for any withdrawals, including</w:t>
            </w: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younger on the Issue Date of</w:t>
            </w:r>
          </w:p>
        </w:tc>
      </w:tr>
      <w:tr>
        <w:trPr>
          <w:trHeight w:val="148"/>
        </w:trPr>
        <w:tc>
          <w:tcPr>
            <w:tcW w:w="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Benefit)</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Withdrawal Charges)</w:t>
            </w: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your Contract.</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Account Value may reflect an</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Interim Value calculation for</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the Shield Options, which may</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be less than the Investment</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Amount.</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 Withdrawals will reduce the</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death benefit, perhaps</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significantly, and such</w:t>
            </w:r>
          </w:p>
        </w:tc>
      </w:tr>
      <w:tr>
        <w:trPr>
          <w:trHeight w:val="144"/>
        </w:trPr>
        <w:tc>
          <w:tcPr>
            <w:tcW w:w="96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reductions could be greater</w:t>
            </w:r>
          </w:p>
        </w:tc>
      </w:tr>
      <w:tr>
        <w:trPr>
          <w:trHeight w:val="164"/>
        </w:trPr>
        <w:tc>
          <w:tcPr>
            <w:tcW w:w="960" w:type="dxa"/>
            <w:vAlign w:val="bottom"/>
            <w:tcBorders>
              <w:left w:val="single" w:sz="8" w:color="auto"/>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than the amount withdrawn.</w:t>
            </w:r>
          </w:p>
        </w:tc>
      </w:tr>
      <w:tr>
        <w:trPr>
          <w:trHeight w:val="127"/>
        </w:trPr>
        <w:tc>
          <w:tcPr>
            <w:tcW w:w="960" w:type="dxa"/>
            <w:vAlign w:val="bottom"/>
            <w:tcBorders>
              <w:left w:val="single" w:sz="8" w:color="auto"/>
              <w:right w:val="single" w:sz="8" w:color="auto"/>
            </w:tcBorders>
          </w:tcPr>
          <w:p>
            <w:pPr>
              <w:ind w:left="60"/>
              <w:spacing w:after="0" w:line="128" w:lineRule="exact"/>
              <w:rPr>
                <w:sz w:val="20"/>
                <w:szCs w:val="20"/>
                <w:color w:val="auto"/>
              </w:rPr>
            </w:pPr>
            <w:r>
              <w:rPr>
                <w:rFonts w:ascii="Times New Roman" w:cs="Times New Roman" w:eastAsia="Times New Roman" w:hAnsi="Times New Roman"/>
                <w:sz w:val="12"/>
                <w:szCs w:val="12"/>
                <w:b w:val="1"/>
                <w:bCs w:val="1"/>
                <w:color w:val="auto"/>
              </w:rPr>
              <w:t>Systematic</w:t>
            </w:r>
          </w:p>
        </w:tc>
        <w:tc>
          <w:tcPr>
            <w:tcW w:w="1680" w:type="dxa"/>
            <w:vAlign w:val="bottom"/>
            <w:tcBorders>
              <w:right w:val="single" w:sz="8" w:color="auto"/>
            </w:tcBorders>
          </w:tcPr>
          <w:p>
            <w:pPr>
              <w:ind w:left="20"/>
              <w:spacing w:after="0" w:line="128" w:lineRule="exact"/>
              <w:rPr>
                <w:sz w:val="20"/>
                <w:szCs w:val="20"/>
                <w:color w:val="auto"/>
              </w:rPr>
            </w:pPr>
            <w:r>
              <w:rPr>
                <w:rFonts w:ascii="Times New Roman" w:cs="Times New Roman" w:eastAsia="Times New Roman" w:hAnsi="Times New Roman"/>
                <w:sz w:val="12"/>
                <w:szCs w:val="12"/>
                <w:color w:val="auto"/>
              </w:rPr>
              <w:t>Allows automated processing of</w:t>
            </w:r>
          </w:p>
        </w:tc>
        <w:tc>
          <w:tcPr>
            <w:tcW w:w="1180" w:type="dxa"/>
            <w:vAlign w:val="bottom"/>
            <w:tcBorders>
              <w:right w:val="single" w:sz="8" w:color="auto"/>
            </w:tcBorders>
          </w:tcPr>
          <w:p>
            <w:pPr>
              <w:ind w:left="20"/>
              <w:spacing w:after="0" w:line="128" w:lineRule="exact"/>
              <w:rPr>
                <w:sz w:val="20"/>
                <w:szCs w:val="20"/>
                <w:color w:val="auto"/>
              </w:rPr>
            </w:pPr>
            <w:r>
              <w:rPr>
                <w:rFonts w:ascii="Times New Roman" w:cs="Times New Roman" w:eastAsia="Times New Roman" w:hAnsi="Times New Roman"/>
                <w:sz w:val="12"/>
                <w:szCs w:val="12"/>
                <w:color w:val="auto"/>
              </w:rPr>
              <w:t>N/A</w:t>
            </w:r>
          </w:p>
        </w:tc>
        <w:tc>
          <w:tcPr>
            <w:tcW w:w="1700" w:type="dxa"/>
            <w:vAlign w:val="bottom"/>
            <w:tcBorders>
              <w:right w:val="single" w:sz="8" w:color="auto"/>
            </w:tcBorders>
          </w:tcPr>
          <w:p>
            <w:pPr>
              <w:spacing w:after="0" w:line="128" w:lineRule="exact"/>
              <w:rPr>
                <w:sz w:val="20"/>
                <w:szCs w:val="20"/>
                <w:color w:val="auto"/>
              </w:rPr>
            </w:pPr>
            <w:r>
              <w:rPr>
                <w:rFonts w:ascii="Times New Roman" w:cs="Times New Roman" w:eastAsia="Times New Roman" w:hAnsi="Times New Roman"/>
                <w:sz w:val="12"/>
                <w:szCs w:val="12"/>
                <w:color w:val="auto"/>
              </w:rPr>
              <w:t>● Available in any Contract Year</w:t>
            </w:r>
          </w:p>
        </w:tc>
      </w:tr>
      <w:tr>
        <w:trPr>
          <w:trHeight w:val="126"/>
        </w:trPr>
        <w:tc>
          <w:tcPr>
            <w:tcW w:w="960" w:type="dxa"/>
            <w:vAlign w:val="bottom"/>
            <w:tcBorders>
              <w:left w:val="single" w:sz="8" w:color="auto"/>
              <w:right w:val="single" w:sz="8" w:color="auto"/>
            </w:tcBorders>
          </w:tcPr>
          <w:p>
            <w:pPr>
              <w:ind w:left="60"/>
              <w:spacing w:after="0" w:line="126" w:lineRule="exact"/>
              <w:rPr>
                <w:sz w:val="20"/>
                <w:szCs w:val="20"/>
                <w:color w:val="auto"/>
              </w:rPr>
            </w:pPr>
            <w:r>
              <w:rPr>
                <w:rFonts w:ascii="Times New Roman" w:cs="Times New Roman" w:eastAsia="Times New Roman" w:hAnsi="Times New Roman"/>
                <w:sz w:val="12"/>
                <w:szCs w:val="12"/>
                <w:b w:val="1"/>
                <w:bCs w:val="1"/>
                <w:color w:val="auto"/>
              </w:rPr>
              <w:t>Withdrawal</w:t>
            </w:r>
          </w:p>
        </w:tc>
        <w:tc>
          <w:tcPr>
            <w:tcW w:w="1680" w:type="dxa"/>
            <w:vAlign w:val="bottom"/>
            <w:tcBorders>
              <w:right w:val="single" w:sz="8" w:color="auto"/>
            </w:tcBorders>
          </w:tcPr>
          <w:p>
            <w:pPr>
              <w:ind w:left="20"/>
              <w:spacing w:after="0" w:line="126" w:lineRule="exact"/>
              <w:rPr>
                <w:sz w:val="20"/>
                <w:szCs w:val="20"/>
                <w:color w:val="auto"/>
              </w:rPr>
            </w:pPr>
            <w:r>
              <w:rPr>
                <w:rFonts w:ascii="Times New Roman" w:cs="Times New Roman" w:eastAsia="Times New Roman" w:hAnsi="Times New Roman"/>
                <w:sz w:val="12"/>
                <w:szCs w:val="12"/>
                <w:color w:val="auto"/>
              </w:rPr>
              <w:t>amounts withdrawn from your</w:t>
            </w:r>
          </w:p>
        </w:tc>
        <w:tc>
          <w:tcPr>
            <w:tcW w:w="11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for RMD amounts withdrawn</w:t>
            </w:r>
          </w:p>
        </w:tc>
      </w:tr>
      <w:tr>
        <w:trPr>
          <w:trHeight w:val="139"/>
        </w:trPr>
        <w:tc>
          <w:tcPr>
            <w:tcW w:w="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Program</w:t>
            </w:r>
          </w:p>
        </w:tc>
        <w:tc>
          <w:tcPr>
            <w:tcW w:w="1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Contract</w:t>
            </w:r>
          </w:p>
        </w:tc>
        <w:tc>
          <w:tcPr>
            <w:tcW w:w="11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from an IRA Contract or</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qualified annuity Contract.</w:t>
            </w:r>
          </w:p>
        </w:tc>
      </w:tr>
      <w:tr>
        <w:trPr>
          <w:trHeight w:val="126"/>
        </w:trPr>
        <w:tc>
          <w:tcPr>
            <w:tcW w:w="96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2"/>
                <w:szCs w:val="12"/>
                <w:color w:val="auto"/>
              </w:rPr>
              <w:t>● Available after the first</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w w:val="99"/>
              </w:rPr>
              <w:t>Contract Year and for up to10%</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w w:val="99"/>
              </w:rPr>
              <w:t>of your Account Value as of the</w:t>
            </w:r>
          </w:p>
        </w:tc>
      </w:tr>
      <w:tr>
        <w:trPr>
          <w:trHeight w:val="126"/>
        </w:trPr>
        <w:tc>
          <w:tcPr>
            <w:tcW w:w="96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prior Contract Anniversary for</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automated processing of</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amounts withdrawn for</w:t>
            </w:r>
          </w:p>
        </w:tc>
      </w:tr>
      <w:tr>
        <w:trPr>
          <w:trHeight w:val="126"/>
        </w:trPr>
        <w:tc>
          <w:tcPr>
            <w:tcW w:w="96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purposes other than RMDs.</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 Each payment must be at least</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$100.</w:t>
            </w:r>
          </w:p>
        </w:tc>
      </w:tr>
      <w:tr>
        <w:trPr>
          <w:trHeight w:val="126"/>
        </w:trPr>
        <w:tc>
          <w:tcPr>
            <w:tcW w:w="96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2"/>
                <w:szCs w:val="12"/>
                <w:color w:val="auto"/>
              </w:rPr>
              <w:t>● A minimum of $500 must be</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distributed each Contract Year.</w:t>
            </w:r>
          </w:p>
        </w:tc>
      </w:tr>
      <w:tr>
        <w:trPr>
          <w:trHeight w:val="126"/>
        </w:trPr>
        <w:tc>
          <w:tcPr>
            <w:tcW w:w="96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2"/>
                <w:szCs w:val="12"/>
                <w:color w:val="auto"/>
              </w:rPr>
              <w:t>● Withdrawals may only be on a</w:t>
            </w:r>
          </w:p>
        </w:tc>
      </w:tr>
      <w:tr>
        <w:trPr>
          <w:trHeight w:val="135"/>
        </w:trPr>
        <w:tc>
          <w:tcPr>
            <w:tcW w:w="96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monthly, quarterly,</w:t>
            </w:r>
          </w:p>
        </w:tc>
      </w:tr>
      <w:tr>
        <w:trPr>
          <w:trHeight w:val="155"/>
        </w:trPr>
        <w:tc>
          <w:tcPr>
            <w:tcW w:w="960" w:type="dxa"/>
            <w:vAlign w:val="bottom"/>
            <w:tcBorders>
              <w:left w:val="single" w:sz="8" w:color="auto"/>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semi-annual, or annual basis.</w:t>
            </w:r>
          </w:p>
        </w:tc>
      </w:tr>
      <w:tr>
        <w:trPr>
          <w:trHeight w:val="138"/>
        </w:trPr>
        <w:tc>
          <w:tcPr>
            <w:tcW w:w="960" w:type="dxa"/>
            <w:vAlign w:val="bottom"/>
            <w:tcBorders>
              <w:left w:val="single" w:sz="8" w:color="auto"/>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r>
      <w:tr>
        <w:trPr>
          <w:trHeight w:val="633"/>
        </w:trPr>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53</w:t>
            </w:r>
          </w:p>
        </w:tc>
        <w:tc>
          <w:tcPr>
            <w:tcW w:w="1700" w:type="dxa"/>
            <w:vAlign w:val="bottom"/>
          </w:tcPr>
          <w:p>
            <w:pPr>
              <w:spacing w:after="0"/>
              <w:rPr>
                <w:sz w:val="24"/>
                <w:szCs w:val="24"/>
                <w:color w:val="auto"/>
              </w:rPr>
            </w:pPr>
          </w:p>
        </w:tc>
      </w:tr>
    </w:tbl>
    <w:p>
      <w:pPr>
        <w:sectPr>
          <w:pgSz w:w="11900" w:h="16838" w:orient="portrait"/>
          <w:cols w:equalWidth="0" w:num="1">
            <w:col w:w="9359"/>
          </w:cols>
          <w:pgMar w:left="1100" w:top="962" w:right="1440" w:bottom="144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57395" cy="3683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2"/>
        </w:trPr>
        <w:tc>
          <w:tcPr>
            <w:tcW w:w="980" w:type="dxa"/>
            <w:vAlign w:val="bottom"/>
            <w:tcBorders>
              <w:top w:val="single" w:sz="8" w:color="auto"/>
              <w:left w:val="single" w:sz="8" w:color="auto"/>
              <w:right w:val="single" w:sz="8" w:color="auto"/>
            </w:tcBorders>
          </w:tcPr>
          <w:p>
            <w:pPr>
              <w:spacing w:after="0"/>
              <w:rPr>
                <w:sz w:val="14"/>
                <w:szCs w:val="14"/>
                <w:color w:val="auto"/>
              </w:rPr>
            </w:pPr>
          </w:p>
        </w:tc>
        <w:tc>
          <w:tcPr>
            <w:tcW w:w="1540" w:type="dxa"/>
            <w:vAlign w:val="bottom"/>
            <w:tcBorders>
              <w:top w:val="single" w:sz="8" w:color="auto"/>
              <w:right w:val="single" w:sz="8" w:color="auto"/>
            </w:tcBorders>
          </w:tcPr>
          <w:p>
            <w:pPr>
              <w:spacing w:after="0"/>
              <w:rPr>
                <w:sz w:val="14"/>
                <w:szCs w:val="14"/>
                <w:color w:val="auto"/>
              </w:rPr>
            </w:pPr>
          </w:p>
        </w:tc>
        <w:tc>
          <w:tcPr>
            <w:tcW w:w="1340" w:type="dxa"/>
            <w:vAlign w:val="bottom"/>
            <w:tcBorders>
              <w:top w:val="single" w:sz="8" w:color="auto"/>
              <w:right w:val="single" w:sz="8" w:color="auto"/>
            </w:tcBorders>
          </w:tcPr>
          <w:p>
            <w:pPr>
              <w:spacing w:after="0"/>
              <w:rPr>
                <w:sz w:val="14"/>
                <w:szCs w:val="14"/>
                <w:color w:val="auto"/>
              </w:rPr>
            </w:pPr>
          </w:p>
        </w:tc>
        <w:tc>
          <w:tcPr>
            <w:tcW w:w="166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2"/>
                <w:szCs w:val="12"/>
                <w:b w:val="1"/>
                <w:bCs w:val="1"/>
                <w:color w:val="auto"/>
              </w:rPr>
              <w:t>Brief Description of</w:t>
            </w:r>
          </w:p>
        </w:tc>
      </w:tr>
      <w:tr>
        <w:trPr>
          <w:trHeight w:val="168"/>
        </w:trPr>
        <w:tc>
          <w:tcPr>
            <w:tcW w:w="9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Name of Benefit</w:t>
            </w:r>
          </w:p>
        </w:tc>
        <w:tc>
          <w:tcPr>
            <w:tcW w:w="154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2"/>
                <w:szCs w:val="12"/>
                <w:b w:val="1"/>
                <w:bCs w:val="1"/>
                <w:color w:val="auto"/>
              </w:rPr>
              <w:t>Purpose</w:t>
            </w:r>
          </w:p>
        </w:tc>
        <w:tc>
          <w:tcPr>
            <w:tcW w:w="13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Maximum Fee</w:t>
            </w:r>
          </w:p>
        </w:tc>
        <w:tc>
          <w:tcPr>
            <w:tcW w:w="16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Restrictions/Limitations</w:t>
            </w:r>
          </w:p>
        </w:tc>
      </w:tr>
      <w:tr>
        <w:trPr>
          <w:trHeight w:val="127"/>
        </w:trPr>
        <w:tc>
          <w:tcPr>
            <w:tcW w:w="980" w:type="dxa"/>
            <w:vAlign w:val="bottom"/>
            <w:tcBorders>
              <w:left w:val="single" w:sz="8" w:color="auto"/>
              <w:right w:val="single" w:sz="8" w:color="auto"/>
            </w:tcBorders>
          </w:tcPr>
          <w:p>
            <w:pPr>
              <w:ind w:left="60"/>
              <w:spacing w:after="0" w:line="128" w:lineRule="exact"/>
              <w:rPr>
                <w:sz w:val="20"/>
                <w:szCs w:val="20"/>
                <w:color w:val="auto"/>
              </w:rPr>
            </w:pPr>
            <w:r>
              <w:rPr>
                <w:rFonts w:ascii="Times New Roman" w:cs="Times New Roman" w:eastAsia="Times New Roman" w:hAnsi="Times New Roman"/>
                <w:sz w:val="12"/>
                <w:szCs w:val="12"/>
                <w:b w:val="1"/>
                <w:bCs w:val="1"/>
                <w:color w:val="auto"/>
                <w:w w:val="99"/>
              </w:rPr>
              <w:t>Free Withdrawal</w:t>
            </w:r>
          </w:p>
        </w:tc>
        <w:tc>
          <w:tcPr>
            <w:tcW w:w="1540" w:type="dxa"/>
            <w:vAlign w:val="bottom"/>
            <w:tcBorders>
              <w:right w:val="single" w:sz="8" w:color="auto"/>
            </w:tcBorders>
          </w:tcPr>
          <w:p>
            <w:pPr>
              <w:ind w:left="20"/>
              <w:spacing w:after="0" w:line="128" w:lineRule="exact"/>
              <w:rPr>
                <w:sz w:val="20"/>
                <w:szCs w:val="20"/>
                <w:color w:val="auto"/>
              </w:rPr>
            </w:pPr>
            <w:r>
              <w:rPr>
                <w:rFonts w:ascii="Times New Roman" w:cs="Times New Roman" w:eastAsia="Times New Roman" w:hAnsi="Times New Roman"/>
                <w:sz w:val="12"/>
                <w:szCs w:val="12"/>
                <w:color w:val="auto"/>
              </w:rPr>
              <w:t>Provides a portion of your</w:t>
            </w:r>
          </w:p>
        </w:tc>
        <w:tc>
          <w:tcPr>
            <w:tcW w:w="1340" w:type="dxa"/>
            <w:vAlign w:val="bottom"/>
            <w:tcBorders>
              <w:right w:val="single" w:sz="8" w:color="auto"/>
            </w:tcBorders>
          </w:tcPr>
          <w:p>
            <w:pPr>
              <w:ind w:left="20"/>
              <w:spacing w:after="0" w:line="128" w:lineRule="exact"/>
              <w:rPr>
                <w:sz w:val="20"/>
                <w:szCs w:val="20"/>
                <w:color w:val="auto"/>
              </w:rPr>
            </w:pPr>
            <w:r>
              <w:rPr>
                <w:rFonts w:ascii="Times New Roman" w:cs="Times New Roman" w:eastAsia="Times New Roman" w:hAnsi="Times New Roman"/>
                <w:sz w:val="12"/>
                <w:szCs w:val="12"/>
                <w:color w:val="auto"/>
              </w:rPr>
              <w:t>N/A</w:t>
            </w:r>
          </w:p>
        </w:tc>
        <w:tc>
          <w:tcPr>
            <w:tcW w:w="1660" w:type="dxa"/>
            <w:vAlign w:val="bottom"/>
            <w:tcBorders>
              <w:right w:val="single" w:sz="8" w:color="auto"/>
            </w:tcBorders>
          </w:tcPr>
          <w:p>
            <w:pPr>
              <w:spacing w:after="0" w:line="128" w:lineRule="exact"/>
              <w:rPr>
                <w:sz w:val="20"/>
                <w:szCs w:val="20"/>
                <w:color w:val="auto"/>
              </w:rPr>
            </w:pPr>
            <w:r>
              <w:rPr>
                <w:rFonts w:ascii="Times New Roman" w:cs="Times New Roman" w:eastAsia="Times New Roman" w:hAnsi="Times New Roman"/>
                <w:sz w:val="12"/>
                <w:szCs w:val="12"/>
                <w:color w:val="auto"/>
              </w:rPr>
              <w:t>● Only available during the</w:t>
            </w:r>
          </w:p>
        </w:tc>
      </w:tr>
      <w:tr>
        <w:trPr>
          <w:trHeight w:val="130"/>
        </w:trPr>
        <w:tc>
          <w:tcPr>
            <w:tcW w:w="980" w:type="dxa"/>
            <w:vAlign w:val="bottom"/>
            <w:tcBorders>
              <w:left w:val="single" w:sz="8" w:color="auto"/>
              <w:right w:val="single" w:sz="8" w:color="auto"/>
            </w:tcBorders>
          </w:tcPr>
          <w:p>
            <w:pPr>
              <w:ind w:left="60"/>
              <w:spacing w:after="0" w:line="130" w:lineRule="exact"/>
              <w:rPr>
                <w:sz w:val="20"/>
                <w:szCs w:val="20"/>
                <w:color w:val="auto"/>
              </w:rPr>
            </w:pPr>
            <w:r>
              <w:rPr>
                <w:rFonts w:ascii="Times New Roman" w:cs="Times New Roman" w:eastAsia="Times New Roman" w:hAnsi="Times New Roman"/>
                <w:sz w:val="12"/>
                <w:szCs w:val="12"/>
                <w:b w:val="1"/>
                <w:bCs w:val="1"/>
                <w:color w:val="auto"/>
              </w:rPr>
              <w:t>Amount</w:t>
            </w:r>
          </w:p>
        </w:tc>
        <w:tc>
          <w:tcPr>
            <w:tcW w:w="1540" w:type="dxa"/>
            <w:vAlign w:val="bottom"/>
            <w:tcBorders>
              <w:right w:val="single" w:sz="8" w:color="auto"/>
            </w:tcBorders>
          </w:tcPr>
          <w:p>
            <w:pPr>
              <w:ind w:left="20"/>
              <w:spacing w:after="0" w:line="130" w:lineRule="exact"/>
              <w:rPr>
                <w:sz w:val="20"/>
                <w:szCs w:val="20"/>
                <w:color w:val="auto"/>
              </w:rPr>
            </w:pPr>
            <w:r>
              <w:rPr>
                <w:rFonts w:ascii="Times New Roman" w:cs="Times New Roman" w:eastAsia="Times New Roman" w:hAnsi="Times New Roman"/>
                <w:sz w:val="12"/>
                <w:szCs w:val="12"/>
                <w:color w:val="auto"/>
              </w:rPr>
              <w:t>Account Value that may be</w:t>
            </w:r>
          </w:p>
        </w:tc>
        <w:tc>
          <w:tcPr>
            <w:tcW w:w="13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ind w:left="120"/>
              <w:spacing w:after="0" w:line="130" w:lineRule="exact"/>
              <w:rPr>
                <w:sz w:val="20"/>
                <w:szCs w:val="20"/>
                <w:color w:val="auto"/>
              </w:rPr>
            </w:pPr>
            <w:r>
              <w:rPr>
                <w:rFonts w:ascii="Times New Roman" w:cs="Times New Roman" w:eastAsia="Times New Roman" w:hAnsi="Times New Roman"/>
                <w:sz w:val="12"/>
                <w:szCs w:val="12"/>
                <w:color w:val="auto"/>
              </w:rPr>
              <w:t>Accumulation Period.</w:t>
            </w: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1540" w:type="dxa"/>
            <w:vAlign w:val="bottom"/>
            <w:tcBorders>
              <w:right w:val="single" w:sz="8" w:color="auto"/>
            </w:tcBorders>
          </w:tcPr>
          <w:p>
            <w:pPr>
              <w:ind w:left="20"/>
              <w:spacing w:after="0" w:line="135" w:lineRule="exact"/>
              <w:rPr>
                <w:sz w:val="20"/>
                <w:szCs w:val="20"/>
                <w:color w:val="auto"/>
              </w:rPr>
            </w:pPr>
            <w:r>
              <w:rPr>
                <w:rFonts w:ascii="Times New Roman" w:cs="Times New Roman" w:eastAsia="Times New Roman" w:hAnsi="Times New Roman"/>
                <w:sz w:val="12"/>
                <w:szCs w:val="12"/>
                <w:color w:val="auto"/>
              </w:rPr>
              <w:t>withdrawn each Contract Year</w:t>
            </w:r>
          </w:p>
        </w:tc>
        <w:tc>
          <w:tcPr>
            <w:tcW w:w="13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 Withdrawals of the Free</w:t>
            </w: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1540" w:type="dxa"/>
            <w:vAlign w:val="bottom"/>
            <w:tcBorders>
              <w:right w:val="single" w:sz="8" w:color="auto"/>
            </w:tcBorders>
          </w:tcPr>
          <w:p>
            <w:pPr>
              <w:ind w:left="20"/>
              <w:spacing w:after="0" w:line="135" w:lineRule="exact"/>
              <w:rPr>
                <w:sz w:val="20"/>
                <w:szCs w:val="20"/>
                <w:color w:val="auto"/>
              </w:rPr>
            </w:pPr>
            <w:r>
              <w:rPr>
                <w:rFonts w:ascii="Times New Roman" w:cs="Times New Roman" w:eastAsia="Times New Roman" w:hAnsi="Times New Roman"/>
                <w:sz w:val="12"/>
                <w:szCs w:val="12"/>
                <w:color w:val="auto"/>
              </w:rPr>
              <w:t>without incurring Withdrawal</w:t>
            </w:r>
          </w:p>
        </w:tc>
        <w:tc>
          <w:tcPr>
            <w:tcW w:w="13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Withdrawal Amount may be</w:t>
            </w:r>
          </w:p>
        </w:tc>
      </w:tr>
      <w:tr>
        <w:trPr>
          <w:trHeight w:val="126"/>
        </w:trPr>
        <w:tc>
          <w:tcPr>
            <w:tcW w:w="980" w:type="dxa"/>
            <w:vAlign w:val="bottom"/>
            <w:tcBorders>
              <w:left w:val="single" w:sz="8" w:color="auto"/>
              <w:right w:val="single" w:sz="8" w:color="auto"/>
            </w:tcBorders>
          </w:tcPr>
          <w:p>
            <w:pPr>
              <w:spacing w:after="0"/>
              <w:rPr>
                <w:sz w:val="10"/>
                <w:szCs w:val="10"/>
                <w:color w:val="auto"/>
              </w:rPr>
            </w:pPr>
          </w:p>
        </w:tc>
        <w:tc>
          <w:tcPr>
            <w:tcW w:w="1540" w:type="dxa"/>
            <w:vAlign w:val="bottom"/>
            <w:tcBorders>
              <w:right w:val="single" w:sz="8" w:color="auto"/>
            </w:tcBorders>
          </w:tcPr>
          <w:p>
            <w:pPr>
              <w:ind w:left="20"/>
              <w:spacing w:after="0" w:line="126" w:lineRule="exact"/>
              <w:rPr>
                <w:sz w:val="20"/>
                <w:szCs w:val="20"/>
                <w:color w:val="auto"/>
              </w:rPr>
            </w:pPr>
            <w:r>
              <w:rPr>
                <w:rFonts w:ascii="Times New Roman" w:cs="Times New Roman" w:eastAsia="Times New Roman" w:hAnsi="Times New Roman"/>
                <w:sz w:val="12"/>
                <w:szCs w:val="12"/>
                <w:color w:val="auto"/>
              </w:rPr>
              <w:t>Charges</w:t>
            </w:r>
          </w:p>
        </w:tc>
        <w:tc>
          <w:tcPr>
            <w:tcW w:w="134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subject to taxes and tax</w:t>
            </w: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penalties.</w:t>
            </w: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 Withdrawals from the Shield</w:t>
            </w:r>
          </w:p>
        </w:tc>
      </w:tr>
      <w:tr>
        <w:trPr>
          <w:trHeight w:val="126"/>
        </w:trPr>
        <w:tc>
          <w:tcPr>
            <w:tcW w:w="980" w:type="dxa"/>
            <w:vAlign w:val="bottom"/>
            <w:tcBorders>
              <w:left w:val="single" w:sz="8" w:color="auto"/>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Options during a Term will be</w:t>
            </w: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based on Interim Values.</w:t>
            </w: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 Any unused portion of the Free</w:t>
            </w:r>
          </w:p>
        </w:tc>
      </w:tr>
      <w:tr>
        <w:trPr>
          <w:trHeight w:val="126"/>
        </w:trPr>
        <w:tc>
          <w:tcPr>
            <w:tcW w:w="980" w:type="dxa"/>
            <w:vAlign w:val="bottom"/>
            <w:tcBorders>
              <w:left w:val="single" w:sz="8" w:color="auto"/>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Withdrawal Amount may not</w:t>
            </w: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be carried over to the next</w:t>
            </w:r>
          </w:p>
        </w:tc>
      </w:tr>
      <w:tr>
        <w:trPr>
          <w:trHeight w:val="155"/>
        </w:trPr>
        <w:tc>
          <w:tcPr>
            <w:tcW w:w="980" w:type="dxa"/>
            <w:vAlign w:val="bottom"/>
            <w:tcBorders>
              <w:left w:val="single" w:sz="8" w:color="auto"/>
              <w:right w:val="single" w:sz="8" w:color="auto"/>
            </w:tcBorders>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Contract Year.</w:t>
            </w:r>
          </w:p>
        </w:tc>
      </w:tr>
      <w:tr>
        <w:trPr>
          <w:trHeight w:val="103"/>
        </w:trPr>
        <w:tc>
          <w:tcPr>
            <w:tcW w:w="980" w:type="dxa"/>
            <w:vAlign w:val="bottom"/>
            <w:tcBorders>
              <w:left w:val="single" w:sz="8" w:color="auto"/>
              <w:bottom w:val="single" w:sz="8" w:color="auto"/>
              <w:right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54</w:t>
      </w:r>
    </w:p>
    <w:p>
      <w:pPr>
        <w:sectPr>
          <w:pgSz w:w="11900" w:h="16838" w:orient="portrait"/>
          <w:cols w:equalWidth="0" w:num="1">
            <w:col w:w="9359"/>
          </w:cols>
          <w:pgMar w:left="1100" w:top="951" w:right="1440"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162"/>
        </w:trPr>
        <w:tc>
          <w:tcPr>
            <w:tcW w:w="940" w:type="dxa"/>
            <w:vAlign w:val="bottom"/>
            <w:tcBorders>
              <w:top w:val="single" w:sz="8" w:color="auto"/>
              <w:left w:val="single" w:sz="8" w:color="auto"/>
              <w:right w:val="single" w:sz="8" w:color="auto"/>
            </w:tcBorders>
          </w:tcPr>
          <w:p>
            <w:pPr>
              <w:spacing w:after="0"/>
              <w:rPr>
                <w:sz w:val="14"/>
                <w:szCs w:val="14"/>
                <w:color w:val="auto"/>
              </w:rPr>
            </w:pPr>
          </w:p>
        </w:tc>
        <w:tc>
          <w:tcPr>
            <w:tcW w:w="1680" w:type="dxa"/>
            <w:vAlign w:val="bottom"/>
            <w:tcBorders>
              <w:top w:val="single" w:sz="8" w:color="auto"/>
              <w:right w:val="single" w:sz="8" w:color="auto"/>
            </w:tcBorders>
          </w:tcPr>
          <w:p>
            <w:pPr>
              <w:spacing w:after="0"/>
              <w:rPr>
                <w:sz w:val="14"/>
                <w:szCs w:val="14"/>
                <w:color w:val="auto"/>
              </w:rPr>
            </w:pPr>
          </w:p>
        </w:tc>
        <w:tc>
          <w:tcPr>
            <w:tcW w:w="1200" w:type="dxa"/>
            <w:vAlign w:val="bottom"/>
            <w:tcBorders>
              <w:top w:val="single" w:sz="8" w:color="auto"/>
              <w:right w:val="single" w:sz="8" w:color="auto"/>
            </w:tcBorders>
          </w:tcPr>
          <w:p>
            <w:pPr>
              <w:spacing w:after="0"/>
              <w:rPr>
                <w:sz w:val="14"/>
                <w:szCs w:val="14"/>
                <w:color w:val="auto"/>
              </w:rPr>
            </w:pPr>
          </w:p>
        </w:tc>
        <w:tc>
          <w:tcPr>
            <w:tcW w:w="170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2"/>
                <w:szCs w:val="12"/>
                <w:b w:val="1"/>
                <w:bCs w:val="1"/>
                <w:color w:val="auto"/>
              </w:rPr>
              <w:t>Brief Description of</w:t>
            </w:r>
          </w:p>
        </w:tc>
      </w:tr>
      <w:tr>
        <w:trPr>
          <w:trHeight w:val="168"/>
        </w:trPr>
        <w:tc>
          <w:tcPr>
            <w:tcW w:w="9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Name of Benefit</w:t>
            </w:r>
          </w:p>
        </w:tc>
        <w:tc>
          <w:tcPr>
            <w:tcW w:w="168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2"/>
                <w:szCs w:val="12"/>
                <w:b w:val="1"/>
                <w:bCs w:val="1"/>
                <w:color w:val="auto"/>
              </w:rPr>
              <w:t>Purpose</w:t>
            </w:r>
          </w:p>
        </w:tc>
        <w:tc>
          <w:tcPr>
            <w:tcW w:w="12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Maximum Fee</w:t>
            </w:r>
          </w:p>
        </w:tc>
        <w:tc>
          <w:tcPr>
            <w:tcW w:w="170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Restrictions/Limitations</w:t>
            </w:r>
          </w:p>
        </w:tc>
      </w:tr>
      <w:tr>
        <w:trPr>
          <w:trHeight w:val="127"/>
        </w:trPr>
        <w:tc>
          <w:tcPr>
            <w:tcW w:w="940" w:type="dxa"/>
            <w:vAlign w:val="bottom"/>
            <w:tcBorders>
              <w:left w:val="single" w:sz="8" w:color="auto"/>
              <w:right w:val="single" w:sz="8" w:color="auto"/>
            </w:tcBorders>
          </w:tcPr>
          <w:p>
            <w:pPr>
              <w:ind w:left="60"/>
              <w:spacing w:after="0" w:line="128" w:lineRule="exact"/>
              <w:rPr>
                <w:sz w:val="20"/>
                <w:szCs w:val="20"/>
                <w:color w:val="auto"/>
              </w:rPr>
            </w:pPr>
            <w:r>
              <w:rPr>
                <w:rFonts w:ascii="Times New Roman" w:cs="Times New Roman" w:eastAsia="Times New Roman" w:hAnsi="Times New Roman"/>
                <w:sz w:val="12"/>
                <w:szCs w:val="12"/>
                <w:b w:val="1"/>
                <w:bCs w:val="1"/>
                <w:color w:val="auto"/>
              </w:rPr>
              <w:t>Performance</w:t>
            </w:r>
          </w:p>
        </w:tc>
        <w:tc>
          <w:tcPr>
            <w:tcW w:w="1680" w:type="dxa"/>
            <w:vAlign w:val="bottom"/>
            <w:tcBorders>
              <w:right w:val="single" w:sz="8" w:color="auto"/>
            </w:tcBorders>
          </w:tcPr>
          <w:p>
            <w:pPr>
              <w:spacing w:after="0" w:line="128" w:lineRule="exact"/>
              <w:rPr>
                <w:sz w:val="20"/>
                <w:szCs w:val="20"/>
                <w:color w:val="auto"/>
              </w:rPr>
            </w:pPr>
            <w:r>
              <w:rPr>
                <w:rFonts w:ascii="Times New Roman" w:cs="Times New Roman" w:eastAsia="Times New Roman" w:hAnsi="Times New Roman"/>
                <w:sz w:val="12"/>
                <w:szCs w:val="12"/>
                <w:color w:val="auto"/>
              </w:rPr>
              <w:t>By providing Notice to us, allows</w:t>
            </w:r>
          </w:p>
        </w:tc>
        <w:tc>
          <w:tcPr>
            <w:tcW w:w="1200" w:type="dxa"/>
            <w:vAlign w:val="bottom"/>
            <w:tcBorders>
              <w:right w:val="single" w:sz="8" w:color="auto"/>
            </w:tcBorders>
          </w:tcPr>
          <w:p>
            <w:pPr>
              <w:spacing w:after="0" w:line="128" w:lineRule="exact"/>
              <w:rPr>
                <w:sz w:val="20"/>
                <w:szCs w:val="20"/>
                <w:color w:val="auto"/>
              </w:rPr>
            </w:pPr>
            <w:r>
              <w:rPr>
                <w:rFonts w:ascii="Times New Roman" w:cs="Times New Roman" w:eastAsia="Times New Roman" w:hAnsi="Times New Roman"/>
                <w:sz w:val="12"/>
                <w:szCs w:val="12"/>
                <w:color w:val="auto"/>
              </w:rPr>
              <w:t>N/A</w:t>
            </w:r>
          </w:p>
        </w:tc>
        <w:tc>
          <w:tcPr>
            <w:tcW w:w="1700" w:type="dxa"/>
            <w:vAlign w:val="bottom"/>
            <w:tcBorders>
              <w:right w:val="single" w:sz="8" w:color="auto"/>
            </w:tcBorders>
          </w:tcPr>
          <w:p>
            <w:pPr>
              <w:spacing w:after="0" w:line="128" w:lineRule="exact"/>
              <w:rPr>
                <w:sz w:val="20"/>
                <w:szCs w:val="20"/>
                <w:color w:val="auto"/>
              </w:rPr>
            </w:pPr>
            <w:r>
              <w:rPr>
                <w:rFonts w:ascii="Times New Roman" w:cs="Times New Roman" w:eastAsia="Times New Roman" w:hAnsi="Times New Roman"/>
                <w:sz w:val="12"/>
                <w:szCs w:val="12"/>
                <w:color w:val="auto"/>
              </w:rPr>
              <w:t>● Only available during the</w:t>
            </w:r>
          </w:p>
        </w:tc>
      </w:tr>
      <w:tr>
        <w:trPr>
          <w:trHeight w:val="130"/>
        </w:trPr>
        <w:tc>
          <w:tcPr>
            <w:tcW w:w="940" w:type="dxa"/>
            <w:vAlign w:val="bottom"/>
            <w:tcBorders>
              <w:left w:val="single" w:sz="8" w:color="auto"/>
              <w:right w:val="single" w:sz="8" w:color="auto"/>
            </w:tcBorders>
          </w:tcPr>
          <w:p>
            <w:pPr>
              <w:ind w:left="60"/>
              <w:spacing w:after="0" w:line="130" w:lineRule="exact"/>
              <w:rPr>
                <w:sz w:val="20"/>
                <w:szCs w:val="20"/>
                <w:color w:val="auto"/>
              </w:rPr>
            </w:pPr>
            <w:r>
              <w:rPr>
                <w:rFonts w:ascii="Times New Roman" w:cs="Times New Roman" w:eastAsia="Times New Roman" w:hAnsi="Times New Roman"/>
                <w:sz w:val="12"/>
                <w:szCs w:val="12"/>
                <w:b w:val="1"/>
                <w:bCs w:val="1"/>
                <w:color w:val="auto"/>
              </w:rPr>
              <w:t>Lock</w:t>
            </w:r>
          </w:p>
        </w:tc>
        <w:tc>
          <w:tcPr>
            <w:tcW w:w="1680" w:type="dxa"/>
            <w:vAlign w:val="bottom"/>
            <w:tcBorders>
              <w:right w:val="single" w:sz="8" w:color="auto"/>
            </w:tcBorders>
          </w:tcPr>
          <w:p>
            <w:pPr>
              <w:spacing w:after="0" w:line="130" w:lineRule="exact"/>
              <w:rPr>
                <w:sz w:val="20"/>
                <w:szCs w:val="20"/>
                <w:color w:val="auto"/>
              </w:rPr>
            </w:pPr>
            <w:r>
              <w:rPr>
                <w:rFonts w:ascii="Times New Roman" w:cs="Times New Roman" w:eastAsia="Times New Roman" w:hAnsi="Times New Roman"/>
                <w:sz w:val="12"/>
                <w:szCs w:val="12"/>
                <w:color w:val="auto"/>
              </w:rPr>
              <w:t>you to lock the Interim Value of a</w:t>
            </w: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0" w:lineRule="exact"/>
              <w:rPr>
                <w:sz w:val="20"/>
                <w:szCs w:val="20"/>
                <w:color w:val="auto"/>
              </w:rPr>
            </w:pPr>
            <w:r>
              <w:rPr>
                <w:rFonts w:ascii="Times New Roman" w:cs="Times New Roman" w:eastAsia="Times New Roman" w:hAnsi="Times New Roman"/>
                <w:sz w:val="12"/>
                <w:szCs w:val="12"/>
                <w:color w:val="auto"/>
              </w:rPr>
              <w:t>Accumulation Period.</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Shield Option once during the</w:t>
            </w: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 May be requested on any</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Term</w:t>
            </w: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Business Day prior to the Term</w:t>
            </w: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End Date.</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 We use the Interim Value</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calculated at the end of the</w:t>
            </w: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current Business Day on which</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you exercise the Performance</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Lock to determine the</w:t>
            </w:r>
          </w:p>
        </w:tc>
      </w:tr>
      <w:tr>
        <w:trPr>
          <w:trHeight w:val="144"/>
        </w:trPr>
        <w:tc>
          <w:tcPr>
            <w:tcW w:w="94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Performance Lock Value.</w:t>
            </w:r>
          </w:p>
        </w:tc>
      </w:tr>
      <w:tr>
        <w:trPr>
          <w:trHeight w:val="153"/>
        </w:trPr>
        <w:tc>
          <w:tcPr>
            <w:tcW w:w="940" w:type="dxa"/>
            <w:vAlign w:val="bottom"/>
            <w:tcBorders>
              <w:left w:val="single" w:sz="8" w:color="auto"/>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 You will not be able to</w:t>
            </w: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determine in advance the</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Performance Lock Value, and it</w:t>
            </w: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may be higher or lower than it</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was at the point in time you</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requested the Performance</w:t>
            </w: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Lock.</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 You may lock in a loss.</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 The Performance Lock Value</w:t>
            </w: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Will not participate in Index</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performance (positive or</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negative) for the remainder of</w:t>
            </w: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the Term, including the Term</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End Date.</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 Shield Rate and Cap Rate, Step</w:t>
            </w: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Rate, or Edge Rate will not</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apply on the Term End Date</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after a Performance Lock is</w:t>
            </w: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exercised.</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 Must be exercised for the full</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amount of the Shield Option</w:t>
            </w: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Interim Value.</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 May be exercised once per</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Term for each Shield Option.</w:t>
            </w: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2"/>
                <w:szCs w:val="12"/>
                <w:color w:val="auto"/>
              </w:rPr>
              <w:t>● Once the Performance Lock is</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exercised for a Shield Option, it</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is irrevocable for the</w:t>
            </w: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remainder of that Term.</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color w:val="auto"/>
              </w:rPr>
              <w:t>● Upon exercising, you can</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transfer the entire</w:t>
            </w: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Performance Lock Value to any</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available Shield Option or to</w:t>
            </w: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ind w:left="120"/>
              <w:spacing w:after="0" w:line="135" w:lineRule="exact"/>
              <w:rPr>
                <w:sz w:val="20"/>
                <w:szCs w:val="20"/>
                <w:color w:val="auto"/>
              </w:rPr>
            </w:pPr>
            <w:r>
              <w:rPr>
                <w:rFonts w:ascii="Times New Roman" w:cs="Times New Roman" w:eastAsia="Times New Roman" w:hAnsi="Times New Roman"/>
                <w:sz w:val="12"/>
                <w:szCs w:val="12"/>
                <w:color w:val="auto"/>
              </w:rPr>
              <w:t>the Fixed Account on any</w:t>
            </w:r>
          </w:p>
        </w:tc>
      </w:tr>
      <w:tr>
        <w:trPr>
          <w:trHeight w:val="126"/>
        </w:trPr>
        <w:tc>
          <w:tcPr>
            <w:tcW w:w="94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ind w:left="120"/>
              <w:spacing w:after="0" w:line="126" w:lineRule="exact"/>
              <w:rPr>
                <w:sz w:val="20"/>
                <w:szCs w:val="20"/>
                <w:color w:val="auto"/>
              </w:rPr>
            </w:pPr>
            <w:r>
              <w:rPr>
                <w:rFonts w:ascii="Times New Roman" w:cs="Times New Roman" w:eastAsia="Times New Roman" w:hAnsi="Times New Roman"/>
                <w:sz w:val="12"/>
                <w:szCs w:val="12"/>
                <w:color w:val="auto"/>
              </w:rPr>
              <w:t>Contract Anniversary occurring</w:t>
            </w:r>
          </w:p>
        </w:tc>
      </w:tr>
      <w:tr>
        <w:trPr>
          <w:trHeight w:val="155"/>
        </w:trPr>
        <w:tc>
          <w:tcPr>
            <w:tcW w:w="940" w:type="dxa"/>
            <w:vAlign w:val="bottom"/>
            <w:tcBorders>
              <w:left w:val="single" w:sz="8" w:color="auto"/>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prior to the Term End Date.</w:t>
            </w:r>
          </w:p>
        </w:tc>
      </w:tr>
      <w:tr>
        <w:trPr>
          <w:trHeight w:val="355"/>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57395" cy="36830"/>
                    </a:xfrm>
                    <a:prstGeom prst="rect">
                      <a:avLst/>
                    </a:prstGeom>
                    <a:noFill/>
                  </pic:spPr>
                </pic:pic>
              </a:graphicData>
            </a:graphic>
          </wp:anchor>
        </w:drawing>
      </w:r>
    </w:p>
    <w:p>
      <w:pPr>
        <w:ind w:left="2280"/>
        <w:spacing w:after="0"/>
        <w:rPr>
          <w:sz w:val="20"/>
          <w:szCs w:val="20"/>
          <w:color w:val="auto"/>
        </w:rPr>
      </w:pPr>
      <w:r>
        <w:rPr>
          <w:rFonts w:ascii="Times New Roman" w:cs="Times New Roman" w:eastAsia="Times New Roman" w:hAnsi="Times New Roman"/>
          <w:sz w:val="12"/>
          <w:szCs w:val="12"/>
          <w:b w:val="1"/>
          <w:bCs w:val="1"/>
          <w:color w:val="auto"/>
        </w:rPr>
        <w:t>DEATH BENEFIT</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If you die during the Accumulation Period, we will pay a death benefit to your Beneficiary (or Beneficiaries).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standard death benefit for your Contract is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55</w:t>
      </w:r>
    </w:p>
    <w:p>
      <w:pPr>
        <w:sectPr>
          <w:pgSz w:w="11900" w:h="16838" w:orient="portrait"/>
          <w:cols w:equalWidth="0" w:num="1">
            <w:col w:w="9359"/>
          </w:cols>
          <w:pgMar w:left="1100" w:top="951" w:right="1440" w:bottom="1440" w:gutter="0" w:footer="0" w:header="0"/>
        </w:sectPr>
      </w:pPr>
    </w:p>
    <w:bookmarkStart w:id="56" w:name="page57"/>
    <w:bookmarkEnd w:id="56"/>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57395" cy="36830"/>
                    </a:xfrm>
                    <a:prstGeom prst="rect">
                      <a:avLst/>
                    </a:prstGeom>
                    <a:noFill/>
                  </pic:spPr>
                </pic:pic>
              </a:graphicData>
            </a:graphic>
          </wp:anchor>
        </w:drawing>
        <w:t>Please check your Contract and riders for the specific provisions applicable to you. We will require both due proof of death and an acceptable election for the payment method before any death benefit is paid. Our obligations are subject to all payments made and actions taken by us before our receipt of Notice of due proof of death. Any death benefit will be paid in accordance with applicable law or regulations governing death benefit payments. (See “General Death Benefit Provisions” below.)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Standard Death Benefit</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If you are age 81 or older at the Issue Date of your Contract, the standard death benefit is the Account Value.</w:t>
      </w:r>
    </w:p>
    <w:p>
      <w:pPr>
        <w:spacing w:after="0" w:line="78"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If you are age 80 or younger at the Issue Date of your Contract, the standard death benefit will be the Return of Premium death benefit which is the greater of:</w:t>
      </w:r>
    </w:p>
    <w:p>
      <w:pPr>
        <w:spacing w:after="0" w:line="66" w:lineRule="exact"/>
        <w:rPr>
          <w:sz w:val="20"/>
          <w:szCs w:val="20"/>
          <w:color w:val="auto"/>
        </w:rPr>
      </w:pPr>
    </w:p>
    <w:p>
      <w:pPr>
        <w:ind w:left="720" w:hanging="472"/>
        <w:spacing w:after="0"/>
        <w:tabs>
          <w:tab w:leader="none" w:pos="7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Account Value (which may be based on the Interim Values of the Shield Options); or</w:t>
      </w:r>
    </w:p>
    <w:p>
      <w:pPr>
        <w:spacing w:after="0" w:line="105" w:lineRule="exact"/>
        <w:rPr>
          <w:rFonts w:ascii="Times New Roman" w:cs="Times New Roman" w:eastAsia="Times New Roman" w:hAnsi="Times New Roman"/>
          <w:sz w:val="12"/>
          <w:szCs w:val="12"/>
          <w:color w:val="auto"/>
        </w:rPr>
      </w:pPr>
    </w:p>
    <w:p>
      <w:pPr>
        <w:ind w:left="720" w:right="3899" w:hanging="472"/>
        <w:spacing w:after="0" w:line="259" w:lineRule="auto"/>
        <w:tabs>
          <w:tab w:leader="none" w:pos="7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Purchase Payment, reduced proportionally by the percentage reduction in Account Value of the Shield</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Option(s), the Fixed Account, and the Holding Account for each partial withdrawal (including any</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applicable Withdrawal</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Charge).</w:t>
      </w:r>
    </w:p>
    <w:p>
      <w:pPr>
        <w:spacing w:after="0" w:line="76"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If a non-natural person owns the Contract, then the Annuitant will be deemed to be the Owner for purposes of determining the Death Benefit Amount. If Joint Owners are named, the age of the oldest Joint Owner will be used to determine the Death Benefit.</w:t>
      </w:r>
    </w:p>
    <w:p>
      <w:pPr>
        <w:spacing w:after="0" w:line="47"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If the Owner is a natural person and the Owner is changed to someone other than a spouse, the Death Benefit Amount will be determined as defined above; however, for the Return of Premium death benefit, subsection (2) will be changed to provide as follows: “the Account Value as of the effective date of the change of Owner, reduced proportionally by the percentage reduction in Account Value of the Shield Option(s), the Fixed Account, and the Holding Account for each partial withdrawal (including any applicable Withdrawal Charge) made after such date.”</w:t>
      </w:r>
    </w:p>
    <w:p>
      <w:pPr>
        <w:spacing w:after="0" w:line="62"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In the event that a Beneficiary who is the spouse of the Owner elects to continue the Contract in his or her name after the Owner dies, the Death Benefit Amount for the Return of Premium death benefit, will be determined in accordance with (1) or (2) above.</w:t>
      </w:r>
    </w:p>
    <w:p>
      <w:pPr>
        <w:spacing w:after="0" w:line="47"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The Death Benefit Amount cannot be withdrawn as a lump sum prior to the death of the Owner (or Annuitant where the Owner is a non-natural person).</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current Death Benefit Amount will appear on any reports that are sent to you.</w:t>
      </w:r>
    </w:p>
    <w:p>
      <w:pPr>
        <w:spacing w:after="0" w:line="78"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The death benefit terminates (a) upon termination of the Contract; (b) when the entire Account Value is applied to an Annuity Option; or (c) when the Account Value is reduced to zero.</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See Appendix D for examples of the Return of Premium death benefit.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Death Benefit Provisions</w:t>
      </w:r>
    </w:p>
    <w:p>
      <w:pPr>
        <w:spacing w:after="0" w:line="82"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If the Beneficiary under a Qualified Contract is the Annuitant’s spouse, the tax law generally allows distributions to begin by the year in which the Annuitant would have been required to begin taking distributions (which may be more or less than ten years after the Annuitant’s death). (See “FEDERAL TAX CONSIDERATIONS” for a discussion of the tax law requirements applicable to distributions from Qualified Contracts).</w:t>
      </w:r>
    </w:p>
    <w:p>
      <w:pPr>
        <w:spacing w:after="0" w:line="53"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The Death Benefit Amount is determined as of the end of the Business Day on which we receive both due proof of death and an acceptable election for the payment method. Where there are multiple Beneficiaries, the death benefit will be determined as of the time the first Beneficiary submits the necessary documentation in Good Order. The Death Benefit Amount remains in the Contract until each of the other Beneficiaries submits the necessary documentation in Good Order to claim his/her death benefit. Any Death Benefit Amounts held in the Contract on behalf of the remaining Beneficiaries will remain in the existing Shield Options and/or the Fixed Account and are subject to fluctuation in value. This risk is borne by the Beneficiaries. There is no additional death benefit guarantee.</w:t>
      </w:r>
    </w:p>
    <w:p>
      <w:pPr>
        <w:spacing w:after="0" w:line="56"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For the Return of Premium death benefit, if the Beneficiary chooses to continue the Contract, any excess of the Death Benefit Amount over the Account Value will be allocated to the Fixed Account. If the Fixed Account is not available, any excess amount of the Death Benefit Amount over the Account Value will be allocated into the Holding Account, unless otherwise instructed by the Beneficiary.</w:t>
      </w:r>
    </w:p>
    <w:p>
      <w:pPr>
        <w:spacing w:after="0" w:line="50"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Upon the death of either Owner, the surviving Joint Owner will be the primary Beneficiary. Any other Beneficiary designation will be treated as a contingent Beneficiary, unless instructed otherwise.</w:t>
      </w:r>
    </w:p>
    <w:p>
      <w:pPr>
        <w:spacing w:after="0" w:line="16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56</w:t>
      </w:r>
    </w:p>
    <w:p>
      <w:pPr>
        <w:sectPr>
          <w:pgSz w:w="11900" w:h="16838" w:orient="portrait"/>
          <w:cols w:equalWidth="0" w:num="1">
            <w:col w:w="9359"/>
          </w:cols>
          <w:pgMar w:left="1100" w:top="966" w:right="1440" w:bottom="1440" w:gutter="0" w:footer="0" w:header="0"/>
        </w:sectPr>
      </w:pPr>
    </w:p>
    <w:bookmarkStart w:id="57" w:name="page58"/>
    <w:bookmarkEnd w:id="57"/>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57395" cy="36830"/>
                    </a:xfrm>
                    <a:prstGeom prst="rect">
                      <a:avLst/>
                    </a:prstGeom>
                    <a:noFill/>
                  </pic:spPr>
                </pic:pic>
              </a:graphicData>
            </a:graphic>
          </wp:anchor>
        </w:drawing>
        <w:t>If we are presented with Notice of your death before any requested transaction is completed, we will cancel the request. As described above, the death benefit will be determined when we receive both due proof of death and an election for the payment method.</w:t>
      </w:r>
    </w:p>
    <w:p>
      <w:pPr>
        <w:spacing w:after="0" w:line="56"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We will pay interest on any delayed death benefit payments in accordance with the laws and regulations in effect under the applicable state law.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Controlled Payout</w:t>
      </w:r>
    </w:p>
    <w:p>
      <w:pPr>
        <w:spacing w:after="0" w:line="91"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You may elect to have the death benefit proceeds paid to your Beneficiary in the form of Annuity Payments for life or over a period of time that does not exceed your Beneficiary’s life expectancy, subject to applicable tax law requirements. This election must be in writing in a form acceptable to us. You may revoke the election only in writing and only in a form acceptable to us. Upon your death, the Beneficiary cannot revoke or modify your election. The Controlled Payout is only available to Non-Qualified Contracts.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Death of Owner During the Accumulation Period</w:t>
      </w:r>
    </w:p>
    <w:p>
      <w:pPr>
        <w:spacing w:after="0" w:line="82"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The death benefit will be paid to your Beneficiary(ies) upon your death, or the first death of a Joint Owner. If the Contract is owned by a non-natural person, the Annuitant will be deemed the Owner in determining the death benefit. If there are Joint Owners, the age of the older Owner will be used to determine the death benefit.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Death of Annuitant During the Accumulation Period</w:t>
      </w:r>
    </w:p>
    <w:p>
      <w:pPr>
        <w:spacing w:after="0" w:line="91"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Upon the death of an Annuitant, who is not the Owner or Joint Owner, the Owner (or Oldest Joint Owner) automatically becomes the Annuitant, unless the Owner, subject to our underwriting requirements in effect at the time of the request, chooses a new Annuitant. If the Owner is a non-natural person, the death of the Annuitant will be treated as the death of an Owner, and a new Annuitant may not be named. (See “Death of Owner During the Accumulation Period” above).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Death Benefit Options</w:t>
      </w:r>
    </w:p>
    <w:p>
      <w:pPr>
        <w:spacing w:after="0" w:line="91"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In the event an Owner (or the Annuitant, where the Owner is not a natural person) dies during the Accumulation Period, a Beneficiary must choose payment of the death benefit under one of the options below (unless the Owner has previously made the election or due to the requirements of the Code). The death benefit options available under the Contract include the following and any other options acceptable to you and us:</w:t>
      </w:r>
    </w:p>
    <w:p>
      <w:pPr>
        <w:spacing w:after="0" w:line="77" w:lineRule="exact"/>
        <w:rPr>
          <w:sz w:val="20"/>
          <w:szCs w:val="20"/>
          <w:color w:val="auto"/>
        </w:rPr>
      </w:pPr>
    </w:p>
    <w:p>
      <w:pPr>
        <w:ind w:left="720" w:hanging="472"/>
        <w:spacing w:after="0"/>
        <w:tabs>
          <w:tab w:leader="none" w:pos="7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Option 1—lump sum payment in cash; or</w:t>
      </w:r>
    </w:p>
    <w:p>
      <w:pPr>
        <w:spacing w:after="0" w:line="105" w:lineRule="exact"/>
        <w:rPr>
          <w:rFonts w:ascii="Times New Roman" w:cs="Times New Roman" w:eastAsia="Times New Roman" w:hAnsi="Times New Roman"/>
          <w:sz w:val="12"/>
          <w:szCs w:val="12"/>
          <w:color w:val="auto"/>
        </w:rPr>
      </w:pPr>
    </w:p>
    <w:p>
      <w:pPr>
        <w:ind w:left="720" w:right="3919" w:hanging="472"/>
        <w:spacing w:after="0" w:line="259" w:lineRule="auto"/>
        <w:tabs>
          <w:tab w:leader="none" w:pos="7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Option 2—payment of death benefit under an Annuity Option or other periodic payment option acceptable to</w:t>
      </w:r>
    </w:p>
    <w:p>
      <w:pPr>
        <w:spacing w:after="0" w:line="1" w:lineRule="exact"/>
        <w:rPr>
          <w:sz w:val="20"/>
          <w:szCs w:val="20"/>
          <w:color w:val="auto"/>
        </w:rPr>
      </w:pPr>
    </w:p>
    <w:p>
      <w:pPr>
        <w:jc w:val="both"/>
        <w:ind w:left="240" w:right="3919"/>
        <w:spacing w:after="0" w:line="250" w:lineRule="auto"/>
        <w:rPr>
          <w:sz w:val="20"/>
          <w:szCs w:val="20"/>
          <w:color w:val="auto"/>
        </w:rPr>
      </w:pPr>
      <w:r>
        <w:rPr>
          <w:rFonts w:ascii="Times New Roman" w:cs="Times New Roman" w:eastAsia="Times New Roman" w:hAnsi="Times New Roman"/>
          <w:sz w:val="12"/>
          <w:szCs w:val="12"/>
          <w:color w:val="auto"/>
        </w:rPr>
        <w:t>us (if permitted by the Code) in substantially equal periodic payments (made at least annually) over the lifetime of the</w:t>
      </w:r>
    </w:p>
    <w:p>
      <w:pPr>
        <w:spacing w:after="0" w:line="1" w:lineRule="exact"/>
        <w:rPr>
          <w:sz w:val="20"/>
          <w:szCs w:val="20"/>
          <w:color w:val="auto"/>
        </w:rPr>
      </w:pPr>
    </w:p>
    <w:p>
      <w:pPr>
        <w:jc w:val="both"/>
        <w:ind w:left="240" w:right="3899"/>
        <w:spacing w:after="0" w:line="250" w:lineRule="auto"/>
        <w:rPr>
          <w:sz w:val="20"/>
          <w:szCs w:val="20"/>
          <w:color w:val="auto"/>
        </w:rPr>
      </w:pPr>
      <w:r>
        <w:rPr>
          <w:rFonts w:ascii="Times New Roman" w:cs="Times New Roman" w:eastAsia="Times New Roman" w:hAnsi="Times New Roman"/>
          <w:sz w:val="12"/>
          <w:szCs w:val="12"/>
          <w:color w:val="auto"/>
        </w:rPr>
        <w:t>Beneficiary or over a period not extending beyond the life expectancy of the Beneficiary with distribution beginning</w:t>
      </w:r>
    </w:p>
    <w:p>
      <w:pPr>
        <w:spacing w:after="0" w:line="1" w:lineRule="exact"/>
        <w:rPr>
          <w:sz w:val="20"/>
          <w:szCs w:val="20"/>
          <w:color w:val="auto"/>
        </w:rPr>
      </w:pPr>
    </w:p>
    <w:p>
      <w:pPr>
        <w:jc w:val="both"/>
        <w:ind w:left="240" w:right="3899"/>
        <w:spacing w:after="0" w:line="255" w:lineRule="auto"/>
        <w:rPr>
          <w:sz w:val="20"/>
          <w:szCs w:val="20"/>
          <w:color w:val="auto"/>
        </w:rPr>
      </w:pPr>
      <w:r>
        <w:rPr>
          <w:rFonts w:ascii="Times New Roman" w:cs="Times New Roman" w:eastAsia="Times New Roman" w:hAnsi="Times New Roman"/>
          <w:sz w:val="12"/>
          <w:szCs w:val="12"/>
          <w:color w:val="auto"/>
        </w:rPr>
        <w:t>within one (1) year of the date of death of the Owner or the first Joint Owner to die. Any portion of the death benefit not applied within one (1) year of the date of the Owner’s or Joint Owner’s death must be distributed within five (5) years of the date of death.</w:t>
      </w:r>
    </w:p>
    <w:p>
      <w:pPr>
        <w:spacing w:after="0" w:line="53"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For Non-Qualified Contracts, payment must begin within one year of the date of death. For Qualified Contracts, payment must begin no later than the end of the calendar year immediately following the year of death.</w:t>
      </w:r>
    </w:p>
    <w:p>
      <w:pPr>
        <w:spacing w:after="0" w:line="39"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We may also offer a payment option, for both Non-Qualified Contracts and certain Qualified Contracts, under which your Beneficiary may receive payments, over a period not extending beyond his or her life expectancy, under a method of distribution similar to the distribution of RMDs that are taken as withdrawals from Individual Retirement Accounts. Such payment option may be limited to certain categories of beneficiaries. If this option is elected, we will issue a new contract to your Beneficiary in order to facilitate the distribution of payments. Upon the death of your Beneficiary, the death benefit would be required to be distributed in accordance with applicable tax law requirements. In some cases, this will require that the proceeds be distributed more rapidly than the method of distribution in effect at the time of your Beneficiary’s death. (See “FEDERAL TAX CONSIDERATIONS.”)</w:t>
      </w:r>
    </w:p>
    <w:p>
      <w:pPr>
        <w:spacing w:after="0" w:line="54"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If a lump sum payment is elected and all the necessary requirements are met, the payment will be made within seven (7) days.</w:t>
      </w:r>
    </w:p>
    <w:p>
      <w:pPr>
        <w:spacing w:after="0" w:line="39"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All options must comply with applicable federal income tax rules. The tax rules are complex and differ for Non-Qualified Contracts and Qualified Contracts. As a general matter, the entire death benefit must be paid within five (5) years (or in some cases 10 years for Qualified Contracts) of the Owner’s date of death unless an exception applies. You should consult your tax adviser about the tax rules applicable to your situation.</w:t>
      </w:r>
    </w:p>
    <w:p>
      <w:pPr>
        <w:spacing w:after="0" w:line="16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57</w:t>
      </w:r>
    </w:p>
    <w:p>
      <w:pPr>
        <w:sectPr>
          <w:pgSz w:w="11900" w:h="16838" w:orient="portrait"/>
          <w:cols w:equalWidth="0" w:num="1">
            <w:col w:w="9359"/>
          </w:cols>
          <w:pgMar w:left="1100" w:top="966" w:right="1440" w:bottom="1440" w:gutter="0" w:footer="0" w:header="0"/>
        </w:sectPr>
      </w:pPr>
    </w:p>
    <w:bookmarkStart w:id="58" w:name="page59"/>
    <w:bookmarkEnd w:id="58"/>
    <w:p>
      <w:pPr>
        <w:jc w:val="both"/>
        <w:ind w:right="3839" w:firstLine="240"/>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57395" cy="36830"/>
                    </a:xfrm>
                    <a:prstGeom prst="rect">
                      <a:avLst/>
                    </a:prstGeom>
                    <a:noFill/>
                  </pic:spPr>
                </pic:pic>
              </a:graphicData>
            </a:graphic>
          </wp:anchor>
        </w:drawing>
        <w:t>Beneficiary Continuation Options.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We offer two types of Beneficiary Continuation Options during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Accumulation Period: the Spousal Continuation and Non-Spousal Beneficiary Continuation Options described below. We must receive Notice of the election of one of these Beneficiary Continuation Options by the end of the 90th day after we receive Notice of due proof of death. If the surviving spouse qualifies for Spousal Continuation and has not chosen one of the death benefit options above by the end of the 90 day period, the Spousal Continuation Option will be automatically applied on the 90th day. If a Non-Spousal Beneficiary qualifies for Non-Spousal Beneficiary Continuation and has not chosen one of the death benefit options above by the end of the 90 day period, the Non-Spousal Beneficiary Continuation Option will be automatically applied on the 90th day.</w:t>
      </w:r>
    </w:p>
    <w:p>
      <w:pPr>
        <w:spacing w:after="0" w:line="204"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b w:val="1"/>
          <w:bCs w:val="1"/>
          <w:color w:val="auto"/>
        </w:rPr>
        <w:t xml:space="preserve">Spousal Continuation.  </w:t>
      </w:r>
      <w:r>
        <w:rPr>
          <w:rFonts w:ascii="Times New Roman" w:cs="Times New Roman" w:eastAsia="Times New Roman" w:hAnsi="Times New Roman"/>
          <w:sz w:val="12"/>
          <w:szCs w:val="12"/>
          <w:color w:val="auto"/>
        </w:rPr>
        <w:t>If the Owner dies during the Accumulation Period, the spouse may choose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continue the Contract in his or her own name, to the extent permitted by law, and exercise all of the Owner’s rights under the Contract. Upon such election the Account Value will be adjusted to an amount equal to the Death Benefit Amount determined upon such election and receipt of due proof of death of the Owner. Any excess of the Death Benefit Amount over the Account Value will be allocated to the Fixed Account. If the Fixed Account is not available, any excess amount of the Death Benefit Amount over the Account Value will be allocated into the Holding Account, unless otherwise elected by the spouse.</w:t>
      </w:r>
    </w:p>
    <w:p>
      <w:pPr>
        <w:spacing w:after="0" w:line="54"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Spousal continuation will not satisfy minimum required distribution rules for Qualified Contracts other than IRAs. (See “FEDERAL TAX CONSIDERATIONS.”)</w:t>
      </w:r>
    </w:p>
    <w:p>
      <w:pPr>
        <w:spacing w:after="0" w:line="44"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Non-Spousal Beneficiary Continuation.  </w:t>
      </w:r>
      <w:r>
        <w:rPr>
          <w:rFonts w:ascii="Times New Roman" w:cs="Times New Roman" w:eastAsia="Times New Roman" w:hAnsi="Times New Roman"/>
          <w:sz w:val="12"/>
          <w:szCs w:val="12"/>
          <w:color w:val="auto"/>
        </w:rPr>
        <w:t>A Beneficiary who is not a spouse generally can choose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continue a Non-Qualified Contract until the fifth anniversary of the Owner’s death, and a Qualified Contract generally until the tenth anniversary of the Owner’s death. The Contract can be continued by a Beneficiary only if his or her share of the death benefit is at least equal to the Minimum Account Value. If the Beneficiary continues the Contract under this provision his or her share will not be paid. It will instead be continued in the Contract on the date we determine the Death Benefit Amount. Such Beneficiary will have the right to make partial and full withdrawals of his/her share of the Contract, not subject to Withdrawal Charges. Such Beneficiary will also have the right to make transfers at the Term End Date or the Fixed Account Term End Date.</w:t>
      </w:r>
    </w:p>
    <w:p>
      <w:pPr>
        <w:spacing w:after="0" w:line="64"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During the continuation period the Beneficiary can choose to receive his/her share of the Contract in a single lump sum payment or, to the extent permitted by the Code, apply it to an Annuity Option or other option acceptable to us that must be payable for the life of the Beneficiary or for a term no longer than the life expectancy of the Beneficiary starting within one (1) year after the death of the Owner.</w:t>
      </w:r>
    </w:p>
    <w:p>
      <w:pPr>
        <w:spacing w:after="0" w:line="50"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On the fifth anniversary of the death of a Non-Qualified Contract Owner, (or generally the tenth anniversary of the death of a Qualified Contract Owner), any Beneficiary will be paid his/her share of the Account Value that has not been applied to an Annuity Option or other settlement option permissible under the Code, in a single lump sum payment and the Contract will terminate.</w:t>
      </w:r>
    </w:p>
    <w:p>
      <w:pPr>
        <w:spacing w:after="0" w:line="1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2"/>
          <w:szCs w:val="12"/>
          <w:b w:val="1"/>
          <w:bCs w:val="1"/>
          <w:color w:val="auto"/>
        </w:rPr>
        <w:t>ANNUITY PAYMENTS (THE ANNUITY PERIOD)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Annuity Date</w:t>
      </w:r>
    </w:p>
    <w:p>
      <w:pPr>
        <w:spacing w:after="0" w:line="82"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color w:val="auto"/>
        </w:rPr>
        <w:t>Under the Contract you can receive regular Annuity Payments. You can choose the month and year in which those payments begin (the “Annuity Date”). The Annuity Date must not be less than thirteen (13) months from the Issue Date and will be the first day of the calendar month unless, subject to our current established administrative procedures, we allow you to select another day of the month as your Annuity Date. You can change the Annuity Date at any time before the Annuity Date, subject to certain limitations and restrictions that may apply in New York state. Annuity Payments must begin on, or before, the Maturity Date. Please note that in the Contract, the Annuity Date and Maturity Date are the same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Maturity Date</w:t>
      </w:r>
    </w:p>
    <w:p>
      <w:pPr>
        <w:spacing w:after="0" w:line="82" w:lineRule="exact"/>
        <w:rPr>
          <w:sz w:val="20"/>
          <w:szCs w:val="20"/>
          <w:color w:val="auto"/>
        </w:rPr>
      </w:pPr>
    </w:p>
    <w:p>
      <w:pPr>
        <w:jc w:val="both"/>
        <w:ind w:right="3839" w:firstLine="240"/>
        <w:spacing w:after="0" w:line="245" w:lineRule="auto"/>
        <w:rPr>
          <w:sz w:val="20"/>
          <w:szCs w:val="20"/>
          <w:color w:val="auto"/>
        </w:rPr>
      </w:pPr>
      <w:r>
        <w:rPr>
          <w:rFonts w:ascii="Times New Roman" w:cs="Times New Roman" w:eastAsia="Times New Roman" w:hAnsi="Times New Roman"/>
          <w:sz w:val="12"/>
          <w:szCs w:val="12"/>
          <w:color w:val="auto"/>
        </w:rPr>
        <w:t>The Maturity Date is specified in your Contract at purchase and is the Contract Anniversary after the oldest Owner’s 90</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birthday or 10 years from the date we issue your Contract, whichever is later. If Annuity Payments do not begin on, or before, the Maturity Date, the Contract will be annuitized at the Maturity Date under the Contract’s default Annuity Option, or you can make a complete withdrawal of your Account Value.</w:t>
      </w:r>
    </w:p>
    <w:p>
      <w:pPr>
        <w:spacing w:after="0" w:line="58"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 xml:space="preserve">You can change or extend your Maturity Date at any time before the Maturity Date with thirty (30) days prior notice to us (subject to restrictions that may apply in New York state, restrictions imposed by your selling firm and our current established administrative procedures.) The latest date we will allow you to extend to must be based on the Owner’s age and not the Annuitant’s age. You must contact us at our Annuity Service Office to make this election. This requirement may be changed by us. </w:t>
      </w:r>
      <w:r>
        <w:rPr>
          <w:rFonts w:ascii="Times New Roman" w:cs="Times New Roman" w:eastAsia="Times New Roman" w:hAnsi="Times New Roman"/>
          <w:sz w:val="12"/>
          <w:szCs w:val="12"/>
          <w:b w:val="1"/>
          <w:bCs w:val="1"/>
          <w:color w:val="auto"/>
        </w:rPr>
        <w:t>Please be aware that once your Contract is annuitized, your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beneficiaries are ineligible to receive any death benefit.</w:t>
      </w:r>
    </w:p>
    <w:p>
      <w:pPr>
        <w:spacing w:after="0" w:line="17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58</w:t>
      </w:r>
    </w:p>
    <w:p>
      <w:pPr>
        <w:sectPr>
          <w:pgSz w:w="11900" w:h="16838" w:orient="portrait"/>
          <w:cols w:equalWidth="0" w:num="1">
            <w:col w:w="9359"/>
          </w:cols>
          <w:pgMar w:left="1100" w:top="962"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57395" cy="36830"/>
                    </a:xfrm>
                    <a:prstGeom prst="rect">
                      <a:avLst/>
                    </a:prstGeom>
                    <a:noFill/>
                  </pic:spPr>
                </pic:pic>
              </a:graphicData>
            </a:graphic>
          </wp:anchor>
        </w:drawing>
        <w:t>Annuity Payments</w:t>
      </w:r>
    </w:p>
    <w:p>
      <w:pPr>
        <w:spacing w:after="0" w:line="91"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You (unless another payee is named) will receive Annuity Payments during the Annuity Period. The Annuitant is the natural person(s) whose life we look to in the determination of Annuity Payments. All Annuity Payments are fixed as to amount.</w:t>
      </w:r>
    </w:p>
    <w:p>
      <w:pPr>
        <w:spacing w:after="0" w:line="47"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color w:val="auto"/>
        </w:rPr>
        <w:t>The Account Value, less any applicable Premium Taxes on the day immediately preceding the Annuity Date will be used to determine the Annuity Payment amount. The amount of each Annuity Payment will be based upon the Annuity Option elected, the Annuitant’s age, the Annuitant’s sex (where permitted by law), and the appropriate Annuity Option table. Your annuity rates will not be less than those guaranteed in your Contract at the time of purchase. If, as of the annuity calculation date, the then current Annuity Option rates applicable to this class of contracts provide an Annuity Payment greater than that which is guaranteed under the same Annuity Option under the Contract, the greater payment will be made.</w:t>
      </w:r>
    </w:p>
    <w:p>
      <w:pPr>
        <w:spacing w:after="0" w:line="63"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Annuity Payments will be paid as monthly installments or at any frequency acceptable to you and us. If the amount of the Account Value to be applied under an Annuity Option is less than $5,000, we reserve the right to make one lump sum payment equal to the then current Account Value in lieu of Annuity Payments. If the amount of the Annuity Payment would be less than $100, we may reduce the frequency of payments to an interval which will result in the payment being at least $100, but with a frequency of no less than annually.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Annuity Options</w:t>
      </w:r>
    </w:p>
    <w:p>
      <w:pPr>
        <w:spacing w:after="0" w:line="82"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You can choose among annuity plans (the “Annuity Options”). You can change it at any time before the death benefit becomes payable or the Annuity Date.</w:t>
      </w:r>
    </w:p>
    <w:p>
      <w:pPr>
        <w:spacing w:after="0" w:line="39"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If you do not choose an Annuity Option before the Contract is annuitized, Option 1, which provides a life annuity with 10 years of guaranteed Annuity Payments, will automatically be applied.</w:t>
      </w:r>
    </w:p>
    <w:p>
      <w:pPr>
        <w:spacing w:after="0" w:line="39"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You can choose one of the following Annuity Options or any other Annuity Option acceptable to us. After Annuity Payments begin, you cannot change the Annuity Option, subject to the requirements of the Code.</w:t>
      </w:r>
    </w:p>
    <w:p>
      <w:pPr>
        <w:spacing w:after="0" w:line="39"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If more than one frequency is permitted under your Contract, choosing less frequent payments will result in each Annuity Payment being larger. For Annuity Options with a designated period, choosing a shorter designated period will result in each Annuity Payment being larger.</w:t>
      </w:r>
    </w:p>
    <w:p>
      <w:pPr>
        <w:spacing w:after="0" w:line="43" w:lineRule="exact"/>
        <w:rPr>
          <w:sz w:val="20"/>
          <w:szCs w:val="20"/>
          <w:color w:val="auto"/>
        </w:rPr>
      </w:pPr>
    </w:p>
    <w:p>
      <w:pPr>
        <w:jc w:val="both"/>
        <w:ind w:right="3839" w:firstLine="24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Option 1. Life Annuity With 10 Years of Annuity Payments Guaranteed.  </w:t>
      </w:r>
      <w:r>
        <w:rPr>
          <w:rFonts w:ascii="Times New Roman" w:cs="Times New Roman" w:eastAsia="Times New Roman" w:hAnsi="Times New Roman"/>
          <w:sz w:val="12"/>
          <w:szCs w:val="12"/>
          <w:color w:val="auto"/>
        </w:rPr>
        <w:t>Under this option, we will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make Annuity Payments so long as the Annuitant is alive. If, when the Annuitant dies, we have made Annuity Payments for less than ten years, we will then continue to make Annuity Payments to the Beneficiary for the rest of the 10 year period.</w:t>
      </w:r>
    </w:p>
    <w:p>
      <w:pPr>
        <w:spacing w:after="0" w:line="45"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Option 2. Joint and Last Survivor Annuity with 10 Years of Annuity Payments Guaranteed.  </w:t>
      </w:r>
      <w:r>
        <w:rPr>
          <w:rFonts w:ascii="Times New Roman" w:cs="Times New Roman" w:eastAsia="Times New Roman" w:hAnsi="Times New Roman"/>
          <w:sz w:val="12"/>
          <w:szCs w:val="12"/>
          <w:color w:val="auto"/>
        </w:rPr>
        <w:t>Under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option, we will make Annuity Payments so long as the Annuitant and a second person (joint Annuitant) are both alive. When either Annuitant dies, we will continue to make Annuity Payments, so long as the survivor continues to live. If, at the last death of the Annuitant and the joint Annuitant, we have made Annuity Payments for less than ten years, we will then continue to make Annuity Payments to the Beneficiary for the rest of the 10 year period.</w:t>
      </w:r>
    </w:p>
    <w:p>
      <w:pPr>
        <w:spacing w:after="0" w:line="53"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We may require proof of the age or sex of an Annuitant before making any Annuity Payments under the Contract that are measured by the Annuitant’s life. If the age or sex of the Annuitant has been misstated, the amount payable will be the amount that the Account Value would have provided at the correct age or sex. Once Annuity Payments have begun, the amount of any overpayments or underpayments, with interest at 6% per annum, will be, as applicable, deducted from, or added to, the payment or payments made after the adjustment.</w:t>
      </w:r>
    </w:p>
    <w:p>
      <w:pPr>
        <w:spacing w:after="0" w:line="53"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Upon the death of the last surviving Annuitant, the Beneficiary may choose to continue receiving Annuity Payments (if permitted by the Code) or to receive the commuted value of the remaining guaranteed payments. The calculation of the commuted value will be done using the then current Annuity Option rates.</w:t>
      </w:r>
    </w:p>
    <w:p>
      <w:pPr>
        <w:spacing w:after="0" w:line="47"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Due to underwriting, administrative or Code considerations, there may be limitations on payments to the survivor under Option 2 and/or the duration of the guarantee period under Options 1 and 2.</w:t>
      </w:r>
    </w:p>
    <w:p>
      <w:pPr>
        <w:spacing w:after="0" w:line="39"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Tax rules with respect to decedent contracts may prohibit the election of Joint and Last Survivor Annuity Options (or annuity types) and may also prohibit payments for as long as the Owner’s life in certain circumstances.</w:t>
      </w:r>
    </w:p>
    <w:p>
      <w:pPr>
        <w:spacing w:after="0" w:line="47"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color w:val="auto"/>
        </w:rPr>
        <w:t>In addition to the Annuity Options described above, we may offer an additional payment option that would allow your Beneficiary to take distribution of the Account Value over a period not extending beyond his or her life expectancy. Under this option, annual distributions would not be made in the form of an annuity, but would be calculated in a manner similar to the calculation of RMDs from IRAs. (See “FEDERAL TAX CONSIDERATIONS.”) We generally intend to make this payment option available to both Qualified Contracts and Non-Qualified Contracts, to the extent allowed under the Code; however, such payment option may be limited to certain categories of beneficiaries. In the event that you purchased the Contract as a</w:t>
      </w:r>
    </w:p>
    <w:p>
      <w:pPr>
        <w:spacing w:after="0" w:line="18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59</w:t>
      </w:r>
    </w:p>
    <w:p>
      <w:pPr>
        <w:sectPr>
          <w:pgSz w:w="11900" w:h="16838" w:orient="portrait"/>
          <w:cols w:equalWidth="0" w:num="1">
            <w:col w:w="9359"/>
          </w:cols>
          <w:pgMar w:left="1100" w:top="962" w:right="1440" w:bottom="1440" w:gutter="0" w:footer="0" w:header="0"/>
        </w:sectPr>
      </w:pPr>
    </w:p>
    <w:bookmarkStart w:id="60" w:name="page61"/>
    <w:bookmarkEnd w:id="60"/>
    <w:p>
      <w:pPr>
        <w:jc w:val="both"/>
        <w:ind w:right="3839"/>
        <w:spacing w:after="0" w:line="25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57395" cy="36830"/>
                    </a:xfrm>
                    <a:prstGeom prst="rect">
                      <a:avLst/>
                    </a:prstGeom>
                    <a:noFill/>
                  </pic:spPr>
                </pic:pic>
              </a:graphicData>
            </a:graphic>
          </wp:anchor>
        </w:drawing>
        <w:t>Qualified Contract, you must take distribution of the Account Value in accordance with the minimum required distribution rules set forth in applicable tax law. (See “FEDERAL TAX CONSIDERATIONS.”) Under certain circumstances, you may satisfy those requirements by electing an Annuity Option. Upon your death, if Annuity Payments have already begun under a Qualified Contract, applicable tax law may require that any remaining Annuity Payments be paid over a shorter period than originally elected or otherwise adjusted to comply with the tax law. If you purchased the Contract as a Non-Qualified Contract, the tax rules that apply upon your death are similar to the tax rules for Qualified Contracts, but differ in some material respects. For example, if you die after Annuity Payments have already begun under a Non-Qualified Contract, any remaining Annuity Payments can continue to be paid, provided that they are paid at least as rapidly as under the method of distribution in effect at the time of your death.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Death of Owner During the Annuity Period</w:t>
      </w:r>
    </w:p>
    <w:p>
      <w:pPr>
        <w:spacing w:after="0" w:line="82"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If the Owner (or a Joint Owner), is not the Annuitant, and dies during the Annuity Period, any remaining guaranteed payments under the Annuity Option elected will continue at least as rapidly as under the method of distribution in effect at the time of the Owner’s (or Joint Owner’s) death, but in all events in accordance with applicable tax law requirements. Upon the death of the Owner (or a Joint Owner) during the Annuity Period, the Beneficiary becomes entitled to exercise the rights of the Owner. If an Owner (or Joint Owner) is the Annuitant and dies during the Annuity Period, any remaining Annuity Payments will be as specified in the Annuity Option chosen and will continue at least as rapidly as under the method of distribution in effect at the time of the Owner’s (or Joint Owner’s) death, but in all events in accordance with applicable tax law requirements.</w:t>
      </w:r>
    </w:p>
    <w:p>
      <w:pPr>
        <w:spacing w:after="0" w:line="19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2"/>
          <w:szCs w:val="12"/>
          <w:b w:val="1"/>
          <w:bCs w:val="1"/>
          <w:color w:val="auto"/>
        </w:rPr>
        <w:t>FEDERAL TAX CONSIDERATIONS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Introduction</w:t>
      </w:r>
    </w:p>
    <w:p>
      <w:pPr>
        <w:spacing w:after="0" w:line="82"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color w:val="auto"/>
        </w:rPr>
        <w:t>The following information on taxes is a general discussion of the subject. It is not intended as tax advice. The provisions of the Code that govern the Contract are complex and subject to change. The applicability of Federal income tax rules may vary with your particular circumstances. This discussion does not include all the Federal income tax rules that may affect you and your Contract. Nor does this discussion address other Federal tax consequences (such as estate and gift taxes, sales to foreign individuals or entities), or state or local tax consequences, which may affect your investment in the Contract. As a result, you should always consult a tax adviser for complete information and advice applicable to your individual situation.</w:t>
      </w:r>
    </w:p>
    <w:p>
      <w:pPr>
        <w:spacing w:after="0" w:line="54"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You are responsible for determining whether your purchase of a Contract, withdrawals, Annuity Payments and any other transactions under your Contract satisfy applicable tax law.</w:t>
      </w:r>
    </w:p>
    <w:p>
      <w:pPr>
        <w:spacing w:after="0" w:line="39"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For Federal tax purposes, the term “spouse” refers to the person to whom you are lawfully married, regardless of sex. The term “spouse” generally will not include individuals who are in a registered domestic partnership or civil union not denominated as marriage under state or other applicable law.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Non-Qualified Annuity Contracts</w:t>
      </w:r>
    </w:p>
    <w:p>
      <w:pPr>
        <w:spacing w:after="0" w:line="82"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This discussion assumes the Contract is a “non-qualified” annuity Contract for Federal income tax purposes, that is not held in a tax qualified “plan.” Tax qualified plans include arrangements described in Code Sections 401(a), 401(k), 403(a), 403(b) or tax sheltered annuities (“TSA”), 408 or “IRAs” (including SEP and SIMPLE IRAs), 408A or “Roth IRAs” and 457(b) plans. Contracts owned through such plans are referred to below as “qualified” contracts.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Non-Qualified Annuity Contracts Owned by Corporations and Other Legal Entities</w:t>
      </w:r>
    </w:p>
    <w:p>
      <w:pPr>
        <w:spacing w:after="0" w:line="82"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Taxes on earnings are deferred until you take money out. Non-qualified annuity Contracts owned by a non-natural person, such as corporations or certain other legal entities (other than a trust that holds the Contract as an agent for a natural person), do not receive tax deferral on earnings.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Accumulation</w:t>
      </w:r>
    </w:p>
    <w:p>
      <w:pPr>
        <w:spacing w:after="0" w:line="82"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Generally, an owner of a non-qualified annuity Contract is not taxed on increases in the value of the Contract until there is a distribution from the Contract, i.e. Surrender, partial withdrawal Annuity Payments or commutation. This deferral of taxation on accumulated value in the Contract is limited to Contracts owned by or held for the benefit of “natural persons.” A Contract will be treated as held by a natural person even if the nominal owner is a trust or other entity which holds the Contract as an agent for the exclusive benefit of a natural person.</w:t>
      </w:r>
    </w:p>
    <w:p>
      <w:pPr>
        <w:spacing w:after="0" w:line="17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60</w:t>
      </w:r>
    </w:p>
    <w:p>
      <w:pPr>
        <w:sectPr>
          <w:pgSz w:w="11900" w:h="16838" w:orient="portrait"/>
          <w:cols w:equalWidth="0" w:num="1">
            <w:col w:w="9359"/>
          </w:cols>
          <w:pgMar w:left="1100" w:top="966" w:right="1440" w:bottom="1440" w:gutter="0" w:footer="0" w:header="0"/>
        </w:sectPr>
      </w:pPr>
    </w:p>
    <w:bookmarkStart w:id="61" w:name="page62"/>
    <w:bookmarkEnd w:id="61"/>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57395" cy="36830"/>
                    </a:xfrm>
                    <a:prstGeom prst="rect">
                      <a:avLst/>
                    </a:prstGeom>
                    <a:noFill/>
                  </pic:spPr>
                </pic:pic>
              </a:graphicData>
            </a:graphic>
          </wp:anchor>
        </w:drawing>
        <w:t>In contrast, a Contract owned by other than a “natural person,” such as a corporation, partnership, trust or other entity (other than a trust holding the Contract as an agent for a natural person), will be taxed currently on the increase in accumulated value in the Contract in the year earned.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Surrenders or Withdrawals—Early Distribution</w:t>
      </w:r>
    </w:p>
    <w:p>
      <w:pPr>
        <w:spacing w:after="0" w:line="82"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If you take a withdrawal from your Contract, or Surrender your Contract prior to the date you commence taking annuity or “income” payments (the “Annuity Starting Date”), the amount you receive will generally be treated first as coming from earnings, if any, (and thus subject to income tax) and then from your purchase payments (which are not subject to income tax). If the accumulated value is less than your purchase payments upon Surrender of your Contract, your ability to claim any unrecovered purchase payments on your Federal income tax return as a miscellaneous itemized deduction may not be allowed, so consult your tax adviser.</w:t>
      </w:r>
    </w:p>
    <w:p>
      <w:pPr>
        <w:spacing w:after="0" w:line="53"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The portion of any withdrawal from an annuity Contract that is subject to income tax (including to pay fees and expenses associated with a fee-based program) may also be subject to a 10% Federal income tax penalty for “early” distribution if such withdrawal is taken prior to you reaching age 59½, unless an exception applies. Exceptions include distributions made:</w:t>
      </w:r>
    </w:p>
    <w:p>
      <w:pPr>
        <w:spacing w:after="0" w:line="77" w:lineRule="exact"/>
        <w:rPr>
          <w:sz w:val="20"/>
          <w:szCs w:val="20"/>
          <w:color w:val="auto"/>
        </w:rPr>
      </w:pPr>
    </w:p>
    <w:p>
      <w:pPr>
        <w:ind w:left="720" w:hanging="472"/>
        <w:spacing w:after="0"/>
        <w:tabs>
          <w:tab w:leader="none" w:pos="7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account of your death or disability;</w:t>
      </w:r>
    </w:p>
    <w:p>
      <w:pPr>
        <w:spacing w:after="0" w:line="105" w:lineRule="exact"/>
        <w:rPr>
          <w:rFonts w:ascii="Times New Roman" w:cs="Times New Roman" w:eastAsia="Times New Roman" w:hAnsi="Times New Roman"/>
          <w:sz w:val="12"/>
          <w:szCs w:val="12"/>
          <w:color w:val="auto"/>
        </w:rPr>
      </w:pPr>
    </w:p>
    <w:p>
      <w:pPr>
        <w:ind w:left="720" w:right="3919" w:hanging="472"/>
        <w:spacing w:after="0" w:line="259" w:lineRule="auto"/>
        <w:tabs>
          <w:tab w:leader="none" w:pos="7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part of a series of substantially equal periodic payments made at least annually payable for your life (or life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expectancy) or joint lives (or joint life expectancies) of you and your designated beneficiary; or</w:t>
      </w:r>
    </w:p>
    <w:p>
      <w:pPr>
        <w:spacing w:after="0" w:line="94" w:lineRule="exact"/>
        <w:rPr>
          <w:sz w:val="20"/>
          <w:szCs w:val="20"/>
          <w:color w:val="auto"/>
        </w:rPr>
      </w:pPr>
    </w:p>
    <w:p>
      <w:pPr>
        <w:ind w:left="720" w:hanging="472"/>
        <w:spacing w:after="0"/>
        <w:tabs>
          <w:tab w:leader="none" w:pos="7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certain immediate income annuities.</w:t>
      </w:r>
    </w:p>
    <w:p>
      <w:pPr>
        <w:spacing w:after="0" w:line="78"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If you receive systematic payments that you intend to qualify for the “substantially equal periodic payments” exception noted above, any modifications (except due to death or disability) to your payment before age 59½ or within five years after beginning these payments, whichever is later, will result in the retroactive imposition of the 10% Federal income tax penalty with interest. Such modifications may include but are not limited to additional purchase payments to the Contract (including tax-free transfers or rollovers) or additional withdrawals from the Contract.</w:t>
      </w:r>
    </w:p>
    <w:p>
      <w:pPr>
        <w:spacing w:after="0" w:line="53" w:lineRule="exact"/>
        <w:rPr>
          <w:sz w:val="20"/>
          <w:szCs w:val="20"/>
          <w:color w:val="auto"/>
        </w:rPr>
      </w:pPr>
    </w:p>
    <w:p>
      <w:pPr>
        <w:ind w:left="240" w:right="3839" w:firstLine="230"/>
        <w:spacing w:after="0" w:line="279" w:lineRule="auto"/>
        <w:rPr>
          <w:sz w:val="20"/>
          <w:szCs w:val="20"/>
          <w:color w:val="auto"/>
        </w:rPr>
      </w:pPr>
      <w:r>
        <w:rPr>
          <w:rFonts w:ascii="Times New Roman" w:cs="Times New Roman" w:eastAsia="Times New Roman" w:hAnsi="Times New Roman"/>
          <w:sz w:val="12"/>
          <w:szCs w:val="12"/>
          <w:color w:val="auto"/>
        </w:rPr>
        <w:t>Amounts received as a partial withdrawal may be fully includable in taxable income to the extent of gain in the Contract.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Aggregation</w:t>
      </w:r>
    </w:p>
    <w:p>
      <w:pPr>
        <w:spacing w:after="0" w:line="82"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If you purchase two or more deferred annuity Contracts after October 21, 1988, from BLNY (or its affiliates) during the same calendar year, the law requires that all such Contracts must be treated as a single Contract for purposes of determining whether any payments not received as an annuity (e.g., withdrawals) will be includible in income. Aggregation could affect the amount of a withdrawal that is taxable and subject to the 10% Federal income tax penalty described above. Since the IRS may require aggregation in other circumstances as well, you should consult a tax adviser if you are purchasing more than one annuity Contract from the same insurance company in a single calendar year. Aggregation does not affect distributions paid in the form of an annuity (See “Taxation of Payments in Annuity Form” 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Exchanges/Transfers</w:t>
      </w:r>
    </w:p>
    <w:p>
      <w:pPr>
        <w:spacing w:after="0" w:line="82" w:lineRule="exact"/>
        <w:rPr>
          <w:sz w:val="20"/>
          <w:szCs w:val="20"/>
          <w:color w:val="auto"/>
        </w:rPr>
      </w:pPr>
    </w:p>
    <w:p>
      <w:pPr>
        <w:jc w:val="both"/>
        <w:ind w:right="3839" w:firstLine="240"/>
        <w:spacing w:after="0" w:line="252" w:lineRule="auto"/>
        <w:rPr>
          <w:sz w:val="20"/>
          <w:szCs w:val="20"/>
          <w:color w:val="auto"/>
        </w:rPr>
      </w:pPr>
      <w:r>
        <w:rPr>
          <w:rFonts w:ascii="Times New Roman" w:cs="Times New Roman" w:eastAsia="Times New Roman" w:hAnsi="Times New Roman"/>
          <w:sz w:val="12"/>
          <w:szCs w:val="12"/>
          <w:color w:val="auto"/>
        </w:rPr>
        <w:t>The annuity Contract may be exchanged in whole or in part for another annuity contract or a long-term care insurance policy. An exchange in whole of an annuity for another annuity or for a qualified long-term care insurance policy will generally be a tax-free transaction under Section 1035 of the Code. The partial exchange of an annuity contract may be a tax-free transaction provided that, among other prescribed IRS conditions, no amounts are distributed from either contract involved in the exchange for 180 days following the date of the exchange—other than annuity payments made for life, joint lives, or for a term of 10 years or more. If a distribution is made from either contract within the 180-day period after the exchange or the exchange otherwise fails to satisfy other IRS prescriptions, the IRS reserves the right to characterize the exchange in a manner consistent with its substance, based on general tax principles and all the facts and circumstances. For instance, such distribution from either contract may be taxable to the extent of the combined gain attributable to both contracts, or only to the extent of your gain in the contract from which the distribution is paid. Some of the ramifications of a partial exchange remain unclear. You should consult your tax adviser concerning potential tax consequences prior to any partial exchange or split of annuity contracts.</w:t>
      </w:r>
    </w:p>
    <w:p>
      <w:pPr>
        <w:spacing w:after="0" w:line="60"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A transfer of ownership of the Contract, or the designation of an annuitant or other beneficiary who is not also the Contract owner, may result in income or gift tax consequences to the Contract owner. You should consult your tax adviser if you are considering such a transfer or assignment.</w:t>
      </w:r>
    </w:p>
    <w:p>
      <w:pPr>
        <w:spacing w:after="0" w:line="16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61</w:t>
      </w:r>
    </w:p>
    <w:p>
      <w:pPr>
        <w:sectPr>
          <w:pgSz w:w="11900" w:h="16838" w:orient="portrait"/>
          <w:cols w:equalWidth="0" w:num="1">
            <w:col w:w="9359"/>
          </w:cols>
          <w:pgMar w:left="1100" w:top="96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57395" cy="36830"/>
                    </a:xfrm>
                    <a:prstGeom prst="rect">
                      <a:avLst/>
                    </a:prstGeom>
                    <a:noFill/>
                  </pic:spPr>
                </pic:pic>
              </a:graphicData>
            </a:graphic>
          </wp:anchor>
        </w:drawing>
        <w:t>Death Benefit</w:t>
      </w:r>
    </w:p>
    <w:p>
      <w:pPr>
        <w:spacing w:after="0" w:line="91" w:lineRule="exact"/>
        <w:rPr>
          <w:sz w:val="20"/>
          <w:szCs w:val="20"/>
          <w:color w:val="auto"/>
        </w:rPr>
      </w:pPr>
    </w:p>
    <w:p>
      <w:pPr>
        <w:jc w:val="both"/>
        <w:ind w:right="3839" w:firstLine="240"/>
        <w:spacing w:after="0" w:line="252" w:lineRule="auto"/>
        <w:rPr>
          <w:sz w:val="20"/>
          <w:szCs w:val="20"/>
          <w:color w:val="auto"/>
        </w:rPr>
      </w:pPr>
      <w:r>
        <w:rPr>
          <w:rFonts w:ascii="Times New Roman" w:cs="Times New Roman" w:eastAsia="Times New Roman" w:hAnsi="Times New Roman"/>
          <w:sz w:val="12"/>
          <w:szCs w:val="12"/>
          <w:color w:val="auto"/>
        </w:rPr>
        <w:t>For non-qualified Contracts, the death benefit is taxable to the recipient in the same manner as if paid to the Contract owner (under the rules for withdrawals or Annuity Payments, whichever is applicable). After your death, any death benefit determined under the Contract must be distributed according to certain rules. The method of distribution that is required depends on whether you die before or after the Annuity Starting Date. If you die on or after the Annuity Starting Date, the remaining portion of the interest in the Contract must be distributed at least as rapidly as under the method of distribution being used as of the date of death. If you die before the Annuity Starting Date, the entire interest in the Contract must be distributed within five (5) years after the date of death, or as periodic payments over a period not extending beyond the life or life expectancy of the designated beneficiary (provided such payments begin within one year of your death) and the beneficiary must be a natural person. Additionally, if the annuity is payable to (or for the benefit of) your surviving spouse, that portion of the Contract may be continued with your spouse as the owner. For Contracts owned by a non-natural person, the required distribution rules apply upon the death of the annuitant. If there is more than one annuitant of a Contract held by a non-natural person, then such required distributions will be triggered by the death of the first co-annuitant.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Taxation of Payments in Annuity Form</w:t>
      </w:r>
    </w:p>
    <w:p>
      <w:pPr>
        <w:spacing w:after="0" w:line="91"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Payments received from the Contract in the form of an annuity, are taxable as ordinary income to the extent they exceed the portion of the payment determined by applying the exclusion ratio to the entire payment. The exclusion ratio is determined at the time the Contract is annuitized (i.e. accumulated value is converted to an annuity form of distribution). Generally, the applicable exclusion ratio is your investment in the Contract divided by the total payments you expect to receive based on IRS factors, such as the form of annuity and mortality. The excludable portion of each annuity payment is the return of investment in the Contract and it is excludable from your taxable income until your investment in the Contract is fully recovered. We will make this calculation for you. However, it is possible that the IRS could conclude that the taxable portion of Annuity Payments under a non-qualified Contract is an amount greater—or less—than the taxable amount determined by us and reported by us to you and the IRS.</w:t>
      </w:r>
    </w:p>
    <w:p>
      <w:pPr>
        <w:spacing w:after="0" w:line="57"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Once you have recovered the investment in the Contract, further annuity payments are fully taxable. If you die before your investment in the Contract is fully recovered, the balance may be deducted on your last tax return, or if annuity payments continue after your death, the balance may be deducted by your beneficiary.</w:t>
      </w:r>
    </w:p>
    <w:p>
      <w:pPr>
        <w:spacing w:after="0" w:line="47"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The IRS has not furnished explicit guidance as to how the excludable amount is to be determined each year under variable income annuities that permit transfers between a fixed annuity option and variable investment options, as well as transfers between investment options after the Annuity Starting Date. Once annuity payments have commenced, you may not be able to transfer to another non-qualified annuity contract or a long-term care contract as part of a tax-free exchange.</w:t>
      </w:r>
    </w:p>
    <w:p>
      <w:pPr>
        <w:spacing w:after="0" w:line="53" w:lineRule="exact"/>
        <w:rPr>
          <w:sz w:val="20"/>
          <w:szCs w:val="20"/>
          <w:color w:val="auto"/>
        </w:rPr>
      </w:pPr>
    </w:p>
    <w:p>
      <w:pPr>
        <w:jc w:val="both"/>
        <w:ind w:right="3839" w:firstLine="240"/>
        <w:spacing w:after="0" w:line="259" w:lineRule="auto"/>
        <w:rPr>
          <w:sz w:val="20"/>
          <w:szCs w:val="20"/>
          <w:color w:val="auto"/>
        </w:rPr>
      </w:pPr>
      <w:r>
        <w:rPr>
          <w:rFonts w:ascii="Times New Roman" w:cs="Times New Roman" w:eastAsia="Times New Roman" w:hAnsi="Times New Roman"/>
          <w:sz w:val="12"/>
          <w:szCs w:val="12"/>
          <w:color w:val="auto"/>
        </w:rPr>
        <w:t>If you receive payments that you intend to qualify for the “substantially equal periodic payments” exception noted above, any modifications (except due to death or disability) to your payment before age 59½ or within five</w:t>
      </w:r>
    </w:p>
    <w:p>
      <w:pPr>
        <w:spacing w:after="0" w:line="1" w:lineRule="exact"/>
        <w:rPr>
          <w:sz w:val="20"/>
          <w:szCs w:val="20"/>
          <w:color w:val="auto"/>
        </w:rPr>
      </w:pPr>
    </w:p>
    <w:p>
      <w:pPr>
        <w:jc w:val="both"/>
        <w:ind w:right="3839" w:firstLine="8"/>
        <w:spacing w:after="0" w:line="255" w:lineRule="auto"/>
        <w:tabs>
          <w:tab w:leader="none" w:pos="179"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years after beginning these payments, whichever is later, will result in the retroactive imposition of the 10% Federal income tax penalty with interest. Such modifications may include additional purchase payments or withdrawals (including tax-free transfers or rollovers of Annuity Payments) from the Contract.</w:t>
      </w:r>
    </w:p>
    <w:p>
      <w:pPr>
        <w:spacing w:after="0" w:line="53"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If the Contract allows, you may elect to convert less than the full value of your Contract to an annuity form of pay-out (i.e., “partial annuitization.”) In this case, your investment in the Contract will be pro-rated between the annuitized portion of the Contract and the deferred portion. An exclusion ratio will apply to the annuity payments as described above, provided the annuity form you elect is payable for at least 10 years or for the life of one or more individuals.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3.8% Tax on Net Investment Income</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Federal tax law imposes a 3.8% Net Investment Income tax on the lesser of:</w:t>
      </w:r>
    </w:p>
    <w:p>
      <w:pPr>
        <w:spacing w:after="0" w:line="105" w:lineRule="exact"/>
        <w:rPr>
          <w:sz w:val="20"/>
          <w:szCs w:val="20"/>
          <w:color w:val="auto"/>
        </w:rPr>
      </w:pPr>
    </w:p>
    <w:p>
      <w:pPr>
        <w:ind w:left="720" w:hanging="472"/>
        <w:spacing w:after="0"/>
        <w:tabs>
          <w:tab w:leader="none" w:pos="7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taxpayer’s “net investment income,” (from non-qualified annuities, interest, dividends, and</w:t>
      </w:r>
    </w:p>
    <w:p>
      <w:pPr>
        <w:spacing w:after="0" w:line="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other</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investments, offset by specified allowable deductions); or</w:t>
      </w:r>
    </w:p>
    <w:p>
      <w:pPr>
        <w:spacing w:after="0" w:line="94" w:lineRule="exact"/>
        <w:rPr>
          <w:sz w:val="20"/>
          <w:szCs w:val="20"/>
          <w:color w:val="auto"/>
        </w:rPr>
      </w:pPr>
    </w:p>
    <w:p>
      <w:pPr>
        <w:ind w:left="720" w:right="3899" w:hanging="472"/>
        <w:spacing w:after="0" w:line="259" w:lineRule="auto"/>
        <w:tabs>
          <w:tab w:leader="none" w:pos="7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taxpayer’s modified adjusted gross income in excess of a specified income threshold ($250,000 for</w:t>
      </w:r>
    </w:p>
    <w:p>
      <w:pPr>
        <w:spacing w:after="0" w:line="1" w:lineRule="exact"/>
        <w:rPr>
          <w:sz w:val="20"/>
          <w:szCs w:val="20"/>
          <w:color w:val="auto"/>
        </w:rPr>
      </w:pPr>
    </w:p>
    <w:p>
      <w:pPr>
        <w:ind w:left="240" w:right="3899"/>
        <w:spacing w:after="0" w:line="250" w:lineRule="auto"/>
        <w:rPr>
          <w:sz w:val="20"/>
          <w:szCs w:val="20"/>
          <w:color w:val="auto"/>
        </w:rPr>
      </w:pPr>
      <w:r>
        <w:rPr>
          <w:rFonts w:ascii="Times New Roman" w:cs="Times New Roman" w:eastAsia="Times New Roman" w:hAnsi="Times New Roman"/>
          <w:sz w:val="12"/>
          <w:szCs w:val="12"/>
          <w:color w:val="auto"/>
        </w:rPr>
        <w:t>married couples filing jointly and qualifying surviving spouses, $125,000 for married couples filing separately, and</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$200,000 for single filers).</w:t>
      </w:r>
    </w:p>
    <w:p>
      <w:pPr>
        <w:spacing w:after="0" w:line="67"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“Net investment income” in Item 1 above does not include distributions from tax qualified plans, (i.e., arrangements described in Code Sections 401(a), 403(a), 403(b), 408, 408A or 457(b)), but such income will increase modified adjusted gross income in Item 2 above.</w:t>
      </w:r>
    </w:p>
    <w:p>
      <w:pPr>
        <w:spacing w:after="0" w:line="47"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You should consult your tax adviser regarding the applicability of this tax to income under your annuity Contract.</w:t>
      </w:r>
    </w:p>
    <w:p>
      <w:pPr>
        <w:spacing w:after="0" w:line="15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62</w:t>
      </w:r>
    </w:p>
    <w:p>
      <w:pPr>
        <w:sectPr>
          <w:pgSz w:w="11900" w:h="16838" w:orient="portrait"/>
          <w:cols w:equalWidth="0" w:num="1">
            <w:col w:w="9359"/>
          </w:cols>
          <w:pgMar w:left="1100" w:top="962"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557395" cy="36830"/>
                    </a:xfrm>
                    <a:prstGeom prst="rect">
                      <a:avLst/>
                    </a:prstGeom>
                    <a:noFill/>
                  </pic:spPr>
                </pic:pic>
              </a:graphicData>
            </a:graphic>
          </wp:anchor>
        </w:drawing>
        <w:t>Qualified Annuity Contracts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Introduction</w:t>
      </w:r>
    </w:p>
    <w:p>
      <w:pPr>
        <w:spacing w:after="0" w:line="82"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Currently, the Contract is available for use in connection with Non-Qualified Plans, Traditional IRAs and Roth IRAs. In general, annuity contracts purchased through certain types of retirement plans receive favorable treatment under the Code (“tax qualified plans" or “qualified plans”). Tax-qualified plans include arrangements described in Code Sections 401(a), 401(k), 403(a), 403(b) or tax sheltered annuities (“TSA”), 408 or “IRAs” (including SEP and SIMPLE IRAs), 408A or “Roth IRAs” and 457(b) plans. Extensive special tax rules apply to qualified plans and to the annuity Contracts used in connection with these plans. Therefore, the following discussion provides only general information about the use of the Contract with the various types of qualified plans. Adverse tax consequences may result if you do not ensure that contributions, distributions and other transactions with respect to the Contract comply with the law.</w:t>
      </w:r>
    </w:p>
    <w:p>
      <w:pPr>
        <w:spacing w:after="0" w:line="54"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The rights to any benefit under the plan will be subject to the terms and conditions of the plan itself as well as the terms and conditions of the Contract.</w:t>
      </w:r>
    </w:p>
    <w:p>
      <w:pPr>
        <w:spacing w:after="0" w:line="39"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We exercise no control over whether a particular retirement plan or a particular contribution to the plan satisfies the applicable requirements of the Code, or whether a particular individual is entitled to participate or benefit under a plan.</w:t>
      </w:r>
    </w:p>
    <w:p>
      <w:pPr>
        <w:spacing w:after="0" w:line="47"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All qualified plans and arrangements receive tax deferral under the Code. Since there are no additional tax benefits in funding such retirement arrangements with an annuity, there should be reasons other than tax deferral for acquiring the annuity within the plan. Such non-tax benefits may include additional insurance benefits, such as the availability of a guaranteed income for life.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Accumulation</w:t>
      </w:r>
    </w:p>
    <w:p>
      <w:pPr>
        <w:spacing w:after="0" w:line="82"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The tax rules applicable to qualified plans vary according to the type of plan and the terms and conditions of the plan itself. Both the amount of the contribution that may be made and the tax deduction or exclusion that you may claim for that contribution under qualified plans are limited under the Code.</w:t>
      </w:r>
    </w:p>
    <w:p>
      <w:pPr>
        <w:spacing w:after="0" w:line="47"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Purchase payments or contributions to IRAs or tax qualified retirement plans of an employer may be taken from current income on a before tax basis or after tax basis. Purchase payments made on a “before tax” basis entitle you to a tax deduction or are not subject to current income tax. Purchase payments made on an “after tax” basis do not reduce your taxable income or give you a tax deduction. Contributions may also consist of transfers or rollovers as described below and are not subject to the annual limitations on contributions.</w:t>
      </w:r>
    </w:p>
    <w:p>
      <w:pPr>
        <w:spacing w:after="0" w:line="53"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An IRA Contract will accept as a single purchase payment a transfer or rollover from another IRA (including a SEP or SIMPLE IRA) or rollover from an eligible retirement plan of an employer (i.e., 401(a), 401(k), 403(a), 403(b) or governmental 457(b) plans.) A rollover or transfer from a SIMPLE IRA is allowed provided that the taxpayer has participated in such arrangement for at least two years. As part of the single purchase payment, the IRA Contract will also accept an IRA contribution subject to the Code limits for the year of purchase.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Taxation of Annuity Distributions</w:t>
      </w:r>
    </w:p>
    <w:p>
      <w:pPr>
        <w:spacing w:after="0" w:line="82"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If contributions are made on a “before tax” basis, you generally pay income taxes on the full amount of money you receive under the Contract. Withdrawals attributable to any after-tax contributions are your basis in the Contract and not subject to income tax (except for the portion of the withdrawal allocable to earnings if any). Under current Federal income tax rules, the taxable portion of distributions under annuity contracts and qualified plans (including IRAs) is not eligible for the reduced tax rate applicable to long-term capital gains and qualifying dividends.</w:t>
      </w:r>
    </w:p>
    <w:p>
      <w:pPr>
        <w:spacing w:after="0" w:line="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If you meet certain requirements, your Roth IRA earnings can be received free of Federal income taxes.</w:t>
      </w:r>
    </w:p>
    <w:p>
      <w:pPr>
        <w:spacing w:after="0" w:line="78"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With respect to IRA Contracts, we will withhold a portion of the taxable amount of your withdrawal for income taxes, unless you elect otherwise. The amount we will withhold is determined by the Code.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Withdrawals Prior to Age 59½</w:t>
      </w:r>
    </w:p>
    <w:p>
      <w:pPr>
        <w:spacing w:after="0" w:line="82"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A taxable withdrawal from a qualified Contract which is subject to income tax may also be subject to a 10% Federal income tax penalty for “early” distribution if taken prior to age 59½, unless an exception described below applies.</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Exceptions to the early distribution penalty for qualified plans include withdrawals or distributions made:</w:t>
      </w:r>
    </w:p>
    <w:p>
      <w:pPr>
        <w:spacing w:after="0" w:line="105" w:lineRule="exact"/>
        <w:rPr>
          <w:sz w:val="20"/>
          <w:szCs w:val="20"/>
          <w:color w:val="auto"/>
        </w:rPr>
      </w:pPr>
    </w:p>
    <w:p>
      <w:pPr>
        <w:ind w:left="720" w:hanging="472"/>
        <w:spacing w:after="0"/>
        <w:tabs>
          <w:tab w:leader="none" w:pos="7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account of your death or disability,</w:t>
      </w:r>
    </w:p>
    <w:p>
      <w:pPr>
        <w:spacing w:after="0" w:line="20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63</w:t>
      </w:r>
    </w:p>
    <w:p>
      <w:pPr>
        <w:sectPr>
          <w:pgSz w:w="11900" w:h="16838" w:orient="portrait"/>
          <w:cols w:equalWidth="0" w:num="1">
            <w:col w:w="9359"/>
          </w:cols>
          <w:pgMar w:left="1100" w:top="962" w:right="1440" w:bottom="1440" w:gutter="0" w:footer="0" w:header="0"/>
        </w:sectPr>
      </w:pPr>
    </w:p>
    <w:bookmarkStart w:id="64" w:name="page65"/>
    <w:bookmarkEnd w:id="64"/>
    <w:p>
      <w:pPr>
        <w:ind w:left="720" w:right="3919" w:hanging="472"/>
        <w:spacing w:after="0" w:line="259" w:lineRule="auto"/>
        <w:tabs>
          <w:tab w:leader="none" w:pos="7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57395" cy="36830"/>
                    </a:xfrm>
                    <a:prstGeom prst="rect">
                      <a:avLst/>
                    </a:prstGeom>
                    <a:noFill/>
                  </pic:spPr>
                </pic:pic>
              </a:graphicData>
            </a:graphic>
          </wp:anchor>
        </w:drawing>
        <w:t>as part of a series of substantially equal periodic payments payable for your life (or life expectancy) or joint</w:t>
      </w:r>
    </w:p>
    <w:p>
      <w:pPr>
        <w:spacing w:after="0" w:line="1" w:lineRule="exact"/>
        <w:rPr>
          <w:sz w:val="20"/>
          <w:szCs w:val="20"/>
          <w:color w:val="auto"/>
        </w:rPr>
      </w:pPr>
    </w:p>
    <w:p>
      <w:pPr>
        <w:ind w:left="240" w:right="3899"/>
        <w:spacing w:after="0" w:line="250" w:lineRule="auto"/>
        <w:rPr>
          <w:sz w:val="20"/>
          <w:szCs w:val="20"/>
          <w:color w:val="auto"/>
        </w:rPr>
      </w:pPr>
      <w:r>
        <w:rPr>
          <w:rFonts w:ascii="Times New Roman" w:cs="Times New Roman" w:eastAsia="Times New Roman" w:hAnsi="Times New Roman"/>
          <w:sz w:val="12"/>
          <w:szCs w:val="12"/>
          <w:color w:val="auto"/>
        </w:rPr>
        <w:t>lives (or joint life expectancies) of you and your designated beneficiary and (in the case of certain employer-sponsored</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qualified plans) you are separated from employment,</w:t>
      </w:r>
    </w:p>
    <w:p>
      <w:pPr>
        <w:spacing w:after="0" w:line="94" w:lineRule="exact"/>
        <w:rPr>
          <w:sz w:val="20"/>
          <w:szCs w:val="20"/>
          <w:color w:val="auto"/>
        </w:rPr>
      </w:pPr>
    </w:p>
    <w:p>
      <w:pPr>
        <w:ind w:left="720" w:right="4139" w:hanging="472"/>
        <w:spacing w:after="0" w:line="279" w:lineRule="auto"/>
        <w:tabs>
          <w:tab w:leader="none" w:pos="7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separation from service after age 55. This rule does not apply to IRAs (including SEPs and SIMPLE IRAs),</w:t>
      </w:r>
    </w:p>
    <w:p>
      <w:pPr>
        <w:spacing w:after="0" w:line="66" w:lineRule="exact"/>
        <w:rPr>
          <w:rFonts w:ascii="Times New Roman" w:cs="Times New Roman" w:eastAsia="Times New Roman" w:hAnsi="Times New Roman"/>
          <w:sz w:val="12"/>
          <w:szCs w:val="12"/>
          <w:color w:val="auto"/>
        </w:rPr>
      </w:pPr>
    </w:p>
    <w:p>
      <w:pPr>
        <w:ind w:left="720" w:right="3899" w:hanging="472"/>
        <w:spacing w:after="0" w:line="259" w:lineRule="auto"/>
        <w:tabs>
          <w:tab w:leader="none" w:pos="7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a qualified domestic relations order (“QDRO”). This rule does not apply to IRAs (including SEPs</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and SIMPLE IRAs),</w:t>
      </w:r>
    </w:p>
    <w:p>
      <w:pPr>
        <w:spacing w:after="0" w:line="94" w:lineRule="exact"/>
        <w:rPr>
          <w:sz w:val="20"/>
          <w:szCs w:val="20"/>
          <w:color w:val="auto"/>
        </w:rPr>
      </w:pPr>
    </w:p>
    <w:p>
      <w:pPr>
        <w:ind w:left="720" w:hanging="472"/>
        <w:spacing w:after="0"/>
        <w:tabs>
          <w:tab w:leader="none" w:pos="7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pay IRS levies (and made after December 31, 1999),</w:t>
      </w:r>
    </w:p>
    <w:p>
      <w:pPr>
        <w:spacing w:after="0" w:line="96" w:lineRule="exact"/>
        <w:rPr>
          <w:rFonts w:ascii="Times New Roman" w:cs="Times New Roman" w:eastAsia="Times New Roman" w:hAnsi="Times New Roman"/>
          <w:sz w:val="12"/>
          <w:szCs w:val="12"/>
          <w:color w:val="auto"/>
        </w:rPr>
      </w:pPr>
    </w:p>
    <w:p>
      <w:pPr>
        <w:ind w:left="720" w:hanging="472"/>
        <w:spacing w:after="0"/>
        <w:tabs>
          <w:tab w:leader="none" w:pos="7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pay deductible medical expenses, or</w:t>
      </w:r>
    </w:p>
    <w:p>
      <w:pPr>
        <w:spacing w:after="0" w:line="105" w:lineRule="exact"/>
        <w:rPr>
          <w:rFonts w:ascii="Times New Roman" w:cs="Times New Roman" w:eastAsia="Times New Roman" w:hAnsi="Times New Roman"/>
          <w:sz w:val="12"/>
          <w:szCs w:val="12"/>
          <w:color w:val="auto"/>
        </w:rPr>
      </w:pPr>
    </w:p>
    <w:p>
      <w:pPr>
        <w:ind w:left="720" w:right="3899" w:hanging="472"/>
        <w:spacing w:after="0" w:line="259" w:lineRule="auto"/>
        <w:tabs>
          <w:tab w:leader="none" w:pos="7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IRAs only, to pay for medical insurance (if you are unemployed), qualified higher education</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expenses, or for a qualified first time home purchase up to $10,000.</w:t>
      </w:r>
    </w:p>
    <w:p>
      <w:pPr>
        <w:spacing w:after="0" w:line="76"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Other exceptions may be applicable under certain circumstances and special rules apply or may become applicable in connection with the exceptions enumerated above. Other exceptions include certain provisions under the SECURE 2.0 Act of 2022 which may provide the ability to recontribute an “early” distribution to an IRA or employer sponsored qualified plan (subject to the provisions of the Code, the qualified plan/IRA, the Contract and our administrative rules.) You should consult your tax adviser to confirm whether an exception applies.</w:t>
      </w:r>
    </w:p>
    <w:p>
      <w:pPr>
        <w:spacing w:after="0" w:line="62"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If you receive systematic payments or any other payments that you intend to qualify for the “substantially equal periodic payments” exception noted above, any modifications (except due to death or disability) to your payment before age 59½ or within five years after beginning these payments, whichever is later, will result in the retroactive imposition of the 10% Federal income tax penalty with interest. Such modifications may include but are not limited to additional purchase payments to the Contract (including tax-free transfers or rollovers) and additional withdrawals from the Contract.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Rollovers and Transfers</w:t>
      </w:r>
    </w:p>
    <w:p>
      <w:pPr>
        <w:spacing w:after="0" w:line="91"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Your Contract is non-forfeitable (i.e., not subject to the claims of your creditors) and non-transferable (i.e., you may not transfer it to someone else).</w:t>
      </w:r>
    </w:p>
    <w:p>
      <w:pPr>
        <w:spacing w:after="0" w:line="39"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Under certain circumstances, you may be able to transfer amounts distributed from your Contract to another eligible retirement plan or IRA.</w:t>
      </w:r>
    </w:p>
    <w:p>
      <w:pPr>
        <w:spacing w:after="0" w:line="39"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Generally, a distribution may be eligible for rollover. Certain types of distributions cannot be rolled over, such as distributions received on account of:</w:t>
      </w:r>
    </w:p>
    <w:p>
      <w:pPr>
        <w:spacing w:after="0" w:line="66" w:lineRule="exact"/>
        <w:rPr>
          <w:sz w:val="20"/>
          <w:szCs w:val="20"/>
          <w:color w:val="auto"/>
        </w:rPr>
      </w:pPr>
    </w:p>
    <w:p>
      <w:pPr>
        <w:ind w:left="720" w:hanging="472"/>
        <w:spacing w:after="0"/>
        <w:tabs>
          <w:tab w:leader="none" w:pos="72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minimum distribution requirements, or</w:t>
      </w:r>
    </w:p>
    <w:p>
      <w:pPr>
        <w:spacing w:after="0" w:line="105" w:lineRule="exact"/>
        <w:rPr>
          <w:rFonts w:ascii="Times New Roman" w:cs="Times New Roman" w:eastAsia="Times New Roman" w:hAnsi="Times New Roman"/>
          <w:sz w:val="12"/>
          <w:szCs w:val="12"/>
          <w:color w:val="auto"/>
        </w:rPr>
      </w:pPr>
    </w:p>
    <w:p>
      <w:pPr>
        <w:ind w:left="720" w:hanging="472"/>
        <w:spacing w:after="0"/>
        <w:tabs>
          <w:tab w:leader="none" w:pos="72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hardship; or</w:t>
      </w:r>
    </w:p>
    <w:p>
      <w:pPr>
        <w:spacing w:after="0" w:line="105" w:lineRule="exact"/>
        <w:rPr>
          <w:rFonts w:ascii="Times New Roman" w:cs="Times New Roman" w:eastAsia="Times New Roman" w:hAnsi="Times New Roman"/>
          <w:sz w:val="12"/>
          <w:szCs w:val="12"/>
          <w:color w:val="auto"/>
        </w:rPr>
      </w:pPr>
    </w:p>
    <w:p>
      <w:pPr>
        <w:ind w:left="720" w:hanging="472"/>
        <w:spacing w:after="0"/>
        <w:tabs>
          <w:tab w:leader="none" w:pos="72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 period of ten or more years or for life.</w:t>
      </w:r>
    </w:p>
    <w:p>
      <w:pPr>
        <w:spacing w:after="0" w:line="78"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Federal income tax law allows you to make only one rollover from an IRA to another (or the same) IRA in any 12-month period, regardless of the number of IRAs you own. Generally, this limit does not apply to trustee-to-trustee transfers between IRAs. Because the rollover rules are complex, please consult with your tax adviser before making an IRA rollover.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 Withholding on Eligible Rollover Distributions</w:t>
      </w:r>
    </w:p>
    <w:p>
      <w:pPr>
        <w:spacing w:after="0" w:line="82"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color w:val="auto"/>
        </w:rPr>
        <w:t>For certain qualified employer plans, we are required to withhold 20% of the taxable portion of your withdrawal that constitutes an “eligible rollover distribution” for Federal income taxes. The amount we withhold is determined by the Code. You may avoid withholding if you directly transfer a withdrawal from this Contract to another IRA or other qualified plan. Similarly, you may be able to avoid withholding on a transfer into this Contract from an existing qualified plan you may have with another provider by arranging to have the transfer made directly to us. For taxable withdrawals that are not “eligible rollover distributions,” the Code imposes different withholding rules to determine the withholding percentages.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Death Benefit</w:t>
      </w:r>
    </w:p>
    <w:p>
      <w:pPr>
        <w:spacing w:after="0" w:line="82"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The death benefit in a qualified Contract is taxable to the recipient in the same manner as if paid to the Contract owner or plan participant (under the rules for withdrawals or Annuity Payments, whichever is applicable).</w:t>
      </w:r>
    </w:p>
    <w:p>
      <w:pPr>
        <w:spacing w:after="0" w:line="47"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RMD amounts are required to be distributed from a Qualified annuity Contract (including a contract issued as a Roth IRA) following your death. Congress recently changed the RMD rules for individuals who die after 2019. The after-death RMD rules are complex, and you should consult your tax adviser about how they may apply to your situation.</w:t>
      </w:r>
    </w:p>
    <w:p>
      <w:pPr>
        <w:spacing w:after="0" w:line="16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64</w:t>
      </w:r>
    </w:p>
    <w:p>
      <w:pPr>
        <w:sectPr>
          <w:pgSz w:w="11900" w:h="16838" w:orient="portrait"/>
          <w:cols w:equalWidth="0" w:num="1">
            <w:col w:w="9359"/>
          </w:cols>
          <w:pgMar w:left="1100" w:top="966" w:right="1440" w:bottom="1440" w:gutter="0" w:footer="0" w:header="0"/>
        </w:sectPr>
      </w:pPr>
    </w:p>
    <w:bookmarkStart w:id="65" w:name="page66"/>
    <w:bookmarkEnd w:id="65"/>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557395" cy="36830"/>
                    </a:xfrm>
                    <a:prstGeom prst="rect">
                      <a:avLst/>
                    </a:prstGeom>
                    <a:noFill/>
                  </pic:spPr>
                </pic:pic>
              </a:graphicData>
            </a:graphic>
          </wp:anchor>
        </w:drawing>
        <w:t>Effective January 1, 2020, when an IRA owner or participant in a defined contribution plan dies, any remaining interest generally must be distributed within 10 years (or in some cases five years) after his or her death, unless an exception applies. An exception permits an “eligible designated beneficiary” to take distributions over life or a period not exceeding life expectancy, subject to special rules and limitations. An “eligible designated beneficiary” includes: the IRA owner/participant’s spouse or minor child (until the child reaches age of majority), certain disabled or chronically ill individuals, and an individual who is not more than 10 years younger than the IRA owner/participant. We may limit available payment options, including limiting any payment option over life, or a period not exceeding life expectancy, to certain categories of eligible designated beneficiary.</w:t>
      </w:r>
    </w:p>
    <w:p>
      <w:pPr>
        <w:spacing w:after="0" w:line="65"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Generally, distributions under this exception must start by the end of the year following your death. However, if your surviving spouse is the sole designated beneficiary, distributions may generally be delayed until December 31 of the year you would have attained the Applicable Age (as defined in the chart below), if your Contract permits.</w:t>
      </w:r>
    </w:p>
    <w:p>
      <w:pPr>
        <w:spacing w:after="0" w:line="50"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If you die after annuity payments have already begun under a Qualified Contract, any remaining payments under the contract also must be made in accordance with the RMD rules. In some cases, those rules may require that the remaining payments be made over a shorter period than originally elected or otherwise adjusted to comply with the tax law.</w:t>
      </w:r>
    </w:p>
    <w:p>
      <w:pPr>
        <w:spacing w:after="0" w:line="50"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If your surviving spouse is the sole designated beneficiary of your Traditional or Roth IRA, then your surviving spouse may elect to treat the Traditional or Roth IRA as his or her own.</w:t>
      </w:r>
    </w:p>
    <w:p>
      <w:pPr>
        <w:spacing w:after="0" w:line="39"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Your designated beneficiary is the person to whom benefit rights under the Contract pass by reason of death. The beneficiary generally must be a natural person in order to elect a periodic payment option based on life expectancy or a period exceeding five years. Different tax rules may apply if your Beneficiary is not a natural person, such as your estate.</w:t>
      </w:r>
    </w:p>
    <w:p>
      <w:pPr>
        <w:spacing w:after="0" w:line="50"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Alternatively, your spouse may be able to roll over the death proceeds into another eligible retirement plan in which he or she participates, if permitted under the receiving plan, or he or she may elect to rollover the death proceeds into his or her own IRA, or he or she may elect to transfer the death proceeds into an inherited IRA.</w:t>
      </w:r>
    </w:p>
    <w:p>
      <w:pPr>
        <w:spacing w:after="0" w:line="47"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If your beneficiary is not your spouse and your plan and Contract permit, your beneficiary may be able to rollover the death proceeds via a direct trustee-to-trustee transfer into an inherited IRA. However, a non-spouse beneficiary may not treat the inherited IRA as his or her own IRA.</w:t>
      </w:r>
    </w:p>
    <w:p>
      <w:pPr>
        <w:spacing w:after="0" w:line="47"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Additionally, for contracts issued in connection with qualified plans subject to ERISA, the spouse or ex-spouse of the participant may have rights in the contract. In such a case, the participant may need the consent of the spouse or ex-spouse to change annuity options or make a withdrawal from the contract.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Applicable Age for Required Minimum Distributions (RMD)</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used in this prospectus, “Applicable Age” means the following:</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3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If you…</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Your “Applicable Age”</w:t>
            </w:r>
          </w:p>
        </w:tc>
      </w:tr>
      <w:tr>
        <w:trPr>
          <w:trHeight w:val="168"/>
        </w:trPr>
        <w:tc>
          <w:tcPr>
            <w:tcW w:w="3300" w:type="dxa"/>
            <w:vAlign w:val="bottom"/>
            <w:tcBorders>
              <w:left w:val="single" w:sz="8" w:color="auto"/>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is…</w:t>
            </w:r>
          </w:p>
        </w:tc>
      </w:tr>
      <w:tr>
        <w:trPr>
          <w:trHeight w:val="169"/>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Were born on or before June 30, 1949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70½</w:t>
            </w:r>
          </w:p>
        </w:tc>
      </w:tr>
      <w:tr>
        <w:trPr>
          <w:trHeight w:val="149"/>
        </w:trPr>
        <w:tc>
          <w:tcPr>
            <w:tcW w:w="33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Were born on or after July 1, 1949 (and attain age 72 prior to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72</w:t>
            </w:r>
          </w:p>
        </w:tc>
      </w:tr>
      <w:tr>
        <w:trPr>
          <w:trHeight w:val="164"/>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January 1, 2023)</w:t>
            </w:r>
          </w:p>
        </w:tc>
        <w:tc>
          <w:tcPr>
            <w:tcW w:w="1340" w:type="dxa"/>
            <w:vAlign w:val="bottom"/>
            <w:tcBorders>
              <w:bottom w:val="single" w:sz="8" w:color="auto"/>
              <w:right w:val="single" w:sz="8" w:color="auto"/>
            </w:tcBorders>
          </w:tcPr>
          <w:p>
            <w:pPr>
              <w:spacing w:after="0"/>
              <w:rPr>
                <w:sz w:val="14"/>
                <w:szCs w:val="14"/>
                <w:color w:val="auto"/>
              </w:rPr>
            </w:pPr>
          </w:p>
        </w:tc>
      </w:tr>
      <w:tr>
        <w:trPr>
          <w:trHeight w:val="149"/>
        </w:trPr>
        <w:tc>
          <w:tcPr>
            <w:tcW w:w="33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Attain age 72 on or after January 1, 2023 (and attain age 73 on or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73</w:t>
            </w:r>
          </w:p>
        </w:tc>
      </w:tr>
      <w:tr>
        <w:trPr>
          <w:trHeight w:val="164"/>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before December 31, 2032)</w:t>
            </w:r>
          </w:p>
        </w:tc>
        <w:tc>
          <w:tcPr>
            <w:tcW w:w="1340" w:type="dxa"/>
            <w:vAlign w:val="bottom"/>
            <w:tcBorders>
              <w:bottom w:val="single" w:sz="8" w:color="auto"/>
              <w:right w:val="single" w:sz="8" w:color="auto"/>
            </w:tcBorders>
          </w:tcPr>
          <w:p>
            <w:pPr>
              <w:spacing w:after="0"/>
              <w:rPr>
                <w:sz w:val="14"/>
                <w:szCs w:val="14"/>
                <w:color w:val="auto"/>
              </w:rPr>
            </w:pPr>
          </w:p>
        </w:tc>
      </w:tr>
      <w:tr>
        <w:trPr>
          <w:trHeight w:val="164"/>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Attain age 73 on or after January 1, 2033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75</w:t>
            </w:r>
          </w:p>
        </w:tc>
      </w:tr>
      <w:tr>
        <w:trPr>
          <w:trHeight w:val="155"/>
        </w:trPr>
        <w:tc>
          <w:tcPr>
            <w:tcW w:w="33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 </w:t>
            </w:r>
          </w:p>
        </w:tc>
        <w:tc>
          <w:tcPr>
            <w:tcW w:w="1340" w:type="dxa"/>
            <w:vAlign w:val="bottom"/>
          </w:tcPr>
          <w:p>
            <w:pPr>
              <w:spacing w:after="0"/>
              <w:rPr>
                <w:sz w:val="13"/>
                <w:szCs w:val="13"/>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Required Minimum Distributions During the Owner’s Life</w:t>
      </w:r>
    </w:p>
    <w:p>
      <w:pPr>
        <w:spacing w:after="0" w:line="82" w:lineRule="exact"/>
        <w:rPr>
          <w:sz w:val="20"/>
          <w:szCs w:val="20"/>
          <w:color w:val="auto"/>
        </w:rPr>
      </w:pPr>
    </w:p>
    <w:p>
      <w:pPr>
        <w:ind w:right="3839" w:firstLine="240"/>
        <w:spacing w:after="0" w:line="279" w:lineRule="auto"/>
        <w:rPr>
          <w:sz w:val="20"/>
          <w:szCs w:val="20"/>
          <w:color w:val="auto"/>
        </w:rPr>
      </w:pPr>
      <w:r>
        <w:rPr>
          <w:rFonts w:ascii="Times New Roman" w:cs="Times New Roman" w:eastAsia="Times New Roman" w:hAnsi="Times New Roman"/>
          <w:sz w:val="12"/>
          <w:szCs w:val="12"/>
          <w:color w:val="auto"/>
        </w:rPr>
        <w:t>Generally, you must begin receiving RMD amounts from your qualified Contract by the Required Beginning Date. Generally, for retirement plans, the “Required Beginning Date” is April 1 following the latter of:</w:t>
      </w:r>
    </w:p>
    <w:p>
      <w:pPr>
        <w:spacing w:after="0" w:line="66" w:lineRule="exact"/>
        <w:rPr>
          <w:sz w:val="20"/>
          <w:szCs w:val="20"/>
          <w:color w:val="auto"/>
        </w:rPr>
      </w:pPr>
    </w:p>
    <w:p>
      <w:pPr>
        <w:ind w:left="720" w:hanging="472"/>
        <w:spacing w:after="0"/>
        <w:tabs>
          <w:tab w:leader="none" w:pos="7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calendar year in which you reach the Applicable Age; or</w:t>
      </w:r>
    </w:p>
    <w:p>
      <w:pPr>
        <w:spacing w:after="0" w:line="96" w:lineRule="exact"/>
        <w:rPr>
          <w:rFonts w:ascii="Times New Roman" w:cs="Times New Roman" w:eastAsia="Times New Roman" w:hAnsi="Times New Roman"/>
          <w:sz w:val="12"/>
          <w:szCs w:val="12"/>
          <w:color w:val="auto"/>
        </w:rPr>
      </w:pPr>
    </w:p>
    <w:p>
      <w:pPr>
        <w:ind w:left="720" w:right="3919" w:hanging="472"/>
        <w:spacing w:after="0" w:line="259" w:lineRule="auto"/>
        <w:tabs>
          <w:tab w:leader="none" w:pos="7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calendar year you retire, provided you do not own more than 5% of the outstanding stock, capital, or</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profits of your employer.</w:t>
      </w:r>
    </w:p>
    <w:p>
      <w:pPr>
        <w:spacing w:after="0" w:line="67"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For IRAs (including SEPs and SIMPLEs) the Required Beginning Date by which you must begin receiving withdrawals is the year in which you attain the Applicable Age even if you have not retired, taking your first distribution no later than April 1 of the year after you reach the Applicable Age.</w:t>
      </w:r>
    </w:p>
    <w:p>
      <w:pPr>
        <w:spacing w:after="0" w:line="17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65</w:t>
      </w:r>
    </w:p>
    <w:p>
      <w:pPr>
        <w:sectPr>
          <w:pgSz w:w="11900" w:h="16838" w:orient="portrait"/>
          <w:cols w:equalWidth="0" w:num="1">
            <w:col w:w="9359"/>
          </w:cols>
          <w:pgMar w:left="1100" w:top="966" w:right="1440" w:bottom="1440" w:gutter="0" w:footer="0" w:header="0"/>
        </w:sectPr>
      </w:pPr>
    </w:p>
    <w:bookmarkStart w:id="66" w:name="page67"/>
    <w:bookmarkEnd w:id="66"/>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57395" cy="36830"/>
                    </a:xfrm>
                    <a:prstGeom prst="rect">
                      <a:avLst/>
                    </a:prstGeom>
                    <a:noFill/>
                  </pic:spPr>
                </pic:pic>
              </a:graphicData>
            </a:graphic>
          </wp:anchor>
        </w:drawing>
        <w:t>For all subsequent years, including the first year in which you took your RMD by April 1, you must take the required minimum distribution for the year by December 31st. This will require you to take two distributions in the same calendar year if you wait to take your first distribution until April 1 of the year after attaining the Applicable Age.</w:t>
      </w:r>
    </w:p>
    <w:p>
      <w:pPr>
        <w:spacing w:after="0" w:line="59"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A tax penalty (an excise tax) of up to 25% applies to the shortfall of any required minimum distributions you fail to receive.</w:t>
      </w:r>
    </w:p>
    <w:p>
      <w:pPr>
        <w:spacing w:after="0" w:line="39"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The minimum required distribution is calculated with respect to each IRA, but the aggregate distribution may be taken from any one or more of your IRAs.</w:t>
      </w:r>
    </w:p>
    <w:p>
      <w:pPr>
        <w:spacing w:after="0" w:line="48"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The regulations also require that the value of benefits under a deferred annuity including certain death benefits in excess of Contract value must be added to the amount credited to your account in computing the amount required to be distributed over the applicable period. We will provide you with additional information regarding the amount that is subject to minimum distribution under this rule. You should consult your own tax adviser as to how these rules affect your own distribution under this rule.</w:t>
      </w:r>
    </w:p>
    <w:p>
      <w:pPr>
        <w:spacing w:after="0" w:line="62"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If you intend to receive your minimum distributions in the form of Annuity Payments that are payable over the joint lives of you and a beneficiary or over a guaranteed duration of more than 10 years, be advised that Federal tax law rules may require that, after your death, any remaining payments be made over a shorter period or be reduced after your death to satisfy the RMD rules and avoid the up to 25% excise tax. Other complex rules also apply to RMDs taken in the form of Annuity Payments. You should consult your own tax adviser as to how these rules affect your own Contract.</w:t>
      </w:r>
    </w:p>
    <w:p>
      <w:pPr>
        <w:spacing w:after="0" w:line="53"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color w:val="auto"/>
        </w:rPr>
        <w:t>Required minimum distribution rules that apply to other types of IRAs while you are alive do not apply to Roth IRAs. However, in general, the IRA post-death rules with respect to minimum distributions do apply to beneficiaries of Roth IRAs. Effective in 2024, similar rules apply to Roth account balances maintained in employer-sponsored qualified plans. As a result, required minimum distribution rules that generally apply under an employer-sponsored qualified plan once you attain your Applicable Age, will not apply to any Roth account balance while you are alive. However, in general, post-death rules with respect to minimum distributions do apply to beneficiaries upon your death.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regarding IRAs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Purchase payments</w:t>
      </w:r>
    </w:p>
    <w:p>
      <w:pPr>
        <w:spacing w:after="0" w:line="82"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color w:val="auto"/>
        </w:rPr>
        <w:t>Traditional IRA purchase payments (except for permissible rollovers and direct transfers) are limited in the aggregate to the lesser of 100% of compensation or the deductible amount established each year under the Code. A purchase payment up to the deductible amount can also be made for a non-working spouse provided the couple’s compensation is at least equal to their aggregate contributions. Individuals age 50 and older are permitted to make additional “catch-up” contributions if they have sufficient compensation. If you or your spouse are an active participant in a retirement plan of an employer, your deductible contributions may be limited. If you exceed purchase payment limits you may be subject to a tax penalty.</w:t>
      </w:r>
    </w:p>
    <w:p>
      <w:pPr>
        <w:spacing w:after="0" w:line="63"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Roth IRA purchase payments for individuals are non-deductible (made on an “after tax” basis) and are limited to the lesser of 100% of compensation or the annual deductible IRA amount. Individuals age 50 and older can make an additional “catch-up” purchase payment each year (assuming the individual has sufficient compensation). You may contribute up to the annual purchase payment limit if your modified adjusted gross income does not exceed certain limits. If you exceed purchase payment limits, you may be subject to a tax penalty.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Inherited IRA</w:t>
      </w:r>
    </w:p>
    <w:p>
      <w:pPr>
        <w:spacing w:after="0" w:line="82"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Subject to the provisions of the Code, the Contract and our administrative rules, we may make available an inherited IRA to (1) an individual non-spouse beneficiary, or (2) a surviving spouse beneficiary. Such beneficiaries are required to take required minimum distribution (RMD) in accordance with federal tax law. For example, if the inherited IRA is established as a ten-year inherited IRA, federal tax law generally requires a beneficiary to take annual RMD withdrawals from the inherited IRA if the deceased IRA owner/qualified plan participant died on or after their Required Beginning Date (RBD). All inherited IRA contracts established as a ten-year inherited IRA also must be completely distributed by the end of the calendar year containing the tenth anniversary of the original IRA owner’s/qualified plan participant’s date of death. Because federal tax law and its RMD rules are complex, beneficiaries should consult a qualified tax adviser.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Withdrawals</w:t>
      </w:r>
    </w:p>
    <w:p>
      <w:pPr>
        <w:spacing w:after="0" w:line="82"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If and to the extent that Traditional IRA purchase payments are made on an “after tax” basis, withdrawals would be included in income except for the portion that represents a return of non-deductible purchase payments. This portion is generally determined based upon the ratio of all non-deductible purchase payments to the total value of all your Traditional</w:t>
      </w:r>
    </w:p>
    <w:p>
      <w:pPr>
        <w:spacing w:after="0" w:line="17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66</w:t>
      </w:r>
    </w:p>
    <w:p>
      <w:pPr>
        <w:sectPr>
          <w:pgSz w:w="11900" w:h="16838" w:orient="portrait"/>
          <w:cols w:equalWidth="0" w:num="1">
            <w:col w:w="9359"/>
          </w:cols>
          <w:pgMar w:left="1100" w:top="966" w:right="1440" w:bottom="1440" w:gutter="0" w:footer="0" w:header="0"/>
        </w:sectPr>
      </w:pPr>
    </w:p>
    <w:bookmarkStart w:id="67" w:name="page68"/>
    <w:bookmarkEnd w:id="67"/>
    <w:p>
      <w:pPr>
        <w:jc w:val="both"/>
        <w:ind w:right="38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557395" cy="36830"/>
                    </a:xfrm>
                    <a:prstGeom prst="rect">
                      <a:avLst/>
                    </a:prstGeom>
                    <a:noFill/>
                  </pic:spPr>
                </pic:pic>
              </a:graphicData>
            </a:graphic>
          </wp:anchor>
        </w:drawing>
        <w:t>IRAs (including SEP IRAs and SIMPLE IRAs). We withhold a portion of the amount of your withdrawal for income taxes, unless you elect otherwise. The amount we withhold is determined by the Code.</w:t>
      </w:r>
    </w:p>
    <w:p>
      <w:pPr>
        <w:spacing w:after="0" w:line="39"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Generally, withdrawal of earnings from Roth IRAs are free from Federal income tax if (1) they are made at least five taxable years after the tax year for which you made your first purchase payment to a Roth IRA; and (2) they are made on or after the date you reach age 59½ or upon your death, disability or for a qualified first-home purchase (up to $10,000). Withdrawals from a Roth IRA are made first from purchase payments and then from earnings. We may be required to withhold a portion of your withdrawal for income taxes, unless you elect otherwise. The amount will be determined by the Code.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Conversion</w:t>
      </w:r>
    </w:p>
    <w:p>
      <w:pPr>
        <w:spacing w:after="0" w:line="82"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Traditional IRAs may be converted to Roth IRAs. Except to the extent you have non-deductible contributions, the amount converted from an existing Traditional IRA into a Roth IRA is taxable. Generally, the 10% Federal income tax penalty does not apply. However, the taxable amount to be converted must be based on the fair market value of the entire annuity contract being converted into a Roth IRA. Such fair market value, in general, is to be determined by taking into account the value of all benefits (both living benefits and death benefits) in addition to the account balance; as well as adding back certain loads and charges incurred during the prior twelve month period. Your Contract may include such benefits and applicable charges. Accordingly, if you are considering such conversion of your annuity Contract, please consult your tax adviser. The taxable amount may exceed the account balance at the date of conversion.</w:t>
      </w:r>
    </w:p>
    <w:p>
      <w:pPr>
        <w:spacing w:after="0" w:line="54"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Prior to 2018, contributions made to a Traditional IRA that were converted to a Roth IRA could be recharacterized as made back to the Traditional IRA, if certain conditions were met. Under a provision of the Tax Cuts and Jobs Act, recharacterization cannot be used to unwind a conversion from a Traditional IRA to a Roth IRA for taxable years beginning after December 31, 2017. For conversions made to a Roth IRA in 2017, the IRS has issued guidance allowing recharacterizations to be made in 2018. Please consult your tax adviser.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Federal Tax Considerations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Non-Qualified Annuity Contracts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to Tax Rules and Interpretations</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Changes to applicable tax rules and interpretations can adversely affect the tax treatment of your Contract.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changes may take effect retroactively.</w:t>
      </w:r>
    </w:p>
    <w:p>
      <w:pPr>
        <w:spacing w:after="0" w:line="67"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We reserve the right to amend your Contract where necessary to maintain its status as an Annuity Contract under Federal tax law and to protect you and other Contract owners from adverse tax consequences.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Qualified Annuity Contracts</w:t>
      </w:r>
    </w:p>
    <w:p>
      <w:pPr>
        <w:spacing w:after="0" w:line="82"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Annuity contracts purchased through tax qualified plans are subject to limitations imposed by the Code and regulations as a condition of tax qualification. There are various types of tax qualified plans which have certain beneficial tax consequences for Contract owners and plan participants.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Types of Qualified Plans</w:t>
      </w:r>
    </w:p>
    <w:p>
      <w:pPr>
        <w:spacing w:after="0" w:line="82"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The following includes individual account-type plans which may hold an annuity Contract as described in the Prospectus.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IRA</w:t>
      </w:r>
    </w:p>
    <w:p>
      <w:pPr>
        <w:spacing w:after="0" w:line="80"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A traditional IRA is established by an individual, under Section 408(a) or 408(b) of the Code. See also Roth IRAs below.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Roth Account</w:t>
      </w:r>
    </w:p>
    <w:p>
      <w:pPr>
        <w:spacing w:after="0" w:line="80"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Individual or employee plan contributions made to certain plans on an after-tax basis. An IRA may be established as a Roth IRA under Section 408A, and 401(k), 403(b) and 457(b) plans may provide for Roth accounts. Contributions to a Roth IRA are limited based on the level of your modified adjusted gross income.</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Comparison of Plan Limits for Individual Contributions:</w:t>
      </w:r>
    </w:p>
    <w:p>
      <w:pPr>
        <w:spacing w:after="0" w:line="34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67</w:t>
      </w:r>
    </w:p>
    <w:p>
      <w:pPr>
        <w:sectPr>
          <w:pgSz w:w="11900" w:h="16838" w:orient="portrait"/>
          <w:cols w:equalWidth="0" w:num="1">
            <w:col w:w="9359"/>
          </w:cols>
          <w:pgMar w:left="1100" w:top="966" w:right="1440" w:bottom="1440" w:gutter="0" w:footer="0" w:header="0"/>
        </w:sectPr>
      </w:pPr>
    </w:p>
    <w:bookmarkStart w:id="68" w:name="page69"/>
    <w:bookmarkEnd w:id="68"/>
    <w:tbl>
      <w:tblPr>
        <w:tblLayout w:type="fixed"/>
        <w:tblInd w:w="10" w:type="dxa"/>
        <w:tblCellMar>
          <w:top w:w="0" w:type="dxa"/>
          <w:left w:w="0" w:type="dxa"/>
          <w:bottom w:w="0" w:type="dxa"/>
          <w:right w:w="0" w:type="dxa"/>
        </w:tblCellMar>
      </w:tblPr>
      <w:tr>
        <w:trPr>
          <w:trHeight w:val="142"/>
        </w:trPr>
        <w:tc>
          <w:tcPr>
            <w:tcW w:w="1380" w:type="dxa"/>
            <w:vAlign w:val="bottom"/>
            <w:tcBorders>
              <w:top w:val="single" w:sz="8" w:color="auto"/>
              <w:left w:val="single" w:sz="8" w:color="auto"/>
              <w:right w:val="single" w:sz="8" w:color="auto"/>
            </w:tcBorders>
          </w:tcPr>
          <w:p>
            <w:pPr>
              <w:spacing w:after="0"/>
              <w:rPr>
                <w:sz w:val="12"/>
                <w:szCs w:val="12"/>
                <w:color w:val="auto"/>
              </w:rPr>
            </w:pPr>
          </w:p>
        </w:tc>
        <w:tc>
          <w:tcPr>
            <w:tcW w:w="140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Maximum Catch-up</w:t>
            </w: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Maximum Catch-Up</w:t>
            </w:r>
          </w:p>
        </w:tc>
      </w:tr>
      <w:tr>
        <w:trPr>
          <w:trHeight w:val="125"/>
        </w:trPr>
        <w:tc>
          <w:tcPr>
            <w:tcW w:w="1380" w:type="dxa"/>
            <w:vAlign w:val="bottom"/>
            <w:tcBorders>
              <w:left w:val="single" w:sz="8" w:color="auto"/>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Contribution</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Contribution</w:t>
            </w:r>
          </w:p>
        </w:tc>
      </w:tr>
      <w:tr>
        <w:trPr>
          <w:trHeight w:val="134"/>
        </w:trPr>
        <w:tc>
          <w:tcPr>
            <w:tcW w:w="1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Plan Type</w:t>
            </w:r>
          </w:p>
        </w:tc>
        <w:tc>
          <w:tcPr>
            <w:tcW w:w="140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Elective Contribution</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(ages 50-59 and 64+)</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(ages 60-63)</w:t>
            </w:r>
          </w:p>
        </w:tc>
      </w:tr>
      <w:tr>
        <w:trPr>
          <w:trHeight w:val="168"/>
        </w:trPr>
        <w:tc>
          <w:tcPr>
            <w:tcW w:w="1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IRA</w:t>
            </w:r>
          </w:p>
        </w:tc>
        <w:tc>
          <w:tcPr>
            <w:tcW w:w="14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$7,500</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$1,100</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$1,100</w:t>
            </w:r>
          </w:p>
        </w:tc>
      </w:tr>
      <w:tr>
        <w:trPr>
          <w:trHeight w:val="149"/>
        </w:trPr>
        <w:tc>
          <w:tcPr>
            <w:tcW w:w="1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SIMPLE IRA</w:t>
            </w:r>
          </w:p>
        </w:tc>
        <w:tc>
          <w:tcPr>
            <w:tcW w:w="1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$17,000</w:t>
            </w:r>
          </w:p>
        </w:tc>
        <w:tc>
          <w:tcPr>
            <w:tcW w:w="1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$4,000</w:t>
            </w:r>
          </w:p>
        </w:tc>
        <w:tc>
          <w:tcPr>
            <w:tcW w:w="13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$5,250</w:t>
            </w:r>
          </w:p>
        </w:tc>
      </w:tr>
      <w:tr>
        <w:trPr>
          <w:trHeight w:val="144"/>
        </w:trPr>
        <w:tc>
          <w:tcPr>
            <w:tcW w:w="1380" w:type="dxa"/>
            <w:vAlign w:val="bottom"/>
            <w:tcBorders>
              <w:left w:val="single" w:sz="8" w:color="auto"/>
              <w:right w:val="single" w:sz="8" w:color="auto"/>
            </w:tcBorders>
          </w:tcPr>
          <w:p>
            <w:pPr>
              <w:spacing w:after="0"/>
              <w:rPr>
                <w:sz w:val="12"/>
                <w:szCs w:val="12"/>
                <w:color w:val="auto"/>
              </w:rPr>
            </w:pPr>
          </w:p>
        </w:tc>
        <w:tc>
          <w:tcPr>
            <w:tcW w:w="1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($18,100 for certain small</w:t>
            </w:r>
          </w:p>
        </w:tc>
        <w:tc>
          <w:tcPr>
            <w:tcW w:w="1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($3,850 for certain small</w:t>
            </w:r>
          </w:p>
        </w:tc>
        <w:tc>
          <w:tcPr>
            <w:tcW w:w="1360" w:type="dxa"/>
            <w:vAlign w:val="bottom"/>
            <w:tcBorders>
              <w:right w:val="single" w:sz="8" w:color="auto"/>
            </w:tcBorders>
          </w:tcPr>
          <w:p>
            <w:pPr>
              <w:spacing w:after="0"/>
              <w:rPr>
                <w:sz w:val="12"/>
                <w:szCs w:val="12"/>
                <w:color w:val="auto"/>
              </w:rPr>
            </w:pPr>
          </w:p>
        </w:tc>
      </w:tr>
      <w:tr>
        <w:trPr>
          <w:trHeight w:val="164"/>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employer plans)</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employer plans)</w:t>
            </w:r>
          </w:p>
        </w:tc>
        <w:tc>
          <w:tcPr>
            <w:tcW w:w="1360" w:type="dxa"/>
            <w:vAlign w:val="bottom"/>
            <w:tcBorders>
              <w:bottom w:val="single" w:sz="8" w:color="auto"/>
              <w:right w:val="single" w:sz="8" w:color="auto"/>
            </w:tcBorders>
          </w:tcPr>
          <w:p>
            <w:pPr>
              <w:spacing w:after="0"/>
              <w:rPr>
                <w:sz w:val="14"/>
                <w:szCs w:val="14"/>
                <w:color w:val="auto"/>
              </w:rPr>
            </w:pPr>
          </w:p>
        </w:tc>
      </w:tr>
      <w:tr>
        <w:trPr>
          <w:trHeight w:val="169"/>
        </w:trPr>
        <w:tc>
          <w:tcPr>
            <w:tcW w:w="1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401(k)</w:t>
            </w:r>
          </w:p>
        </w:tc>
        <w:tc>
          <w:tcPr>
            <w:tcW w:w="14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$24,500</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$8,000</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$11,250</w:t>
            </w:r>
          </w:p>
        </w:tc>
      </w:tr>
      <w:tr>
        <w:trPr>
          <w:trHeight w:val="149"/>
        </w:trPr>
        <w:tc>
          <w:tcPr>
            <w:tcW w:w="13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SEP/401(a)</w:t>
            </w:r>
          </w:p>
        </w:tc>
        <w:tc>
          <w:tcPr>
            <w:tcW w:w="1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(Employer contributions</w:t>
            </w:r>
          </w:p>
        </w:tc>
        <w:tc>
          <w:tcPr>
            <w:tcW w:w="138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r>
      <w:tr>
        <w:trPr>
          <w:trHeight w:val="164"/>
        </w:trPr>
        <w:tc>
          <w:tcPr>
            <w:tcW w:w="1380" w:type="dxa"/>
            <w:vAlign w:val="bottom"/>
            <w:tcBorders>
              <w:left w:val="single" w:sz="8" w:color="auto"/>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only)</w:t>
            </w:r>
          </w:p>
        </w:tc>
        <w:tc>
          <w:tcPr>
            <w:tcW w:w="138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spacing w:after="0"/>
              <w:rPr>
                <w:sz w:val="14"/>
                <w:szCs w:val="14"/>
                <w:color w:val="auto"/>
              </w:rPr>
            </w:pPr>
          </w:p>
        </w:tc>
      </w:tr>
      <w:tr>
        <w:trPr>
          <w:trHeight w:val="169"/>
        </w:trPr>
        <w:tc>
          <w:tcPr>
            <w:tcW w:w="1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403(b) [TSA]</w:t>
            </w:r>
          </w:p>
        </w:tc>
        <w:tc>
          <w:tcPr>
            <w:tcW w:w="14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$24,500</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$8,000</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$11,250</w:t>
            </w:r>
          </w:p>
        </w:tc>
      </w:tr>
      <w:tr>
        <w:trPr>
          <w:trHeight w:val="164"/>
        </w:trPr>
        <w:tc>
          <w:tcPr>
            <w:tcW w:w="1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457(b)</w:t>
            </w:r>
          </w:p>
        </w:tc>
        <w:tc>
          <w:tcPr>
            <w:tcW w:w="14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$24,500</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$8,000</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$11,250</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57395" cy="36830"/>
                    </a:xfrm>
                    <a:prstGeom prst="rect">
                      <a:avLst/>
                    </a:prstGeom>
                    <a:noFill/>
                  </pic:spPr>
                </pic:pic>
              </a:graphicData>
            </a:graphic>
          </wp:anchor>
        </w:drawing>
      </w:r>
    </w:p>
    <w:p>
      <w:pPr>
        <w:jc w:val="both"/>
        <w:ind w:right="3839" w:firstLine="240"/>
        <w:spacing w:after="0" w:line="252" w:lineRule="auto"/>
        <w:rPr>
          <w:sz w:val="20"/>
          <w:szCs w:val="20"/>
          <w:color w:val="auto"/>
        </w:rPr>
      </w:pPr>
      <w:r>
        <w:rPr>
          <w:rFonts w:ascii="Times New Roman" w:cs="Times New Roman" w:eastAsia="Times New Roman" w:hAnsi="Times New Roman"/>
          <w:sz w:val="12"/>
          <w:szCs w:val="12"/>
          <w:color w:val="auto"/>
        </w:rPr>
        <w:t>Dollar limits are for 2026 and subject to cost-of-living adjustments in future years. Employer-sponsored individual account plans (other than 457(b) plans) may provide for additional employer contributions not to exceed the lesser of $72,000 and 100% of an employee’s compensation for 2026 (reduced by any employee elective contributions). If allowed by the plan, catch-up contributions and special catch-up contributions for participants ages 60-63 may be made by participants in 401(k), 403(b), SIMPLE and governmental 457(b) plans. Certain grandfathered SARSEP plans may also allow for employee contributions, catch-up contributions and enhanced catch-up contributions for employees aged 60-63. If allowed under the plan, the elective contribution and the catchup contribution for ages 50-59 (and ages 64 and older) may be increased for certain small employer SIMPLE plans (generally employers with 25 or fewer employees) if certain conditions are met. Starting in 2026, if a qualified employer plan permits catch-up contributions, those catch-up contributions may be required to be made into the plan’s Roth account if the employee has compensation above a certain threshold in the prior year. This generally applies to certain higher income participants. Consult a tax adviser and consult your plan administrator if you participate in one of these employer-sponsored retirement plans.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Federal Estate Taxes</w:t>
      </w:r>
    </w:p>
    <w:p>
      <w:pPr>
        <w:spacing w:after="0" w:line="82"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While no attempt is being made to discuss the Federal estate tax implications of the Contract, you should bear in mind that the value of an annuity contract owned by a decedent and payable to a beneficiary by virtue of surviving the decedent is included in the decedent’s gross estate. Depending on the terms of the annuity contract, the value of the annuity included in the gross estate may be the value of the lump sum payment payable to the designated beneficiary or the actuarial value of the payments to be received by the beneficiary. Consult an estate planning adviser for more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Generation-Skipping Transfer Tax</w:t>
      </w:r>
    </w:p>
    <w:p>
      <w:pPr>
        <w:spacing w:after="0" w:line="82"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Under certain circumstances, the Code may impose a “generation-skipping transfer tax” when all or part of an annuity contract is transferred to, or a death benefit is paid to, an individual two or more generations younger than the contract owner. Regulations issued under the Code may require us to deduct the tax from your contract, or from any applicable payment, and pay it directly to the IRS.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SECURE 2.0 Act Considerations</w:t>
      </w:r>
    </w:p>
    <w:p>
      <w:pPr>
        <w:spacing w:after="0" w:line="82"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As part of the Consolidated Appropriations Act, 2023, Congress passed the SECURE 2.0 Act of 2022 (the “Act”) which was signed into law on December 29, 2022. The Act includes many provisions updating the Code affecting employer sponsored qualified plans and IRAs, including provisions that become effective immediately and provisions which become effective in later years through 2033. For example, the Act includes provisions affecting required minimum distributions (RMD), certain contribution and other limits affecting IRAs and qualified plans, as well as provisions providing new exceptions to the 10% federal income tax penalty for “early” distributions which may also provide for the ability to recontribute such early distributions to an IRA or qualified plan (subject to the provisions of the Code, the qualified plan/IRA, the Contract and our administrative rules.) This prospectus does not attempt to provide a complete discussion of the Act and its provisions. Individuals should consult with a qualified tax adviser.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Annuity Purchase Payments by Nonresident Aliens and Foreign Entities</w:t>
      </w:r>
    </w:p>
    <w:p>
      <w:pPr>
        <w:spacing w:after="0" w:line="82"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The discussion above provides general information regarding U.S. Federal income tax consequences to annuity purchasers that are U.S. citizens or residents. Purchasers that are not U.S. citizens or residents will generally be subject to U.S. Federal withholding tax on taxable distributions from annuity contracts at a 30% rate, unless a lower treaty rate applies. In addition, purchasers may be subject to state and/or municipal taxes and taxes that may be imposed by the purchaser’s</w:t>
      </w:r>
    </w:p>
    <w:p>
      <w:pPr>
        <w:spacing w:after="0" w:line="17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68</w:t>
      </w:r>
    </w:p>
    <w:p>
      <w:pPr>
        <w:sectPr>
          <w:pgSz w:w="11900" w:h="16838" w:orient="portrait"/>
          <w:cols w:equalWidth="0" w:num="1">
            <w:col w:w="9359"/>
          </w:cols>
          <w:pgMar w:left="1100" w:top="951" w:right="1440" w:bottom="1440" w:gutter="0" w:footer="0" w:header="0"/>
        </w:sectPr>
      </w:pPr>
    </w:p>
    <w:bookmarkStart w:id="69" w:name="page70"/>
    <w:bookmarkEnd w:id="69"/>
    <w:p>
      <w:pPr>
        <w:jc w:val="both"/>
        <w:ind w:right="38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557395" cy="36830"/>
                    </a:xfrm>
                    <a:prstGeom prst="rect">
                      <a:avLst/>
                    </a:prstGeom>
                    <a:noFill/>
                  </pic:spPr>
                </pic:pic>
              </a:graphicData>
            </a:graphic>
          </wp:anchor>
        </w:drawing>
        <w:t>country of citizenship or residence. Prospective purchasers are advised to consult with a qualified tax adviser regarding U.S., state and foreign taxation with respect to an annuity contract purchase.</w:t>
      </w:r>
    </w:p>
    <w:p>
      <w:pPr>
        <w:spacing w:after="0" w:line="18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2"/>
          <w:szCs w:val="12"/>
          <w:b w:val="1"/>
          <w:bCs w:val="1"/>
          <w:color w:val="auto"/>
        </w:rPr>
        <w:t>YOUR RIGHT TO CANCEL (FREE LOOK)</w:t>
      </w:r>
    </w:p>
    <w:p>
      <w:pPr>
        <w:spacing w:after="0" w:line="82"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If you change your mind about owning the Contract, you can cancel it within 10 days after receiving it by mailing or delivering the Contract to either us or the financial professional who sold it. This is known as a “Free Look.” We ask that you submit your request to cancel in writing, signed by you, to us (e.g., the Annuity Service Office) or to the financial professional who sold it. When you cancel the Contract within this Free Look period, we will not assess a Withdrawal Charge. You will receive (i) whatever your Contract is worth on the day we receive your cancellation request (although we will apply an Interim Value calculation), plus (ii) the sum of all fees, taxes and charges deducted from the Purchase Payment during the Free Look period, as of the effective date of the Free Look, on the Business Day we receive your Contract. The amount you receive for a cancellation request submitted to your financial professional will depend on the day that such request is, in turn, provided to us. The amount you receive may be more or less than your Purchase Payment depending upon the Shield Options you allocated your Purchase Payment to during the Free Look period. This means that you bear the risk of any decline in the Account Value of your Contract during the Free Look period.</w:t>
      </w:r>
    </w:p>
    <w:p>
      <w:pPr>
        <w:spacing w:after="0" w:line="20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b w:val="1"/>
          <w:bCs w:val="1"/>
          <w:color w:val="auto"/>
        </w:rPr>
        <w:t>OWNERSHIP PROVISIONS</w:t>
      </w:r>
    </w:p>
    <w:p>
      <w:pPr>
        <w:spacing w:after="0" w:line="87" w:lineRule="exact"/>
        <w:rPr>
          <w:sz w:val="20"/>
          <w:szCs w:val="20"/>
          <w:color w:val="auto"/>
        </w:rPr>
      </w:pPr>
    </w:p>
    <w:p>
      <w:pPr>
        <w:jc w:val="both"/>
        <w:ind w:right="3839" w:firstLine="240"/>
        <w:spacing w:after="0" w:line="286" w:lineRule="auto"/>
        <w:rPr>
          <w:sz w:val="20"/>
          <w:szCs w:val="20"/>
          <w:color w:val="auto"/>
        </w:rPr>
      </w:pPr>
      <w:r>
        <w:rPr>
          <w:rFonts w:ascii="Times New Roman" w:cs="Times New Roman" w:eastAsia="Times New Roman" w:hAnsi="Times New Roman"/>
          <w:sz w:val="12"/>
          <w:szCs w:val="12"/>
          <w:b w:val="1"/>
          <w:bCs w:val="1"/>
          <w:color w:val="auto"/>
        </w:rPr>
        <w:t>Owner.</w:t>
      </w:r>
      <w:r>
        <w:rPr>
          <w:rFonts w:ascii="Times New Roman" w:cs="Times New Roman" w:eastAsia="Times New Roman" w:hAnsi="Times New Roman"/>
          <w:sz w:val="12"/>
          <w:szCs w:val="12"/>
          <w:color w:val="auto"/>
        </w:rPr>
        <w:t xml:space="preserve">  You, as the Owner, have all the interest and rights under the Contract. Subject to our administrative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procedures, we may also permit ownership by a corporation (a type of non-natural person) or other legal entity.</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These rights include the right to:</w:t>
      </w:r>
    </w:p>
    <w:p>
      <w:pPr>
        <w:spacing w:after="0" w:line="96" w:lineRule="exact"/>
        <w:rPr>
          <w:sz w:val="20"/>
          <w:szCs w:val="20"/>
          <w:color w:val="auto"/>
        </w:rPr>
      </w:pPr>
    </w:p>
    <w:p>
      <w:pPr>
        <w:ind w:left="720" w:hanging="472"/>
        <w:spacing w:after="0"/>
        <w:tabs>
          <w:tab w:leader="none" w:pos="7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the Beneficiary.</w:t>
      </w:r>
    </w:p>
    <w:p>
      <w:pPr>
        <w:spacing w:after="0" w:line="105" w:lineRule="exact"/>
        <w:rPr>
          <w:rFonts w:ascii="Times New Roman" w:cs="Times New Roman" w:eastAsia="Times New Roman" w:hAnsi="Times New Roman"/>
          <w:sz w:val="12"/>
          <w:szCs w:val="12"/>
          <w:color w:val="auto"/>
        </w:rPr>
      </w:pPr>
    </w:p>
    <w:p>
      <w:pPr>
        <w:ind w:left="720" w:right="4139" w:hanging="472"/>
        <w:spacing w:after="0" w:line="279" w:lineRule="auto"/>
        <w:tabs>
          <w:tab w:leader="none" w:pos="7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the Annuitant before the Annuity Date (subject to our underwriting and administrative rules).</w:t>
      </w:r>
    </w:p>
    <w:p>
      <w:pPr>
        <w:spacing w:after="0" w:line="66" w:lineRule="exact"/>
        <w:rPr>
          <w:rFonts w:ascii="Times New Roman" w:cs="Times New Roman" w:eastAsia="Times New Roman" w:hAnsi="Times New Roman"/>
          <w:sz w:val="12"/>
          <w:szCs w:val="12"/>
          <w:color w:val="auto"/>
        </w:rPr>
      </w:pPr>
    </w:p>
    <w:p>
      <w:pPr>
        <w:ind w:left="720" w:hanging="472"/>
        <w:spacing w:after="0"/>
        <w:tabs>
          <w:tab w:leader="none" w:pos="7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assign the Contract (subject to limitation).</w:t>
      </w:r>
    </w:p>
    <w:p>
      <w:pPr>
        <w:spacing w:after="0" w:line="105" w:lineRule="exact"/>
        <w:rPr>
          <w:rFonts w:ascii="Times New Roman" w:cs="Times New Roman" w:eastAsia="Times New Roman" w:hAnsi="Times New Roman"/>
          <w:sz w:val="12"/>
          <w:szCs w:val="12"/>
          <w:color w:val="auto"/>
        </w:rPr>
      </w:pPr>
    </w:p>
    <w:p>
      <w:pPr>
        <w:ind w:left="720" w:hanging="472"/>
        <w:spacing w:after="0"/>
        <w:tabs>
          <w:tab w:leader="none" w:pos="7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the Annuity Payments option before the Annuity Date.</w:t>
      </w:r>
    </w:p>
    <w:p>
      <w:pPr>
        <w:spacing w:after="0" w:line="105" w:lineRule="exact"/>
        <w:rPr>
          <w:rFonts w:ascii="Times New Roman" w:cs="Times New Roman" w:eastAsia="Times New Roman" w:hAnsi="Times New Roman"/>
          <w:sz w:val="12"/>
          <w:szCs w:val="12"/>
          <w:color w:val="auto"/>
        </w:rPr>
      </w:pPr>
    </w:p>
    <w:p>
      <w:pPr>
        <w:ind w:left="720" w:hanging="472"/>
        <w:spacing w:after="0"/>
        <w:tabs>
          <w:tab w:leader="none" w:pos="7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exercise all other rights, benefits, options and privileges permitted by the Contract or us.</w:t>
      </w:r>
    </w:p>
    <w:p>
      <w:pPr>
        <w:spacing w:after="0" w:line="78"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The Owner is designated at the time the Contract is issued, unless changed. You may change the Owner at any time. Any change of Owner is subject to the laws, rules or regulations in effect at the time of the request. A change of Owner will automatically revoke any prior designation of the Owner.</w:t>
      </w:r>
    </w:p>
    <w:p>
      <w:pPr>
        <w:spacing w:after="0" w:line="43" w:lineRule="exact"/>
        <w:rPr>
          <w:sz w:val="20"/>
          <w:szCs w:val="20"/>
          <w:color w:val="auto"/>
        </w:rPr>
      </w:pPr>
    </w:p>
    <w:p>
      <w:pPr>
        <w:jc w:val="both"/>
        <w:ind w:right="3839" w:firstLine="240"/>
        <w:spacing w:after="0" w:line="259" w:lineRule="auto"/>
        <w:rPr>
          <w:sz w:val="20"/>
          <w:szCs w:val="20"/>
          <w:color w:val="auto"/>
        </w:rPr>
      </w:pPr>
      <w:r>
        <w:rPr>
          <w:rFonts w:ascii="Times New Roman" w:cs="Times New Roman" w:eastAsia="Times New Roman" w:hAnsi="Times New Roman"/>
          <w:sz w:val="12"/>
          <w:szCs w:val="12"/>
          <w:b w:val="1"/>
          <w:bCs w:val="1"/>
          <w:color w:val="auto"/>
        </w:rPr>
        <w:t>Joint Owner.</w:t>
      </w:r>
      <w:r>
        <w:rPr>
          <w:rFonts w:ascii="Times New Roman" w:cs="Times New Roman" w:eastAsia="Times New Roman" w:hAnsi="Times New Roman"/>
          <w:sz w:val="12"/>
          <w:szCs w:val="12"/>
          <w:color w:val="auto"/>
        </w:rPr>
        <w:t xml:space="preserve">  The Contract can be owned by Joint Owners, limited to natural persons. Either Joint Owner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can exercise all rights under the Contract unless you inform us otherwise in a Notice to us. Upon the death of either Owner, the surviving Joint Owner will be the primary Beneficiary, unless you inform us otherwise. Any other Beneficiary designation will be treated as a contingent Beneficiary unless otherwise indicated on the Contract Schedule or in a Notice to us.</w:t>
      </w:r>
    </w:p>
    <w:p>
      <w:pPr>
        <w:spacing w:after="0" w:line="47"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b w:val="1"/>
          <w:bCs w:val="1"/>
          <w:color w:val="auto"/>
        </w:rPr>
        <w:t>Annuitant.</w:t>
      </w:r>
      <w:r>
        <w:rPr>
          <w:rFonts w:ascii="Times New Roman" w:cs="Times New Roman" w:eastAsia="Times New Roman" w:hAnsi="Times New Roman"/>
          <w:sz w:val="12"/>
          <w:szCs w:val="12"/>
          <w:color w:val="auto"/>
        </w:rPr>
        <w:t xml:space="preserve">  The Annuitant is the natural person(s) on whose life we base Annuity Payments. The Annuitant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 the person designated by you on the Issue Date. You can change the Annuitant at any time prior to the Annuity Date, unless an Owner is not a natural person. Any reference to Annuitant includes any joint Annuitant under an Annuity Option. The Owner and the Annuitant do not have to be the same person except as required under certain sections of the Code. Any change of the Annuitant is subject to the specified maximum age in effect at the time of the request.</w:t>
      </w:r>
    </w:p>
    <w:p>
      <w:pPr>
        <w:spacing w:after="0" w:line="49"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b w:val="1"/>
          <w:bCs w:val="1"/>
          <w:color w:val="auto"/>
        </w:rPr>
        <w:t>Beneficiary.</w:t>
      </w:r>
      <w:r>
        <w:rPr>
          <w:rFonts w:ascii="Times New Roman" w:cs="Times New Roman" w:eastAsia="Times New Roman" w:hAnsi="Times New Roman"/>
          <w:sz w:val="12"/>
          <w:szCs w:val="12"/>
          <w:color w:val="auto"/>
        </w:rPr>
        <w:t xml:space="preserve">  The person(s) or entity(ies) you name to receive a death benefit payable under the Contract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upon the death of the Owner or a Joint Owner, or in certain circumstances, an Annuitant. The Beneficiary is named at the time the Contract is issued unless changed at a later date. Unless an irrevocable Beneficiary has been named, you can change the Beneficiary at any time before you die by filing a Notice with us. If Joint Owners are named, and unless you tell us otherwise, the surviving Joint Owner will be the primary Beneficiary. Any other primary Beneficiary designation will be treated as the contingent Beneficiary.</w:t>
      </w:r>
    </w:p>
    <w:p>
      <w:pPr>
        <w:spacing w:after="0" w:line="49"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b w:val="1"/>
          <w:bCs w:val="1"/>
          <w:color w:val="auto"/>
        </w:rPr>
        <w:t>Assignment.</w:t>
      </w:r>
      <w:r>
        <w:rPr>
          <w:rFonts w:ascii="Times New Roman" w:cs="Times New Roman" w:eastAsia="Times New Roman" w:hAnsi="Times New Roman"/>
          <w:sz w:val="12"/>
          <w:szCs w:val="12"/>
          <w:color w:val="auto"/>
        </w:rPr>
        <w:t xml:space="preserve">  You may assign your rights under the Contract unless restricted by the Code or other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applicable NY law. For example, in certain tax markets, assignment of the Contract is prohibited by the Code. If the Contract is assigned absolutely, we will treat it as a change of ownership and all rights will be transferred. We are not bound by any assignment unless it is in writing and until it is received at our Annuity Service Office. We assume no responsibility for the validity or effect of any assignment. We will not be liable for any payment or other action we take in accordance with the Contract before we receive the assignment. Assignments will be effective as of the date the written notice of assignment was signed subject to all payments made and actions taken by us before a copy of the signed assignment form is received by us at our Annuity Service</w:t>
      </w:r>
    </w:p>
    <w:p>
      <w:pPr>
        <w:spacing w:after="0" w:line="18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69</w:t>
      </w:r>
    </w:p>
    <w:p>
      <w:pPr>
        <w:sectPr>
          <w:pgSz w:w="11900" w:h="16838" w:orient="portrait"/>
          <w:cols w:equalWidth="0" w:num="1">
            <w:col w:w="9359"/>
          </w:cols>
          <w:pgMar w:left="1100" w:top="966" w:right="1440" w:bottom="1440" w:gutter="0" w:footer="0" w:header="0"/>
        </w:sectPr>
      </w:pPr>
    </w:p>
    <w:bookmarkStart w:id="70" w:name="page71"/>
    <w:bookmarkEnd w:id="70"/>
    <w:p>
      <w:pPr>
        <w:jc w:val="both"/>
        <w:ind w:right="385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57395" cy="36830"/>
                    </a:xfrm>
                    <a:prstGeom prst="rect">
                      <a:avLst/>
                    </a:prstGeom>
                    <a:noFill/>
                  </pic:spPr>
                </pic:pic>
              </a:graphicData>
            </a:graphic>
          </wp:anchor>
        </w:drawing>
        <w:t xml:space="preserve">Office. You should consult your tax advisor regarding the tax consequences of an assignment. </w:t>
      </w:r>
      <w:r>
        <w:rPr>
          <w:rFonts w:ascii="Times New Roman" w:cs="Times New Roman" w:eastAsia="Times New Roman" w:hAnsi="Times New Roman"/>
          <w:sz w:val="12"/>
          <w:szCs w:val="12"/>
          <w:b w:val="1"/>
          <w:bCs w:val="1"/>
          <w:color w:val="auto"/>
        </w:rPr>
        <w:t>An assignment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may be a taxable event.</w:t>
      </w:r>
    </w:p>
    <w:p>
      <w:pPr>
        <w:spacing w:after="0" w:line="17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2"/>
          <w:szCs w:val="12"/>
          <w:b w:val="1"/>
          <w:bCs w:val="1"/>
          <w:color w:val="auto"/>
        </w:rPr>
        <w:t>ABANDONED PROPERTY REQUIREMENTS</w:t>
      </w:r>
    </w:p>
    <w:p>
      <w:pPr>
        <w:spacing w:after="0" w:line="82" w:lineRule="exact"/>
        <w:rPr>
          <w:sz w:val="20"/>
          <w:szCs w:val="20"/>
          <w:color w:val="auto"/>
        </w:rPr>
      </w:pPr>
    </w:p>
    <w:p>
      <w:pPr>
        <w:jc w:val="both"/>
        <w:ind w:right="3839" w:firstLine="240"/>
        <w:spacing w:after="0" w:line="252" w:lineRule="auto"/>
        <w:rPr>
          <w:sz w:val="20"/>
          <w:szCs w:val="20"/>
          <w:color w:val="auto"/>
        </w:rPr>
      </w:pPr>
      <w:r>
        <w:rPr>
          <w:rFonts w:ascii="Times New Roman" w:cs="Times New Roman" w:eastAsia="Times New Roman" w:hAnsi="Times New Roman"/>
          <w:sz w:val="12"/>
          <w:szCs w:val="12"/>
          <w:color w:val="auto"/>
        </w:rPr>
        <w:t>Every state has unclaimed property laws that generally declare non-ERISA annuity contracts to be abandoned after a period of inactivity of three to five years from the contract’s maturity date, the date the death benefit is due and payable, or such other date as required by New York law. Contracts purchased through certain qualified plans, including IRAs and Roth IRAs, may be subject to special or additional abandoned property rules under New York law. For example, if the payment of a death benefit has been triggered, but, if after a thorough search, we are still unable to locate the Beneficiary of the death benefit, or the Beneficiary does not come forward to claim the death benefit in a timely manner, the death benefit will be paid to the abandoned property division or unclaimed property office of the state in which the Beneficiary or you last resided, as shown on our books and records, or to our state of domicile. (Escheatment is the formal, legal name for this process.) However, the state is obligated to pay the death benefit (without interest) if your Beneficiary steps forward to claim it with the proper documentation. To prevent your Contract’s proceeds from being paid to the state abandoned or unclaimed property office, it is important that you update your Beneficiary designations, including addresses, if and as they change. Please call 1-888-243-1932 to make such changes.</w:t>
      </w:r>
    </w:p>
    <w:p>
      <w:pPr>
        <w:spacing w:after="0" w:line="20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SUSPENSION OF PAYMENTS OR TRANSFERS</w:t>
      </w:r>
    </w:p>
    <w:p>
      <w:pPr>
        <w:spacing w:after="0" w:line="82"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We may be required to suspend or delay the payment of death benefits and the calculation of Annuity Payments, withdrawals and transfers when we cannot obtain an Index Value under the following circumstances:</w:t>
      </w:r>
    </w:p>
    <w:p>
      <w:pPr>
        <w:spacing w:after="0" w:line="66" w:lineRule="exact"/>
        <w:rPr>
          <w:sz w:val="20"/>
          <w:szCs w:val="20"/>
          <w:color w:val="auto"/>
        </w:rPr>
      </w:pPr>
    </w:p>
    <w:p>
      <w:pPr>
        <w:ind w:left="720" w:hanging="472"/>
        <w:spacing w:after="0"/>
        <w:tabs>
          <w:tab w:leader="none" w:pos="7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NYSE is closed (other than customary weekend and holiday closings);</w:t>
      </w:r>
    </w:p>
    <w:p>
      <w:pPr>
        <w:spacing w:after="0" w:line="105" w:lineRule="exact"/>
        <w:rPr>
          <w:rFonts w:ascii="Times New Roman" w:cs="Times New Roman" w:eastAsia="Times New Roman" w:hAnsi="Times New Roman"/>
          <w:sz w:val="12"/>
          <w:szCs w:val="12"/>
          <w:color w:val="auto"/>
        </w:rPr>
      </w:pPr>
    </w:p>
    <w:p>
      <w:pPr>
        <w:ind w:left="720" w:hanging="472"/>
        <w:spacing w:after="0"/>
        <w:tabs>
          <w:tab w:leader="none" w:pos="7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trading on the NYSE is restricted;</w:t>
      </w:r>
    </w:p>
    <w:p>
      <w:pPr>
        <w:spacing w:after="0" w:line="105" w:lineRule="exact"/>
        <w:rPr>
          <w:rFonts w:ascii="Times New Roman" w:cs="Times New Roman" w:eastAsia="Times New Roman" w:hAnsi="Times New Roman"/>
          <w:sz w:val="12"/>
          <w:szCs w:val="12"/>
          <w:color w:val="auto"/>
        </w:rPr>
      </w:pPr>
    </w:p>
    <w:p>
      <w:pPr>
        <w:ind w:left="720" w:hanging="472"/>
        <w:spacing w:after="0"/>
        <w:tabs>
          <w:tab w:leader="none" w:pos="7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emergency exists such that we cannot value Investment Amounts; or</w:t>
      </w:r>
    </w:p>
    <w:p>
      <w:pPr>
        <w:spacing w:after="0" w:line="96" w:lineRule="exact"/>
        <w:rPr>
          <w:rFonts w:ascii="Times New Roman" w:cs="Times New Roman" w:eastAsia="Times New Roman" w:hAnsi="Times New Roman"/>
          <w:sz w:val="12"/>
          <w:szCs w:val="12"/>
          <w:color w:val="auto"/>
        </w:rPr>
      </w:pPr>
    </w:p>
    <w:p>
      <w:pPr>
        <w:ind w:left="720" w:hanging="472"/>
        <w:spacing w:after="0"/>
        <w:tabs>
          <w:tab w:leader="none" w:pos="7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any other period when a regulator by order, so permits.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2"/>
          <w:szCs w:val="12"/>
          <w:b w:val="1"/>
          <w:bCs w:val="1"/>
          <w:color w:val="auto"/>
        </w:rPr>
        <w:t>WHEN WE CAN CANCEL YOUR CONTRACT</w:t>
      </w:r>
    </w:p>
    <w:p>
      <w:pPr>
        <w:spacing w:after="0" w:line="82"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We may terminate your Contract by paying you the Account Value in one sum if, prior to the Annuity Date the Minimum Account Value after any partial withdrawal is less than $2,000 or any lower amount required by Federal tax laws. Accordingly, no Contract will be terminated due solely to negative Index Performance. We will only do so to the extent allowed by law. If we do so, we will return the full Account Value. Federal tax law may impose additional restrictions on our right to cancel your Traditional IRA or Roth IRA Contract. We will not terminate any Contract if at the time the termination would otherwise occur the guaranteed amount under any death benefit is greater than the Account Value. For all other Contracts, we reserve the right to exercise this termination provision, subject to obtaining any required regulatory approvals.</w:t>
      </w:r>
    </w:p>
    <w:p>
      <w:pPr>
        <w:spacing w:after="0" w:line="19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b w:val="1"/>
          <w:bCs w:val="1"/>
          <w:color w:val="auto"/>
        </w:rPr>
        <w:t>THE INSURANCE COMPANY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Brighthouse Life Insurance Company of NY</w:t>
      </w:r>
    </w:p>
    <w:p>
      <w:pPr>
        <w:spacing w:after="0" w:line="82"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BLNY is a stock life insurance company organized under the laws of the State of New York in 1992. BLNY is licensed to do business only in the State of New York. BLNY is a wholly-owned subsidiary of, and controlled by, Brighthouse Life Insurance Company (“BLIC”). BLIC is an indirect, wholly-owned subsidiary of, and ultimately controlled by, Brighthouse Financial, Inc. (“BHF”), a publicly-traded company. BHF, through its subsidiaries and affiliates, is one of the largest providers of annuities and life insurance in the U.S.</w:t>
      </w:r>
    </w:p>
    <w:p>
      <w:pPr>
        <w:spacing w:after="0" w:line="53"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BLNY’s executive offices are located at 285 Madison Avenue, New York, NY 10017. Unless we designate a different office, the office that administers your Contract is located at P.O. Box 305075, Nashville, TN, 37230-5075.</w:t>
      </w:r>
    </w:p>
    <w:p>
      <w:pPr>
        <w:spacing w:after="0" w:line="47"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On November 6, 2025, BHF and Aquarian Capital LLC (“Aquarian”) announced that they had entered into a definitive agreement under which an affiliate of Aquarian will acquire BHF. This transaction is subject to the satisfaction or waiver of customary closing conditions, including receipt of applicable regulatory approvals. Subject to such approvals and the satisfaction or waiver of the other conditions, the transaction is expected to be consummated in 2026.</w:t>
      </w:r>
    </w:p>
    <w:p>
      <w:pPr>
        <w:spacing w:after="0" w:line="17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70</w:t>
      </w:r>
    </w:p>
    <w:p>
      <w:pPr>
        <w:sectPr>
          <w:pgSz w:w="11900" w:h="16838" w:orient="portrait"/>
          <w:cols w:equalWidth="0" w:num="1">
            <w:col w:w="9359"/>
          </w:cols>
          <w:pgMar w:left="1100" w:top="962" w:right="1440" w:bottom="1440" w:gutter="0" w:footer="0" w:header="0"/>
        </w:sectPr>
      </w:pPr>
    </w:p>
    <w:bookmarkStart w:id="71" w:name="page72"/>
    <w:bookmarkEnd w:id="71"/>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57395" cy="36830"/>
                    </a:xfrm>
                    <a:prstGeom prst="rect">
                      <a:avLst/>
                    </a:prstGeom>
                    <a:noFill/>
                  </pic:spPr>
                </pic:pic>
              </a:graphicData>
            </a:graphic>
          </wp:anchor>
        </w:drawing>
        <w:t>Upon the consummation of the transaction, Aquarian will become the ultimate parent of BHF, BLIC will remain an indirect wholly-owned subsidiary of BHF, and BLNY will remain a wholly-owned subsidiary of BLIC. Although Aquarian will replace BHF as BLNY’s ultimate parent, BLNY will continue in its present role as the issuer of your contract. All of your rights and benefits under your contract and BLNY’s obligations under the contract will remain unchanged.</w:t>
      </w:r>
    </w:p>
    <w:p>
      <w:pPr>
        <w:spacing w:after="0" w:line="62"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Founded in 2017, Aquarian Capital is a diversified global holding company with a strategic portfolio of insurance and asset management solutions. Aquarian is headquartered in New York, NY.</w:t>
      </w:r>
    </w:p>
    <w:p>
      <w:pPr>
        <w:spacing w:after="0" w:line="17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b w:val="1"/>
          <w:bCs w:val="1"/>
          <w:color w:val="auto"/>
        </w:rPr>
        <w:t>THE SEPARATE ACCOUNT</w:t>
      </w:r>
    </w:p>
    <w:p>
      <w:pPr>
        <w:spacing w:after="0" w:line="91" w:lineRule="exact"/>
        <w:rPr>
          <w:sz w:val="20"/>
          <w:szCs w:val="20"/>
          <w:color w:val="auto"/>
        </w:rPr>
      </w:pPr>
    </w:p>
    <w:p>
      <w:pPr>
        <w:jc w:val="both"/>
        <w:ind w:right="3839" w:firstLine="240"/>
        <w:spacing w:after="0" w:line="252" w:lineRule="auto"/>
        <w:rPr>
          <w:sz w:val="20"/>
          <w:szCs w:val="20"/>
          <w:color w:val="auto"/>
        </w:rPr>
      </w:pPr>
      <w:r>
        <w:rPr>
          <w:rFonts w:ascii="Times New Roman" w:cs="Times New Roman" w:eastAsia="Times New Roman" w:hAnsi="Times New Roman"/>
          <w:sz w:val="12"/>
          <w:szCs w:val="12"/>
          <w:color w:val="auto"/>
        </w:rPr>
        <w:t>The assets of the Separate Account are held in our name on behalf of the Separate Account and legally belong to us. We are obligated to pay all money we owe under the Contracts—such as death benefits and Annuity Payments—and these obligations are subject to our claims-paying ability. These amounts are not guaranteed by any other party. If the obligation exceeds the assets of the Separate Account, amounts will be transferred to the Separate Account from the General Account. We guarantee all benefits relating to your value in the Shield Option, regardless of whether assets supporting the Shield Option are held in a separate account or our General Account. An owner should look to the financial strength of BLNY for its claims-paying ability. We issue other annuity contracts and life insurance policies where we pay all money we owe under those contracts and policies from our General Account. The Separate Account is non-insulated, meaning that all of the assets of the Separate Account are chargeable with the claims of any of our contract owners and are subject to the liabilities arising from any of our other business. BLNY is regulated as an insurance company under state law, which includes, generally, limits on the amount and type of investments in its General Account. However, there is no guarantee that we will be able to meet our claims paying obligations; there are risks to purchasing any insurance product.</w:t>
      </w:r>
    </w:p>
    <w:p>
      <w:pPr>
        <w:spacing w:after="0" w:line="60"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A Purchase Payment made to the Shield Options of the Contract is allocated to the Separate Account. We have exclusive and absolute ownership and control of the assets of the Separate Account. It is a non-unitized separate account. You do not share in the investment performance of assets allocated to the Separate Account. All investment income, gains and losses, whether or not realized, from assets allocated to the Separate Account are borne by BLNY. The obligations under the Contract are independent of the investment performance of the Separate Account and are our obligations.</w:t>
      </w:r>
    </w:p>
    <w:p>
      <w:pPr>
        <w:spacing w:after="0" w:line="53"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We will maintain in the Separate Account assets with an aggregate value at least equal to the reserves for all contracts allocated under the Separate Account.</w:t>
      </w:r>
    </w:p>
    <w:p>
      <w:pPr>
        <w:spacing w:after="0" w:line="39"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If the aggregate value of such assets in the Separate Account should fall below such amount, we will transfer assets into the Separate Account so that the value of the Separate Account’s assets is at least equal to such amount. Assets supporting reserves for annuity benefits under such contracts, in the course of payment, are supported by BLNY’s General Account and will not be maintained in the Separate Account.</w:t>
      </w:r>
    </w:p>
    <w:p>
      <w:pPr>
        <w:spacing w:after="0" w:line="19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auto"/>
        </w:rPr>
        <w:t>INVESTMENTS BY BLNY</w:t>
      </w:r>
    </w:p>
    <w:p>
      <w:pPr>
        <w:spacing w:after="0" w:line="82"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We must invest our assets, including those in the Separate Account, according to New York state law regarding the nature, quality and diversification of investments that may be made by life insurance companies. In general, these laws permit investments, within specified limits and subject to certain qualifications, in Federal, state and municipal obligations, corporate bonds, preferred and common stocks, real estate mortgages, real estate and certain other investments.</w:t>
      </w:r>
    </w:p>
    <w:p>
      <w:pPr>
        <w:spacing w:after="0" w:line="19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color w:val="auto"/>
        </w:rPr>
        <w:t>ANNUAL STATEMENT</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At least once each calendar year, we will send you a statement that will show:</w:t>
      </w:r>
    </w:p>
    <w:p>
      <w:pPr>
        <w:spacing w:after="0" w:line="105" w:lineRule="exact"/>
        <w:rPr>
          <w:sz w:val="20"/>
          <w:szCs w:val="20"/>
          <w:color w:val="auto"/>
        </w:rPr>
      </w:pPr>
    </w:p>
    <w:p>
      <w:pPr>
        <w:ind w:left="720" w:hanging="472"/>
        <w:spacing w:after="0"/>
        <w:tabs>
          <w:tab w:leader="none" w:pos="7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your Account Value;</w:t>
      </w:r>
    </w:p>
    <w:p>
      <w:pPr>
        <w:spacing w:after="0" w:line="105" w:lineRule="exact"/>
        <w:rPr>
          <w:rFonts w:ascii="Times New Roman" w:cs="Times New Roman" w:eastAsia="Times New Roman" w:hAnsi="Times New Roman"/>
          <w:sz w:val="12"/>
          <w:szCs w:val="12"/>
          <w:color w:val="auto"/>
        </w:rPr>
      </w:pPr>
    </w:p>
    <w:p>
      <w:pPr>
        <w:ind w:left="720" w:hanging="472"/>
        <w:spacing w:after="0"/>
        <w:tabs>
          <w:tab w:leader="none" w:pos="7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transactions regarding your Contract during the year; and</w:t>
      </w:r>
    </w:p>
    <w:p>
      <w:pPr>
        <w:spacing w:after="0" w:line="105" w:lineRule="exact"/>
        <w:rPr>
          <w:rFonts w:ascii="Times New Roman" w:cs="Times New Roman" w:eastAsia="Times New Roman" w:hAnsi="Times New Roman"/>
          <w:sz w:val="12"/>
          <w:szCs w:val="12"/>
          <w:color w:val="auto"/>
        </w:rPr>
      </w:pPr>
    </w:p>
    <w:p>
      <w:pPr>
        <w:ind w:left="720" w:hanging="472"/>
        <w:spacing w:after="0"/>
        <w:tabs>
          <w:tab w:leader="none" w:pos="7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Amount and interest credited to your Contract.</w:t>
      </w:r>
    </w:p>
    <w:p>
      <w:pPr>
        <w:spacing w:after="0" w:line="78"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Such statements will be sent to your last known address on our records. You will have sixty (60) days from the date you receive such statement to inform us of any errors, otherwise such statement will be deemed final and correct.</w:t>
      </w:r>
    </w:p>
    <w:p>
      <w:pPr>
        <w:spacing w:after="0" w:line="18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b w:val="1"/>
          <w:bCs w:val="1"/>
          <w:color w:val="auto"/>
        </w:rPr>
        <w:t>DISTRIBUTION OF THE CONTRACTS</w:t>
      </w:r>
    </w:p>
    <w:p>
      <w:pPr>
        <w:spacing w:after="0" w:line="82"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Brighthouse Securities, LLC (“Brighthouse Securities”) is the principal underwriter and distributor of the securities offered through this prospectus. Brighthouse Securities is our affiliate and its principal executive offices are located at 11225 North Community House Road, Charlotte, NC 28277. Both we and Brighthouse Securities are indirect, wholly owned</w:t>
      </w:r>
    </w:p>
    <w:p>
      <w:pPr>
        <w:spacing w:after="0" w:line="16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71</w:t>
      </w:r>
    </w:p>
    <w:p>
      <w:pPr>
        <w:sectPr>
          <w:pgSz w:w="11900" w:h="16838" w:orient="portrait"/>
          <w:cols w:equalWidth="0" w:num="1">
            <w:col w:w="9359"/>
          </w:cols>
          <w:pgMar w:left="1100" w:top="966" w:right="1440" w:bottom="1440" w:gutter="0" w:footer="0" w:header="0"/>
        </w:sectPr>
      </w:pPr>
    </w:p>
    <w:bookmarkStart w:id="72" w:name="page73"/>
    <w:bookmarkEnd w:id="72"/>
    <w:p>
      <w:pPr>
        <w:jc w:val="both"/>
        <w:ind w:right="3839"/>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557395" cy="36830"/>
                    </a:xfrm>
                    <a:prstGeom prst="rect">
                      <a:avLst/>
                    </a:prstGeom>
                    <a:noFill/>
                  </pic:spPr>
                </pic:pic>
              </a:graphicData>
            </a:graphic>
          </wp:anchor>
        </w:drawing>
        <w:t xml:space="preserve">subsidiaries of BHF. Brighthouse Securities is a member of the Financial Industry Regulatory Authority (FINRA). FINRA provides background information about broker-dealers and their registered representatives through FINRA BrokerCheck. You may contact the FINRA BrokerCheck Hotline at 1-800-289-9999, or log on to </w:t>
      </w:r>
      <w:r>
        <w:rPr>
          <w:rFonts w:ascii="Times New Roman" w:cs="Times New Roman" w:eastAsia="Times New Roman" w:hAnsi="Times New Roman"/>
          <w:sz w:val="12"/>
          <w:szCs w:val="12"/>
          <w:u w:val="single" w:color="auto"/>
          <w:color w:val="auto"/>
        </w:rPr>
        <w:t>www.finra.org</w:t>
      </w:r>
      <w:r>
        <w:rPr>
          <w:rFonts w:ascii="Times New Roman" w:cs="Times New Roman" w:eastAsia="Times New Roman" w:hAnsi="Times New Roman"/>
          <w:sz w:val="12"/>
          <w:szCs w:val="12"/>
          <w:color w:val="auto"/>
        </w:rPr>
        <w:t>. An investor brochure that includes information describing FINRA BrokerCheck is available through the Hotline or on-line.</w:t>
      </w:r>
    </w:p>
    <w:p>
      <w:pPr>
        <w:spacing w:after="0" w:line="62"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Brighthouse Securities is not obligated to take and pay for, and is not required to sell, any specific number or dollar amount of Contracts. Brighthouse Securities, and in certain cases, we, have entered into selling agreements with unaffiliated selling firms for the sale of the Contracts. No selling firms are affiliated with us or Brighthouse Securities. We pay compensation to Brighthouse Securities for sales of the Contracts by selling firms. We also pay amounts to Brighthouse Securities that may be used for its operating and other expenses, including the following sales expenses: compensation and bonuses for Brighthouse Securities’ management team, advertising expenses and other expenses of distributing the Contracts. Brighthouse Securities’ management team and registered representatives also may be eligible for non-cash compensation items that we may provide jointly with Brighthouse Securities. Non-cash items include conferences, seminars and trips (including travel, lodging and meals in connection therewith), entertainment, merchandise and other similar items.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Selling Firms</w:t>
      </w:r>
    </w:p>
    <w:p>
      <w:pPr>
        <w:spacing w:after="0" w:line="91"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As noted above, Brighthouse Securities, and in certain cases, we, have entered into selling agreements with selling firms for the sale of the Contracts. Selling firms receive commissions, and may receive some form of non-cash compensation. Certain selected selling firms receive additional compensation (described below under “Additional Compensation for Selected Selling Firms”). These commissions and other incentives or payments are not charged directly to Owners. We intend to recoup commissions and other sales expenses through the charges and deductions under the Contract. A portion of the payments made to selling firms may be passed on to their financial professionals in accordance with the selling firms’ internal compensation programs. Those programs may also include other types of cash and non-cash compensation and other benefits. Financial professionals of the selling firms may also receive non-cash compensation, pursuant to their firm’s guidelines, directly from us or Brighthouse Securities.</w:t>
      </w:r>
    </w:p>
    <w:p>
      <w:pPr>
        <w:spacing w:after="0" w:line="62"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Compensation Paid to Selling Firms.  </w:t>
      </w:r>
      <w:r>
        <w:rPr>
          <w:rFonts w:ascii="Times New Roman" w:cs="Times New Roman" w:eastAsia="Times New Roman" w:hAnsi="Times New Roman"/>
          <w:sz w:val="12"/>
          <w:szCs w:val="12"/>
          <w:color w:val="auto"/>
        </w:rPr>
        <w:t>Brighthouse Securities pays compensation to all selling firms in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form of commissions and may also provide certain types of non-cash compensation. The maximum commission payable is 6% of the Purchase Payment. Some selling firms may elect to receive a lower commission when the Purchase Payment is made, along with annual trail commissions up to 1% of Account Value for so long as the Contract remains in effect or as agreed in the selling agreement. We also pay commissions when an Owner elects to begin receiving regular Annuity Payments. (See “ANNUITY PAYMENTS—(THE ANNUITY PERIOD).”) Brighthouse Securities may also provide non-cash compensation items that we may provide jointly with Brighthouse Securities. Non-cash items may include expenses for conference or seminar trips, certain gifts, prizes and awards.</w:t>
      </w:r>
    </w:p>
    <w:p>
      <w:pPr>
        <w:spacing w:after="0" w:line="58"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Ask your financial professional for further information about what payments your financial professional and the selling firm for which he or she works may receive in connection with your purchase of a Contract.</w:t>
      </w:r>
    </w:p>
    <w:p>
      <w:pPr>
        <w:spacing w:after="0" w:line="44" w:lineRule="exact"/>
        <w:rPr>
          <w:sz w:val="20"/>
          <w:szCs w:val="20"/>
          <w:color w:val="auto"/>
        </w:rPr>
      </w:pPr>
    </w:p>
    <w:p>
      <w:pPr>
        <w:jc w:val="both"/>
        <w:ind w:right="3839" w:firstLine="240"/>
        <w:spacing w:after="0" w:line="252" w:lineRule="auto"/>
        <w:rPr>
          <w:sz w:val="20"/>
          <w:szCs w:val="20"/>
          <w:color w:val="auto"/>
        </w:rPr>
      </w:pPr>
      <w:r>
        <w:rPr>
          <w:rFonts w:ascii="Times New Roman" w:cs="Times New Roman" w:eastAsia="Times New Roman" w:hAnsi="Times New Roman"/>
          <w:sz w:val="12"/>
          <w:szCs w:val="12"/>
          <w:b w:val="1"/>
          <w:bCs w:val="1"/>
          <w:color w:val="auto"/>
        </w:rPr>
        <w:t xml:space="preserve">Additional Compensation for Selected Selling Firms.  </w:t>
      </w:r>
      <w:r>
        <w:rPr>
          <w:rFonts w:ascii="Times New Roman" w:cs="Times New Roman" w:eastAsia="Times New Roman" w:hAnsi="Times New Roman"/>
          <w:sz w:val="12"/>
          <w:szCs w:val="12"/>
          <w:color w:val="auto"/>
        </w:rPr>
        <w:t>Brighthouse Securities has entered into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distribution arrangements with certain selected unaffiliated selling firms. Under these arrangements Brighthouse Securities may pay additional compensation to selected selling firms, including marketing allowances, introduction fees, persistency payments, preferred status fees and industry conference fees. Marketing allowances are periodic payments to certain selling firms, the amount of which may be an annual flat fee, or in some cases depends on cumulative periodic (usually quarterly) sales of our insurance contracts (including the Contracts) and may also depend on meeting thresholds in the sale of certain of our insurance contracts (other than the Contracts). They may also include payments we make to cover the cost of marketing or other support services provided for or by registered representatives who may sell our products. Introduction fees are payments to selling firms in connection with the addition of our products to the selling firm’s line of investment products, including expenses relating to establishing the data communications systems necessary for the selling firm to offer, sell and administer our products. Persistency payments are periodic payments based on account values of our insurance contracts (including Account Values of the Contracts) or other persistency standards. Preferred status fees are paid to obtain preferred treatment in selling firms’ marketing programs, which may include marketing services, participation in marketing meetings, listings in data resources and increased access to their financial professionals. Industry conference fees are amounts paid to cover in part the costs associated with sales conferences and educational seminars for selling firms’ financial professionals.</w:t>
      </w:r>
    </w:p>
    <w:p>
      <w:pPr>
        <w:spacing w:after="0" w:line="61"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The additional types of compensation discussed above are not offered to all selling firms. The terms of any particular agreement governing compensation may vary among selling firms and the amounts may be significant. The prospect of receiving, or the receipt of, additional compensation as described above may provide selling firms and/or their financial professionals with an incentive to favor sales of the Contracts over other annuity contracts (or other investments) with respect to which selling firm does not receive additional compensation, or lower levels of additional compensation. You may wish to</w:t>
      </w:r>
    </w:p>
    <w:p>
      <w:pPr>
        <w:spacing w:after="0" w:line="17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72</w:t>
      </w:r>
    </w:p>
    <w:p>
      <w:pPr>
        <w:sectPr>
          <w:pgSz w:w="11900" w:h="16838" w:orient="portrait"/>
          <w:cols w:equalWidth="0" w:num="1">
            <w:col w:w="9359"/>
          </w:cols>
          <w:pgMar w:left="1100" w:top="966" w:right="1440" w:bottom="1440" w:gutter="0" w:footer="0" w:header="0"/>
        </w:sectPr>
      </w:pPr>
    </w:p>
    <w:bookmarkStart w:id="73" w:name="page74"/>
    <w:bookmarkEnd w:id="73"/>
    <w:p>
      <w:pPr>
        <w:jc w:val="both"/>
        <w:ind w:right="383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57395" cy="36830"/>
                    </a:xfrm>
                    <a:prstGeom prst="rect">
                      <a:avLst/>
                    </a:prstGeom>
                    <a:noFill/>
                  </pic:spPr>
                </pic:pic>
              </a:graphicData>
            </a:graphic>
          </wp:anchor>
        </w:drawing>
        <w:t>take such payment arrangements into account when considering and evaluating any recommendation relating to the Contracts. For more information about any such additional compensation arrangements, ask your financial professional.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Wholesaling Firms</w:t>
      </w:r>
    </w:p>
    <w:p>
      <w:pPr>
        <w:spacing w:after="0" w:line="82"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In addition to the distribution arrangements discussed above, Brighthouse Securities has entered into wholesaling agreements with wholesaling firms to provide marketing and training support services to selling firms and the registered representatives of selling firms. These services may include, but not be limited to, training and promotional support for the solicitation, sale and on-going servicing of the Contracts by the selling firms. Brighthouse Securities pays compensation to wholesaling firms in connection with these services.</w:t>
      </w:r>
    </w:p>
    <w:p>
      <w:pPr>
        <w:spacing w:after="0" w:line="19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2"/>
          <w:szCs w:val="12"/>
          <w:b w:val="1"/>
          <w:bCs w:val="1"/>
          <w:color w:val="auto"/>
        </w:rPr>
        <w:t>THE FIXED ACCOUNT</w:t>
      </w:r>
    </w:p>
    <w:p>
      <w:pPr>
        <w:spacing w:after="0" w:line="82"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We may offer our Fixed Account as a funding option. The Fixed Account, if available, guarantees principal and interest during the Fixed Account Term (which will not be less than one (1) year). Interest will be compounded and credited daily to the Fixed Account Value during the Fixed Account Term at an annual effective interest rate declared by us. We guarantee that the annual effective interest rate credited to your Fixed Account Value will not be less than the current Minimum Guaranteed Interest Rate, which will not be less than 1%. Information about the features of the Fixed Account, including (i) its name, (ii) its Fixed Account Term, and (iii) its Minimum Guaranteed Interest Rate, is available in an appendix to this prospectus. See Appendix A – Investment Options Available Under the Contract. Please also refer to your Contract and Appendix E for more information.</w:t>
      </w:r>
    </w:p>
    <w:p>
      <w:pPr>
        <w:spacing w:after="0" w:line="54"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We will declare a new guaranteed interest rate for each subsequent Fixed Account Term, subject to the Minimum Guaranteed Interest Rate. At the Fixed Account Term End Date, the Fixed Account Value will automatically be renewed into the same Fixed Account Term, with the new interest rate, unless otherwise instructed by you during the Transfer Period. If the Fixed Account is not available at the end of the existing Fixed Account Term, these amounts will automatically transfer into the Holding Account at the end of the Fixed Account Term.</w:t>
      </w:r>
    </w:p>
    <w:p>
      <w:pPr>
        <w:spacing w:after="0" w:line="53"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color w:val="auto"/>
        </w:rPr>
        <w:t>There are two ways you may find out the new interest rate for the Fixed Account for a subsequent Fixed Account Term. Thirty (30) days before the current Fixed Account Term expires, we will send you notification, written or electronic depending on your selected preferences, stating your current Fixed Account Term is maturing and how you can obtain the new interest rate for the Fixed Account. You may also access our website at https://www.brighthousefinancial.com/products/rates/ where at least two months of renewal rates for the Rate Crediting Types and the interest rate for the Fixed Account are posted – i.e., for the current month and the following month.</w:t>
      </w:r>
    </w:p>
    <w:p>
      <w:pPr>
        <w:spacing w:after="0" w:line="19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THE HOLDING ACCOUNT</w:t>
      </w:r>
    </w:p>
    <w:p>
      <w:pPr>
        <w:spacing w:after="0" w:line="82"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There are certain circumstances where we will transfer amounts to the Holding Account. Please refer to your Contract and Appendix F for more information.</w:t>
      </w:r>
    </w:p>
    <w:p>
      <w:pPr>
        <w:spacing w:after="0" w:line="17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2"/>
          <w:szCs w:val="12"/>
          <w:b w:val="1"/>
          <w:bCs w:val="1"/>
          <w:color w:val="auto"/>
        </w:rPr>
        <w:t>RESTRICTIONS ON FINANCIAL TRANSACTIONS</w:t>
      </w:r>
    </w:p>
    <w:p>
      <w:pPr>
        <w:spacing w:after="0" w:line="82"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Federal laws designed to counter terrorism and prevent money laundering might, in certain circumstances, require us to block an Owner’s ability to make certain transactions and thereby refuse to accept any request for transfers, withdrawals, Surrenders, or death benefits, until instructions are received from the appropriate regulator. We may also be required to provide additional information about you and your Contract to government regulators.</w:t>
      </w:r>
    </w:p>
    <w:p>
      <w:pPr>
        <w:spacing w:after="0" w:line="19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b w:val="1"/>
          <w:bCs w:val="1"/>
          <w:color w:val="auto"/>
        </w:rPr>
        <w:t>REQUESTS AND ELECTIONS</w:t>
      </w:r>
    </w:p>
    <w:p>
      <w:pPr>
        <w:spacing w:after="0" w:line="82"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We will treat your request for a Contract transaction, or your submission of the Purchase Payment, as received by us if we receive a request conforming to our administrative procedures or the Purchase Payment at our Annuity Service Office on any Business Day before 4:00 PM Eastern Standard Time or when the NYSE closes, whichever is earlier. We will treat your submission of the Purchase Payment as received by us if we receive it at our Annuity Service Office (or a designee receives it in accordance with the designee’s administrative procedures) on any Business Day before 4:00 PM Eastern Standard Time or when the NYSE closes, whichever is earlier. If we receive the request, or if we (or our designee) receive the Purchase Payment, on any Business Day on or after 4:00 PM Eastern Standard Time or when the NYSE closes, whichever is earlier, then the request or payment will be treated as received on the next day. If you send your Purchase Payment or transaction requests</w:t>
      </w:r>
    </w:p>
    <w:p>
      <w:pPr>
        <w:spacing w:after="0" w:line="180"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73</w:t>
      </w:r>
    </w:p>
    <w:p>
      <w:pPr>
        <w:sectPr>
          <w:pgSz w:w="11900" w:h="16838" w:orient="portrait"/>
          <w:cols w:equalWidth="0" w:num="1">
            <w:col w:w="9359"/>
          </w:cols>
          <w:pgMar w:left="1100" w:top="966" w:right="1440" w:bottom="1440" w:gutter="0" w:footer="0" w:header="0"/>
        </w:sectPr>
      </w:pPr>
    </w:p>
    <w:bookmarkStart w:id="74" w:name="page75"/>
    <w:bookmarkEnd w:id="74"/>
    <w:p>
      <w:pPr>
        <w:jc w:val="both"/>
        <w:ind w:right="383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557395" cy="36830"/>
                    </a:xfrm>
                    <a:prstGeom prst="rect">
                      <a:avLst/>
                    </a:prstGeom>
                    <a:noFill/>
                  </pic:spPr>
                </pic:pic>
              </a:graphicData>
            </a:graphic>
          </wp:anchor>
        </w:drawing>
        <w:t>to an address other than the one we have designated for receipt of such Purchase Payment or requests, as indicated in the chart below, we may return the Purchase Payment to you, or there may be a delay in applying the Purchase Payment or processing the transaction.</w:t>
      </w:r>
    </w:p>
    <w:p>
      <w:pPr>
        <w:spacing w:after="0" w:line="47"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color w:val="auto"/>
        </w:rPr>
        <w:t>Specific to the Performance Lock, all notifications to or other communication with us concerning the Performance Lock--including, to submit a Notice of election to lock the Interim Value for your Shield Option or to transfer the Performance Lock Value—may be made by you or through your financial professional. Note that any Notice of your election to transfer Performance Lock Value after Performance Lock takes effect must be received prior to or on any Contract Anniversary by 4 PM Eastern Standard Time or when the NYSE closes, whichever is earlier. Please direct your requests and elections under your Contract, and inquiries about your Contract, to us as directed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04565" cy="2801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04565" cy="280162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Applications when purchasing the Contract, including</w:t>
            </w: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P.O. Box 4365</w:t>
            </w:r>
          </w:p>
        </w:tc>
      </w:tr>
      <w:tr>
        <w:trPr>
          <w:trHeight w:val="155"/>
        </w:trPr>
        <w:tc>
          <w:tcPr>
            <w:tcW w:w="2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initial Purchase Payment</w:t>
            </w: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Clinton, IA 52733-4365</w:t>
            </w:r>
          </w:p>
        </w:tc>
      </w:tr>
      <w:tr>
        <w:trPr>
          <w:trHeight w:val="151"/>
        </w:trPr>
        <w:tc>
          <w:tcPr>
            <w:tcW w:w="2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Fax: (877) 245-2964</w:t>
            </w:r>
          </w:p>
        </w:tc>
      </w:tr>
      <w:tr>
        <w:trPr>
          <w:trHeight w:val="153"/>
        </w:trPr>
        <w:tc>
          <w:tcPr>
            <w:tcW w:w="2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 </w:t>
            </w:r>
          </w:p>
        </w:tc>
      </w:tr>
      <w:tr>
        <w:trPr>
          <w:trHeight w:val="155"/>
        </w:trPr>
        <w:tc>
          <w:tcPr>
            <w:tcW w:w="2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Or through your financial professional</w:t>
            </w:r>
          </w:p>
        </w:tc>
      </w:tr>
      <w:tr>
        <w:trPr>
          <w:trHeight w:val="36"/>
        </w:trPr>
        <w:tc>
          <w:tcPr>
            <w:tcW w:w="2800" w:type="dxa"/>
            <w:vAlign w:val="bottom"/>
            <w:tcBorders>
              <w:bottom w:val="single" w:sz="8" w:color="auto"/>
            </w:tcBorders>
            <w:gridSpan w:val="2"/>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r>
      <w:tr>
        <w:trPr>
          <w:trHeight w:val="176"/>
        </w:trPr>
        <w:tc>
          <w:tcPr>
            <w:tcW w:w="2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Death Claims</w:t>
            </w: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P.O. Box 4330</w:t>
            </w:r>
          </w:p>
        </w:tc>
      </w:tr>
      <w:tr>
        <w:trPr>
          <w:trHeight w:val="155"/>
        </w:trPr>
        <w:tc>
          <w:tcPr>
            <w:tcW w:w="2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Clinton, IA 52733-4330</w:t>
            </w:r>
          </w:p>
        </w:tc>
      </w:tr>
      <w:tr>
        <w:trPr>
          <w:trHeight w:val="162"/>
        </w:trPr>
        <w:tc>
          <w:tcPr>
            <w:tcW w:w="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Fax: (877) 245-8163</w:t>
            </w:r>
          </w:p>
        </w:tc>
      </w:tr>
      <w:tr>
        <w:trPr>
          <w:trHeight w:val="36"/>
        </w:trPr>
        <w:tc>
          <w:tcPr>
            <w:tcW w:w="2800" w:type="dxa"/>
            <w:vAlign w:val="bottom"/>
            <w:tcBorders>
              <w:bottom w:val="single" w:sz="8" w:color="auto"/>
            </w:tcBorders>
            <w:gridSpan w:val="2"/>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r>
      <w:tr>
        <w:trPr>
          <w:trHeight w:val="169"/>
        </w:trPr>
        <w:tc>
          <w:tcPr>
            <w:tcW w:w="2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Annuity Payments</w:t>
            </w:r>
          </w:p>
        </w:tc>
        <w:tc>
          <w:tcPr>
            <w:tcW w:w="2720" w:type="dxa"/>
            <w:vAlign w:val="bottom"/>
          </w:tcPr>
          <w:p>
            <w:pPr>
              <w:spacing w:after="0"/>
              <w:rPr>
                <w:sz w:val="14"/>
                <w:szCs w:val="14"/>
                <w:color w:val="auto"/>
              </w:rPr>
            </w:pPr>
          </w:p>
        </w:tc>
      </w:tr>
      <w:tr>
        <w:trPr>
          <w:trHeight w:val="241"/>
        </w:trPr>
        <w:tc>
          <w:tcPr>
            <w:tcW w:w="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25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Requests to receive regular Annuity Payments</w:t>
            </w: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P.O. Box 4365</w:t>
            </w:r>
          </w:p>
        </w:tc>
      </w:tr>
      <w:tr>
        <w:trPr>
          <w:trHeight w:val="144"/>
        </w:trPr>
        <w:tc>
          <w:tcPr>
            <w:tcW w:w="2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Clinton, IA 52733-4365</w:t>
            </w:r>
          </w:p>
        </w:tc>
      </w:tr>
      <w:tr>
        <w:trPr>
          <w:trHeight w:val="144"/>
        </w:trPr>
        <w:tc>
          <w:tcPr>
            <w:tcW w:w="2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Telephone: (800) 882-1292</w:t>
            </w:r>
          </w:p>
        </w:tc>
      </w:tr>
      <w:tr>
        <w:trPr>
          <w:trHeight w:val="155"/>
        </w:trPr>
        <w:tc>
          <w:tcPr>
            <w:tcW w:w="2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Fax: (877) 246-8424</w:t>
            </w:r>
          </w:p>
        </w:tc>
      </w:tr>
      <w:tr>
        <w:trPr>
          <w:trHeight w:val="259"/>
        </w:trPr>
        <w:tc>
          <w:tcPr>
            <w:tcW w:w="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25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Death Claims for Contracts receiving Annuity</w:t>
            </w: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P.O. Box 4364</w:t>
            </w:r>
          </w:p>
        </w:tc>
      </w:tr>
      <w:tr>
        <w:trPr>
          <w:trHeight w:val="155"/>
        </w:trPr>
        <w:tc>
          <w:tcPr>
            <w:tcW w:w="280" w:type="dxa"/>
            <w:vAlign w:val="bottom"/>
          </w:tcPr>
          <w:p>
            <w:pPr>
              <w:spacing w:after="0"/>
              <w:rPr>
                <w:sz w:val="13"/>
                <w:szCs w:val="13"/>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Payments</w:t>
            </w: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Clinton, IA 52733-4364</w:t>
            </w:r>
          </w:p>
        </w:tc>
      </w:tr>
      <w:tr>
        <w:trPr>
          <w:trHeight w:val="160"/>
        </w:trPr>
        <w:tc>
          <w:tcPr>
            <w:tcW w:w="2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Telephone: (800) 882-1292</w:t>
            </w:r>
          </w:p>
        </w:tc>
      </w:tr>
      <w:tr>
        <w:trPr>
          <w:trHeight w:val="155"/>
        </w:trPr>
        <w:tc>
          <w:tcPr>
            <w:tcW w:w="2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Fax: (877) 245-8163</w:t>
            </w:r>
          </w:p>
        </w:tc>
      </w:tr>
      <w:tr>
        <w:trPr>
          <w:trHeight w:val="36"/>
        </w:trPr>
        <w:tc>
          <w:tcPr>
            <w:tcW w:w="2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r>
      <w:tr>
        <w:trPr>
          <w:trHeight w:val="176"/>
        </w:trPr>
        <w:tc>
          <w:tcPr>
            <w:tcW w:w="2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25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General requests and elections for Contracts</w:t>
            </w: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P.O. Box 4363</w:t>
            </w:r>
          </w:p>
        </w:tc>
      </w:tr>
      <w:tr>
        <w:trPr>
          <w:trHeight w:val="155"/>
        </w:trPr>
        <w:tc>
          <w:tcPr>
            <w:tcW w:w="280" w:type="dxa"/>
            <w:vAlign w:val="bottom"/>
          </w:tcPr>
          <w:p>
            <w:pPr>
              <w:spacing w:after="0"/>
              <w:rPr>
                <w:sz w:val="13"/>
                <w:szCs w:val="13"/>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receiving Annuity Payments</w:t>
            </w: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Clinton, IA 52733-4363</w:t>
            </w:r>
          </w:p>
        </w:tc>
      </w:tr>
      <w:tr>
        <w:trPr>
          <w:trHeight w:val="160"/>
        </w:trPr>
        <w:tc>
          <w:tcPr>
            <w:tcW w:w="2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Telephone: (800) 882-1292</w:t>
            </w:r>
          </w:p>
        </w:tc>
      </w:tr>
      <w:tr>
        <w:trPr>
          <w:trHeight w:val="155"/>
        </w:trPr>
        <w:tc>
          <w:tcPr>
            <w:tcW w:w="2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Fax: (877) 246-8424</w:t>
            </w:r>
          </w:p>
        </w:tc>
      </w:tr>
      <w:tr>
        <w:trPr>
          <w:trHeight w:val="36"/>
        </w:trPr>
        <w:tc>
          <w:tcPr>
            <w:tcW w:w="2800" w:type="dxa"/>
            <w:vAlign w:val="bottom"/>
            <w:tcBorders>
              <w:bottom w:val="single" w:sz="8" w:color="auto"/>
            </w:tcBorders>
            <w:gridSpan w:val="2"/>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r>
      <w:tr>
        <w:trPr>
          <w:trHeight w:val="158"/>
        </w:trPr>
        <w:tc>
          <w:tcPr>
            <w:tcW w:w="28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All other requests and elections and general inquiries</w:t>
            </w: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P.O. Box 4301</w:t>
            </w:r>
          </w:p>
        </w:tc>
      </w:tr>
      <w:tr>
        <w:trPr>
          <w:trHeight w:val="155"/>
        </w:trPr>
        <w:tc>
          <w:tcPr>
            <w:tcW w:w="2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7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Clinton, IA 52733-4301</w:t>
            </w:r>
          </w:p>
        </w:tc>
      </w:tr>
    </w:tbl>
    <w:p>
      <w:pPr>
        <w:ind w:left="2960"/>
        <w:spacing w:after="0"/>
        <w:rPr>
          <w:sz w:val="20"/>
          <w:szCs w:val="20"/>
          <w:color w:val="auto"/>
        </w:rPr>
      </w:pPr>
      <w:r>
        <w:rPr>
          <w:rFonts w:ascii="Times New Roman" w:cs="Times New Roman" w:eastAsia="Times New Roman" w:hAnsi="Times New Roman"/>
          <w:sz w:val="12"/>
          <w:szCs w:val="12"/>
          <w:color w:val="auto"/>
        </w:rPr>
        <w:t>Telephone: (888) 243-1932</w:t>
      </w:r>
    </w:p>
    <w:p>
      <w:pPr>
        <w:spacing w:after="0" w:line="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2"/>
          <w:szCs w:val="12"/>
          <w:color w:val="auto"/>
        </w:rPr>
        <w:t>Fax: (877) 246-8424</w:t>
      </w:r>
    </w:p>
    <w:p>
      <w:pPr>
        <w:spacing w:after="0" w:line="112"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Some of the requests for service that may be made by telephone or Internet (www.brighthousefinancial.com) include transfers of your Account Value into Shield Option(s) or the Fixed Account and requests for a transaction or other notification related to the Performance Lock. We may from time to time permit requests for other types of transactions to be made by telephone or Internet. All transaction requests must be in a form satisfactory to us. Contact us for further information. Some selling firms may restrict the ability of their financial professionals to convey transaction requests by telephone or Internet on your behalf.</w:t>
      </w:r>
    </w:p>
    <w:p>
      <w:pPr>
        <w:spacing w:after="0" w:line="53"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We are not a fiduciary and do not provide investment advice or make recommendations regarding insurance or investment products. Ask your financial professional for guidance regarding any requests or elections and for information about your particular investment needs. Please bear in mind that your financial professional, or any financial firm or financial professional with whom you consult for advice, acts on your behalf, not ours. We are not party to any agreement between you and your financial professional. We do not recommend and are not responsible for any securities transactions or investment strategies involving securities.</w:t>
      </w:r>
    </w:p>
    <w:p>
      <w:pPr>
        <w:spacing w:after="0" w:line="53"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A request or transaction generally is considered in Good Order if it complies with our administrative procedures and the required information is complete and accurate. A request or transaction may be rejected or delayed if not in Good Order. If you have any questions, you should contact us or your financial professional before submitting the form or request.</w:t>
      </w:r>
    </w:p>
    <w:p>
      <w:pPr>
        <w:spacing w:after="0" w:line="17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74</w:t>
      </w:r>
    </w:p>
    <w:p>
      <w:pPr>
        <w:sectPr>
          <w:pgSz w:w="11900" w:h="16838" w:orient="portrait"/>
          <w:cols w:equalWidth="0" w:num="1">
            <w:col w:w="9359"/>
          </w:cols>
          <w:pgMar w:left="1100" w:top="966" w:right="1440" w:bottom="1440" w:gutter="0" w:footer="0" w:header="0"/>
        </w:sectPr>
      </w:pPr>
    </w:p>
    <w:bookmarkStart w:id="75" w:name="page76"/>
    <w:bookmarkEnd w:id="75"/>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57395" cy="36830"/>
                    </a:xfrm>
                    <a:prstGeom prst="rect">
                      <a:avLst/>
                    </a:prstGeom>
                    <a:noFill/>
                  </pic:spPr>
                </pic:pic>
              </a:graphicData>
            </a:graphic>
          </wp:anchor>
        </w:drawing>
        <w:t>We will use reasonable procedures such as requiring certain identifying information, recording the telephone instructions, and providing written confirmation of the transaction, in order to confirm that instructions communicated by telephone, fax, Internet or other means are genuine. Any telephone, fax or Internet instructions reasonably believed by us to be genuine will be your responsibility, including losses arising from any errors in the communication of instructions. As a result of this policy, you will bear the risk of loss. If we do not employ reasonable procedures to confirm that instructions communicated by telephone, fax or Internet are genuine, we may be liable for any losses due to unauthorized or fraudulent transactions. All other requests and elections under your Contract must be in writing signed by the proper party, must include any necessary documentation and must be received at our Annuity Service Office to be effective. If acceptable to us, requests or elections relating to Beneficiaries and Ownership will take effect as of the date signed unless we have already acted in reliance on the prior status. We are not responsible for the validity of any written request or action.</w:t>
      </w:r>
    </w:p>
    <w:p>
      <w:pPr>
        <w:spacing w:after="0" w:line="56"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Telephone and computer systems may not always be available. Any telephone or computer system, whether it is yours, your service provider’s, your financial professional’s, or ours, can experience outages or slowdowns for a variety of reasons. These outages or slowdowns may delay or prevent our processing of your request. Although we have taken precautions to help our systems handle heavy use, we cannot promise complete reliability under all circumstances. If you experience technical difficulties or problems, you should make your transaction request in writing to our Annuity Service Office.</w:t>
      </w:r>
    </w:p>
    <w:p>
      <w:pPr>
        <w:spacing w:after="0" w:line="19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2"/>
          <w:szCs w:val="12"/>
          <w:b w:val="1"/>
          <w:bCs w:val="1"/>
          <w:color w:val="auto"/>
        </w:rPr>
        <w:t>CONFIRMING TRANSACTIONS</w:t>
      </w:r>
    </w:p>
    <w:p>
      <w:pPr>
        <w:spacing w:after="0" w:line="82" w:lineRule="exact"/>
        <w:rPr>
          <w:sz w:val="20"/>
          <w:szCs w:val="20"/>
          <w:color w:val="auto"/>
        </w:rPr>
      </w:pPr>
    </w:p>
    <w:p>
      <w:pPr>
        <w:jc w:val="both"/>
        <w:ind w:right="3839" w:firstLine="240"/>
        <w:spacing w:after="0" w:line="279" w:lineRule="auto"/>
        <w:rPr>
          <w:sz w:val="20"/>
          <w:szCs w:val="20"/>
          <w:color w:val="auto"/>
        </w:rPr>
      </w:pPr>
      <w:r>
        <w:rPr>
          <w:rFonts w:ascii="Times New Roman" w:cs="Times New Roman" w:eastAsia="Times New Roman" w:hAnsi="Times New Roman"/>
          <w:sz w:val="12"/>
          <w:szCs w:val="12"/>
          <w:color w:val="auto"/>
        </w:rPr>
        <w:t>We will send out written statements confirming that a transaction was recently completed. Unless you inform us of any errors within 60 days of receipt, we will consider these communications to be accurate and complete.</w:t>
      </w:r>
    </w:p>
    <w:p>
      <w:pPr>
        <w:spacing w:after="0" w:line="1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LEGAL PROCEEDINGS</w:t>
      </w:r>
    </w:p>
    <w:p>
      <w:pPr>
        <w:spacing w:after="0" w:line="82"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In the ordinary course of business, BLNY, similar to other life insurance companies, is involved in lawsuits (including class action lawsuits), arbitrations and other legal proceedings. Also, from time to time, state and Federal regulators or other officials conduct formal and informal examinations or undertake other actions dealing with various aspects of the financial services and insurance industries. In some legal proceedings involving insurers, substantial damages have been sought and/or material settlement payments have been made.</w:t>
      </w:r>
    </w:p>
    <w:p>
      <w:pPr>
        <w:spacing w:after="0" w:line="53"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It is not possible to predict with certainty the ultimate outcome of any pending legal proceeding or regulatory action. However, BLNY does not believe any such action or proceeding will have a material adverse effect upon the ability of Brighthouse Securities to perform its contract with BLNY or of BLNY to meet its obligations under the contracts.</w:t>
      </w:r>
    </w:p>
    <w:p>
      <w:pPr>
        <w:spacing w:after="0" w:line="190"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t>EXPERTS</w:t>
      </w:r>
    </w:p>
    <w:p>
      <w:pPr>
        <w:spacing w:after="0" w:line="82"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Legal matters in connection with Federal laws and regulations affecting the issue and sale of the Contracts described in this prospectus and the organization of BLNY, its authority to issue such Contracts under New York law and the validity of the forms of the Contracts under New York law have been passed on by legal counsel for BLNY.</w:t>
      </w:r>
    </w:p>
    <w:p>
      <w:pPr>
        <w:spacing w:after="0" w:line="190"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t>INDEPENDENT REGISTERED PUBLIC ACCOUNTING FIRM</w:t>
      </w:r>
    </w:p>
    <w:p>
      <w:pPr>
        <w:spacing w:after="0" w:line="82" w:lineRule="exact"/>
        <w:rPr>
          <w:sz w:val="20"/>
          <w:szCs w:val="20"/>
          <w:color w:val="auto"/>
        </w:rPr>
      </w:pPr>
    </w:p>
    <w:p>
      <w:pPr>
        <w:jc w:val="center"/>
        <w:ind w:right="3879"/>
        <w:spacing w:after="0"/>
        <w:rPr>
          <w:sz w:val="20"/>
          <w:szCs w:val="20"/>
          <w:color w:val="auto"/>
        </w:rPr>
      </w:pPr>
      <w:r>
        <w:rPr>
          <w:rFonts w:ascii="Times New Roman" w:cs="Times New Roman" w:eastAsia="Times New Roman" w:hAnsi="Times New Roman"/>
          <w:sz w:val="12"/>
          <w:szCs w:val="12"/>
          <w:color w:val="auto"/>
        </w:rPr>
        <w:t>The financial statements of Brighthouse Life Insurance Company of NY have been included in the SAI.</w:t>
      </w:r>
    </w:p>
    <w:p>
      <w:pPr>
        <w:spacing w:after="0" w:line="21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ELECTRONIC DELIVERY</w:t>
      </w:r>
    </w:p>
    <w:p>
      <w:pPr>
        <w:spacing w:after="0" w:line="82"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As Owner you may elect to receive electronic delivery of current prospectuses related to the Contract and other Contract related documents. Contact us at our website at www.brighthousefinancial.com for more information and to enroll.</w:t>
      </w:r>
    </w:p>
    <w:p>
      <w:pPr>
        <w:spacing w:after="0" w:line="18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2"/>
          <w:szCs w:val="12"/>
          <w:b w:val="1"/>
          <w:bCs w:val="1"/>
          <w:color w:val="auto"/>
        </w:rPr>
        <w:t>AMENDMENT OF THE CONTRACT</w:t>
      </w:r>
    </w:p>
    <w:p>
      <w:pPr>
        <w:spacing w:after="0" w:line="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 reserve the right to amend the Contracts to comply with applicable Federal or state laws or regulations.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will notify you in writing of any such amendments.</w:t>
      </w:r>
    </w:p>
    <w:p>
      <w:pPr>
        <w:spacing w:after="0" w:line="33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75</w:t>
      </w:r>
    </w:p>
    <w:p>
      <w:pPr>
        <w:sectPr>
          <w:pgSz w:w="11900" w:h="16838" w:orient="portrait"/>
          <w:cols w:equalWidth="0" w:num="1">
            <w:col w:w="9359"/>
          </w:cols>
          <w:pgMar w:left="1100" w:top="966" w:right="1440" w:bottom="1440" w:gutter="0" w:footer="0" w:header="0"/>
        </w:sectPr>
      </w:pPr>
    </w:p>
    <w:bookmarkStart w:id="76" w:name="page77"/>
    <w:bookmarkEnd w:id="76"/>
    <w:p>
      <w:pPr>
        <w:ind w:left="228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57395" cy="36830"/>
                    </a:xfrm>
                    <a:prstGeom prst="rect">
                      <a:avLst/>
                    </a:prstGeom>
                    <a:noFill/>
                  </pic:spPr>
                </pic:pic>
              </a:graphicData>
            </a:graphic>
          </wp:anchor>
        </w:drawing>
        <w:t>MISSTATEMENT</w:t>
      </w:r>
    </w:p>
    <w:p>
      <w:pPr>
        <w:spacing w:after="0" w:line="82"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We may require proof of the age or sex (where permitted) of the Annuitant, Owner and/or the Beneficiary before making any payments under the Contract that are measured by the Annuitant’s, Owner’s or Beneficiary’s life. If the age or sex of the measuring life has been misstated, the amount payable will be the amount that would have been provided at the correct age and sex.</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2"/>
          <w:szCs w:val="12"/>
          <w:b w:val="1"/>
          <w:bCs w:val="1"/>
          <w:color w:val="auto"/>
        </w:rPr>
        <w:t>STATUS PURSUANT TO SECURITIES EXCHANGE ACT OF 1934</w:t>
      </w:r>
    </w:p>
    <w:p>
      <w:pPr>
        <w:spacing w:after="0" w:line="82" w:lineRule="exact"/>
        <w:rPr>
          <w:sz w:val="20"/>
          <w:szCs w:val="20"/>
          <w:color w:val="auto"/>
        </w:rPr>
      </w:pPr>
    </w:p>
    <w:p>
      <w:pPr>
        <w:jc w:val="both"/>
        <w:ind w:right="3859" w:firstLine="240"/>
        <w:spacing w:after="0" w:line="279" w:lineRule="auto"/>
        <w:rPr>
          <w:sz w:val="20"/>
          <w:szCs w:val="20"/>
          <w:color w:val="auto"/>
        </w:rPr>
      </w:pPr>
      <w:r>
        <w:rPr>
          <w:rFonts w:ascii="Times New Roman" w:cs="Times New Roman" w:eastAsia="Times New Roman" w:hAnsi="Times New Roman"/>
          <w:sz w:val="12"/>
          <w:szCs w:val="12"/>
          <w:color w:val="auto"/>
        </w:rPr>
        <w:t>As of the date of this prospectus, BLNY relies on the exemptions provided by Rule 12h-7 under the Securities Act of 1934 from the requirement to file reports pursuant to Section 15(d) of that Act.</w:t>
      </w:r>
    </w:p>
    <w:p>
      <w:pPr>
        <w:spacing w:after="0" w:line="188" w:lineRule="exact"/>
        <w:rPr>
          <w:sz w:val="20"/>
          <w:szCs w:val="20"/>
          <w:color w:val="auto"/>
        </w:rPr>
      </w:pPr>
    </w:p>
    <w:p>
      <w:pPr>
        <w:jc w:val="center"/>
        <w:ind w:right="3879"/>
        <w:spacing w:after="0"/>
        <w:rPr>
          <w:sz w:val="20"/>
          <w:szCs w:val="20"/>
          <w:color w:val="auto"/>
        </w:rPr>
      </w:pPr>
      <w:r>
        <w:rPr>
          <w:rFonts w:ascii="Times New Roman" w:cs="Times New Roman" w:eastAsia="Times New Roman" w:hAnsi="Times New Roman"/>
          <w:sz w:val="12"/>
          <w:szCs w:val="12"/>
          <w:b w:val="1"/>
          <w:bCs w:val="1"/>
          <w:color w:val="auto"/>
        </w:rPr>
        <w:t>DISCLOSURE OF COMMISSION POSITION ON INDEMNIFICATION</w:t>
      </w:r>
    </w:p>
    <w:p>
      <w:pPr>
        <w:spacing w:after="0" w:line="21"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t>FOR SECURITIES ACT LIABILITIES</w:t>
      </w:r>
    </w:p>
    <w:p>
      <w:pPr>
        <w:spacing w:after="0" w:line="67"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Pursuant to applicable provisions of BLNY’s by-laws or internal corporate policies adopted by BLNY or its ultimate parent, the directors, officers and other controlling persons of BLNY and of BLNY’s affiliate and principal underwriter, Brighthouse Securities, who are made or threatened to be made a party to an action or proceeding, may be eligible to obtain indemnification against judgments, fines, amounts paid in settlement and reasonable expenses, including attorneys’ fees, incurred as a result of such action or proceeding. Under the principal underwriting agreement between BLNY and Brighthouse Securities, the parties have agreed to indemnify each other against certain liabilities and expenses from legal proceedings arising out of Brighthouse Securities’ distribution of the Contracts.</w:t>
      </w:r>
    </w:p>
    <w:p>
      <w:pPr>
        <w:spacing w:after="0" w:line="56"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Insofar as indemnification for liabilities arising under the Securities Act of 1933 may be permitted to directors, officers or persons controlling BLNY pursuant to the foregoing provisions, BLNY has been informed that in the opinion of the Securities and Exchange Commission such indemnification is against public policy as expressed in the Securities Act of 1933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2"/>
          <w:szCs w:val="12"/>
          <w:color w:val="auto"/>
        </w:rPr>
        <w:t>76</w:t>
      </w:r>
    </w:p>
    <w:p>
      <w:pPr>
        <w:sectPr>
          <w:pgSz w:w="11900" w:h="16838" w:orient="portrait"/>
          <w:cols w:equalWidth="0" w:num="1">
            <w:col w:w="9359"/>
          </w:cols>
          <w:pgMar w:left="1100" w:top="962" w:right="1440" w:bottom="1440" w:gutter="0" w:footer="0" w:header="0"/>
        </w:sectPr>
      </w:pPr>
    </w:p>
    <w:bookmarkStart w:id="77" w:name="page78"/>
    <w:bookmarkEnd w:id="77"/>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57395" cy="36830"/>
                    </a:xfrm>
                    <a:prstGeom prst="rect">
                      <a:avLst/>
                    </a:prstGeom>
                    <a:noFill/>
                  </pic:spPr>
                </pic:pic>
              </a:graphicData>
            </a:graphic>
          </wp:anchor>
        </w:drawing>
        <w:t>APPENDIX A</w:t>
      </w:r>
    </w:p>
    <w:p>
      <w:pPr>
        <w:spacing w:after="0" w:line="87"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t>INVESTMENT OPTIONS AVAILABLE UNDER THE CONTRACT</w:t>
      </w:r>
    </w:p>
    <w:p>
      <w:pPr>
        <w:spacing w:after="0" w:line="82"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The following is a list of Shield Options currently available under the Contract. The availability of Allocation Options may vary depending on the selling firm through which your Contract is sold. See Appendix G – Financial Intermediary Variations. We may change the features of the Shield Options listed below (including the Index and the current limits on Index gains and losses), offer new Shield Options, and terminate existing Shield Options. We will provide you with written notice before making any changes other than changes to current limits on Index gains. Information about current limits on Index gains is available at https://www.brighthousefinancial.com/products/rates/. See “SHIELD OPTIONS,” “SHIELD RATES,” and “RATE CREDITING TYPES” sections in the prospectus for more information.</w:t>
      </w:r>
    </w:p>
    <w:p>
      <w:pPr>
        <w:spacing w:after="0" w:line="61" w:lineRule="exact"/>
        <w:rPr>
          <w:sz w:val="20"/>
          <w:szCs w:val="20"/>
          <w:color w:val="auto"/>
        </w:rPr>
      </w:pPr>
    </w:p>
    <w:p>
      <w:pPr>
        <w:jc w:val="both"/>
        <w:ind w:right="3839" w:firstLine="240"/>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Note: If amounts are removed from a Shield Option before the end of a Term, we will apply an Interim Value calculation. This Interim Value calculation may result in a significant reduction in your Account Value that could exceed any protection from Index loss that would be in place if you held the option until the end of the Term. </w:t>
      </w:r>
      <w:r>
        <w:rPr>
          <w:rFonts w:ascii="Times New Roman" w:cs="Times New Roman" w:eastAsia="Times New Roman" w:hAnsi="Times New Roman"/>
          <w:sz w:val="12"/>
          <w:szCs w:val="12"/>
          <w:color w:val="auto"/>
        </w:rPr>
        <w:t>See “Interim Value Calculation” under “CHARGES, FEES, AND ADJUSTMENTS”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“WITHDRAWAL PROVISIONS” section in the prospectus for more information.</w:t>
      </w:r>
    </w:p>
    <w:p>
      <w:pPr>
        <w:spacing w:after="0" w:line="73"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1220" w:type="dxa"/>
            <w:vAlign w:val="bottom"/>
            <w:tcBorders>
              <w:top w:val="single" w:sz="8" w:color="auto"/>
              <w:left w:val="single" w:sz="8" w:color="auto"/>
              <w:right w:val="single" w:sz="8" w:color="auto"/>
            </w:tcBorders>
            <w:shd w:val="clear" w:color="auto" w:fill="CCCCCC"/>
          </w:tcPr>
          <w:p>
            <w:pPr>
              <w:spacing w:after="0"/>
              <w:rPr>
                <w:sz w:val="14"/>
                <w:szCs w:val="14"/>
                <w:color w:val="auto"/>
              </w:rPr>
            </w:pPr>
          </w:p>
        </w:tc>
        <w:tc>
          <w:tcPr>
            <w:tcW w:w="880" w:type="dxa"/>
            <w:vAlign w:val="bottom"/>
            <w:tcBorders>
              <w:top w:val="single" w:sz="8" w:color="auto"/>
              <w:right w:val="single" w:sz="8" w:color="auto"/>
            </w:tcBorders>
            <w:shd w:val="clear" w:color="auto" w:fill="CCCCCC"/>
          </w:tcPr>
          <w:p>
            <w:pPr>
              <w:spacing w:after="0"/>
              <w:rPr>
                <w:sz w:val="14"/>
                <w:szCs w:val="14"/>
                <w:color w:val="auto"/>
              </w:rPr>
            </w:pPr>
          </w:p>
        </w:tc>
        <w:tc>
          <w:tcPr>
            <w:tcW w:w="480" w:type="dxa"/>
            <w:vAlign w:val="bottom"/>
            <w:tcBorders>
              <w:top w:val="single" w:sz="8" w:color="auto"/>
              <w:right w:val="single" w:sz="8" w:color="auto"/>
            </w:tcBorders>
            <w:shd w:val="clear" w:color="auto" w:fill="CCCCCC"/>
          </w:tcPr>
          <w:p>
            <w:pPr>
              <w:spacing w:after="0"/>
              <w:rPr>
                <w:sz w:val="14"/>
                <w:szCs w:val="14"/>
                <w:color w:val="auto"/>
              </w:rPr>
            </w:pPr>
          </w:p>
        </w:tc>
        <w:tc>
          <w:tcPr>
            <w:tcW w:w="960" w:type="dxa"/>
            <w:vAlign w:val="bottom"/>
            <w:tcBorders>
              <w:top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2"/>
                <w:szCs w:val="12"/>
                <w:b w:val="1"/>
                <w:bCs w:val="1"/>
                <w:color w:val="auto"/>
                <w:w w:val="99"/>
              </w:rPr>
              <w:t>Current Shield</w:t>
            </w:r>
          </w:p>
        </w:tc>
        <w:tc>
          <w:tcPr>
            <w:tcW w:w="460" w:type="dxa"/>
            <w:vAlign w:val="bottom"/>
            <w:tcBorders>
              <w:top w:val="single" w:sz="8" w:color="auto"/>
            </w:tcBorders>
            <w:shd w:val="clear" w:color="auto" w:fill="CCCCCC"/>
          </w:tcPr>
          <w:p>
            <w:pPr>
              <w:spacing w:after="0"/>
              <w:rPr>
                <w:sz w:val="14"/>
                <w:szCs w:val="14"/>
                <w:color w:val="auto"/>
              </w:rPr>
            </w:pPr>
          </w:p>
        </w:tc>
        <w:tc>
          <w:tcPr>
            <w:tcW w:w="860" w:type="dxa"/>
            <w:vAlign w:val="bottom"/>
            <w:tcBorders>
              <w:top w:val="single" w:sz="8" w:color="auto"/>
              <w:right w:val="single" w:sz="8" w:color="CCCCCC"/>
            </w:tcBorders>
            <w:shd w:val="clear" w:color="auto" w:fill="CCCCCC"/>
          </w:tcPr>
          <w:p>
            <w:pPr>
              <w:spacing w:after="0"/>
              <w:rPr>
                <w:sz w:val="14"/>
                <w:szCs w:val="14"/>
                <w:color w:val="auto"/>
              </w:rPr>
            </w:pPr>
          </w:p>
        </w:tc>
        <w:tc>
          <w:tcPr>
            <w:tcW w:w="660" w:type="dxa"/>
            <w:vAlign w:val="bottom"/>
            <w:tcBorders>
              <w:top w:val="single" w:sz="8" w:color="auto"/>
              <w:right w:val="single" w:sz="8" w:color="auto"/>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20" w:type="dxa"/>
            <w:vAlign w:val="bottom"/>
            <w:tcBorders>
              <w:left w:val="single" w:sz="8" w:color="auto"/>
              <w:right w:val="single" w:sz="8" w:color="auto"/>
            </w:tcBorders>
            <w:shd w:val="clear" w:color="auto" w:fill="CCCCCC"/>
          </w:tcPr>
          <w:p>
            <w:pPr>
              <w:spacing w:after="0"/>
              <w:rPr>
                <w:sz w:val="12"/>
                <w:szCs w:val="12"/>
                <w:color w:val="auto"/>
              </w:rPr>
            </w:pPr>
          </w:p>
        </w:tc>
        <w:tc>
          <w:tcPr>
            <w:tcW w:w="880" w:type="dxa"/>
            <w:vAlign w:val="bottom"/>
            <w:tcBorders>
              <w:right w:val="single" w:sz="8" w:color="auto"/>
            </w:tcBorders>
            <w:shd w:val="clear" w:color="auto" w:fill="CCCCCC"/>
          </w:tcPr>
          <w:p>
            <w:pPr>
              <w:spacing w:after="0"/>
              <w:rPr>
                <w:sz w:val="12"/>
                <w:szCs w:val="12"/>
                <w:color w:val="auto"/>
              </w:rPr>
            </w:pPr>
          </w:p>
        </w:tc>
        <w:tc>
          <w:tcPr>
            <w:tcW w:w="480" w:type="dxa"/>
            <w:vAlign w:val="bottom"/>
            <w:tcBorders>
              <w:right w:val="single" w:sz="8" w:color="auto"/>
            </w:tcBorders>
            <w:shd w:val="clear" w:color="auto" w:fill="CCCCCC"/>
          </w:tcPr>
          <w:p>
            <w:pPr>
              <w:spacing w:after="0"/>
              <w:rPr>
                <w:sz w:val="12"/>
                <w:szCs w:val="12"/>
                <w:color w:val="auto"/>
              </w:rPr>
            </w:pPr>
          </w:p>
        </w:tc>
        <w:tc>
          <w:tcPr>
            <w:tcW w:w="96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2"/>
                <w:szCs w:val="12"/>
                <w:b w:val="1"/>
                <w:bCs w:val="1"/>
                <w:color w:val="auto"/>
                <w:w w:val="98"/>
              </w:rPr>
              <w:t>Rate (if held</w:t>
            </w:r>
          </w:p>
        </w:tc>
        <w:tc>
          <w:tcPr>
            <w:tcW w:w="1980" w:type="dxa"/>
            <w:vAlign w:val="bottom"/>
            <w:tcBorders>
              <w:right w:val="single" w:sz="8" w:color="auto"/>
            </w:tcBorders>
            <w:gridSpan w:val="3"/>
            <w:shd w:val="clear" w:color="auto" w:fill="CCCCCC"/>
          </w:tcPr>
          <w:p>
            <w:pPr>
              <w:jc w:val="center"/>
              <w:spacing w:after="0"/>
              <w:rPr>
                <w:sz w:val="20"/>
                <w:szCs w:val="20"/>
                <w:color w:val="auto"/>
              </w:rPr>
            </w:pPr>
            <w:r>
              <w:rPr>
                <w:rFonts w:ascii="Arial" w:cs="Arial" w:eastAsia="Arial" w:hAnsi="Arial"/>
                <w:sz w:val="12"/>
                <w:szCs w:val="12"/>
                <w:b w:val="1"/>
                <w:bCs w:val="1"/>
                <w:color w:val="auto"/>
                <w:w w:val="99"/>
              </w:rPr>
              <w:t>Minimum Guaranteed Rate</w:t>
            </w:r>
          </w:p>
        </w:tc>
        <w:tc>
          <w:tcPr>
            <w:tcW w:w="0" w:type="dxa"/>
            <w:vAlign w:val="bottom"/>
          </w:tcPr>
          <w:p>
            <w:pPr>
              <w:spacing w:after="0"/>
              <w:rPr>
                <w:sz w:val="1"/>
                <w:szCs w:val="1"/>
                <w:color w:val="auto"/>
              </w:rPr>
            </w:pPr>
          </w:p>
        </w:tc>
      </w:tr>
      <w:tr>
        <w:trPr>
          <w:trHeight w:val="144"/>
        </w:trPr>
        <w:tc>
          <w:tcPr>
            <w:tcW w:w="1220" w:type="dxa"/>
            <w:vAlign w:val="bottom"/>
            <w:tcBorders>
              <w:left w:val="single" w:sz="8" w:color="auto"/>
              <w:right w:val="single" w:sz="8" w:color="auto"/>
            </w:tcBorders>
            <w:vMerge w:val="restart"/>
            <w:shd w:val="clear" w:color="auto" w:fill="CCCCCC"/>
          </w:tcPr>
          <w:p>
            <w:pPr>
              <w:ind w:left="420"/>
              <w:spacing w:after="0"/>
              <w:rPr>
                <w:sz w:val="20"/>
                <w:szCs w:val="20"/>
                <w:color w:val="auto"/>
              </w:rPr>
            </w:pPr>
            <w:r>
              <w:rPr>
                <w:rFonts w:ascii="Arial" w:cs="Arial" w:eastAsia="Arial" w:hAnsi="Arial"/>
                <w:sz w:val="12"/>
                <w:szCs w:val="12"/>
                <w:b w:val="1"/>
                <w:bCs w:val="1"/>
                <w:color w:val="auto"/>
              </w:rPr>
              <w:t>Index</w:t>
            </w:r>
            <w:r>
              <w:rPr>
                <w:rFonts w:ascii="Arial" w:cs="Arial" w:eastAsia="Arial" w:hAnsi="Arial"/>
                <w:sz w:val="15"/>
                <w:szCs w:val="15"/>
                <w:b w:val="1"/>
                <w:bCs w:val="1"/>
                <w:color w:val="auto"/>
                <w:vertAlign w:val="superscript"/>
              </w:rPr>
              <w:t>1</w:t>
            </w:r>
          </w:p>
        </w:tc>
        <w:tc>
          <w:tcPr>
            <w:tcW w:w="880" w:type="dxa"/>
            <w:vAlign w:val="bottom"/>
            <w:tcBorders>
              <w:right w:val="single" w:sz="8" w:color="auto"/>
            </w:tcBorders>
            <w:shd w:val="clear" w:color="auto" w:fill="CCCCCC"/>
          </w:tcPr>
          <w:p>
            <w:pPr>
              <w:spacing w:after="0"/>
              <w:rPr>
                <w:sz w:val="12"/>
                <w:szCs w:val="12"/>
                <w:color w:val="auto"/>
              </w:rPr>
            </w:pPr>
          </w:p>
        </w:tc>
        <w:tc>
          <w:tcPr>
            <w:tcW w:w="480" w:type="dxa"/>
            <w:vAlign w:val="bottom"/>
            <w:tcBorders>
              <w:right w:val="single" w:sz="8" w:color="auto"/>
            </w:tcBorders>
            <w:shd w:val="clear" w:color="auto" w:fill="CCCCCC"/>
          </w:tcPr>
          <w:p>
            <w:pPr>
              <w:spacing w:after="0"/>
              <w:rPr>
                <w:sz w:val="12"/>
                <w:szCs w:val="12"/>
                <w:color w:val="auto"/>
              </w:rPr>
            </w:pPr>
          </w:p>
        </w:tc>
        <w:tc>
          <w:tcPr>
            <w:tcW w:w="96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2"/>
                <w:szCs w:val="12"/>
                <w:b w:val="1"/>
                <w:bCs w:val="1"/>
                <w:color w:val="auto"/>
                <w:w w:val="98"/>
              </w:rPr>
              <w:t>until end of</w:t>
            </w:r>
          </w:p>
        </w:tc>
        <w:tc>
          <w:tcPr>
            <w:tcW w:w="1980" w:type="dxa"/>
            <w:vAlign w:val="bottom"/>
            <w:tcBorders>
              <w:right w:val="single" w:sz="8" w:color="auto"/>
            </w:tcBorders>
            <w:gridSpan w:val="3"/>
            <w:shd w:val="clear" w:color="auto" w:fill="CCCCCC"/>
          </w:tcPr>
          <w:p>
            <w:pPr>
              <w:jc w:val="center"/>
              <w:spacing w:after="0"/>
              <w:rPr>
                <w:sz w:val="20"/>
                <w:szCs w:val="20"/>
                <w:color w:val="auto"/>
              </w:rPr>
            </w:pPr>
            <w:r>
              <w:rPr>
                <w:rFonts w:ascii="Arial" w:cs="Arial" w:eastAsia="Arial" w:hAnsi="Arial"/>
                <w:sz w:val="12"/>
                <w:szCs w:val="12"/>
                <w:b w:val="1"/>
                <w:bCs w:val="1"/>
                <w:color w:val="auto"/>
                <w:w w:val="99"/>
              </w:rPr>
              <w:t>for Rate Crediting Type (for life</w:t>
            </w:r>
          </w:p>
        </w:tc>
        <w:tc>
          <w:tcPr>
            <w:tcW w:w="0" w:type="dxa"/>
            <w:vAlign w:val="bottom"/>
          </w:tcPr>
          <w:p>
            <w:pPr>
              <w:spacing w:after="0"/>
              <w:rPr>
                <w:sz w:val="1"/>
                <w:szCs w:val="1"/>
                <w:color w:val="auto"/>
              </w:rPr>
            </w:pPr>
          </w:p>
        </w:tc>
      </w:tr>
      <w:tr>
        <w:trPr>
          <w:trHeight w:val="175"/>
        </w:trPr>
        <w:tc>
          <w:tcPr>
            <w:tcW w:w="1220" w:type="dxa"/>
            <w:vAlign w:val="bottom"/>
            <w:tcBorders>
              <w:left w:val="single" w:sz="8" w:color="auto"/>
              <w:bottom w:val="single" w:sz="8" w:color="auto"/>
              <w:right w:val="single" w:sz="8" w:color="auto"/>
            </w:tcBorders>
            <w:vMerge w:val="continue"/>
            <w:shd w:val="clear" w:color="auto" w:fill="CCCCCC"/>
          </w:tcPr>
          <w:p>
            <w:pPr>
              <w:spacing w:after="0"/>
              <w:rPr>
                <w:sz w:val="15"/>
                <w:szCs w:val="15"/>
                <w:color w:val="auto"/>
              </w:rPr>
            </w:pPr>
          </w:p>
        </w:tc>
        <w:tc>
          <w:tcPr>
            <w:tcW w:w="880" w:type="dxa"/>
            <w:vAlign w:val="bottom"/>
            <w:tcBorders>
              <w:bottom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2"/>
                <w:szCs w:val="12"/>
                <w:b w:val="1"/>
                <w:bCs w:val="1"/>
                <w:color w:val="auto"/>
              </w:rPr>
              <w:t>Type of Index</w:t>
            </w:r>
          </w:p>
        </w:tc>
        <w:tc>
          <w:tcPr>
            <w:tcW w:w="48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2"/>
                <w:szCs w:val="12"/>
                <w:b w:val="1"/>
                <w:bCs w:val="1"/>
                <w:color w:val="auto"/>
                <w:w w:val="95"/>
              </w:rPr>
              <w:t>Term</w:t>
            </w:r>
          </w:p>
        </w:tc>
        <w:tc>
          <w:tcPr>
            <w:tcW w:w="9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2"/>
                <w:szCs w:val="12"/>
                <w:b w:val="1"/>
                <w:bCs w:val="1"/>
                <w:color w:val="auto"/>
                <w:w w:val="95"/>
              </w:rPr>
              <w:t>Term)</w:t>
            </w:r>
          </w:p>
        </w:tc>
        <w:tc>
          <w:tcPr>
            <w:tcW w:w="460" w:type="dxa"/>
            <w:vAlign w:val="bottom"/>
            <w:tcBorders>
              <w:bottom w:val="single" w:sz="8" w:color="auto"/>
            </w:tcBorders>
            <w:shd w:val="clear" w:color="auto" w:fill="CCCCCC"/>
          </w:tcPr>
          <w:p>
            <w:pPr>
              <w:spacing w:after="0"/>
              <w:rPr>
                <w:sz w:val="15"/>
                <w:szCs w:val="15"/>
                <w:color w:val="auto"/>
              </w:rPr>
            </w:pPr>
          </w:p>
        </w:tc>
        <w:tc>
          <w:tcPr>
            <w:tcW w:w="1520" w:type="dxa"/>
            <w:vAlign w:val="bottom"/>
            <w:tcBorders>
              <w:bottom w:val="single" w:sz="8" w:color="auto"/>
              <w:right w:val="single" w:sz="8" w:color="auto"/>
            </w:tcBorders>
            <w:gridSpan w:val="2"/>
            <w:shd w:val="clear" w:color="auto" w:fill="CCCCCC"/>
          </w:tcPr>
          <w:p>
            <w:pPr>
              <w:jc w:val="center"/>
              <w:ind w:right="400"/>
              <w:spacing w:after="0"/>
              <w:rPr>
                <w:sz w:val="20"/>
                <w:szCs w:val="20"/>
                <w:color w:val="auto"/>
              </w:rPr>
            </w:pPr>
            <w:r>
              <w:rPr>
                <w:rFonts w:ascii="Arial" w:cs="Arial" w:eastAsia="Arial" w:hAnsi="Arial"/>
                <w:sz w:val="12"/>
                <w:szCs w:val="12"/>
                <w:b w:val="1"/>
                <w:bCs w:val="1"/>
                <w:color w:val="auto"/>
              </w:rPr>
              <w:t>of Shield Option)</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25%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3.5%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4.5%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4.5%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Step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4.5%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Edge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Step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Edge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2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9%</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Step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2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9%</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Edge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2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10%</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Step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2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10%</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Edge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3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13.5%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3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6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25%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21%</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6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27%</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S&amp;P 500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6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30%</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Russell 2000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25%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3.5%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Russell 2000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4.5%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Russell 2000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Russell 2000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4.5%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Step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Russell 2000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4.5%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Edge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Russell 2000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Step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Russell 2000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Edge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Russell 2000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2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9%</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Step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Russell 2000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2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9%</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Edge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Russell 2000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2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10%</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Step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Russell 2000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2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10%</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Edge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Russell 2000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3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13.5%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Russell 2000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3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64"/>
        </w:trPr>
        <w:tc>
          <w:tcPr>
            <w:tcW w:w="122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2"/>
                <w:szCs w:val="12"/>
                <w:color w:val="auto"/>
              </w:rPr>
              <w:t>Russell 2000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6 Year</w:t>
            </w:r>
          </w:p>
        </w:tc>
        <w:tc>
          <w:tcPr>
            <w:tcW w:w="960" w:type="dxa"/>
            <w:vAlign w:val="bottom"/>
            <w:tcBorders>
              <w:bottom w:val="single" w:sz="8" w:color="auto"/>
              <w:right w:val="single" w:sz="8" w:color="auto"/>
            </w:tcBorders>
          </w:tcPr>
          <w:p>
            <w:pPr>
              <w:jc w:val="right"/>
              <w:ind w:right="620"/>
              <w:spacing w:after="0"/>
              <w:rPr>
                <w:sz w:val="20"/>
                <w:szCs w:val="20"/>
                <w:color w:val="auto"/>
              </w:rPr>
            </w:pPr>
            <w:r>
              <w:rPr>
                <w:rFonts w:ascii="Arial" w:cs="Arial" w:eastAsia="Arial" w:hAnsi="Arial"/>
                <w:sz w:val="12"/>
                <w:szCs w:val="12"/>
                <w:color w:val="auto"/>
              </w:rPr>
              <w:t>25%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21%</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620"/>
              <w:spacing w:after="0"/>
              <w:rPr>
                <w:sz w:val="20"/>
                <w:szCs w:val="20"/>
                <w:color w:val="auto"/>
              </w:rPr>
            </w:pPr>
            <w:r>
              <w:rPr>
                <w:rFonts w:ascii="Times New Roman" w:cs="Times New Roman" w:eastAsia="Times New Roman" w:hAnsi="Times New Roman"/>
                <w:sz w:val="12"/>
                <w:szCs w:val="12"/>
                <w:color w:val="auto"/>
              </w:rPr>
              <w:t>A-1</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59"/>
          </w:cols>
          <w:pgMar w:left="1100" w:top="962" w:right="1440" w:bottom="1440" w:gutter="0" w:footer="0" w:header="0"/>
        </w:sectPr>
      </w:pPr>
    </w:p>
    <w:bookmarkStart w:id="78" w:name="page79"/>
    <w:bookmarkEnd w:id="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57395" cy="3683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4"/>
        </w:trPr>
        <w:tc>
          <w:tcPr>
            <w:tcW w:w="1220" w:type="dxa"/>
            <w:vAlign w:val="bottom"/>
            <w:tcBorders>
              <w:top w:val="single" w:sz="8" w:color="auto"/>
              <w:left w:val="single" w:sz="8" w:color="auto"/>
              <w:right w:val="single" w:sz="8" w:color="auto"/>
            </w:tcBorders>
            <w:shd w:val="clear" w:color="auto" w:fill="CCCCCC"/>
          </w:tcPr>
          <w:p>
            <w:pPr>
              <w:spacing w:after="0"/>
              <w:rPr>
                <w:sz w:val="14"/>
                <w:szCs w:val="14"/>
                <w:color w:val="auto"/>
              </w:rPr>
            </w:pPr>
          </w:p>
        </w:tc>
        <w:tc>
          <w:tcPr>
            <w:tcW w:w="880" w:type="dxa"/>
            <w:vAlign w:val="bottom"/>
            <w:tcBorders>
              <w:top w:val="single" w:sz="8" w:color="auto"/>
              <w:right w:val="single" w:sz="8" w:color="auto"/>
            </w:tcBorders>
            <w:shd w:val="clear" w:color="auto" w:fill="CCCCCC"/>
          </w:tcPr>
          <w:p>
            <w:pPr>
              <w:spacing w:after="0"/>
              <w:rPr>
                <w:sz w:val="14"/>
                <w:szCs w:val="14"/>
                <w:color w:val="auto"/>
              </w:rPr>
            </w:pPr>
          </w:p>
        </w:tc>
        <w:tc>
          <w:tcPr>
            <w:tcW w:w="480" w:type="dxa"/>
            <w:vAlign w:val="bottom"/>
            <w:tcBorders>
              <w:top w:val="single" w:sz="8" w:color="auto"/>
              <w:right w:val="single" w:sz="8" w:color="auto"/>
            </w:tcBorders>
            <w:shd w:val="clear" w:color="auto" w:fill="CCCCCC"/>
          </w:tcPr>
          <w:p>
            <w:pPr>
              <w:spacing w:after="0"/>
              <w:rPr>
                <w:sz w:val="14"/>
                <w:szCs w:val="14"/>
                <w:color w:val="auto"/>
              </w:rPr>
            </w:pPr>
          </w:p>
        </w:tc>
        <w:tc>
          <w:tcPr>
            <w:tcW w:w="960" w:type="dxa"/>
            <w:vAlign w:val="bottom"/>
            <w:tcBorders>
              <w:top w:val="single" w:sz="8" w:color="auto"/>
              <w:right w:val="single" w:sz="8" w:color="auto"/>
            </w:tcBorders>
            <w:shd w:val="clear" w:color="auto" w:fill="CCCCCC"/>
          </w:tcPr>
          <w:p>
            <w:pPr>
              <w:ind w:left="60"/>
              <w:spacing w:after="0"/>
              <w:rPr>
                <w:sz w:val="20"/>
                <w:szCs w:val="20"/>
                <w:color w:val="auto"/>
              </w:rPr>
            </w:pPr>
            <w:r>
              <w:rPr>
                <w:rFonts w:ascii="Arial" w:cs="Arial" w:eastAsia="Arial" w:hAnsi="Arial"/>
                <w:sz w:val="12"/>
                <w:szCs w:val="12"/>
                <w:b w:val="1"/>
                <w:bCs w:val="1"/>
                <w:color w:val="auto"/>
              </w:rPr>
              <w:t>Current Shield</w:t>
            </w:r>
          </w:p>
        </w:tc>
        <w:tc>
          <w:tcPr>
            <w:tcW w:w="460" w:type="dxa"/>
            <w:vAlign w:val="bottom"/>
            <w:tcBorders>
              <w:top w:val="single" w:sz="8" w:color="auto"/>
            </w:tcBorders>
            <w:shd w:val="clear" w:color="auto" w:fill="CCCCCC"/>
          </w:tcPr>
          <w:p>
            <w:pPr>
              <w:spacing w:after="0"/>
              <w:rPr>
                <w:sz w:val="14"/>
                <w:szCs w:val="14"/>
                <w:color w:val="auto"/>
              </w:rPr>
            </w:pPr>
          </w:p>
        </w:tc>
        <w:tc>
          <w:tcPr>
            <w:tcW w:w="860" w:type="dxa"/>
            <w:vAlign w:val="bottom"/>
            <w:tcBorders>
              <w:top w:val="single" w:sz="8" w:color="auto"/>
              <w:right w:val="single" w:sz="8" w:color="CCCCCC"/>
            </w:tcBorders>
            <w:shd w:val="clear" w:color="auto" w:fill="CCCCCC"/>
          </w:tcPr>
          <w:p>
            <w:pPr>
              <w:spacing w:after="0"/>
              <w:rPr>
                <w:sz w:val="14"/>
                <w:szCs w:val="14"/>
                <w:color w:val="auto"/>
              </w:rPr>
            </w:pPr>
          </w:p>
        </w:tc>
        <w:tc>
          <w:tcPr>
            <w:tcW w:w="660" w:type="dxa"/>
            <w:vAlign w:val="bottom"/>
            <w:tcBorders>
              <w:top w:val="single" w:sz="8" w:color="auto"/>
              <w:right w:val="single" w:sz="8" w:color="auto"/>
            </w:tcBorders>
            <w:shd w:val="clear" w:color="auto" w:fill="CCCCC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20" w:type="dxa"/>
            <w:vAlign w:val="bottom"/>
            <w:tcBorders>
              <w:left w:val="single" w:sz="8" w:color="auto"/>
              <w:right w:val="single" w:sz="8" w:color="auto"/>
            </w:tcBorders>
            <w:shd w:val="clear" w:color="auto" w:fill="CCCCCC"/>
          </w:tcPr>
          <w:p>
            <w:pPr>
              <w:spacing w:after="0"/>
              <w:rPr>
                <w:sz w:val="12"/>
                <w:szCs w:val="12"/>
                <w:color w:val="auto"/>
              </w:rPr>
            </w:pPr>
          </w:p>
        </w:tc>
        <w:tc>
          <w:tcPr>
            <w:tcW w:w="880" w:type="dxa"/>
            <w:vAlign w:val="bottom"/>
            <w:tcBorders>
              <w:right w:val="single" w:sz="8" w:color="auto"/>
            </w:tcBorders>
            <w:shd w:val="clear" w:color="auto" w:fill="CCCCCC"/>
          </w:tcPr>
          <w:p>
            <w:pPr>
              <w:spacing w:after="0"/>
              <w:rPr>
                <w:sz w:val="12"/>
                <w:szCs w:val="12"/>
                <w:color w:val="auto"/>
              </w:rPr>
            </w:pPr>
          </w:p>
        </w:tc>
        <w:tc>
          <w:tcPr>
            <w:tcW w:w="480" w:type="dxa"/>
            <w:vAlign w:val="bottom"/>
            <w:tcBorders>
              <w:right w:val="single" w:sz="8" w:color="auto"/>
            </w:tcBorders>
            <w:shd w:val="clear" w:color="auto" w:fill="CCCCCC"/>
          </w:tcPr>
          <w:p>
            <w:pPr>
              <w:spacing w:after="0"/>
              <w:rPr>
                <w:sz w:val="12"/>
                <w:szCs w:val="12"/>
                <w:color w:val="auto"/>
              </w:rPr>
            </w:pPr>
          </w:p>
        </w:tc>
        <w:tc>
          <w:tcPr>
            <w:tcW w:w="96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2"/>
                <w:szCs w:val="12"/>
                <w:b w:val="1"/>
                <w:bCs w:val="1"/>
                <w:color w:val="auto"/>
                <w:w w:val="98"/>
              </w:rPr>
              <w:t>Rate (if held</w:t>
            </w:r>
          </w:p>
        </w:tc>
        <w:tc>
          <w:tcPr>
            <w:tcW w:w="1980" w:type="dxa"/>
            <w:vAlign w:val="bottom"/>
            <w:tcBorders>
              <w:right w:val="single" w:sz="8" w:color="auto"/>
            </w:tcBorders>
            <w:gridSpan w:val="3"/>
            <w:shd w:val="clear" w:color="auto" w:fill="CCCCCC"/>
          </w:tcPr>
          <w:p>
            <w:pPr>
              <w:jc w:val="center"/>
              <w:spacing w:after="0"/>
              <w:rPr>
                <w:sz w:val="20"/>
                <w:szCs w:val="20"/>
                <w:color w:val="auto"/>
              </w:rPr>
            </w:pPr>
            <w:r>
              <w:rPr>
                <w:rFonts w:ascii="Arial" w:cs="Arial" w:eastAsia="Arial" w:hAnsi="Arial"/>
                <w:sz w:val="12"/>
                <w:szCs w:val="12"/>
                <w:b w:val="1"/>
                <w:bCs w:val="1"/>
                <w:color w:val="auto"/>
                <w:w w:val="99"/>
              </w:rPr>
              <w:t>Minimum Guaranteed Rate</w:t>
            </w:r>
          </w:p>
        </w:tc>
        <w:tc>
          <w:tcPr>
            <w:tcW w:w="0" w:type="dxa"/>
            <w:vAlign w:val="bottom"/>
          </w:tcPr>
          <w:p>
            <w:pPr>
              <w:spacing w:after="0"/>
              <w:rPr>
                <w:sz w:val="1"/>
                <w:szCs w:val="1"/>
                <w:color w:val="auto"/>
              </w:rPr>
            </w:pPr>
          </w:p>
        </w:tc>
      </w:tr>
      <w:tr>
        <w:trPr>
          <w:trHeight w:val="144"/>
        </w:trPr>
        <w:tc>
          <w:tcPr>
            <w:tcW w:w="1220" w:type="dxa"/>
            <w:vAlign w:val="bottom"/>
            <w:tcBorders>
              <w:left w:val="single" w:sz="8" w:color="auto"/>
              <w:right w:val="single" w:sz="8" w:color="auto"/>
            </w:tcBorders>
            <w:vMerge w:val="restart"/>
            <w:shd w:val="clear" w:color="auto" w:fill="CCCCCC"/>
          </w:tcPr>
          <w:p>
            <w:pPr>
              <w:ind w:left="420"/>
              <w:spacing w:after="0"/>
              <w:rPr>
                <w:sz w:val="20"/>
                <w:szCs w:val="20"/>
                <w:color w:val="auto"/>
              </w:rPr>
            </w:pPr>
            <w:r>
              <w:rPr>
                <w:rFonts w:ascii="Arial" w:cs="Arial" w:eastAsia="Arial" w:hAnsi="Arial"/>
                <w:sz w:val="12"/>
                <w:szCs w:val="12"/>
                <w:b w:val="1"/>
                <w:bCs w:val="1"/>
                <w:color w:val="auto"/>
              </w:rPr>
              <w:t>Index</w:t>
            </w:r>
            <w:r>
              <w:rPr>
                <w:rFonts w:ascii="Arial" w:cs="Arial" w:eastAsia="Arial" w:hAnsi="Arial"/>
                <w:sz w:val="15"/>
                <w:szCs w:val="15"/>
                <w:b w:val="1"/>
                <w:bCs w:val="1"/>
                <w:color w:val="auto"/>
                <w:vertAlign w:val="superscript"/>
              </w:rPr>
              <w:t>1</w:t>
            </w:r>
          </w:p>
        </w:tc>
        <w:tc>
          <w:tcPr>
            <w:tcW w:w="880" w:type="dxa"/>
            <w:vAlign w:val="bottom"/>
            <w:tcBorders>
              <w:right w:val="single" w:sz="8" w:color="auto"/>
            </w:tcBorders>
            <w:shd w:val="clear" w:color="auto" w:fill="CCCCCC"/>
          </w:tcPr>
          <w:p>
            <w:pPr>
              <w:spacing w:after="0"/>
              <w:rPr>
                <w:sz w:val="12"/>
                <w:szCs w:val="12"/>
                <w:color w:val="auto"/>
              </w:rPr>
            </w:pPr>
          </w:p>
        </w:tc>
        <w:tc>
          <w:tcPr>
            <w:tcW w:w="480" w:type="dxa"/>
            <w:vAlign w:val="bottom"/>
            <w:tcBorders>
              <w:right w:val="single" w:sz="8" w:color="auto"/>
            </w:tcBorders>
            <w:shd w:val="clear" w:color="auto" w:fill="CCCCCC"/>
          </w:tcPr>
          <w:p>
            <w:pPr>
              <w:spacing w:after="0"/>
              <w:rPr>
                <w:sz w:val="12"/>
                <w:szCs w:val="12"/>
                <w:color w:val="auto"/>
              </w:rPr>
            </w:pPr>
          </w:p>
        </w:tc>
        <w:tc>
          <w:tcPr>
            <w:tcW w:w="960" w:type="dxa"/>
            <w:vAlign w:val="bottom"/>
            <w:tcBorders>
              <w:right w:val="single" w:sz="8" w:color="auto"/>
            </w:tcBorders>
            <w:shd w:val="clear" w:color="auto" w:fill="CCCCCC"/>
          </w:tcPr>
          <w:p>
            <w:pPr>
              <w:jc w:val="center"/>
              <w:spacing w:after="0"/>
              <w:rPr>
                <w:sz w:val="20"/>
                <w:szCs w:val="20"/>
                <w:color w:val="auto"/>
              </w:rPr>
            </w:pPr>
            <w:r>
              <w:rPr>
                <w:rFonts w:ascii="Arial" w:cs="Arial" w:eastAsia="Arial" w:hAnsi="Arial"/>
                <w:sz w:val="12"/>
                <w:szCs w:val="12"/>
                <w:b w:val="1"/>
                <w:bCs w:val="1"/>
                <w:color w:val="auto"/>
                <w:w w:val="98"/>
              </w:rPr>
              <w:t>until end of</w:t>
            </w:r>
          </w:p>
        </w:tc>
        <w:tc>
          <w:tcPr>
            <w:tcW w:w="1980" w:type="dxa"/>
            <w:vAlign w:val="bottom"/>
            <w:tcBorders>
              <w:right w:val="single" w:sz="8" w:color="auto"/>
            </w:tcBorders>
            <w:gridSpan w:val="3"/>
            <w:shd w:val="clear" w:color="auto" w:fill="CCCCCC"/>
          </w:tcPr>
          <w:p>
            <w:pPr>
              <w:jc w:val="center"/>
              <w:spacing w:after="0"/>
              <w:rPr>
                <w:sz w:val="20"/>
                <w:szCs w:val="20"/>
                <w:color w:val="auto"/>
              </w:rPr>
            </w:pPr>
            <w:r>
              <w:rPr>
                <w:rFonts w:ascii="Arial" w:cs="Arial" w:eastAsia="Arial" w:hAnsi="Arial"/>
                <w:sz w:val="12"/>
                <w:szCs w:val="12"/>
                <w:b w:val="1"/>
                <w:bCs w:val="1"/>
                <w:color w:val="auto"/>
                <w:w w:val="99"/>
              </w:rPr>
              <w:t>for Rate Crediting Type (for life</w:t>
            </w:r>
          </w:p>
        </w:tc>
        <w:tc>
          <w:tcPr>
            <w:tcW w:w="0" w:type="dxa"/>
            <w:vAlign w:val="bottom"/>
          </w:tcPr>
          <w:p>
            <w:pPr>
              <w:spacing w:after="0"/>
              <w:rPr>
                <w:sz w:val="1"/>
                <w:szCs w:val="1"/>
                <w:color w:val="auto"/>
              </w:rPr>
            </w:pPr>
          </w:p>
        </w:tc>
      </w:tr>
      <w:tr>
        <w:trPr>
          <w:trHeight w:val="175"/>
        </w:trPr>
        <w:tc>
          <w:tcPr>
            <w:tcW w:w="1220" w:type="dxa"/>
            <w:vAlign w:val="bottom"/>
            <w:tcBorders>
              <w:left w:val="single" w:sz="8" w:color="auto"/>
              <w:bottom w:val="single" w:sz="8" w:color="auto"/>
              <w:right w:val="single" w:sz="8" w:color="auto"/>
            </w:tcBorders>
            <w:vMerge w:val="continue"/>
            <w:shd w:val="clear" w:color="auto" w:fill="CCCCCC"/>
          </w:tcPr>
          <w:p>
            <w:pPr>
              <w:spacing w:after="0"/>
              <w:rPr>
                <w:sz w:val="15"/>
                <w:szCs w:val="15"/>
                <w:color w:val="auto"/>
              </w:rPr>
            </w:pPr>
          </w:p>
        </w:tc>
        <w:tc>
          <w:tcPr>
            <w:tcW w:w="880" w:type="dxa"/>
            <w:vAlign w:val="bottom"/>
            <w:tcBorders>
              <w:bottom w:val="single" w:sz="8" w:color="auto"/>
              <w:right w:val="single" w:sz="8" w:color="auto"/>
            </w:tcBorders>
            <w:shd w:val="clear" w:color="auto" w:fill="CCCCCC"/>
          </w:tcPr>
          <w:p>
            <w:pPr>
              <w:ind w:left="40"/>
              <w:spacing w:after="0"/>
              <w:rPr>
                <w:sz w:val="20"/>
                <w:szCs w:val="20"/>
                <w:color w:val="auto"/>
              </w:rPr>
            </w:pPr>
            <w:r>
              <w:rPr>
                <w:rFonts w:ascii="Arial" w:cs="Arial" w:eastAsia="Arial" w:hAnsi="Arial"/>
                <w:sz w:val="12"/>
                <w:szCs w:val="12"/>
                <w:b w:val="1"/>
                <w:bCs w:val="1"/>
                <w:color w:val="auto"/>
              </w:rPr>
              <w:t>Type of Index</w:t>
            </w:r>
          </w:p>
        </w:tc>
        <w:tc>
          <w:tcPr>
            <w:tcW w:w="48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2"/>
                <w:szCs w:val="12"/>
                <w:b w:val="1"/>
                <w:bCs w:val="1"/>
                <w:color w:val="auto"/>
                <w:w w:val="95"/>
              </w:rPr>
              <w:t>Term</w:t>
            </w:r>
          </w:p>
        </w:tc>
        <w:tc>
          <w:tcPr>
            <w:tcW w:w="9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12"/>
                <w:szCs w:val="12"/>
                <w:b w:val="1"/>
                <w:bCs w:val="1"/>
                <w:color w:val="auto"/>
                <w:w w:val="95"/>
              </w:rPr>
              <w:t>Term)</w:t>
            </w:r>
          </w:p>
        </w:tc>
        <w:tc>
          <w:tcPr>
            <w:tcW w:w="460" w:type="dxa"/>
            <w:vAlign w:val="bottom"/>
            <w:tcBorders>
              <w:bottom w:val="single" w:sz="8" w:color="auto"/>
            </w:tcBorders>
            <w:shd w:val="clear" w:color="auto" w:fill="CCCCCC"/>
          </w:tcPr>
          <w:p>
            <w:pPr>
              <w:spacing w:after="0"/>
              <w:rPr>
                <w:sz w:val="15"/>
                <w:szCs w:val="15"/>
                <w:color w:val="auto"/>
              </w:rPr>
            </w:pPr>
          </w:p>
        </w:tc>
        <w:tc>
          <w:tcPr>
            <w:tcW w:w="1520" w:type="dxa"/>
            <w:vAlign w:val="bottom"/>
            <w:tcBorders>
              <w:bottom w:val="single" w:sz="8" w:color="auto"/>
              <w:right w:val="single" w:sz="8" w:color="auto"/>
            </w:tcBorders>
            <w:gridSpan w:val="2"/>
            <w:shd w:val="clear" w:color="auto" w:fill="CCCCCC"/>
          </w:tcPr>
          <w:p>
            <w:pPr>
              <w:jc w:val="center"/>
              <w:ind w:right="400"/>
              <w:spacing w:after="0"/>
              <w:rPr>
                <w:sz w:val="20"/>
                <w:szCs w:val="20"/>
                <w:color w:val="auto"/>
              </w:rPr>
            </w:pPr>
            <w:r>
              <w:rPr>
                <w:rFonts w:ascii="Arial" w:cs="Arial" w:eastAsia="Arial" w:hAnsi="Arial"/>
                <w:sz w:val="12"/>
                <w:szCs w:val="12"/>
                <w:b w:val="1"/>
                <w:bCs w:val="1"/>
                <w:color w:val="auto"/>
              </w:rPr>
              <w:t>of Shield Option)</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Russell 2000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6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27%</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Russell 2000</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6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30%</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61"/>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MSCI EAFE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25%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3.5%</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MSCI EAFE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4.5%</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MSCI EAFE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5%</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MSCI EAFE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4.5%</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Step Rate</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MSCI EAFE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4.5%</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Edge Rate</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MSCI EAFE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5%</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Step Rate</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MSCI EAFE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5%</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Edge Rate</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MSCI EAFE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2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9%</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Step Rate</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MSCI EAFE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2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9%</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Edge Rate</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MSCI EAFE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2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10%</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Step Rate</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MSCI EAFE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2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10%</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Edge Rate</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MSCI EAFE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3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13.5%</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MSCI EAFE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3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15%</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MSCI EAFE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6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25%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21%</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MSCI EAFE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6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27%</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69"/>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MSCI EAFE Index</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6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30%</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86"/>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Nasdaq-100 Index</w:t>
            </w:r>
            <w:r>
              <w:rPr>
                <w:rFonts w:ascii="Arial" w:cs="Arial" w:eastAsia="Arial" w:hAnsi="Arial"/>
                <w:sz w:val="15"/>
                <w:szCs w:val="15"/>
                <w:color w:val="auto"/>
                <w:vertAlign w:val="superscript"/>
              </w:rPr>
              <w:t>®</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25%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3.5%</w:t>
            </w:r>
          </w:p>
        </w:tc>
        <w:tc>
          <w:tcPr>
            <w:tcW w:w="86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Nasdaq-100 Index</w:t>
            </w:r>
            <w:r>
              <w:rPr>
                <w:rFonts w:ascii="Arial" w:cs="Arial" w:eastAsia="Arial" w:hAnsi="Arial"/>
                <w:sz w:val="15"/>
                <w:szCs w:val="15"/>
                <w:color w:val="auto"/>
                <w:vertAlign w:val="superscript"/>
              </w:rPr>
              <w:t>®</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4.5%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Nasdaq-100 Index</w:t>
            </w:r>
            <w:r>
              <w:rPr>
                <w:rFonts w:ascii="Arial" w:cs="Arial" w:eastAsia="Arial" w:hAnsi="Arial"/>
                <w:sz w:val="15"/>
                <w:szCs w:val="15"/>
                <w:color w:val="auto"/>
                <w:vertAlign w:val="superscript"/>
              </w:rPr>
              <w:t>®</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Nasdaq-100 Index</w:t>
            </w:r>
            <w:r>
              <w:rPr>
                <w:rFonts w:ascii="Arial" w:cs="Arial" w:eastAsia="Arial" w:hAnsi="Arial"/>
                <w:sz w:val="15"/>
                <w:szCs w:val="15"/>
                <w:color w:val="auto"/>
                <w:vertAlign w:val="superscript"/>
              </w:rPr>
              <w:t>®</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4.5%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Step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Nasdaq-100 Index</w:t>
            </w:r>
            <w:r>
              <w:rPr>
                <w:rFonts w:ascii="Arial" w:cs="Arial" w:eastAsia="Arial" w:hAnsi="Arial"/>
                <w:sz w:val="15"/>
                <w:szCs w:val="15"/>
                <w:color w:val="auto"/>
                <w:vertAlign w:val="superscript"/>
              </w:rPr>
              <w:t>®</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4.5%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Edge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Nasdaq-100 Index</w:t>
            </w:r>
            <w:r>
              <w:rPr>
                <w:rFonts w:ascii="Arial" w:cs="Arial" w:eastAsia="Arial" w:hAnsi="Arial"/>
                <w:sz w:val="15"/>
                <w:szCs w:val="15"/>
                <w:color w:val="auto"/>
                <w:vertAlign w:val="superscript"/>
              </w:rPr>
              <w:t>®</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Step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Nasdaq-100 Index</w:t>
            </w:r>
            <w:r>
              <w:rPr>
                <w:rFonts w:ascii="Arial" w:cs="Arial" w:eastAsia="Arial" w:hAnsi="Arial"/>
                <w:sz w:val="15"/>
                <w:szCs w:val="15"/>
                <w:color w:val="auto"/>
                <w:vertAlign w:val="superscript"/>
              </w:rPr>
              <w:t>®</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1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Edge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Nasdaq-100 Index</w:t>
            </w:r>
            <w:r>
              <w:rPr>
                <w:rFonts w:ascii="Arial" w:cs="Arial" w:eastAsia="Arial" w:hAnsi="Arial"/>
                <w:sz w:val="15"/>
                <w:szCs w:val="15"/>
                <w:color w:val="auto"/>
                <w:vertAlign w:val="superscript"/>
              </w:rPr>
              <w:t>®</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2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9%</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Step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Nasdaq-100 Index</w:t>
            </w:r>
            <w:r>
              <w:rPr>
                <w:rFonts w:ascii="Arial" w:cs="Arial" w:eastAsia="Arial" w:hAnsi="Arial"/>
                <w:sz w:val="15"/>
                <w:szCs w:val="15"/>
                <w:color w:val="auto"/>
                <w:vertAlign w:val="superscript"/>
              </w:rPr>
              <w:t>®</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2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9%</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Edge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Nasdaq-100 Index</w:t>
            </w:r>
            <w:r>
              <w:rPr>
                <w:rFonts w:ascii="Arial" w:cs="Arial" w:eastAsia="Arial" w:hAnsi="Arial"/>
                <w:sz w:val="15"/>
                <w:szCs w:val="15"/>
                <w:color w:val="auto"/>
                <w:vertAlign w:val="superscript"/>
              </w:rPr>
              <w:t>®</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2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10%</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Step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Nasdaq-100 Index</w:t>
            </w:r>
            <w:r>
              <w:rPr>
                <w:rFonts w:ascii="Arial" w:cs="Arial" w:eastAsia="Arial" w:hAnsi="Arial"/>
                <w:sz w:val="15"/>
                <w:szCs w:val="15"/>
                <w:color w:val="auto"/>
                <w:vertAlign w:val="superscript"/>
              </w:rPr>
              <w:t>®</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2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10%</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Edge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Nasdaq-100 Index</w:t>
            </w:r>
            <w:r>
              <w:rPr>
                <w:rFonts w:ascii="Arial" w:cs="Arial" w:eastAsia="Arial" w:hAnsi="Arial"/>
                <w:sz w:val="15"/>
                <w:szCs w:val="15"/>
                <w:color w:val="auto"/>
                <w:vertAlign w:val="superscript"/>
              </w:rPr>
              <w:t>®</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3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13.5%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Nasdaq-100 Index</w:t>
            </w:r>
            <w:r>
              <w:rPr>
                <w:rFonts w:ascii="Arial" w:cs="Arial" w:eastAsia="Arial" w:hAnsi="Arial"/>
                <w:sz w:val="15"/>
                <w:szCs w:val="15"/>
                <w:color w:val="auto"/>
                <w:vertAlign w:val="superscript"/>
              </w:rPr>
              <w:t>®</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3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15%</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Nasdaq-100 Index</w:t>
            </w:r>
            <w:r>
              <w:rPr>
                <w:rFonts w:ascii="Arial" w:cs="Arial" w:eastAsia="Arial" w:hAnsi="Arial"/>
                <w:sz w:val="15"/>
                <w:szCs w:val="15"/>
                <w:color w:val="auto"/>
                <w:vertAlign w:val="superscript"/>
              </w:rPr>
              <w:t>®</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6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25%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21%</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78"/>
        </w:trPr>
        <w:tc>
          <w:tcPr>
            <w:tcW w:w="122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Nasdaq-100 Index</w:t>
            </w:r>
            <w:r>
              <w:rPr>
                <w:rFonts w:ascii="Arial" w:cs="Arial" w:eastAsia="Arial" w:hAnsi="Arial"/>
                <w:sz w:val="15"/>
                <w:szCs w:val="15"/>
                <w:color w:val="auto"/>
                <w:vertAlign w:val="superscript"/>
              </w:rPr>
              <w:t>®</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6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27%</w:t>
            </w:r>
          </w:p>
        </w:tc>
        <w:tc>
          <w:tcPr>
            <w:tcW w:w="86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r>
        <w:trPr>
          <w:trHeight w:val="163"/>
        </w:trPr>
        <w:tc>
          <w:tcPr>
            <w:tcW w:w="1220" w:type="dxa"/>
            <w:vAlign w:val="bottom"/>
            <w:tcBorders>
              <w:left w:val="single" w:sz="8" w:color="auto"/>
              <w:bottom w:val="single" w:sz="8" w:color="auto"/>
              <w:right w:val="single" w:sz="8" w:color="auto"/>
            </w:tcBorders>
          </w:tcPr>
          <w:p>
            <w:pPr>
              <w:ind w:left="60"/>
              <w:spacing w:after="0" w:line="164" w:lineRule="exact"/>
              <w:rPr>
                <w:sz w:val="20"/>
                <w:szCs w:val="20"/>
                <w:color w:val="auto"/>
              </w:rPr>
            </w:pPr>
            <w:r>
              <w:rPr>
                <w:rFonts w:ascii="Arial" w:cs="Arial" w:eastAsia="Arial" w:hAnsi="Arial"/>
                <w:sz w:val="12"/>
                <w:szCs w:val="12"/>
                <w:color w:val="auto"/>
              </w:rPr>
              <w:t>Nasdaq-100 Index</w:t>
            </w:r>
            <w:r>
              <w:rPr>
                <w:rFonts w:ascii="Arial" w:cs="Arial" w:eastAsia="Arial" w:hAnsi="Arial"/>
                <w:sz w:val="15"/>
                <w:szCs w:val="15"/>
                <w:color w:val="auto"/>
                <w:vertAlign w:val="superscript"/>
              </w:rPr>
              <w:t>®</w:t>
            </w:r>
          </w:p>
        </w:tc>
        <w:tc>
          <w:tcPr>
            <w:tcW w:w="8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Market Index</w:t>
            </w: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6"/>
              </w:rPr>
              <w:t>6 Year</w:t>
            </w:r>
          </w:p>
        </w:tc>
        <w:tc>
          <w:tcPr>
            <w:tcW w:w="9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10%</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30%</w:t>
            </w:r>
          </w:p>
        </w:tc>
        <w:tc>
          <w:tcPr>
            <w:tcW w:w="8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Cap Rate</w:t>
            </w: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right="3839" w:firstLine="8"/>
        <w:spacing w:after="0" w:line="235" w:lineRule="auto"/>
        <w:tabs>
          <w:tab w:leader="none" w:pos="69" w:val="left"/>
        </w:tabs>
        <w:numPr>
          <w:ilvl w:val="0"/>
          <w:numId w:val="5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Each Index is a “price return index,” not a “total return index,” and therefore does not reflect dividends declared by any of the companies in the Index. This will reduce the Index Performance and will cause the Index to underperform a direct investment in the securities composing the Index.</w:t>
      </w:r>
    </w:p>
    <w:p>
      <w:pPr>
        <w:spacing w:after="0" w:line="59" w:lineRule="exact"/>
        <w:rPr>
          <w:sz w:val="20"/>
          <w:szCs w:val="20"/>
          <w:color w:val="auto"/>
        </w:rPr>
      </w:pPr>
    </w:p>
    <w:p>
      <w:pPr>
        <w:jc w:val="both"/>
        <w:ind w:right="3839"/>
        <w:spacing w:after="0" w:line="268" w:lineRule="auto"/>
        <w:rPr>
          <w:sz w:val="20"/>
          <w:szCs w:val="20"/>
          <w:color w:val="auto"/>
        </w:rPr>
      </w:pPr>
      <w:r>
        <w:rPr>
          <w:rFonts w:ascii="Times New Roman" w:cs="Times New Roman" w:eastAsia="Times New Roman" w:hAnsi="Times New Roman"/>
          <w:sz w:val="12"/>
          <w:szCs w:val="12"/>
          <w:b w:val="1"/>
          <w:bCs w:val="1"/>
          <w:color w:val="auto"/>
        </w:rPr>
        <w:t>We do not guarantee that there will always be a Shield Option under the Contract that provides this minimum amount of downside protection; however, there will always be at least one Shield Option available with a minimum of 10% downside protection.</w:t>
      </w:r>
    </w:p>
    <w:p>
      <w:pPr>
        <w:spacing w:after="0" w:line="42" w:lineRule="exact"/>
        <w:rPr>
          <w:sz w:val="20"/>
          <w:szCs w:val="20"/>
          <w:color w:val="auto"/>
        </w:rPr>
      </w:pPr>
    </w:p>
    <w:p>
      <w:pPr>
        <w:jc w:val="both"/>
        <w:ind w:right="3839"/>
        <w:spacing w:after="0" w:line="262" w:lineRule="auto"/>
        <w:rPr>
          <w:sz w:val="20"/>
          <w:szCs w:val="20"/>
          <w:color w:val="auto"/>
        </w:rPr>
      </w:pPr>
      <w:r>
        <w:rPr>
          <w:rFonts w:ascii="Times New Roman" w:cs="Times New Roman" w:eastAsia="Times New Roman" w:hAnsi="Times New Roman"/>
          <w:sz w:val="12"/>
          <w:szCs w:val="12"/>
          <w:b w:val="1"/>
          <w:bCs w:val="1"/>
          <w:color w:val="auto"/>
        </w:rPr>
        <w:t>The Minimum Guaranteed Cap Rate for your Contract is the amount shown in the Cap Rate Shield Option Rider attached to your Contract and may vary by Shield Rate, but will not be less than 3.5%. The Minimum Guaranteed Step Rate for your Contract is the amount shown in the Step Rate Shield Option Rider attached to your Contract and may</w:t>
      </w:r>
    </w:p>
    <w:p>
      <w:pPr>
        <w:spacing w:after="0" w:line="15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2"/>
          <w:szCs w:val="12"/>
          <w:color w:val="auto"/>
        </w:rPr>
        <w:t>A-2</w:t>
      </w:r>
    </w:p>
    <w:p>
      <w:pPr>
        <w:sectPr>
          <w:pgSz w:w="11900" w:h="16838" w:orient="portrait"/>
          <w:cols w:equalWidth="0" w:num="1">
            <w:col w:w="9359"/>
          </w:cols>
          <w:pgMar w:left="1100" w:top="951" w:right="1440" w:bottom="1440" w:gutter="0" w:footer="0" w:header="0"/>
        </w:sectPr>
      </w:pPr>
    </w:p>
    <w:bookmarkStart w:id="79" w:name="page80"/>
    <w:bookmarkEnd w:id="79"/>
    <w:p>
      <w:pPr>
        <w:jc w:val="both"/>
        <w:ind w:right="3839"/>
        <w:spacing w:after="0" w:line="268"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57395" cy="36830"/>
                    </a:xfrm>
                    <a:prstGeom prst="rect">
                      <a:avLst/>
                    </a:prstGeom>
                    <a:noFill/>
                  </pic:spPr>
                </pic:pic>
              </a:graphicData>
            </a:graphic>
          </wp:anchor>
        </w:drawing>
        <w:t>vary by Shield Rate, but will not be less than 4.5%</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The Minimum Guaranteed Edge Rate for your Contract is the amount shown in the Step Rate Edge Shield Option Rider attached to your Contract and may vary by Shield Rate, but will not be less than 4.5%</w:t>
      </w:r>
      <w:r>
        <w:rPr>
          <w:rFonts w:ascii="Times New Roman" w:cs="Times New Roman" w:eastAsia="Times New Roman" w:hAnsi="Times New Roman"/>
          <w:sz w:val="12"/>
          <w:szCs w:val="12"/>
          <w:color w:val="auto"/>
        </w:rPr>
        <w:t>.</w:t>
      </w:r>
    </w:p>
    <w:p>
      <w:pPr>
        <w:spacing w:after="0" w:line="46" w:lineRule="exact"/>
        <w:rPr>
          <w:sz w:val="20"/>
          <w:szCs w:val="20"/>
          <w:color w:val="auto"/>
        </w:rPr>
      </w:pPr>
    </w:p>
    <w:p>
      <w:pPr>
        <w:jc w:val="both"/>
        <w:ind w:right="3839"/>
        <w:spacing w:after="0" w:line="260" w:lineRule="auto"/>
        <w:rPr>
          <w:sz w:val="20"/>
          <w:szCs w:val="20"/>
          <w:color w:val="auto"/>
        </w:rPr>
      </w:pPr>
      <w:r>
        <w:rPr>
          <w:rFonts w:ascii="Times New Roman" w:cs="Times New Roman" w:eastAsia="Times New Roman" w:hAnsi="Times New Roman"/>
          <w:sz w:val="12"/>
          <w:szCs w:val="12"/>
          <w:color w:val="auto"/>
        </w:rPr>
        <w:t>The following is a list of Fixed Options currently available under the Contract. We may change the features of the Fixed Options listed below, offer new Fixed Options, and terminate existing Fixed Options. We will provide you with written notice before doing so. See “THE FIXED ACCOUNT” section in the prospectus and Appendix E in the prospectus for information regarding the Fixed Account.</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080" w:type="dxa"/>
            <w:vAlign w:val="bottom"/>
            <w:tcBorders>
              <w:top w:val="single" w:sz="8" w:color="auto"/>
              <w:left w:val="single" w:sz="8" w:color="auto"/>
              <w:bottom w:val="single" w:sz="8" w:color="auto"/>
              <w:right w:val="single" w:sz="8" w:color="auto"/>
            </w:tcBorders>
            <w:shd w:val="clear" w:color="auto" w:fill="CCCCCC"/>
          </w:tcPr>
          <w:p>
            <w:pPr>
              <w:ind w:left="60"/>
              <w:spacing w:after="0"/>
              <w:rPr>
                <w:sz w:val="20"/>
                <w:szCs w:val="20"/>
                <w:color w:val="auto"/>
              </w:rPr>
            </w:pPr>
            <w:r>
              <w:rPr>
                <w:rFonts w:ascii="Arial" w:cs="Arial" w:eastAsia="Arial" w:hAnsi="Arial"/>
                <w:sz w:val="12"/>
                <w:szCs w:val="12"/>
                <w:b w:val="1"/>
                <w:bCs w:val="1"/>
                <w:color w:val="auto"/>
              </w:rPr>
              <w:t>Name</w:t>
            </w:r>
          </w:p>
        </w:tc>
        <w:tc>
          <w:tcPr>
            <w:tcW w:w="1300" w:type="dxa"/>
            <w:vAlign w:val="bottom"/>
            <w:tcBorders>
              <w:top w:val="single" w:sz="8" w:color="auto"/>
              <w:bottom w:val="single" w:sz="8" w:color="auto"/>
              <w:right w:val="single" w:sz="8" w:color="auto"/>
            </w:tcBorders>
            <w:shd w:val="clear" w:color="auto" w:fill="CCCCCC"/>
          </w:tcPr>
          <w:p>
            <w:pPr>
              <w:ind w:left="60"/>
              <w:spacing w:after="0"/>
              <w:rPr>
                <w:sz w:val="20"/>
                <w:szCs w:val="20"/>
                <w:color w:val="auto"/>
              </w:rPr>
            </w:pPr>
            <w:r>
              <w:rPr>
                <w:rFonts w:ascii="Arial" w:cs="Arial" w:eastAsia="Arial" w:hAnsi="Arial"/>
                <w:sz w:val="12"/>
                <w:szCs w:val="12"/>
                <w:b w:val="1"/>
                <w:bCs w:val="1"/>
                <w:color w:val="auto"/>
              </w:rPr>
              <w:t>Fixed Account Term</w:t>
            </w:r>
          </w:p>
        </w:tc>
        <w:tc>
          <w:tcPr>
            <w:tcW w:w="2140" w:type="dxa"/>
            <w:vAlign w:val="bottom"/>
            <w:tcBorders>
              <w:top w:val="single" w:sz="8" w:color="auto"/>
              <w:bottom w:val="single" w:sz="8" w:color="auto"/>
              <w:right w:val="single" w:sz="8" w:color="auto"/>
            </w:tcBorders>
            <w:shd w:val="clear" w:color="auto" w:fill="CCCCCC"/>
          </w:tcPr>
          <w:p>
            <w:pPr>
              <w:ind w:left="60"/>
              <w:spacing w:after="0"/>
              <w:rPr>
                <w:sz w:val="20"/>
                <w:szCs w:val="20"/>
                <w:color w:val="auto"/>
              </w:rPr>
            </w:pPr>
            <w:r>
              <w:rPr>
                <w:rFonts w:ascii="Arial" w:cs="Arial" w:eastAsia="Arial" w:hAnsi="Arial"/>
                <w:sz w:val="12"/>
                <w:szCs w:val="12"/>
                <w:b w:val="1"/>
                <w:bCs w:val="1"/>
                <w:color w:val="auto"/>
                <w:w w:val="99"/>
              </w:rPr>
              <w:t>Minimum Guaranteed Interest Rate</w:t>
            </w:r>
            <w:r>
              <w:rPr>
                <w:rFonts w:ascii="Arial" w:cs="Arial" w:eastAsia="Arial" w:hAnsi="Arial"/>
                <w:sz w:val="15"/>
                <w:szCs w:val="15"/>
                <w:b w:val="1"/>
                <w:bCs w:val="1"/>
                <w:color w:val="auto"/>
                <w:w w:val="99"/>
                <w:vertAlign w:val="superscript"/>
              </w:rPr>
              <w:t>2</w:t>
            </w:r>
          </w:p>
        </w:tc>
      </w:tr>
      <w:tr>
        <w:trPr>
          <w:trHeight w:val="154"/>
        </w:trPr>
        <w:tc>
          <w:tcPr>
            <w:tcW w:w="20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Fixed Account</w:t>
            </w:r>
          </w:p>
        </w:tc>
        <w:tc>
          <w:tcPr>
            <w:tcW w:w="13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1 Year</w:t>
            </w:r>
          </w:p>
        </w:tc>
        <w:tc>
          <w:tcPr>
            <w:tcW w:w="2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1%</w:t>
            </w:r>
          </w:p>
        </w:tc>
      </w:tr>
    </w:tbl>
    <w:p>
      <w:pPr>
        <w:spacing w:after="0" w:line="56" w:lineRule="exact"/>
        <w:rPr>
          <w:sz w:val="20"/>
          <w:szCs w:val="20"/>
          <w:color w:val="auto"/>
        </w:rPr>
      </w:pPr>
    </w:p>
    <w:p>
      <w:pPr>
        <w:ind w:right="3839" w:firstLine="8"/>
        <w:spacing w:after="0" w:line="229" w:lineRule="auto"/>
        <w:tabs>
          <w:tab w:leader="none" w:pos="85" w:val="left"/>
        </w:tabs>
        <w:numPr>
          <w:ilvl w:val="0"/>
          <w:numId w:val="5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actual Minimum Guaranteed Interest Rate for your Contract is the amount shown in the Fixed Account Rider attached to your Contract and applies only to amounts in the Fixed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2"/>
          <w:szCs w:val="12"/>
          <w:color w:val="auto"/>
        </w:rPr>
        <w:t>A-3</w:t>
      </w:r>
    </w:p>
    <w:p>
      <w:pPr>
        <w:sectPr>
          <w:pgSz w:w="11900" w:h="16838" w:orient="portrait"/>
          <w:cols w:equalWidth="0" w:num="1">
            <w:col w:w="9359"/>
          </w:cols>
          <w:pgMar w:left="1100" w:top="962" w:right="1440"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5739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180" w:type="dxa"/>
            <w:vAlign w:val="bottom"/>
            <w:vMerge w:val="restart"/>
          </w:tcPr>
          <w:p>
            <w:pPr>
              <w:ind w:left="740"/>
              <w:spacing w:after="0"/>
              <w:rPr>
                <w:sz w:val="20"/>
                <w:szCs w:val="20"/>
                <w:color w:val="auto"/>
              </w:rPr>
            </w:pPr>
            <w:r>
              <w:rPr>
                <w:rFonts w:ascii="Times New Roman" w:cs="Times New Roman" w:eastAsia="Times New Roman" w:hAnsi="Times New Roman"/>
                <w:sz w:val="12"/>
                <w:szCs w:val="12"/>
                <w:color w:val="auto"/>
                <w:w w:val="97"/>
              </w:rPr>
              <w:t>(THIS PAGE INTENTIONALLY LEFT BLANK.)</w:t>
            </w:r>
          </w:p>
        </w:tc>
        <w:tc>
          <w:tcPr>
            <w:tcW w:w="0" w:type="dxa"/>
            <w:vAlign w:val="bottom"/>
          </w:tcPr>
          <w:p>
            <w:pPr>
              <w:spacing w:after="0"/>
              <w:rPr>
                <w:sz w:val="1"/>
                <w:szCs w:val="1"/>
                <w:color w:val="auto"/>
              </w:rPr>
            </w:pPr>
          </w:p>
        </w:tc>
      </w:tr>
      <w:tr>
        <w:trPr>
          <w:trHeight w:val="62"/>
        </w:trPr>
        <w:tc>
          <w:tcPr>
            <w:tcW w:w="800" w:type="dxa"/>
            <w:vAlign w:val="bottom"/>
          </w:tcPr>
          <w:p>
            <w:pPr>
              <w:spacing w:after="0"/>
              <w:rPr>
                <w:sz w:val="5"/>
                <w:szCs w:val="5"/>
                <w:color w:val="auto"/>
              </w:rPr>
            </w:pPr>
          </w:p>
        </w:tc>
        <w:tc>
          <w:tcPr>
            <w:tcW w:w="3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359"/>
          </w:cols>
          <w:pgMar w:left="1100" w:top="1440" w:right="1440" w:bottom="1440" w:gutter="0" w:footer="0" w:header="0"/>
        </w:sectPr>
      </w:pPr>
    </w:p>
    <w:bookmarkStart w:id="81" w:name="page82"/>
    <w:bookmarkEnd w:id="81"/>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57395" cy="36830"/>
                    </a:xfrm>
                    <a:prstGeom prst="rect">
                      <a:avLst/>
                    </a:prstGeom>
                    <a:noFill/>
                  </pic:spPr>
                </pic:pic>
              </a:graphicData>
            </a:graphic>
          </wp:anchor>
        </w:drawing>
        <w:t>APPENDIX B</w:t>
      </w:r>
    </w:p>
    <w:p>
      <w:pPr>
        <w:spacing w:after="0" w:line="87"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t>INDEX PUBLISHERS</w:t>
      </w:r>
    </w:p>
    <w:p>
      <w:pPr>
        <w:spacing w:after="0" w:line="82"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BLNY uses the Indices under license from the Indices’ respective publishers. The following information about the Indices is included in this prospectus in accordance with BLNY’s license agreements with the publishers of the Indices:</w:t>
      </w:r>
    </w:p>
    <w:p>
      <w:pPr>
        <w:spacing w:after="0" w:line="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S&amp;P Opco, LLC requires that the following disclaimer be included in this prospectus:</w:t>
      </w:r>
    </w:p>
    <w:p>
      <w:pPr>
        <w:spacing w:after="0" w:line="74" w:lineRule="exact"/>
        <w:rPr>
          <w:sz w:val="20"/>
          <w:szCs w:val="20"/>
          <w:color w:val="auto"/>
        </w:rPr>
      </w:pPr>
    </w:p>
    <w:p>
      <w:pPr>
        <w:jc w:val="both"/>
        <w:ind w:right="3839" w:firstLine="240"/>
        <w:spacing w:after="0" w:line="231" w:lineRule="auto"/>
        <w:rPr>
          <w:sz w:val="20"/>
          <w:szCs w:val="20"/>
          <w:color w:val="auto"/>
        </w:rPr>
      </w:pPr>
      <w:r>
        <w:rPr>
          <w:rFonts w:ascii="Times New Roman" w:cs="Times New Roman" w:eastAsia="Times New Roman" w:hAnsi="Times New Roman"/>
          <w:sz w:val="12"/>
          <w:szCs w:val="12"/>
          <w:color w:val="auto"/>
        </w:rPr>
        <w:t>The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is a product of S&amp;P Dow Jones Indices LLC or its affiliates (“SPDJI”) and has been licensed for use by affiliates of Brighthouse Financial, Inc., including Brighthouse Services, LLC and Brighthouse Life Insurance Company (collectively, “Brighthouse Financial”). S&amp;P</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US 500, The 500, iBoxx</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iTraxx</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and CDX</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are trademarks of S&amp;P Global, Inc. or its affiliates (“S&amp;P”); Dow Jones</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is a registered trademark of Dow Jones Trademark Holdings LLC (“Dow Jones”); and these trademarks have been licensed for use by SPDJI and sublicensed for certain purposes by Brighthouse Financial. It is not possible to invest directly in an index.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is not sponsored, endorsed, sold or promoted by SPDJI, Dow Jones, S&amp;P, any of their respective affiliates (collectively, “S&amp;P Dow Jones Indices”). S&amp;P Dow Jones Indices makes no representation or warranty, express or implied, to the owners of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or any member of the public regarding the advisability of investing in securities generally or in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particularly or the ability of the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to track general market performance. Past performance of an index is not an indication or guarantee of future results. S&amp;P Dow Jones Indices’ only relationship to Brighthouse Financial with respect to the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is the licensing of the Index and certain trademarks, service marks and/or trade names of S&amp;P Dow Jones Indices and/or its licensors. The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is determined, composed and calculated by S&amp;P Dow Jones Indices without regard to Brighthouse Financial or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S&amp;P Dow Jones Indices have no obligation to take the needs of Brighthouse Financial or the owners of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into consideration in determining, composing or calculating the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S&amp;P Dow Jones Indices have no obligation or liability in connection with the administration, marketing or trading of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There is no assurance that investment products based on the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will accurately track index performance or provide positive investment returns. S&amp;P Dow Jones Indices LLC is not an investment adviser, commodity trading advisory, commodity pool operator, broker dealer, fiduciary, promoter” (as defined in the Investment Company Act of 1940, as amended), “expert” as enumerated within 15 U.S.C. § 77k(a) or tax advisor. Inclusion of a security, commodity, crypto currency or other asset within an index is not a recommendation by S&amp;P Dow Jones Indices to buy, sell, or hold such security, commodity, crypto currency or other asset, nor is it considered to be investment advice or commodity trading advice.</w:t>
      </w:r>
    </w:p>
    <w:p>
      <w:pPr>
        <w:spacing w:after="0" w:line="70" w:lineRule="exact"/>
        <w:rPr>
          <w:sz w:val="20"/>
          <w:szCs w:val="20"/>
          <w:color w:val="auto"/>
        </w:rPr>
      </w:pPr>
    </w:p>
    <w:p>
      <w:pPr>
        <w:jc w:val="both"/>
        <w:ind w:right="3839" w:firstLine="240"/>
        <w:spacing w:after="0" w:line="242" w:lineRule="auto"/>
        <w:rPr>
          <w:sz w:val="20"/>
          <w:szCs w:val="20"/>
          <w:color w:val="auto"/>
        </w:rPr>
      </w:pPr>
      <w:r>
        <w:rPr>
          <w:rFonts w:ascii="Times New Roman" w:cs="Times New Roman" w:eastAsia="Times New Roman" w:hAnsi="Times New Roman"/>
          <w:sz w:val="12"/>
          <w:szCs w:val="12"/>
          <w:color w:val="auto"/>
        </w:rPr>
        <w:t>NEITHER S&amp;P DOW JONES INDICES NOR THIRD PARTY LICENSOR GUARANTEES THE ADEQUACY, ACCURACY, TIMELINESS AND/OR THE COMPLETENESS OF THE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OR ANY DATA RELATED THERETO OR ANY COMMUNICATION, INCLUDING BUT NOT LIMITED TO, ORAL OR WRITTEN COMMUNICATION (INCLUDING ELECTRONIC COMMUNICATIONS) WITH RESPECT THERETO. S&amp;P DOW JONES INDICES SHALL NOT BE SUBJECT TO ANY DAMAGES OR LIABILITY FOR ANY ERRORS, OMISSIONS, OR DELAYS THEREIN. S&amp;P DOW JONES INDICES MAKES NO EXPRESS OR IMPLIED WARRANTIES, AND EXPRESSLY DISCLAIMS ALL WARRANTIES, OF MERCHANTABILITY OR FITNESS FOR A PARTICULAR PURPOSE OR USE OR AS TO RESULTS TO BE OBTAINED BY BRIGHTHOUSE FINANCIAL, OWNERS OF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OR ANY OTHER PERSON OR ENTITY FROM THE USE OF THE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OR WITH RESPECT TO ANY DATA RELATED THERETO. WITHOUT LIMITING ANY OF THE FOREGOING, IN NO EVENT WHATSOEVER SHALL S&amp;P DOW JONES INDICES BE LIABLE FOR ANY INDIRECT, SPECIAL, INCIDENTAL, PUNITIVE, OR CONSEQUENTIAL DAMAGES INCLUDING BUT NOT LIMITED TO, LOSS OF PROFITS, TRADING LOSSES, LOST TIME OR GOODWILL, EVEN IF THEY HAVE BEEN ADVISED OF THE POSSIBILITY OF SUCH DAMAGES, WHETHER IN CONTRACT, TORT, STRICT LIABILITY, OR OTHERWISE. S&amp;P DOW JONES INDICES HAS NOT REVIEWED, PREPARED AND/OR CERTIFIED ANY PORTION OF, NOR DOES S&amp;P DOW JONES INDICES HAVE ANY CONTROL OVER, THE LICENSEE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REGISTRATION STATEMENT, PROSPECTUS OR OTHER OFFERING MATERIALS. THERE ARE NO THIRD-PARTY BENEFICIARIES OF ANY AGREEMENTS OR ARRANGEMENTS BETWEEN S&amp;P DOW JONES INDICES AND BRIGHTHOUSE FINANCIAL, OTHER THAN THE LICENSORS OF S&amp;P DOW JONES INDICES.</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Frank Russell Company requires that the following disclaimer be included in this prospectus:</w:t>
      </w:r>
    </w:p>
    <w:p>
      <w:pPr>
        <w:spacing w:after="0" w:line="65" w:lineRule="exact"/>
        <w:rPr>
          <w:sz w:val="20"/>
          <w:szCs w:val="20"/>
          <w:color w:val="auto"/>
        </w:rPr>
      </w:pPr>
    </w:p>
    <w:p>
      <w:pPr>
        <w:jc w:val="both"/>
        <w:ind w:right="3839" w:firstLine="240"/>
        <w:spacing w:after="0" w:line="231" w:lineRule="auto"/>
        <w:rPr>
          <w:sz w:val="20"/>
          <w:szCs w:val="20"/>
          <w:color w:val="auto"/>
        </w:rPr>
      </w:pPr>
      <w:r>
        <w:rPr>
          <w:rFonts w:ascii="Times New Roman" w:cs="Times New Roman" w:eastAsia="Times New Roman" w:hAnsi="Times New Roman"/>
          <w:sz w:val="12"/>
          <w:szCs w:val="12"/>
          <w:color w:val="auto"/>
        </w:rPr>
        <w:t>The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is not sponsored, endorsed, sold or promoted by Frank Russell Company (“Russell”). Russell makes no representation or warranty, express or implied, to the owners of the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or any member of the public regarding the advisability of investing in securities generally or in the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particularly or the ability of the Russell 2000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to track general stock market performance or a segment of the same. Russell’s publication of the Russell 2000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in no way suggests or implies an opinion by Russell as to the advisability of investment in any or all of the securities upon which the Russell 2000® Index is based. Russell’s only relationship to affiliates of Brighthouse Financial, Inc., including Brighthouse Services, LLC and Brighthouse Life Insurance Company (collectively, “Brighthouse Financial”) is the licensing of certain trademarks and trade names of Russell and of the Russell 2000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which is determined, composed and calculated by Russell without regard to</w:t>
      </w:r>
    </w:p>
    <w:p>
      <w:pPr>
        <w:spacing w:after="0" w:line="17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2"/>
          <w:szCs w:val="12"/>
          <w:color w:val="auto"/>
        </w:rPr>
        <w:t>B-1</w:t>
      </w:r>
    </w:p>
    <w:p>
      <w:pPr>
        <w:sectPr>
          <w:pgSz w:w="11900" w:h="16838" w:orient="portrait"/>
          <w:cols w:equalWidth="0" w:num="1">
            <w:col w:w="9359"/>
          </w:cols>
          <w:pgMar w:left="1100" w:top="962" w:right="1440" w:bottom="1440" w:gutter="0" w:footer="0" w:header="0"/>
        </w:sectPr>
      </w:pPr>
    </w:p>
    <w:bookmarkStart w:id="82" w:name="page83"/>
    <w:bookmarkEnd w:id="82"/>
    <w:p>
      <w:pPr>
        <w:jc w:val="both"/>
        <w:ind w:right="3839"/>
        <w:spacing w:after="0" w:line="23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57395" cy="36830"/>
                    </a:xfrm>
                    <a:prstGeom prst="rect">
                      <a:avLst/>
                    </a:prstGeom>
                    <a:noFill/>
                  </pic:spPr>
                </pic:pic>
              </a:graphicData>
            </a:graphic>
          </wp:anchor>
        </w:drawing>
        <w:t>Brighthouse Financial or the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Russell is not responsible for and has not reviewed the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nor any associated literature or publications and Russell makes no representation or warranty express or implied as to their accuracy or completeness, or otherwise. Russell reserves the right, at any time and without notice, to alter, amend, terminate or in any way change the Russell 2000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Russell has no obligation or liability in connection with the administration, marketing or trading of the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w:t>
      </w:r>
    </w:p>
    <w:p>
      <w:pPr>
        <w:spacing w:after="0" w:line="35"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1"/>
          <w:szCs w:val="11"/>
          <w:color w:val="auto"/>
        </w:rPr>
        <w:t>RUSSELL DOES NOT GUARANTEE THE ACCURACY AND/OR THE COMPLETENESS OF THE RUSSELL 2000</w:t>
      </w:r>
      <w:r>
        <w:rPr>
          <w:rFonts w:ascii="Times New Roman" w:cs="Times New Roman" w:eastAsia="Times New Roman" w:hAnsi="Times New Roman"/>
          <w:sz w:val="14"/>
          <w:szCs w:val="14"/>
          <w:color w:val="auto"/>
          <w:vertAlign w:val="superscript"/>
        </w:rPr>
        <w:t>®</w:t>
      </w:r>
      <w:r>
        <w:rPr>
          <w:rFonts w:ascii="Times New Roman" w:cs="Times New Roman" w:eastAsia="Times New Roman" w:hAnsi="Times New Roman"/>
          <w:sz w:val="11"/>
          <w:szCs w:val="11"/>
          <w:color w:val="auto"/>
        </w:rPr>
        <w:t xml:space="preserve"> INDEX OR ANY DATA INCLUDED THEREIN AND RUSSELL SHALL HAVE NO LIABILITY FOR ANY ERRORS, OMISSIONS, OR INTERRUPTIONS THEREIN. RUSSELL MAKES NO WARRANTY, EXPRESS OR IMPLIED, AS TO RESULTS TO BE OBTAINED BY BRIGHTHOUSE FINANCIAL, INVESTORS, OWNERS OF THE BRIGHTHOUSE SHIELD</w:t>
      </w:r>
      <w:r>
        <w:rPr>
          <w:rFonts w:ascii="Times New Roman" w:cs="Times New Roman" w:eastAsia="Times New Roman" w:hAnsi="Times New Roman"/>
          <w:sz w:val="14"/>
          <w:szCs w:val="14"/>
          <w:color w:val="auto"/>
          <w:vertAlign w:val="superscript"/>
        </w:rPr>
        <w:t>®</w:t>
      </w:r>
      <w:r>
        <w:rPr>
          <w:rFonts w:ascii="Times New Roman" w:cs="Times New Roman" w:eastAsia="Times New Roman" w:hAnsi="Times New Roman"/>
          <w:sz w:val="11"/>
          <w:szCs w:val="11"/>
          <w:color w:val="auto"/>
        </w:rPr>
        <w:t xml:space="preserve"> LEVEL II 6-YEAR ANNUITY OR ANY OTHER PERSON OR ENTITY FROM THE USE OF THE RUSSELL 2000</w:t>
      </w:r>
      <w:r>
        <w:rPr>
          <w:rFonts w:ascii="Times New Roman" w:cs="Times New Roman" w:eastAsia="Times New Roman" w:hAnsi="Times New Roman"/>
          <w:sz w:val="14"/>
          <w:szCs w:val="14"/>
          <w:color w:val="auto"/>
          <w:vertAlign w:val="superscript"/>
        </w:rPr>
        <w:t>®</w:t>
      </w:r>
      <w:r>
        <w:rPr>
          <w:rFonts w:ascii="Times New Roman" w:cs="Times New Roman" w:eastAsia="Times New Roman" w:hAnsi="Times New Roman"/>
          <w:sz w:val="11"/>
          <w:szCs w:val="11"/>
          <w:color w:val="auto"/>
        </w:rPr>
        <w:t xml:space="preserve"> INDEX OR ANY DATA INCLUDED THEREIN. RUSSELL MAKES NO EXPRESS OR IMPLIED WARRANTIES, AND EXPRESSLY DISCLAIMS ALL WARRANTIES OF MERCHANTABILITY OR FITNESS FOR A PARTICULAR PURPOSE OR USE WITH RESPECT TO THE RUSSELL 2000</w:t>
      </w:r>
      <w:r>
        <w:rPr>
          <w:rFonts w:ascii="Times New Roman" w:cs="Times New Roman" w:eastAsia="Times New Roman" w:hAnsi="Times New Roman"/>
          <w:sz w:val="14"/>
          <w:szCs w:val="14"/>
          <w:color w:val="auto"/>
          <w:vertAlign w:val="superscript"/>
        </w:rPr>
        <w:t>®</w:t>
      </w:r>
      <w:r>
        <w:rPr>
          <w:rFonts w:ascii="Times New Roman" w:cs="Times New Roman" w:eastAsia="Times New Roman" w:hAnsi="Times New Roman"/>
          <w:sz w:val="11"/>
          <w:szCs w:val="11"/>
          <w:color w:val="auto"/>
        </w:rPr>
        <w:t xml:space="preserve"> INDEX OR ANY DATA INCLUDED THEREIN. WITHOUT LIMITING ANY OF THE FOREGOING, IN NO EVENT SHALL RUSSELL HAVE ANY LIABILITY FOR ANY SPECIAL, PUNITIVE, INDIRECT, OR CONSEQUENTIAL DAMAGES (INCLUDING LOST PROFITS), EVEN IF NOTIFIED OF THE POSSIBILITY OF SUCH DAMAGES.</w:t>
      </w: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MSCI Inc. requires that the following disclaimer be included in this prospectus:</w:t>
      </w:r>
    </w:p>
    <w:p>
      <w:pPr>
        <w:spacing w:after="0" w:line="65" w:lineRule="exact"/>
        <w:rPr>
          <w:sz w:val="20"/>
          <w:szCs w:val="20"/>
          <w:color w:val="auto"/>
        </w:rPr>
      </w:pPr>
    </w:p>
    <w:p>
      <w:pPr>
        <w:jc w:val="both"/>
        <w:ind w:right="3839" w:firstLine="240"/>
        <w:spacing w:after="0" w:line="250" w:lineRule="auto"/>
        <w:rPr>
          <w:sz w:val="20"/>
          <w:szCs w:val="20"/>
          <w:color w:val="auto"/>
        </w:rPr>
      </w:pPr>
      <w:r>
        <w:rPr>
          <w:rFonts w:ascii="Times New Roman" w:cs="Times New Roman" w:eastAsia="Times New Roman" w:hAnsi="Times New Roman"/>
          <w:sz w:val="12"/>
          <w:szCs w:val="12"/>
          <w:color w:val="auto"/>
        </w:rPr>
        <w:t>THE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IS NOT SPONSORED, ENDORSED, SOLD OR PROMOTED BY MSCI INC. (“MSCI”), ANY OF ITS AFFILIATES, ANY OF ITS INFORMATION PROVIDERS OR ANY OTHER THIRD PARTY INVOLVED IN, OR RELATED TO, COMPILING, COMPUTING OR CREATING ANY MSCI INDEX (COLLECTIVELY, THE “MSCI PARTIES”). THE MSCI INDEXES ARE THE EXCLUSIVE PROPERTY OF MSCI. MSCI AND THE MSCI INDEX NAMES ARE SERVICE MARK(S) OF MSCI OR ITS AFFILIATES AND HAVE BEEN LICENSED FOR USE FOR CERTAIN PURPOSES BY AFFILIATES OF BRIGHTHOUSE FINANCIAL, INC. INCLUDING BRIGHTHOUSE SERVICES, LLC, BRIGHTHOUSE LIFE INSURANCE COMPANY, AND BRIGHTHOUSE LIFE INSURANCE COMPANY OF NY (COLLECTIVELY, “BRIGHTHOUSE FINANCIAL”). NONE OF THE MSCI PARTIES MAKES ANY REPRESENTATION OR WARRANTY, EXPRESS OR IMPLIED, TO THE ISSUER OR OWNERS OF THIS PRODUCT OR ANY OTHER PERSON OR ENTITY REGARDING THE ADVISABILITY OF INVESTING IN PRODUCTS GENERALLY OR IN THIS PRODUCT PARTICULARLY OR THE ABILITY OF ANY MSCI INDEX TO TRACK CORRESPONDING STOCK MARKET PERFORMANCE. MSCI OR ITS AFFILIATES ARE THE LICENSORS OF CERTAIN TRADEMARKS, SERVICE MARKS AND TRADE NAMES AND OF THE MSCI INDEXES WHICH ARE DETERMINED, COMPOSED AND CALCULATED BY MSCI WITHOUT REGARD TO THIS PRODUCT OR THE ISSUER OR OWNERS OF THIS PRODUCT OR ANY OTHER PERSON OR ENTITY. NONE OF THE MSCI PARTIES HAS ANY OBLIGATION TO TAKE THE NEEDS OF THE ISSUER OR OWNERS OF THIS PRODUCT OR ANY OTHER PERSON OR ENTITY INTO CONSIDERATION IN DETERMINING, COMPOSING OR CALCULATING THE MSCI INDEXES. NONE OF THE MSCI PARTIES IS RESPONSIBLE FOR OR HAS PARTICIPATED IN THE DETERMINATION OF THE TIMING OF, PRICES AT, OR QUANTITIES OF THIS PRODUCT TO BE ISSUED OR IN THE DETERMINATION OR CALCULATION OF THE EQUATION BY OR THE CONSIDERATION INTO WHICH THIS PRODUCT IS REDEEMABLE. FURTHER, NONE OF THE MSCI PARTIES HAS ANY OBLIGATION OR LIABILITY TO THE ISSUER OR OWNERS OF THIS PRODUCT OR ANY OTHER PERSON OR ENTITY IN CONNECTION WITH THE ADMINISTRATION, MARKETING OR OFFERING OF THIS PRODUCT.</w:t>
      </w:r>
    </w:p>
    <w:p>
      <w:pPr>
        <w:spacing w:after="0" w:line="64" w:lineRule="exact"/>
        <w:rPr>
          <w:sz w:val="20"/>
          <w:szCs w:val="20"/>
          <w:color w:val="auto"/>
        </w:rPr>
      </w:pPr>
    </w:p>
    <w:p>
      <w:pPr>
        <w:jc w:val="both"/>
        <w:ind w:right="3839" w:firstLine="240"/>
        <w:spacing w:after="0" w:line="252" w:lineRule="auto"/>
        <w:rPr>
          <w:sz w:val="20"/>
          <w:szCs w:val="20"/>
          <w:color w:val="auto"/>
        </w:rPr>
      </w:pPr>
      <w:r>
        <w:rPr>
          <w:rFonts w:ascii="Times New Roman" w:cs="Times New Roman" w:eastAsia="Times New Roman" w:hAnsi="Times New Roman"/>
          <w:sz w:val="12"/>
          <w:szCs w:val="12"/>
          <w:color w:val="auto"/>
        </w:rPr>
        <w:t>ALTHOUGH MSCI SHALL OBTAIN INFORMATION FOR INCLUSION IN OR FOR USE IN THE CALCULATION OF THE MSCI INDEXES FROM SOURCES THAT MSCI CONSIDERS RELIABLE, NONE OF THE MSCI PARTIES WARRANTS OR GUARANTEES THE ORIGINALITY, ACCURACY AND/OR THE COMPLETENESS OF ANY MSCI INDEX OR ANY DATA INCLUDED THEREIN. NONE OF THE MSCI PARTIES MAKES ANY WARRANTY, EXPRESS OR IMPLIED, AS TO RESULTS TO BE OBTAINED BY THE ISSUER OF THE PRODUCT, OWNERS OF THE PRODUCT, OR ANY OTHER PERSON OR ENTITY, FROM THE USE OF ANY MSCI INDEX OR ANY DATA INCLUDED THEREIN. NONE OF THE MSCI PARTIES SHALL HAVE ANY LIABILITY FOR ANY ERRORS, OMISSIONS OR INTERRUPTIONS OF OR IN CONNECTION WITH ANY MSCI INDEX OR ANY DATA INCLUDED THEREIN. FURTHER, NONE OF THE MSCI PARTIES MAKES ANY EXPRESS OR IMPLIED WARRANTIES OF ANY KIND, AND THE MSCI PARTIES HEREBY EXPRESSLY DISCLAIM ALL WARRANTIES OF MERCHANTABILITY AND FITNESS FOR A PARTICULAR PURPOSE, WITH RESPECT TO EACH MSCI INDEX AND ANY DATA INCLUDED THEREIN. WITHOUT LIMITING ANY OF THE FOREGOING, IN NO EVENT SHALL ANY OF THE MSCI PARTIES HAVE ANY LIABILITY FOR ANY DIRECT, INDIRECT, SPECIAL, PUNITIVE, CONSEQUENTIAL OR ANY OTHER DAMAGES (INCLUDING LOST PROFITS) EVEN IF NOTIFIED OF THE POSSIBILITY OF SUCH DAMAGES.</w:t>
      </w:r>
    </w:p>
    <w:p>
      <w:pPr>
        <w:spacing w:after="0" w:line="45" w:lineRule="exact"/>
        <w:rPr>
          <w:sz w:val="20"/>
          <w:szCs w:val="20"/>
          <w:color w:val="auto"/>
        </w:rPr>
      </w:pPr>
    </w:p>
    <w:p>
      <w:pPr>
        <w:jc w:val="both"/>
        <w:ind w:right="3839" w:firstLine="240"/>
        <w:spacing w:after="0" w:line="251" w:lineRule="auto"/>
        <w:rPr>
          <w:sz w:val="20"/>
          <w:szCs w:val="20"/>
          <w:color w:val="auto"/>
        </w:rPr>
      </w:pPr>
      <w:r>
        <w:rPr>
          <w:rFonts w:ascii="Times New Roman" w:cs="Times New Roman" w:eastAsia="Times New Roman" w:hAnsi="Times New Roman"/>
          <w:sz w:val="12"/>
          <w:szCs w:val="12"/>
          <w:color w:val="auto"/>
        </w:rPr>
        <w:t>No purchaser, seller or holder of the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or any other person or entity, should use or refer to any MSCI trade name, trademark or service mark to sponsor, endorse, market or promote this security without first contacting MSCI to determine whether MSCI’s permission is required. Under no circumstances may any person or entity claim any affiliation with MSCI without the prior written permission of MSCI.</w:t>
      </w:r>
    </w:p>
    <w:p>
      <w:pPr>
        <w:spacing w:after="0" w:line="16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2"/>
          <w:szCs w:val="12"/>
          <w:color w:val="auto"/>
        </w:rPr>
        <w:t>B-2</w:t>
      </w:r>
    </w:p>
    <w:p>
      <w:pPr>
        <w:sectPr>
          <w:pgSz w:w="11900" w:h="16838" w:orient="portrait"/>
          <w:cols w:equalWidth="0" w:num="1">
            <w:col w:w="9359"/>
          </w:cols>
          <w:pgMar w:left="1100" w:top="953" w:right="1440" w:bottom="1440" w:gutter="0" w:footer="0" w:header="0"/>
        </w:sectPr>
      </w:pPr>
    </w:p>
    <w:bookmarkStart w:id="83" w:name="page84"/>
    <w:bookmarkEnd w:id="83"/>
    <w:p>
      <w:pPr>
        <w:ind w:left="2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57395" cy="36830"/>
                    </a:xfrm>
                    <a:prstGeom prst="rect">
                      <a:avLst/>
                    </a:prstGeom>
                    <a:noFill/>
                  </pic:spPr>
                </pic:pic>
              </a:graphicData>
            </a:graphic>
          </wp:anchor>
        </w:drawing>
        <w:t>Nasdaq, Inc. requires that the following disclaimer be included in this prospectus:</w:t>
      </w:r>
    </w:p>
    <w:p>
      <w:pPr>
        <w:spacing w:after="0" w:line="65" w:lineRule="exact"/>
        <w:rPr>
          <w:sz w:val="20"/>
          <w:szCs w:val="20"/>
          <w:color w:val="auto"/>
        </w:rPr>
      </w:pPr>
    </w:p>
    <w:p>
      <w:pPr>
        <w:jc w:val="both"/>
        <w:ind w:right="3839" w:firstLine="240"/>
        <w:spacing w:after="0" w:line="222" w:lineRule="auto"/>
        <w:rPr>
          <w:sz w:val="20"/>
          <w:szCs w:val="20"/>
          <w:color w:val="auto"/>
        </w:rPr>
      </w:pPr>
      <w:r>
        <w:rPr>
          <w:rFonts w:ascii="Times New Roman" w:cs="Times New Roman" w:eastAsia="Times New Roman" w:hAnsi="Times New Roman"/>
          <w:sz w:val="12"/>
          <w:szCs w:val="12"/>
          <w:color w:val="auto"/>
        </w:rPr>
        <w:t>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is not sponsored, endorsed, sold or promoted by Nasdaq, Inc. or its affiliates (Nasdaq, Inc. with its affiliates, are referred to as the “Corporations”). The Corporations have not passed on the legality or suitability of, or the accuracy or adequacy of descriptions and disclosures relating to,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The Corporations make no representation or warranty, express or implied to the owners of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or any member of the public regarding the advisability of investing in securities generally or in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particularly, or the ability of the Nasdaq-100 Index</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to track general stock market performance. The Corporations' only relationship to Brighthouse Life Insurance Company (“Licensee”) is in the licensing of the Nasdaq-100 Index</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and certain trade names of the Corporations and the use of the Nasdaq-100 Index</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which is determined, composed and calculated by Nasdaq</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without regard to Licensee or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Nasdaq</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has no obligation to take the needs of the Licensee or the owners of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into consideration in determining, composing or calculating the Nasdaq-100 Index</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The Corporations are not responsible for and have not participated in the determination of the timing of, prices at, or quantities of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to be issued or in the determination or calculation of the equation by which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is to be converted into cash. The Corporations have no liability in connection with the administration, marketing or trading of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w:t>
      </w:r>
    </w:p>
    <w:p>
      <w:pPr>
        <w:spacing w:after="0" w:line="65" w:lineRule="exact"/>
        <w:rPr>
          <w:sz w:val="20"/>
          <w:szCs w:val="20"/>
          <w:color w:val="auto"/>
        </w:rPr>
      </w:pPr>
    </w:p>
    <w:p>
      <w:pPr>
        <w:jc w:val="both"/>
        <w:ind w:right="3839" w:firstLine="240"/>
        <w:spacing w:after="0" w:line="236" w:lineRule="auto"/>
        <w:rPr>
          <w:sz w:val="20"/>
          <w:szCs w:val="20"/>
          <w:color w:val="auto"/>
        </w:rPr>
      </w:pPr>
      <w:r>
        <w:rPr>
          <w:rFonts w:ascii="Times New Roman" w:cs="Times New Roman" w:eastAsia="Times New Roman" w:hAnsi="Times New Roman"/>
          <w:sz w:val="12"/>
          <w:szCs w:val="12"/>
          <w:color w:val="auto"/>
        </w:rPr>
        <w:t>THE CORPORATIONS DO NOT GUARANTEE THE ACCURACY AND/OR UNINTERRUPTED CALCULATION OF NASDAQ-100 INDEX</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OR ANY DATA INCLUDED THEREIN. THE CORPORATIONS MAKE NO WARRANTY, EXPRESS OR IMPLIED, AS TO RESULTS TO BE OBTAINED BY LICENSEE, OWNERS OF BRIGHTHOUSE SHIELD</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LEVEL II 6-YEAR ANNUITY, OR ANY OTHER PERSON OR ENTITY FROM THE USE OF THE NASDAQ-100 INDEX</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OR ANY DATA INCLUDED THEREIN. THE CORPORATIONS MAKE NO EXPRESS OR IMPLIED WARRANTIES, AND EXPRESSLY DISCLAIM ALL WARRANTIES OF MERCHANTABILITY OR FITNESS FOR A PARTICULAR PURPOSE OR USE WITH RESPECT TO THE NASDAQ-100 INDEX</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OR ANY DATA INCLUDED THEREIN. WITHOUT LIMITING ANY OF THE FOREGOING, IN NO EVENT SHALL THE CORPORATIONS HAVE ANY LIABILITY FOR ANY LOST PROFITS OR SPECIAL, INCIDENTAL, PUNITIVE, INDIRECT, OR CONSEQUENTIAL DAMAGES, EVEN IF NOTIFIED OF THE POSSIBILITY OF SUCH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2"/>
          <w:szCs w:val="12"/>
          <w:color w:val="auto"/>
        </w:rPr>
        <w:t>B-3</w:t>
      </w:r>
    </w:p>
    <w:p>
      <w:pPr>
        <w:sectPr>
          <w:pgSz w:w="11900" w:h="16838" w:orient="portrait"/>
          <w:cols w:equalWidth="0" w:num="1">
            <w:col w:w="9359"/>
          </w:cols>
          <w:pgMar w:left="1100" w:top="966" w:right="1440"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5739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180" w:type="dxa"/>
            <w:vAlign w:val="bottom"/>
            <w:vMerge w:val="restart"/>
          </w:tcPr>
          <w:p>
            <w:pPr>
              <w:ind w:left="740"/>
              <w:spacing w:after="0"/>
              <w:rPr>
                <w:sz w:val="20"/>
                <w:szCs w:val="20"/>
                <w:color w:val="auto"/>
              </w:rPr>
            </w:pPr>
            <w:r>
              <w:rPr>
                <w:rFonts w:ascii="Times New Roman" w:cs="Times New Roman" w:eastAsia="Times New Roman" w:hAnsi="Times New Roman"/>
                <w:sz w:val="12"/>
                <w:szCs w:val="12"/>
                <w:color w:val="auto"/>
                <w:w w:val="97"/>
              </w:rPr>
              <w:t>(THIS PAGE INTENTIONALLY LEFT BLANK.)</w:t>
            </w:r>
          </w:p>
        </w:tc>
        <w:tc>
          <w:tcPr>
            <w:tcW w:w="0" w:type="dxa"/>
            <w:vAlign w:val="bottom"/>
          </w:tcPr>
          <w:p>
            <w:pPr>
              <w:spacing w:after="0"/>
              <w:rPr>
                <w:sz w:val="1"/>
                <w:szCs w:val="1"/>
                <w:color w:val="auto"/>
              </w:rPr>
            </w:pPr>
          </w:p>
        </w:tc>
      </w:tr>
      <w:tr>
        <w:trPr>
          <w:trHeight w:val="62"/>
        </w:trPr>
        <w:tc>
          <w:tcPr>
            <w:tcW w:w="800" w:type="dxa"/>
            <w:vAlign w:val="bottom"/>
          </w:tcPr>
          <w:p>
            <w:pPr>
              <w:spacing w:after="0"/>
              <w:rPr>
                <w:sz w:val="5"/>
                <w:szCs w:val="5"/>
                <w:color w:val="auto"/>
              </w:rPr>
            </w:pPr>
          </w:p>
        </w:tc>
        <w:tc>
          <w:tcPr>
            <w:tcW w:w="3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359"/>
          </w:cols>
          <w:pgMar w:left="1100" w:top="1440" w:right="1440" w:bottom="1440" w:gutter="0" w:footer="0" w:header="0"/>
        </w:sectPr>
      </w:pPr>
    </w:p>
    <w:bookmarkStart w:id="85" w:name="page86"/>
    <w:bookmarkEnd w:id="85"/>
    <w:p>
      <w:pPr>
        <w:jc w:val="center"/>
        <w:ind w:right="38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57395" cy="36830"/>
                    </a:xfrm>
                    <a:prstGeom prst="rect">
                      <a:avLst/>
                    </a:prstGeom>
                    <a:noFill/>
                  </pic:spPr>
                </pic:pic>
              </a:graphicData>
            </a:graphic>
          </wp:anchor>
        </w:drawing>
        <w:t>APPENDIX C</w:t>
      </w:r>
    </w:p>
    <w:p>
      <w:pPr>
        <w:spacing w:after="0" w:line="78" w:lineRule="exact"/>
        <w:rPr>
          <w:sz w:val="20"/>
          <w:szCs w:val="20"/>
          <w:color w:val="auto"/>
        </w:rPr>
      </w:pPr>
    </w:p>
    <w:p>
      <w:pPr>
        <w:jc w:val="center"/>
        <w:ind w:right="3819"/>
        <w:spacing w:after="0"/>
        <w:rPr>
          <w:sz w:val="20"/>
          <w:szCs w:val="20"/>
          <w:color w:val="auto"/>
        </w:rPr>
      </w:pPr>
      <w:r>
        <w:rPr>
          <w:rFonts w:ascii="Times New Roman" w:cs="Times New Roman" w:eastAsia="Times New Roman" w:hAnsi="Times New Roman"/>
          <w:sz w:val="12"/>
          <w:szCs w:val="12"/>
          <w:b w:val="1"/>
          <w:bCs w:val="1"/>
          <w:color w:val="auto"/>
        </w:rPr>
        <w:t>INDEX SUBSTITUTION INVESTMENT AMOUNT EXAMPLE</w:t>
      </w:r>
    </w:p>
    <w:p>
      <w:pPr>
        <w:spacing w:after="0" w:line="82" w:lineRule="exact"/>
        <w:rPr>
          <w:sz w:val="20"/>
          <w:szCs w:val="20"/>
          <w:color w:val="auto"/>
        </w:rPr>
      </w:pPr>
    </w:p>
    <w:p>
      <w:pPr>
        <w:jc w:val="both"/>
        <w:ind w:right="3839" w:firstLine="240"/>
        <w:spacing w:after="0" w:line="263" w:lineRule="auto"/>
        <w:rPr>
          <w:sz w:val="20"/>
          <w:szCs w:val="20"/>
          <w:color w:val="auto"/>
        </w:rPr>
      </w:pPr>
      <w:r>
        <w:rPr>
          <w:rFonts w:ascii="Times New Roman" w:cs="Times New Roman" w:eastAsia="Times New Roman" w:hAnsi="Times New Roman"/>
          <w:sz w:val="12"/>
          <w:szCs w:val="12"/>
          <w:color w:val="auto"/>
        </w:rPr>
        <w:t>The following example illustrates how we would calculate your Investment Amount on a Term End Date when there is an Index substitution. We assume no withdrawals and a $100,000 Purchase Payment into a Shield Option with a 1-Year Term / Shield 10 /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with a Cap Rate of 10%.</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Initial Account Value:</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3200" w:type="dxa"/>
            <w:vAlign w:val="bottom"/>
            <w:tcBorders>
              <w:top w:val="single" w:sz="8" w:color="auto"/>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Investment Amount at Term Start Date</w:t>
            </w:r>
          </w:p>
        </w:tc>
        <w:tc>
          <w:tcPr>
            <w:tcW w:w="1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$100,000</w:t>
            </w:r>
          </w:p>
        </w:tc>
      </w:tr>
      <w:tr>
        <w:trPr>
          <w:trHeight w:val="169"/>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Term</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1-Year</w:t>
            </w:r>
          </w:p>
        </w:tc>
      </w:tr>
      <w:tr>
        <w:trPr>
          <w:trHeight w:val="187"/>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Initial Index</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S&amp;P 500</w:t>
            </w:r>
            <w:r>
              <w:rPr>
                <w:rFonts w:ascii="Times New Roman" w:cs="Times New Roman" w:eastAsia="Times New Roman" w:hAnsi="Times New Roman"/>
                <w:sz w:val="15"/>
                <w:szCs w:val="15"/>
                <w:color w:val="auto"/>
                <w:w w:val="97"/>
                <w:vertAlign w:val="superscript"/>
              </w:rPr>
              <w:t>®</w:t>
            </w:r>
            <w:r>
              <w:rPr>
                <w:rFonts w:ascii="Times New Roman" w:cs="Times New Roman" w:eastAsia="Times New Roman" w:hAnsi="Times New Roman"/>
                <w:sz w:val="12"/>
                <w:szCs w:val="12"/>
                <w:color w:val="auto"/>
                <w:w w:val="97"/>
              </w:rPr>
              <w:t xml:space="preserve"> Index</w:t>
            </w:r>
          </w:p>
        </w:tc>
      </w:tr>
      <w:tr>
        <w:trPr>
          <w:trHeight w:val="178"/>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Index Value on Term Start Date for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1,400</w:t>
            </w:r>
          </w:p>
        </w:tc>
      </w:tr>
      <w:tr>
        <w:trPr>
          <w:trHeight w:val="160"/>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Cap Rate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r>
      <w:tr>
        <w:trPr>
          <w:trHeight w:val="164"/>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Shield Rate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r>
      <w:tr>
        <w:trPr>
          <w:trHeight w:val="35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On date of Index Substitution halfway through the Term:</w:t>
            </w:r>
          </w:p>
        </w:tc>
        <w:tc>
          <w:tcPr>
            <w:tcW w:w="1200" w:type="dxa"/>
            <w:vAlign w:val="bottom"/>
          </w:tcPr>
          <w:p>
            <w:pPr>
              <w:spacing w:after="0"/>
              <w:rPr>
                <w:sz w:val="24"/>
                <w:szCs w:val="24"/>
                <w:color w:val="auto"/>
              </w:rPr>
            </w:pPr>
          </w:p>
        </w:tc>
      </w:tr>
      <w:tr>
        <w:trPr>
          <w:trHeight w:val="31"/>
        </w:trPr>
        <w:tc>
          <w:tcPr>
            <w:tcW w:w="7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5"/>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Index substitution</w:t>
            </w:r>
          </w:p>
        </w:tc>
        <w:tc>
          <w:tcPr>
            <w:tcW w:w="1200" w:type="dxa"/>
            <w:vAlign w:val="bottom"/>
            <w:tcBorders>
              <w:bottom w:val="single" w:sz="8" w:color="auto"/>
              <w:right w:val="single" w:sz="8" w:color="auto"/>
            </w:tcBorders>
          </w:tcPr>
          <w:p>
            <w:pPr>
              <w:spacing w:after="0"/>
              <w:rPr>
                <w:sz w:val="14"/>
                <w:szCs w:val="14"/>
                <w:color w:val="auto"/>
              </w:rPr>
            </w:pPr>
          </w:p>
        </w:tc>
      </w:tr>
      <w:tr>
        <w:trPr>
          <w:trHeight w:val="169"/>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Number of days since Term Start Date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183</w:t>
            </w:r>
          </w:p>
        </w:tc>
      </w:tr>
      <w:tr>
        <w:trPr>
          <w:trHeight w:val="187"/>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Index Value for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1,330</w:t>
            </w:r>
          </w:p>
        </w:tc>
      </w:tr>
      <w:tr>
        <w:trPr>
          <w:trHeight w:val="178"/>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Index Performance for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w:t>
            </w:r>
            <w:r>
              <w:rPr>
                <w:rFonts w:ascii="Times New Roman" w:cs="Times New Roman" w:eastAsia="Times New Roman" w:hAnsi="Times New Roman"/>
                <w:sz w:val="15"/>
                <w:szCs w:val="15"/>
                <w:color w:val="auto"/>
                <w:vertAlign w:val="superscript"/>
              </w:rPr>
              <w:t>(1)</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w:t>
            </w:r>
          </w:p>
        </w:tc>
      </w:tr>
      <w:tr>
        <w:trPr>
          <w:trHeight w:val="178"/>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Substituted Index</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Russell 2000</w:t>
            </w:r>
            <w:r>
              <w:rPr>
                <w:rFonts w:ascii="Times New Roman" w:cs="Times New Roman" w:eastAsia="Times New Roman" w:hAnsi="Times New Roman"/>
                <w:sz w:val="15"/>
                <w:szCs w:val="15"/>
                <w:color w:val="auto"/>
                <w:w w:val="97"/>
                <w:vertAlign w:val="superscript"/>
              </w:rPr>
              <w:t>®</w:t>
            </w:r>
            <w:r>
              <w:rPr>
                <w:rFonts w:ascii="Times New Roman" w:cs="Times New Roman" w:eastAsia="Times New Roman" w:hAnsi="Times New Roman"/>
                <w:sz w:val="12"/>
                <w:szCs w:val="12"/>
                <w:color w:val="auto"/>
                <w:w w:val="97"/>
              </w:rPr>
              <w:t xml:space="preserve"> Index</w:t>
            </w:r>
          </w:p>
        </w:tc>
      </w:tr>
      <w:tr>
        <w:trPr>
          <w:trHeight w:val="163"/>
        </w:trPr>
        <w:tc>
          <w:tcPr>
            <w:tcW w:w="3200" w:type="dxa"/>
            <w:vAlign w:val="bottom"/>
            <w:tcBorders>
              <w:left w:val="single" w:sz="8" w:color="auto"/>
              <w:bottom w:val="single" w:sz="8" w:color="auto"/>
              <w:right w:val="single" w:sz="8" w:color="auto"/>
            </w:tcBorders>
            <w:gridSpan w:val="2"/>
          </w:tcPr>
          <w:p>
            <w:pPr>
              <w:ind w:left="80"/>
              <w:spacing w:after="0" w:line="164" w:lineRule="exact"/>
              <w:rPr>
                <w:sz w:val="20"/>
                <w:szCs w:val="20"/>
                <w:color w:val="auto"/>
              </w:rPr>
            </w:pPr>
            <w:r>
              <w:rPr>
                <w:rFonts w:ascii="Times New Roman" w:cs="Times New Roman" w:eastAsia="Times New Roman" w:hAnsi="Times New Roman"/>
                <w:sz w:val="12"/>
                <w:szCs w:val="12"/>
                <w:color w:val="auto"/>
              </w:rPr>
              <w:t>Index Value for Russell 2000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on substitution date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1,250</w:t>
            </w:r>
          </w:p>
        </w:tc>
      </w:tr>
      <w:tr>
        <w:trPr>
          <w:trHeight w:val="35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Calculation of Investment Amount at Term End Date:</w:t>
            </w:r>
          </w:p>
        </w:tc>
        <w:tc>
          <w:tcPr>
            <w:tcW w:w="1200" w:type="dxa"/>
            <w:vAlign w:val="bottom"/>
          </w:tcPr>
          <w:p>
            <w:pPr>
              <w:spacing w:after="0"/>
              <w:rPr>
                <w:sz w:val="24"/>
                <w:szCs w:val="24"/>
                <w:color w:val="auto"/>
              </w:rPr>
            </w:pPr>
          </w:p>
        </w:tc>
      </w:tr>
      <w:tr>
        <w:trPr>
          <w:trHeight w:val="31"/>
        </w:trPr>
        <w:tc>
          <w:tcPr>
            <w:tcW w:w="7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Index Value for Russell 2000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1,375</w:t>
            </w:r>
          </w:p>
        </w:tc>
      </w:tr>
      <w:tr>
        <w:trPr>
          <w:trHeight w:val="178"/>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Index Performance for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w:t>
            </w:r>
            <w:r>
              <w:rPr>
                <w:rFonts w:ascii="Times New Roman" w:cs="Times New Roman" w:eastAsia="Times New Roman" w:hAnsi="Times New Roman"/>
                <w:sz w:val="15"/>
                <w:szCs w:val="15"/>
                <w:color w:val="auto"/>
                <w:vertAlign w:val="superscript"/>
              </w:rPr>
              <w:t>(1)</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w:t>
            </w:r>
          </w:p>
        </w:tc>
      </w:tr>
      <w:tr>
        <w:trPr>
          <w:trHeight w:val="178"/>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Index Performance for Russell 2000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w:t>
            </w:r>
            <w:r>
              <w:rPr>
                <w:rFonts w:ascii="Times New Roman" w:cs="Times New Roman" w:eastAsia="Times New Roman" w:hAnsi="Times New Roman"/>
                <w:sz w:val="15"/>
                <w:szCs w:val="15"/>
                <w:color w:val="auto"/>
                <w:vertAlign w:val="superscript"/>
              </w:rPr>
              <w:t>(2)</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r>
      <w:tr>
        <w:trPr>
          <w:trHeight w:val="178"/>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Total Index Performance for the Term</w:t>
            </w:r>
            <w:r>
              <w:rPr>
                <w:rFonts w:ascii="Times New Roman" w:cs="Times New Roman" w:eastAsia="Times New Roman" w:hAnsi="Times New Roman"/>
                <w:sz w:val="15"/>
                <w:szCs w:val="15"/>
                <w:color w:val="auto"/>
                <w:vertAlign w:val="superscript"/>
              </w:rPr>
              <w:t>(3)</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4.5%</w:t>
            </w:r>
          </w:p>
        </w:tc>
      </w:tr>
      <w:tr>
        <w:trPr>
          <w:trHeight w:val="160"/>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Cap Rate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r>
      <w:tr>
        <w:trPr>
          <w:trHeight w:val="169"/>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Shield Rate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r>
      <w:tr>
        <w:trPr>
          <w:trHeight w:val="187"/>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Performance Rate</w:t>
            </w:r>
            <w:r>
              <w:rPr>
                <w:rFonts w:ascii="Times New Roman" w:cs="Times New Roman" w:eastAsia="Times New Roman" w:hAnsi="Times New Roman"/>
                <w:sz w:val="15"/>
                <w:szCs w:val="15"/>
                <w:color w:val="auto"/>
                <w:vertAlign w:val="superscript"/>
              </w:rPr>
              <w:t>(4)</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4.5%</w:t>
            </w:r>
          </w:p>
        </w:tc>
      </w:tr>
      <w:tr>
        <w:trPr>
          <w:trHeight w:val="178"/>
        </w:trPr>
        <w:tc>
          <w:tcPr>
            <w:tcW w:w="3200" w:type="dxa"/>
            <w:vAlign w:val="bottom"/>
            <w:tcBorders>
              <w:left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Performance Rate Adjustment</w:t>
            </w:r>
            <w:r>
              <w:rPr>
                <w:rFonts w:ascii="Times New Roman" w:cs="Times New Roman" w:eastAsia="Times New Roman" w:hAnsi="Times New Roman"/>
                <w:sz w:val="15"/>
                <w:szCs w:val="15"/>
                <w:color w:val="auto"/>
                <w:vertAlign w:val="superscript"/>
              </w:rPr>
              <w:t>(5)</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$4,500</w:t>
            </w:r>
          </w:p>
        </w:tc>
      </w:tr>
      <w:tr>
        <w:trPr>
          <w:trHeight w:val="163"/>
        </w:trPr>
        <w:tc>
          <w:tcPr>
            <w:tcW w:w="3200" w:type="dxa"/>
            <w:vAlign w:val="bottom"/>
            <w:tcBorders>
              <w:left w:val="single" w:sz="8" w:color="auto"/>
              <w:bottom w:val="single" w:sz="8" w:color="auto"/>
              <w:right w:val="single" w:sz="8" w:color="auto"/>
            </w:tcBorders>
            <w:gridSpan w:val="2"/>
          </w:tcPr>
          <w:p>
            <w:pPr>
              <w:ind w:left="80"/>
              <w:spacing w:after="0" w:line="164" w:lineRule="exact"/>
              <w:rPr>
                <w:sz w:val="20"/>
                <w:szCs w:val="20"/>
                <w:color w:val="auto"/>
              </w:rPr>
            </w:pPr>
            <w:r>
              <w:rPr>
                <w:rFonts w:ascii="Times New Roman" w:cs="Times New Roman" w:eastAsia="Times New Roman" w:hAnsi="Times New Roman"/>
                <w:sz w:val="12"/>
                <w:szCs w:val="12"/>
                <w:color w:val="auto"/>
              </w:rPr>
              <w:t>Investment Amount at Term End Date</w:t>
            </w:r>
            <w:r>
              <w:rPr>
                <w:rFonts w:ascii="Times New Roman" w:cs="Times New Roman" w:eastAsia="Times New Roman" w:hAnsi="Times New Roman"/>
                <w:sz w:val="15"/>
                <w:szCs w:val="15"/>
                <w:color w:val="auto"/>
                <w:vertAlign w:val="superscript"/>
              </w:rPr>
              <w:t>(6)</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$104,500</w:t>
            </w:r>
          </w:p>
        </w:tc>
      </w:tr>
      <w:tr>
        <w:trPr>
          <w:trHeight w:val="128"/>
        </w:trPr>
        <w:tc>
          <w:tcPr>
            <w:tcW w:w="740" w:type="dxa"/>
            <w:vAlign w:val="bottom"/>
            <w:tcBorders>
              <w:bottom w:val="single" w:sz="8" w:color="auto"/>
            </w:tcBorders>
          </w:tcPr>
          <w:p>
            <w:pPr>
              <w:spacing w:after="0"/>
              <w:rPr>
                <w:sz w:val="11"/>
                <w:szCs w:val="11"/>
                <w:color w:val="auto"/>
              </w:rPr>
            </w:pPr>
          </w:p>
        </w:tc>
        <w:tc>
          <w:tcPr>
            <w:tcW w:w="2460" w:type="dxa"/>
            <w:vAlign w:val="bottom"/>
          </w:tcPr>
          <w:p>
            <w:pPr>
              <w:spacing w:after="0"/>
              <w:rPr>
                <w:sz w:val="11"/>
                <w:szCs w:val="11"/>
                <w:color w:val="auto"/>
              </w:rPr>
            </w:pPr>
          </w:p>
        </w:tc>
        <w:tc>
          <w:tcPr>
            <w:tcW w:w="12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-29210</wp:posOffset>
            </wp:positionV>
            <wp:extent cx="3111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11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111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115" cy="42545"/>
                    </a:xfrm>
                    <a:prstGeom prst="rect">
                      <a:avLst/>
                    </a:prstGeom>
                    <a:noFill/>
                  </pic:spPr>
                </pic:pic>
              </a:graphicData>
            </a:graphic>
          </wp:anchor>
        </w:drawing>
      </w:r>
    </w:p>
    <w:p>
      <w:pPr>
        <w:spacing w:after="0" w:line="37" w:lineRule="exact"/>
        <w:rPr>
          <w:sz w:val="20"/>
          <w:szCs w:val="20"/>
          <w:color w:val="auto"/>
        </w:rPr>
      </w:pPr>
    </w:p>
    <w:p>
      <w:pPr>
        <w:ind w:right="4139"/>
        <w:spacing w:after="0" w:line="257" w:lineRule="auto"/>
        <w:rPr>
          <w:sz w:val="20"/>
          <w:szCs w:val="20"/>
          <w:color w:val="auto"/>
        </w:rPr>
      </w:pPr>
      <w:r>
        <w:rPr>
          <w:rFonts w:ascii="Times New Roman" w:cs="Times New Roman" w:eastAsia="Times New Roman" w:hAnsi="Times New Roman"/>
          <w:sz w:val="12"/>
          <w:szCs w:val="12"/>
          <w:b w:val="1"/>
          <w:bCs w:val="1"/>
          <w:color w:val="auto"/>
        </w:rPr>
        <w:t>The following notes to the tables above provide important calculations showing how certain values are determined.</w:t>
      </w:r>
    </w:p>
    <w:p>
      <w:pPr>
        <w:spacing w:after="0" w:line="185" w:lineRule="auto"/>
        <w:rPr>
          <w:sz w:val="20"/>
          <w:szCs w:val="20"/>
          <w:color w:val="auto"/>
        </w:rPr>
      </w:pPr>
      <w:r>
        <w:rPr>
          <w:rFonts w:ascii="Times New Roman" w:cs="Times New Roman" w:eastAsia="Times New Roman" w:hAnsi="Times New Roman"/>
          <w:sz w:val="5"/>
          <w:szCs w:val="5"/>
          <w:color w:val="auto"/>
        </w:rPr>
        <w:t>(1)</w:t>
      </w:r>
    </w:p>
    <w:p>
      <w:pPr>
        <w:ind w:left="240" w:right="3919"/>
        <w:spacing w:after="0" w:line="243" w:lineRule="auto"/>
        <w:rPr>
          <w:sz w:val="20"/>
          <w:szCs w:val="20"/>
          <w:color w:val="auto"/>
        </w:rPr>
      </w:pPr>
      <w:r>
        <w:rPr>
          <w:rFonts w:ascii="Times New Roman" w:cs="Times New Roman" w:eastAsia="Times New Roman" w:hAnsi="Times New Roman"/>
          <w:sz w:val="12"/>
          <w:szCs w:val="12"/>
          <w:color w:val="auto"/>
        </w:rPr>
        <w:t>Index Performance is equal to the percentage change in the Index Value measured from the Term Start Date to the date of the Index substitution. Index Performance is calculated as follows:</w:t>
      </w:r>
    </w:p>
    <w:p>
      <w:pPr>
        <w:spacing w:after="0" w:line="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(1330 [Index Value at date of substitution] — 1400 [Index Value at Term Start Date])</w:t>
      </w:r>
    </w:p>
    <w:p>
      <w:pPr>
        <w:ind w:left="1700" w:hanging="98"/>
        <w:spacing w:after="0"/>
        <w:tabs>
          <w:tab w:leader="none" w:pos="1700"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1400 [Index Value at Term Start Date]) = –5%</w:t>
      </w:r>
    </w:p>
    <w:p>
      <w:pPr>
        <w:spacing w:after="0" w:line="30" w:lineRule="exact"/>
        <w:rPr>
          <w:rFonts w:ascii="Times New Roman" w:cs="Times New Roman" w:eastAsia="Times New Roman" w:hAnsi="Times New Roman"/>
          <w:sz w:val="12"/>
          <w:szCs w:val="12"/>
          <w:color w:val="auto"/>
        </w:rPr>
      </w:pPr>
    </w:p>
    <w:p>
      <w:pPr>
        <w:ind w:left="240" w:right="3899" w:hanging="232"/>
        <w:spacing w:after="0" w:line="216" w:lineRule="auto"/>
        <w:tabs>
          <w:tab w:leader="none" w:pos="240" w:val="left"/>
        </w:tabs>
        <w:numPr>
          <w:ilvl w:val="0"/>
          <w:numId w:val="6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Index Performance is equal to the percentage change in the Index Value measured from the date of the Index substitution to the Term End Date. Index Performance is calculated as follows:</w:t>
      </w:r>
    </w:p>
    <w:p>
      <w:pPr>
        <w:spacing w:after="0" w:line="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(1375 [Index Value at Term End Date] — 1250 [Index Value at date of the substitution])</w:t>
      </w:r>
    </w:p>
    <w:p>
      <w:pPr>
        <w:spacing w:after="0" w:line="9" w:lineRule="exact"/>
        <w:rPr>
          <w:sz w:val="20"/>
          <w:szCs w:val="20"/>
          <w:color w:val="auto"/>
        </w:rPr>
      </w:pPr>
    </w:p>
    <w:p>
      <w:pPr>
        <w:ind w:left="1620" w:hanging="96"/>
        <w:spacing w:after="0"/>
        <w:tabs>
          <w:tab w:leader="none" w:pos="1620"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1250 [Index Value at date of substitution]) = 10%</w:t>
      </w:r>
    </w:p>
    <w:p>
      <w:pPr>
        <w:spacing w:after="0" w:line="17" w:lineRule="exact"/>
        <w:rPr>
          <w:rFonts w:ascii="Times New Roman" w:cs="Times New Roman" w:eastAsia="Times New Roman" w:hAnsi="Times New Roman"/>
          <w:sz w:val="12"/>
          <w:szCs w:val="12"/>
          <w:color w:val="auto"/>
        </w:rPr>
      </w:pPr>
    </w:p>
    <w:p>
      <w:pPr>
        <w:jc w:val="both"/>
        <w:ind w:left="240" w:right="3899" w:hanging="232"/>
        <w:spacing w:after="0" w:line="216" w:lineRule="auto"/>
        <w:tabs>
          <w:tab w:leader="none" w:pos="240" w:val="left"/>
        </w:tabs>
        <w:numPr>
          <w:ilvl w:val="0"/>
          <w:numId w:val="6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Since there was an Index substitution from the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(initial Index) to the Russell 2000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(substituted Index), the total Index Performance for the Term is equal to the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Value at the Index substitution date</w:t>
      </w:r>
    </w:p>
    <w:p>
      <w:pPr>
        <w:spacing w:after="0" w:line="2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2"/>
          <w:szCs w:val="12"/>
          <w:color w:val="auto"/>
        </w:rPr>
        <w:t>C-1</w:t>
      </w:r>
    </w:p>
    <w:p>
      <w:pPr>
        <w:sectPr>
          <w:pgSz w:w="11900" w:h="16838" w:orient="portrait"/>
          <w:cols w:equalWidth="0" w:num="1">
            <w:col w:w="9359"/>
          </w:cols>
          <w:pgMar w:left="1100" w:top="962" w:right="1440" w:bottom="1440" w:gutter="0" w:footer="0" w:header="0"/>
        </w:sectPr>
      </w:pPr>
    </w:p>
    <w:bookmarkStart w:id="86" w:name="page87"/>
    <w:bookmarkEnd w:id="86"/>
    <w:p>
      <w:pPr>
        <w:jc w:val="both"/>
        <w:ind w:left="240" w:right="3839"/>
        <w:spacing w:after="0" w:line="22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557395" cy="36830"/>
                    </a:xfrm>
                    <a:prstGeom prst="rect">
                      <a:avLst/>
                    </a:prstGeom>
                    <a:noFill/>
                  </pic:spPr>
                </pic:pic>
              </a:graphicData>
            </a:graphic>
          </wp:anchor>
        </w:drawing>
        <w:t>divided by the S&amp;P 500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Value at the Term Start Date multiplied by the Russell 2000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Value at the Term End Date divided by the Russell 2000</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Index Value at the substitution date –1. Total Index Performance for the Term is calculated as follows:</w:t>
      </w:r>
    </w:p>
    <w:p>
      <w:pPr>
        <w:spacing w:after="0" w:line="36" w:lineRule="exact"/>
        <w:rPr>
          <w:sz w:val="20"/>
          <w:szCs w:val="20"/>
          <w:color w:val="auto"/>
        </w:rPr>
      </w:pPr>
    </w:p>
    <w:p>
      <w:pPr>
        <w:jc w:val="center"/>
        <w:ind w:right="3879"/>
        <w:spacing w:after="0"/>
        <w:rPr>
          <w:sz w:val="20"/>
          <w:szCs w:val="20"/>
          <w:color w:val="auto"/>
        </w:rPr>
      </w:pPr>
      <w:r>
        <w:rPr>
          <w:rFonts w:ascii="Times New Roman" w:cs="Times New Roman" w:eastAsia="Times New Roman" w:hAnsi="Times New Roman"/>
          <w:sz w:val="12"/>
          <w:szCs w:val="12"/>
          <w:color w:val="auto"/>
        </w:rPr>
        <w:t>(1330 [initial Index at Index substitution date] ÷ 1400 [initial Index at Term Start Date])</w:t>
      </w:r>
    </w:p>
    <w:p>
      <w:pPr>
        <w:spacing w:after="0" w:line="7" w:lineRule="exact"/>
        <w:rPr>
          <w:sz w:val="20"/>
          <w:szCs w:val="20"/>
          <w:color w:val="auto"/>
        </w:rPr>
      </w:pPr>
    </w:p>
    <w:p>
      <w:pPr>
        <w:jc w:val="center"/>
        <w:ind w:right="3819"/>
        <w:spacing w:after="0"/>
        <w:rPr>
          <w:sz w:val="20"/>
          <w:szCs w:val="20"/>
          <w:color w:val="auto"/>
        </w:rPr>
      </w:pPr>
      <w:r>
        <w:rPr>
          <w:rFonts w:ascii="Times New Roman" w:cs="Times New Roman" w:eastAsia="Times New Roman" w:hAnsi="Times New Roman"/>
          <w:sz w:val="12"/>
          <w:szCs w:val="12"/>
          <w:color w:val="auto"/>
        </w:rPr>
        <w:t>x (1375 [substituted Index at Term End Date] ÷ 1250 [substituted Index at substitution date]) –1 = 4.5%</w:t>
      </w:r>
    </w:p>
    <w:p>
      <w:pPr>
        <w:spacing w:after="0" w:line="181" w:lineRule="auto"/>
        <w:rPr>
          <w:sz w:val="20"/>
          <w:szCs w:val="20"/>
          <w:color w:val="auto"/>
        </w:rPr>
      </w:pPr>
      <w:r>
        <w:rPr>
          <w:rFonts w:ascii="Times New Roman" w:cs="Times New Roman" w:eastAsia="Times New Roman" w:hAnsi="Times New Roman"/>
          <w:sz w:val="5"/>
          <w:szCs w:val="5"/>
          <w:color w:val="auto"/>
        </w:rPr>
        <w:t>(4)</w:t>
      </w:r>
    </w:p>
    <w:p>
      <w:pPr>
        <w:jc w:val="both"/>
        <w:ind w:left="240" w:right="3899"/>
        <w:spacing w:after="0" w:line="236" w:lineRule="auto"/>
        <w:rPr>
          <w:sz w:val="20"/>
          <w:szCs w:val="20"/>
          <w:color w:val="auto"/>
        </w:rPr>
      </w:pPr>
      <w:r>
        <w:rPr>
          <w:rFonts w:ascii="Times New Roman" w:cs="Times New Roman" w:eastAsia="Times New Roman" w:hAnsi="Times New Roman"/>
          <w:sz w:val="12"/>
          <w:szCs w:val="12"/>
          <w:color w:val="auto"/>
        </w:rPr>
        <w:t>The Performance Rate is equal to the Index Performance (4.5%) because the total Index Performance for the Term is greater than zero and less than the Cap Rate.</w:t>
      </w:r>
    </w:p>
    <w:p>
      <w:pPr>
        <w:spacing w:after="0" w:line="182" w:lineRule="auto"/>
        <w:rPr>
          <w:sz w:val="20"/>
          <w:szCs w:val="20"/>
          <w:color w:val="auto"/>
        </w:rPr>
      </w:pPr>
      <w:r>
        <w:rPr>
          <w:rFonts w:ascii="Times New Roman" w:cs="Times New Roman" w:eastAsia="Times New Roman" w:hAnsi="Times New Roman"/>
          <w:sz w:val="5"/>
          <w:szCs w:val="5"/>
          <w:color w:val="auto"/>
        </w:rPr>
        <w:t>(5)</w:t>
      </w:r>
    </w:p>
    <w:p>
      <w:pPr>
        <w:jc w:val="both"/>
        <w:ind w:left="240" w:right="3899"/>
        <w:spacing w:after="0" w:line="234" w:lineRule="auto"/>
        <w:rPr>
          <w:sz w:val="20"/>
          <w:szCs w:val="20"/>
          <w:color w:val="auto"/>
        </w:rPr>
      </w:pPr>
      <w:r>
        <w:rPr>
          <w:rFonts w:ascii="Times New Roman" w:cs="Times New Roman" w:eastAsia="Times New Roman" w:hAnsi="Times New Roman"/>
          <w:sz w:val="12"/>
          <w:szCs w:val="12"/>
          <w:color w:val="auto"/>
        </w:rPr>
        <w:t>The Performance Rate Adjustment is equal to the product of the Investment Amount at the Term Start Date adjusted for any withdrawals (including any applicable Withdrawal Charge) (there are no withdrawals in the example) multiplied by the Performance Rate. The Performance Rate Adjustment is calculated as follows:</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$100,000 [Investment Amount at Term Start Date] x 4.5% [Performance Rate] = $4,500</w:t>
      </w:r>
    </w:p>
    <w:p>
      <w:pPr>
        <w:spacing w:after="0" w:line="187" w:lineRule="auto"/>
        <w:rPr>
          <w:sz w:val="20"/>
          <w:szCs w:val="20"/>
          <w:color w:val="auto"/>
        </w:rPr>
      </w:pPr>
      <w:r>
        <w:rPr>
          <w:rFonts w:ascii="Times New Roman" w:cs="Times New Roman" w:eastAsia="Times New Roman" w:hAnsi="Times New Roman"/>
          <w:sz w:val="6"/>
          <w:szCs w:val="6"/>
          <w:color w:val="auto"/>
        </w:rPr>
        <w:t>(6)</w:t>
      </w:r>
    </w:p>
    <w:p>
      <w:pPr>
        <w:jc w:val="both"/>
        <w:ind w:left="240" w:right="3899"/>
        <w:spacing w:after="0" w:line="234" w:lineRule="auto"/>
        <w:rPr>
          <w:sz w:val="20"/>
          <w:szCs w:val="20"/>
          <w:color w:val="auto"/>
        </w:rPr>
      </w:pPr>
      <w:r>
        <w:rPr>
          <w:rFonts w:ascii="Times New Roman" w:cs="Times New Roman" w:eastAsia="Times New Roman" w:hAnsi="Times New Roman"/>
          <w:sz w:val="12"/>
          <w:szCs w:val="12"/>
          <w:color w:val="auto"/>
        </w:rPr>
        <w:t>The Investment Amount at Term End Date is equal to the Investment Amount at the Term Start Date adjusted for any withdrawals (including any applicable Withdrawal Charge) (there are no withdrawals in the example) plus the Performance Rate Adjustment. The Investment Amount at Term End Date is calculated as follows:</w:t>
      </w:r>
    </w:p>
    <w:p>
      <w:pPr>
        <w:spacing w:after="0" w:line="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$100,000 [Investment Amount at Term Start Date] + $4,500 [Performance Rate Adjustment] = $104,500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2"/>
          <w:szCs w:val="12"/>
          <w:color w:val="auto"/>
        </w:rPr>
        <w:t>C-2</w:t>
      </w:r>
    </w:p>
    <w:p>
      <w:pPr>
        <w:sectPr>
          <w:pgSz w:w="11900" w:h="16838" w:orient="portrait"/>
          <w:cols w:equalWidth="0" w:num="1">
            <w:col w:w="9359"/>
          </w:cols>
          <w:pgMar w:left="1100" w:top="944" w:right="1440" w:bottom="1440" w:gutter="0" w:footer="0" w:header="0"/>
        </w:sectPr>
      </w:pPr>
    </w:p>
    <w:bookmarkStart w:id="87" w:name="page88"/>
    <w:bookmarkEnd w:id="87"/>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57395" cy="36830"/>
                    </a:xfrm>
                    <a:prstGeom prst="rect">
                      <a:avLst/>
                    </a:prstGeom>
                    <a:noFill/>
                  </pic:spPr>
                </pic:pic>
              </a:graphicData>
            </a:graphic>
          </wp:anchor>
        </w:drawing>
        <w:t>APPENDIX D</w:t>
      </w:r>
    </w:p>
    <w:p>
      <w:pPr>
        <w:spacing w:after="0" w:line="78"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t>RETURN OF PREMIUM DEATH BENEFIT EXAMPLE</w:t>
      </w:r>
    </w:p>
    <w:p>
      <w:pPr>
        <w:spacing w:after="0" w:line="82"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 xml:space="preserve">The purpose of this example is to illustrate the operation of the Return of Premium death benefit. The investment results shown are hypothetical and are not representative of past or future performance. Actual investment results may be more or less than those shown and will depend upon a number of factors, including the allocation made by an Owner and the Index Performance for the Shield Options chosen. </w:t>
      </w:r>
      <w:r>
        <w:rPr>
          <w:rFonts w:ascii="Times New Roman" w:cs="Times New Roman" w:eastAsia="Times New Roman" w:hAnsi="Times New Roman"/>
          <w:sz w:val="12"/>
          <w:szCs w:val="12"/>
          <w:b w:val="1"/>
          <w:bCs w:val="1"/>
          <w:color w:val="auto"/>
        </w:rPr>
        <w:t>The examples do not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reflect the deduction of fees and charges, if any, Withdrawal Charges or income taxes and tax penalties.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Return of Premium Death Benefit</w:t>
      </w:r>
    </w:p>
    <w:p>
      <w:pPr>
        <w:spacing w:after="0" w:line="82" w:lineRule="exact"/>
        <w:rPr>
          <w:sz w:val="20"/>
          <w:szCs w:val="20"/>
          <w:color w:val="auto"/>
        </w:rPr>
      </w:pPr>
    </w:p>
    <w:p>
      <w:pPr>
        <w:jc w:val="both"/>
        <w:ind w:right="3859" w:firstLine="240"/>
        <w:spacing w:after="0" w:line="265" w:lineRule="auto"/>
        <w:rPr>
          <w:sz w:val="20"/>
          <w:szCs w:val="20"/>
          <w:color w:val="auto"/>
        </w:rPr>
      </w:pPr>
      <w:r>
        <w:rPr>
          <w:rFonts w:ascii="Times New Roman" w:cs="Times New Roman" w:eastAsia="Times New Roman" w:hAnsi="Times New Roman"/>
          <w:sz w:val="12"/>
          <w:szCs w:val="12"/>
          <w:color w:val="auto"/>
        </w:rPr>
        <w:t>The purpose of this example is to show how partial withdrawals reduce the Return of Premium death benefit proportionally by the percentage reduction in Account Value of the Shield Option(s) and the Fixed Account for each partial withdrawal.</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260" w:type="dxa"/>
            <w:vAlign w:val="bottom"/>
            <w:tcBorders>
              <w:top w:val="single" w:sz="8" w:color="auto"/>
              <w:left w:val="single" w:sz="8" w:color="auto"/>
              <w:right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80" w:type="dxa"/>
            <w:vAlign w:val="bottom"/>
            <w:tcBorders>
              <w:top w:val="single" w:sz="8" w:color="auto"/>
              <w:right w:val="single" w:sz="8" w:color="auto"/>
            </w:tcBorders>
          </w:tcPr>
          <w:p>
            <w:pPr>
              <w:spacing w:after="0"/>
              <w:rPr>
                <w:sz w:val="13"/>
                <w:szCs w:val="13"/>
                <w:color w:val="auto"/>
              </w:rPr>
            </w:pPr>
          </w:p>
        </w:tc>
        <w:tc>
          <w:tcPr>
            <w:tcW w:w="2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1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Amount</w:t>
            </w:r>
          </w:p>
        </w:tc>
      </w:tr>
      <w:tr>
        <w:trPr>
          <w:trHeight w:val="35"/>
        </w:trPr>
        <w:tc>
          <w:tcPr>
            <w:tcW w:w="260" w:type="dxa"/>
            <w:vAlign w:val="bottom"/>
            <w:tcBorders>
              <w:left w:val="single" w:sz="8" w:color="auto"/>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1080" w:type="dxa"/>
            <w:vAlign w:val="bottom"/>
            <w:tcBorders>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r>
        <w:trPr>
          <w:trHeight w:val="169"/>
        </w:trPr>
        <w:tc>
          <w:tcPr>
            <w:tcW w:w="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A</w:t>
            </w:r>
          </w:p>
        </w:tc>
        <w:tc>
          <w:tcPr>
            <w:tcW w:w="1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Purchase Payment</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Issue Date</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$100,000</w:t>
            </w:r>
          </w:p>
        </w:tc>
      </w:tr>
      <w:tr>
        <w:trPr>
          <w:trHeight w:val="178"/>
        </w:trPr>
        <w:tc>
          <w:tcPr>
            <w:tcW w:w="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B</w:t>
            </w:r>
          </w:p>
        </w:tc>
        <w:tc>
          <w:tcPr>
            <w:tcW w:w="1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Account Value</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First Contract Anniversary</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$90,000</w:t>
            </w:r>
          </w:p>
        </w:tc>
      </w:tr>
      <w:tr>
        <w:trPr>
          <w:trHeight w:val="167"/>
        </w:trPr>
        <w:tc>
          <w:tcPr>
            <w:tcW w:w="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C</w:t>
            </w:r>
          </w:p>
        </w:tc>
        <w:tc>
          <w:tcPr>
            <w:tcW w:w="17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Death Benefit</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First Contract Anniversary</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$100,000</w:t>
            </w:r>
          </w:p>
        </w:tc>
      </w:tr>
      <w:tr>
        <w:trPr>
          <w:trHeight w:val="155"/>
        </w:trPr>
        <w:tc>
          <w:tcPr>
            <w:tcW w:w="260" w:type="dxa"/>
            <w:vAlign w:val="bottom"/>
            <w:tcBorders>
              <w:left w:val="single" w:sz="8" w:color="auto"/>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 greater of A and B)</w:t>
            </w:r>
          </w:p>
        </w:tc>
      </w:tr>
      <w:tr>
        <w:trPr>
          <w:trHeight w:val="27"/>
        </w:trPr>
        <w:tc>
          <w:tcPr>
            <w:tcW w:w="26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169"/>
        </w:trPr>
        <w:tc>
          <w:tcPr>
            <w:tcW w:w="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D</w:t>
            </w:r>
          </w:p>
        </w:tc>
        <w:tc>
          <w:tcPr>
            <w:tcW w:w="1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Withdrawal</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One Day after the First Contract Anniversary</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$9,000</w:t>
            </w:r>
          </w:p>
        </w:tc>
      </w:tr>
      <w:tr>
        <w:trPr>
          <w:trHeight w:val="167"/>
        </w:trPr>
        <w:tc>
          <w:tcPr>
            <w:tcW w:w="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E</w:t>
            </w:r>
          </w:p>
        </w:tc>
        <w:tc>
          <w:tcPr>
            <w:tcW w:w="17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Percentage Reduction in Account</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One Day after the First Contract Anniversary</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10% (= D/B)</w:t>
            </w:r>
          </w:p>
        </w:tc>
      </w:tr>
      <w:tr>
        <w:trPr>
          <w:trHeight w:val="155"/>
        </w:trPr>
        <w:tc>
          <w:tcPr>
            <w:tcW w:w="260" w:type="dxa"/>
            <w:vAlign w:val="bottom"/>
            <w:tcBorders>
              <w:left w:val="single" w:sz="8" w:color="auto"/>
              <w:right w:val="single" w:sz="8" w:color="auto"/>
            </w:tcBorders>
          </w:tcPr>
          <w:p>
            <w:pPr>
              <w:spacing w:after="0"/>
              <w:rPr>
                <w:sz w:val="13"/>
                <w:szCs w:val="13"/>
                <w:color w:val="auto"/>
              </w:rPr>
            </w:pPr>
          </w:p>
        </w:tc>
        <w:tc>
          <w:tcPr>
            <w:tcW w:w="17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Value</w:t>
            </w:r>
          </w:p>
        </w:tc>
        <w:tc>
          <w:tcPr>
            <w:tcW w:w="23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r>
      <w:tr>
        <w:trPr>
          <w:trHeight w:val="27"/>
        </w:trPr>
        <w:tc>
          <w:tcPr>
            <w:tcW w:w="26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169"/>
        </w:trPr>
        <w:tc>
          <w:tcPr>
            <w:tcW w:w="2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F</w:t>
            </w:r>
          </w:p>
        </w:tc>
        <w:tc>
          <w:tcPr>
            <w:tcW w:w="17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Account Value after Withdrawal</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One Day after the First Contract Anniversary</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$81,000 (= B-D)</w:t>
            </w:r>
          </w:p>
        </w:tc>
      </w:tr>
      <w:tr>
        <w:trPr>
          <w:trHeight w:val="167"/>
        </w:trPr>
        <w:tc>
          <w:tcPr>
            <w:tcW w:w="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G</w:t>
            </w:r>
          </w:p>
        </w:tc>
        <w:tc>
          <w:tcPr>
            <w:tcW w:w="17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Purchase Payment Reduced for</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One Day after the First Contract Anniversary</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$90,000</w:t>
            </w:r>
          </w:p>
        </w:tc>
      </w:tr>
      <w:tr>
        <w:trPr>
          <w:trHeight w:val="155"/>
        </w:trPr>
        <w:tc>
          <w:tcPr>
            <w:tcW w:w="260" w:type="dxa"/>
            <w:vAlign w:val="bottom"/>
            <w:tcBorders>
              <w:left w:val="single" w:sz="8" w:color="auto"/>
              <w:right w:val="single" w:sz="8" w:color="auto"/>
            </w:tcBorders>
          </w:tcPr>
          <w:p>
            <w:pPr>
              <w:spacing w:after="0"/>
              <w:rPr>
                <w:sz w:val="13"/>
                <w:szCs w:val="13"/>
                <w:color w:val="auto"/>
              </w:rPr>
            </w:pPr>
          </w:p>
        </w:tc>
        <w:tc>
          <w:tcPr>
            <w:tcW w:w="17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Withdrawal</w:t>
            </w:r>
          </w:p>
        </w:tc>
        <w:tc>
          <w:tcPr>
            <w:tcW w:w="23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 A-(A × E))</w:t>
            </w:r>
          </w:p>
        </w:tc>
      </w:tr>
      <w:tr>
        <w:trPr>
          <w:trHeight w:val="27"/>
        </w:trPr>
        <w:tc>
          <w:tcPr>
            <w:tcW w:w="26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r>
      <w:tr>
        <w:trPr>
          <w:trHeight w:val="140"/>
        </w:trPr>
        <w:tc>
          <w:tcPr>
            <w:tcW w:w="2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H</w:t>
            </w:r>
          </w:p>
        </w:tc>
        <w:tc>
          <w:tcPr>
            <w:tcW w:w="17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Death Benefit</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One Day after the First Contract Anniversary</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$90,000</w:t>
            </w:r>
          </w:p>
        </w:tc>
      </w:tr>
      <w:tr>
        <w:trPr>
          <w:trHeight w:val="167"/>
        </w:trPr>
        <w:tc>
          <w:tcPr>
            <w:tcW w:w="26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spacing w:after="0"/>
              <w:rPr>
                <w:sz w:val="14"/>
                <w:szCs w:val="14"/>
                <w:color w:val="auto"/>
              </w:rPr>
            </w:pPr>
          </w:p>
        </w:tc>
        <w:tc>
          <w:tcPr>
            <w:tcW w:w="232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 greater of F and G)</w:t>
            </w:r>
          </w:p>
        </w:tc>
      </w:tr>
      <w:tr>
        <w:trPr>
          <w:trHeight w:val="183"/>
        </w:trPr>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w w:val="98"/>
              </w:rPr>
              <w:t>Notes to Example.</w:t>
            </w:r>
          </w:p>
        </w:tc>
        <w:tc>
          <w:tcPr>
            <w:tcW w:w="10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Purchaser is age 60 at issue.</w:t>
      </w:r>
    </w:p>
    <w:p>
      <w:pPr>
        <w:spacing w:after="0" w:line="78" w:lineRule="exact"/>
        <w:rPr>
          <w:sz w:val="20"/>
          <w:szCs w:val="20"/>
          <w:color w:val="auto"/>
        </w:rPr>
      </w:pPr>
    </w:p>
    <w:p>
      <w:pPr>
        <w:ind w:right="3839"/>
        <w:spacing w:after="0" w:line="279" w:lineRule="auto"/>
        <w:rPr>
          <w:sz w:val="20"/>
          <w:szCs w:val="20"/>
          <w:color w:val="auto"/>
        </w:rPr>
      </w:pPr>
      <w:r>
        <w:rPr>
          <w:rFonts w:ascii="Times New Roman" w:cs="Times New Roman" w:eastAsia="Times New Roman" w:hAnsi="Times New Roman"/>
          <w:sz w:val="12"/>
          <w:szCs w:val="12"/>
          <w:color w:val="auto"/>
        </w:rPr>
        <w:t>The Account Values on the First Contract Anniversary and One Day after the First Contract Anniversary are assumed to be equal prior to the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2"/>
          <w:szCs w:val="12"/>
          <w:color w:val="auto"/>
        </w:rPr>
        <w:t>D-1</w:t>
      </w:r>
    </w:p>
    <w:p>
      <w:pPr>
        <w:sectPr>
          <w:pgSz w:w="11900" w:h="16838" w:orient="portrait"/>
          <w:cols w:equalWidth="0" w:num="1">
            <w:col w:w="9359"/>
          </w:cols>
          <w:pgMar w:left="1100" w:top="962" w:right="1440"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5739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180" w:type="dxa"/>
            <w:vAlign w:val="bottom"/>
            <w:vMerge w:val="restart"/>
          </w:tcPr>
          <w:p>
            <w:pPr>
              <w:ind w:left="740"/>
              <w:spacing w:after="0"/>
              <w:rPr>
                <w:sz w:val="20"/>
                <w:szCs w:val="20"/>
                <w:color w:val="auto"/>
              </w:rPr>
            </w:pPr>
            <w:r>
              <w:rPr>
                <w:rFonts w:ascii="Times New Roman" w:cs="Times New Roman" w:eastAsia="Times New Roman" w:hAnsi="Times New Roman"/>
                <w:sz w:val="12"/>
                <w:szCs w:val="12"/>
                <w:color w:val="auto"/>
                <w:w w:val="97"/>
              </w:rPr>
              <w:t>(THIS PAGE INTENTIONALLY LEFT BLANK.)</w:t>
            </w:r>
          </w:p>
        </w:tc>
        <w:tc>
          <w:tcPr>
            <w:tcW w:w="0" w:type="dxa"/>
            <w:vAlign w:val="bottom"/>
          </w:tcPr>
          <w:p>
            <w:pPr>
              <w:spacing w:after="0"/>
              <w:rPr>
                <w:sz w:val="1"/>
                <w:szCs w:val="1"/>
                <w:color w:val="auto"/>
              </w:rPr>
            </w:pPr>
          </w:p>
        </w:tc>
      </w:tr>
      <w:tr>
        <w:trPr>
          <w:trHeight w:val="62"/>
        </w:trPr>
        <w:tc>
          <w:tcPr>
            <w:tcW w:w="800" w:type="dxa"/>
            <w:vAlign w:val="bottom"/>
          </w:tcPr>
          <w:p>
            <w:pPr>
              <w:spacing w:after="0"/>
              <w:rPr>
                <w:sz w:val="5"/>
                <w:szCs w:val="5"/>
                <w:color w:val="auto"/>
              </w:rPr>
            </w:pPr>
          </w:p>
        </w:tc>
        <w:tc>
          <w:tcPr>
            <w:tcW w:w="3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359"/>
          </w:cols>
          <w:pgMar w:left="1100" w:top="1440" w:right="1440" w:bottom="1440" w:gutter="0" w:footer="0" w:header="0"/>
        </w:sectPr>
      </w:pPr>
    </w:p>
    <w:bookmarkStart w:id="89" w:name="page90"/>
    <w:bookmarkEnd w:id="89"/>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557395" cy="36830"/>
                    </a:xfrm>
                    <a:prstGeom prst="rect">
                      <a:avLst/>
                    </a:prstGeom>
                    <a:noFill/>
                  </pic:spPr>
                </pic:pic>
              </a:graphicData>
            </a:graphic>
          </wp:anchor>
        </w:drawing>
        <w:t>APPENDIX E</w:t>
      </w:r>
    </w:p>
    <w:p>
      <w:pPr>
        <w:spacing w:after="0" w:line="87"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t>THE FIXED ACCOUNT</w:t>
      </w:r>
    </w:p>
    <w:p>
      <w:pPr>
        <w:spacing w:after="0" w:line="80"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i w:val="1"/>
          <w:iCs w:val="1"/>
          <w:color w:val="auto"/>
        </w:rPr>
        <w:t>See Appendix F for more information about the Holding Account</w:t>
      </w:r>
    </w:p>
    <w:p>
      <w:pPr>
        <w:spacing w:after="0" w:line="89"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The Fixed Account is a funding option that may be available and is part of BLNY’s General Account assets. These General Account assets include all assets of BLNY other than those held in the Separate Accounts sponsored by BLNY or its affiliates.</w:t>
      </w:r>
    </w:p>
    <w:p>
      <w:pPr>
        <w:spacing w:after="0" w:line="56"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Any interest in the Fixed Account is not a security under the Securities Act of 1933 and the Fixed Account is not registered under or regulated by the Investment Company Act of 1940. Accordingly, the Fixed Account is not offered by virtue of the prospectus. Disclosure regarding the Fixed Account and the General Account may, however, be subject to certain provisions of the Federal securities laws relating to the accuracy and completeness of statements made in the prospectus.</w:t>
      </w:r>
    </w:p>
    <w:p>
      <w:pPr>
        <w:spacing w:after="0" w:line="53"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Under the Fixed Account, BLNY assumes the risk of investment gain or loss, guarantees a specified interest rate, and guarantees a specified periodic Annuity Payment. We guarantee that, at any time, the Fixed Account Value will not be less than the amount of the Purchase Payments allocated to the Fixed Account, plus interest credited as described below, less any applicable Premium Taxes or prior withdrawals.</w:t>
      </w:r>
    </w:p>
    <w:p>
      <w:pPr>
        <w:spacing w:after="0" w:line="50"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Account Value allocated to the Fixed Account and any transfers made to the Fixed Account become part of BLNY’s General Account, which supports insurance and annuity obligations. We reserve the right to restrict Investment Amounts into the Fixed Account whenever the credited interest rate on the Fixed Account is equal to the Minimum Guaranteed Interest Rate specified in your Contract. Because of exemptive and exclusionary provisions, interests in the Fixed Account have not been registered under the Securities Act of 1933, neither the Fixed Account nor the General Account is registered or regulated under the Investment Company Act of 1940. We will invest the assets of the Fixed Account at our discretion. Investment income from such Fixed Account assets will be allocated to us and to the Contracts participating in the Fixed Account.</w:t>
      </w:r>
    </w:p>
    <w:p>
      <w:pPr>
        <w:spacing w:after="0" w:line="56" w:lineRule="exact"/>
        <w:rPr>
          <w:sz w:val="20"/>
          <w:szCs w:val="20"/>
          <w:color w:val="auto"/>
        </w:rPr>
      </w:pPr>
    </w:p>
    <w:p>
      <w:pPr>
        <w:jc w:val="both"/>
        <w:ind w:right="3839" w:firstLine="240"/>
        <w:spacing w:after="0" w:line="265" w:lineRule="auto"/>
        <w:rPr>
          <w:sz w:val="20"/>
          <w:szCs w:val="20"/>
          <w:color w:val="auto"/>
        </w:rPr>
      </w:pPr>
      <w:r>
        <w:rPr>
          <w:rFonts w:ascii="Times New Roman" w:cs="Times New Roman" w:eastAsia="Times New Roman" w:hAnsi="Times New Roman"/>
          <w:sz w:val="12"/>
          <w:szCs w:val="12"/>
          <w:color w:val="auto"/>
        </w:rPr>
        <w:t>Investment income from the Fixed Account allocated to us includes compensation for risks borne by us in connection with Fixed Account Contracts. The amount of such investment income allocated to the Contracts will vary from year to year in our sole discretion at such rate or rates as we prospectively declare from time to time.</w:t>
      </w:r>
    </w:p>
    <w:p>
      <w:pPr>
        <w:spacing w:after="0" w:line="47" w:lineRule="exact"/>
        <w:rPr>
          <w:sz w:val="20"/>
          <w:szCs w:val="20"/>
          <w:color w:val="auto"/>
        </w:rPr>
      </w:pPr>
    </w:p>
    <w:p>
      <w:pPr>
        <w:jc w:val="both"/>
        <w:ind w:right="3839" w:firstLine="240"/>
        <w:spacing w:after="0" w:line="254" w:lineRule="auto"/>
        <w:rPr>
          <w:sz w:val="20"/>
          <w:szCs w:val="20"/>
          <w:color w:val="auto"/>
        </w:rPr>
      </w:pPr>
      <w:r>
        <w:rPr>
          <w:rFonts w:ascii="Times New Roman" w:cs="Times New Roman" w:eastAsia="Times New Roman" w:hAnsi="Times New Roman"/>
          <w:sz w:val="12"/>
          <w:szCs w:val="12"/>
          <w:color w:val="auto"/>
        </w:rPr>
        <w:t>We guarantee that for the life of the Contract interest credited to your Fixed Account Value during the Fixed Account Term beginning on the Issue Date will not be accumulated at less than the Minimum Guaranteed Interest Rate allowed by state law. The current Minimum Guaranteed Interest Rate applicable to any Contract will not be less than 1%. We reserve the right to change the rate subject to state law. We will determine any interest we credit to amounts allocated to the Fixed Account in excess of the Minimum Guaranteed Interest Rate at our sole discretion. You assume the risk that interest credited to the Fixed Account may not exceed the Minimum Guaranteed Interest Rate for any given year. We have no specific formula for determining the interest rate. Some factors we may consider are regulatory and tax requirements, general economic trends and competitive factors.</w:t>
      </w:r>
    </w:p>
    <w:p>
      <w:pPr>
        <w:spacing w:after="0" w:line="56"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color w:val="auto"/>
        </w:rPr>
        <w:t>For renewals into the Fixed Account, the new guaranteed interest rate will be declared for each subsequent Fixed Account Term. At the Fixed Account Term End Date, the Fixed Account Value will automatically be renewed into the same Fixed Account Term, with the new interest rate, unless otherwise instructed by you. If the Fixed Account is not available at the end of the existing Fixed Account Term, these amounts will automatically transfer into the Holding Account at the end of the Fixed Account Term unless otherwise instructed by you to transfer into one or more available Shield Options. You have the Transfer Period to notify us that you want to transfer some or all of your Fixed Account Value to a new Shield Option(s).</w:t>
      </w:r>
    </w:p>
    <w:p>
      <w:pPr>
        <w:spacing w:after="0" w:line="52" w:lineRule="exact"/>
        <w:rPr>
          <w:sz w:val="20"/>
          <w:szCs w:val="20"/>
          <w:color w:val="auto"/>
        </w:rPr>
      </w:pPr>
    </w:p>
    <w:p>
      <w:pPr>
        <w:jc w:val="both"/>
        <w:ind w:right="3839" w:firstLine="240"/>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Fixed Account Value. </w:t>
      </w:r>
      <w:r>
        <w:rPr>
          <w:rFonts w:ascii="Times New Roman" w:cs="Times New Roman" w:eastAsia="Times New Roman" w:hAnsi="Times New Roman"/>
          <w:sz w:val="12"/>
          <w:szCs w:val="12"/>
          <w:color w:val="auto"/>
        </w:rPr>
        <w:t>We credit interest to the portion of the Account Value allocated to the Fixed Account.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(See “Interest Crediting” below.) The Fixed Account is part of our General Account. We guarantee that the interest credited to your initial allocation to the Fixed Account during the Fixed Account Term beginning on the Issue Date will not be accumulated at less than the Minimum Guaranteed Interest Rate. Thereafter, we will declare an interest rate as of each subsequent Fixed Account Term and such rate will not be less than the Minimum Guaranteed Interest Rate. If the declared interest rate equals the Minimum Guaranteed Interest Rate specified in your Contract and we are unable to support the Minimum Guaranteed Interest Rate, we reserve the right, with thirty (30) days advance written Notice, to restrict transfers and allocations into the Fixed Account.</w:t>
      </w:r>
    </w:p>
    <w:p>
      <w:pPr>
        <w:spacing w:after="0" w:line="53" w:lineRule="exact"/>
        <w:rPr>
          <w:sz w:val="20"/>
          <w:szCs w:val="20"/>
          <w:color w:val="auto"/>
        </w:rPr>
      </w:pPr>
    </w:p>
    <w:p>
      <w:pPr>
        <w:jc w:val="both"/>
        <w:ind w:right="3839" w:firstLine="240"/>
        <w:spacing w:after="0" w:line="260" w:lineRule="auto"/>
        <w:rPr>
          <w:sz w:val="20"/>
          <w:szCs w:val="20"/>
          <w:color w:val="auto"/>
        </w:rPr>
      </w:pPr>
      <w:r>
        <w:rPr>
          <w:rFonts w:ascii="Times New Roman" w:cs="Times New Roman" w:eastAsia="Times New Roman" w:hAnsi="Times New Roman"/>
          <w:sz w:val="12"/>
          <w:szCs w:val="12"/>
          <w:color w:val="auto"/>
        </w:rPr>
        <w:t>The initial Fixed Account Value is the amount initially allocated to the Fixed Account. Thereafter, the Fixed Account Value equals: (a) the initial Fixed Account Value or the Fixed Account Value on the most recent Contract Anniversary, as applicable, including any transfers; plus (b) any interest credited by us; less (c) the amount of any withdrawals (including any Withdrawal Charges); and less (d) any Premium Tax or other taxes, if applicable.</w:t>
      </w:r>
    </w:p>
    <w:p>
      <w:pPr>
        <w:spacing w:after="0" w:line="48" w:lineRule="exact"/>
        <w:rPr>
          <w:sz w:val="20"/>
          <w:szCs w:val="20"/>
          <w:color w:val="auto"/>
        </w:rPr>
      </w:pPr>
    </w:p>
    <w:p>
      <w:pPr>
        <w:jc w:val="both"/>
        <w:ind w:right="3859" w:firstLine="240"/>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Interest Crediting. </w:t>
      </w:r>
      <w:r>
        <w:rPr>
          <w:rFonts w:ascii="Times New Roman" w:cs="Times New Roman" w:eastAsia="Times New Roman" w:hAnsi="Times New Roman"/>
          <w:sz w:val="12"/>
          <w:szCs w:val="12"/>
          <w:color w:val="auto"/>
        </w:rPr>
        <w:t>Interest will be compounded and credited daily to the Fixed Account at an annual effective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interest rate declared by us. Interest will be credited on amounts allocated to the Fixed Account through the effective date such amounts are withdrawn or transferred from the Fixed Account.</w:t>
      </w:r>
    </w:p>
    <w:p>
      <w:pPr>
        <w:spacing w:after="0" w:line="16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2"/>
          <w:szCs w:val="12"/>
          <w:color w:val="auto"/>
        </w:rPr>
        <w:t>E-1</w:t>
      </w:r>
    </w:p>
    <w:p>
      <w:pPr>
        <w:sectPr>
          <w:pgSz w:w="11900" w:h="16838" w:orient="portrait"/>
          <w:cols w:equalWidth="0" w:num="1">
            <w:col w:w="9359"/>
          </w:cols>
          <w:pgMar w:left="1100" w:top="962" w:right="1440" w:bottom="1440" w:gutter="0" w:footer="0" w:header="0"/>
        </w:sectPr>
      </w:pPr>
    </w:p>
    <w:bookmarkStart w:id="90" w:name="page91"/>
    <w:bookmarkEnd w:id="90"/>
    <w:p>
      <w:pPr>
        <w:jc w:val="both"/>
        <w:ind w:right="3839" w:firstLine="240"/>
        <w:spacing w:after="0" w:line="283" w:lineRule="auto"/>
        <w:rPr>
          <w:sz w:val="20"/>
          <w:szCs w:val="20"/>
          <w:color w:val="auto"/>
        </w:rPr>
      </w:pPr>
      <w:r>
        <w:rPr>
          <w:rFonts w:ascii="Times New Roman" w:cs="Times New Roman" w:eastAsia="Times New Roman" w:hAnsi="Times New Roman"/>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57395" cy="36830"/>
                    </a:xfrm>
                    <a:prstGeom prst="rect">
                      <a:avLst/>
                    </a:prstGeom>
                    <a:noFill/>
                  </pic:spPr>
                </pic:pic>
              </a:graphicData>
            </a:graphic>
          </wp:anchor>
        </w:drawing>
        <w:t xml:space="preserve">Deferral of Payments. </w:t>
      </w:r>
      <w:r>
        <w:rPr>
          <w:rFonts w:ascii="Times New Roman" w:cs="Times New Roman" w:eastAsia="Times New Roman" w:hAnsi="Times New Roman"/>
          <w:sz w:val="12"/>
          <w:szCs w:val="12"/>
          <w:color w:val="auto"/>
        </w:rPr>
        <w:t>After receipt of a Notice of withdrawal, we reserve the right to defer payment for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withdrawal for the period permitted by law but not for more than six (6) months.</w:t>
      </w:r>
    </w:p>
    <w:p>
      <w:pPr>
        <w:spacing w:after="0" w:line="35"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Interest of Delayed Payments. </w:t>
      </w:r>
      <w:r>
        <w:rPr>
          <w:rFonts w:ascii="Times New Roman" w:cs="Times New Roman" w:eastAsia="Times New Roman" w:hAnsi="Times New Roman"/>
          <w:sz w:val="12"/>
          <w:szCs w:val="12"/>
          <w:color w:val="auto"/>
        </w:rPr>
        <w:t>For the value of the Shield Options, we will pay interest on any payments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death benefits not made within seven (7) calendar days of receipt of due proof of death and the first acceptable election. For the Fixed Account Value, we will pay interest on any payments of death benefits from the date of death. We will also pay interest on withdrawals paid ten (10) Business Days or later after receipt by us of any Notice to complete the transactions. Interest, in either instance, will be paid in accordance with laws and regulations in effect in the state of New York.</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Important terms that will help you understand this Appendix E:</w:t>
      </w:r>
    </w:p>
    <w:p>
      <w:pPr>
        <w:spacing w:after="0" w:line="74" w:lineRule="exact"/>
        <w:rPr>
          <w:sz w:val="20"/>
          <w:szCs w:val="20"/>
          <w:color w:val="auto"/>
        </w:rPr>
      </w:pPr>
    </w:p>
    <w:p>
      <w:pPr>
        <w:jc w:val="both"/>
        <w:ind w:right="3839" w:firstLine="2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Fixed Account Term.  </w:t>
      </w:r>
      <w:r>
        <w:rPr>
          <w:rFonts w:ascii="Times New Roman" w:cs="Times New Roman" w:eastAsia="Times New Roman" w:hAnsi="Times New Roman"/>
          <w:sz w:val="12"/>
          <w:szCs w:val="12"/>
          <w:color w:val="auto"/>
        </w:rPr>
        <w:t>The length of time over which the current Fixed Account interest rate is guaranteed.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 Fixed Account Term will extend beyond the Annuity Date. The minimum Fixed Account Term depends on the date your Contract is issued but will not be less than one (1) year.</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 xml:space="preserve">Fixed Account Value.   </w:t>
      </w:r>
      <w:r>
        <w:rPr>
          <w:rFonts w:ascii="Times New Roman" w:cs="Times New Roman" w:eastAsia="Times New Roman" w:hAnsi="Times New Roman"/>
          <w:sz w:val="12"/>
          <w:szCs w:val="12"/>
          <w:color w:val="auto"/>
        </w:rPr>
        <w:t>The Fixed Account Value at the end of the Fixed Account Term.</w:t>
      </w:r>
    </w:p>
    <w:p>
      <w:pPr>
        <w:spacing w:after="0" w:line="78" w:lineRule="exact"/>
        <w:rPr>
          <w:sz w:val="20"/>
          <w:szCs w:val="20"/>
          <w:color w:val="auto"/>
        </w:rPr>
      </w:pPr>
    </w:p>
    <w:p>
      <w:pPr>
        <w:jc w:val="both"/>
        <w:ind w:right="3839" w:firstLine="240"/>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Transfers.  </w:t>
      </w:r>
      <w:r>
        <w:rPr>
          <w:rFonts w:ascii="Times New Roman" w:cs="Times New Roman" w:eastAsia="Times New Roman" w:hAnsi="Times New Roman"/>
          <w:sz w:val="12"/>
          <w:szCs w:val="12"/>
          <w:color w:val="auto"/>
        </w:rPr>
        <w:t>During the Accumulation Period you may only make a transfer to or from the Fixed Account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and/or to or from a new Shield Option(s) during the Transfer Period. Once we receive allocation instructions from you, we will transfer the amounts in the Fixed Account to the Shield Option(s) on the next Contract Anniversary. The effective date of such transfer is the first day of the Fixed Account Term and/or a Term(s) in which the transfer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2"/>
          <w:szCs w:val="12"/>
          <w:color w:val="auto"/>
        </w:rPr>
        <w:t>E-2</w:t>
      </w:r>
    </w:p>
    <w:p>
      <w:pPr>
        <w:sectPr>
          <w:pgSz w:w="11900" w:h="16838" w:orient="portrait"/>
          <w:cols w:equalWidth="0" w:num="1">
            <w:col w:w="9359"/>
          </w:cols>
          <w:pgMar w:left="1100" w:top="964" w:right="1440" w:bottom="1440" w:gutter="0" w:footer="0" w:header="0"/>
        </w:sectPr>
      </w:pPr>
    </w:p>
    <w:bookmarkStart w:id="91" w:name="page92"/>
    <w:bookmarkEnd w:id="91"/>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57395" cy="36830"/>
                    </a:xfrm>
                    <a:prstGeom prst="rect">
                      <a:avLst/>
                    </a:prstGeom>
                    <a:noFill/>
                  </pic:spPr>
                </pic:pic>
              </a:graphicData>
            </a:graphic>
          </wp:anchor>
        </w:drawing>
        <w:t>APPENDIX F</w:t>
      </w:r>
    </w:p>
    <w:p>
      <w:pPr>
        <w:spacing w:after="0" w:line="78"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t>THE HOLDING ACCOUNT</w:t>
      </w:r>
    </w:p>
    <w:p>
      <w:pPr>
        <w:spacing w:after="0" w:line="82" w:lineRule="exact"/>
        <w:rPr>
          <w:sz w:val="20"/>
          <w:szCs w:val="20"/>
          <w:color w:val="auto"/>
        </w:rPr>
      </w:pPr>
    </w:p>
    <w:p>
      <w:pPr>
        <w:jc w:val="both"/>
        <w:ind w:right="3839" w:firstLine="240"/>
        <w:spacing w:after="0" w:line="253" w:lineRule="auto"/>
        <w:rPr>
          <w:sz w:val="20"/>
          <w:szCs w:val="20"/>
          <w:color w:val="auto"/>
        </w:rPr>
      </w:pPr>
      <w:r>
        <w:rPr>
          <w:rFonts w:ascii="Times New Roman" w:cs="Times New Roman" w:eastAsia="Times New Roman" w:hAnsi="Times New Roman"/>
          <w:sz w:val="12"/>
          <w:szCs w:val="12"/>
          <w:color w:val="auto"/>
        </w:rPr>
        <w:t>The Holding Account is part of our General Account. You may not allocate your Purchase Payment or Account Value to the Holding Account. The Holding Account is a limited purpose account and only under certain circumstances will we transfer amounts to the Holding Account. If you have a Shield Option that has reached its Term End Date, the amount in that Shield Option will be automatically renewed into the same Shield Option unless you instruct us to transfer such amount into a different Shield Option(s) or the Fixed Account during the Transfer Period. If the same Shield Option is no longer available, the amount will automatically transfer into the Fixed Account at the Term End Date. If the Fixed Account is not available, the amount will automatically transfer into the Holding Account. If you are allocated to a Shield Option that will not be available at the end of the existing Term, we will send a notification, written or electronic depending on your selected preference, describing any changes to the Shield Option, as required by law. If the Fixed Account is not available, this notification will also inform you of the current interest rate for the Holding Account and that on the Term End Date, the amounts in the discontinued Shield Option will be transferred to the Holding Account, unless otherwise instructed by you.</w:t>
      </w:r>
    </w:p>
    <w:p>
      <w:pPr>
        <w:spacing w:after="0" w:line="54"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The amounts will remain in the Holding Account until you provide us with new allocation instructions. Once we receive allocation instructions from you, we will transfer the amounts in the Holding Account to the Shield Option(s) on the next Contract Anniversary. During the Transfer Period, we will allow you to make transfers, and we will treat the transfer as if it occurred on the Contract Anniversary. Before the amounts in the Holding Account are transferred into the Shield Option(s), you can change your allocation instructions.</w:t>
      </w:r>
    </w:p>
    <w:p>
      <w:pPr>
        <w:spacing w:after="0" w:line="53" w:lineRule="exact"/>
        <w:rPr>
          <w:sz w:val="20"/>
          <w:szCs w:val="20"/>
          <w:color w:val="auto"/>
        </w:rPr>
      </w:pPr>
    </w:p>
    <w:p>
      <w:pPr>
        <w:jc w:val="both"/>
        <w:ind w:right="3839" w:firstLine="240"/>
        <w:spacing w:after="0" w:line="257" w:lineRule="auto"/>
        <w:rPr>
          <w:sz w:val="20"/>
          <w:szCs w:val="20"/>
          <w:color w:val="auto"/>
        </w:rPr>
      </w:pPr>
      <w:r>
        <w:rPr>
          <w:rFonts w:ascii="Times New Roman" w:cs="Times New Roman" w:eastAsia="Times New Roman" w:hAnsi="Times New Roman"/>
          <w:sz w:val="12"/>
          <w:szCs w:val="12"/>
          <w:color w:val="auto"/>
        </w:rPr>
        <w:t>The Holding Account has its own Holding Account interest rate and interest is credited daily at an effective annual rate that we declare periodically. The Holding Account guaranteed minimum interest rate will not be less than 1%. The Holding Account guaranteed minimum interest rate can be found on your Contract Schedule. Your financial professional can tell you the current and guaranteed minimum interest rate. We reserve the right to change the Holding Account interest rate.</w:t>
      </w:r>
    </w:p>
    <w:p>
      <w:pPr>
        <w:spacing w:after="0" w:line="53"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Thirty (30) days before the current Term expires, we will send you a notification, written or electronic depending on your selected preferences, indicating your maturing Shield Options and how you can obtain the new Cap Rates, Step Rates, and Edge Rates. You may also access our website at https://www.brighthousefinancial.com/products/rates/ where at least two months of renewal rates for the Rate Crediting Types, the Fixed Account and, if applicable, the interest rate for the Holding Account are posted – i.e., for the current month and the following month. See “RATE CREDITING TYPES.”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2"/>
          <w:szCs w:val="12"/>
          <w:color w:val="auto"/>
        </w:rPr>
        <w:t>F-1</w:t>
      </w:r>
    </w:p>
    <w:p>
      <w:pPr>
        <w:sectPr>
          <w:pgSz w:w="11900" w:h="16838" w:orient="portrait"/>
          <w:cols w:equalWidth="0" w:num="1">
            <w:col w:w="9359"/>
          </w:cols>
          <w:pgMar w:left="1100" w:top="962" w:right="1440"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5739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180" w:type="dxa"/>
            <w:vAlign w:val="bottom"/>
            <w:vMerge w:val="restart"/>
          </w:tcPr>
          <w:p>
            <w:pPr>
              <w:ind w:left="740"/>
              <w:spacing w:after="0"/>
              <w:rPr>
                <w:sz w:val="20"/>
                <w:szCs w:val="20"/>
                <w:color w:val="auto"/>
              </w:rPr>
            </w:pPr>
            <w:r>
              <w:rPr>
                <w:rFonts w:ascii="Times New Roman" w:cs="Times New Roman" w:eastAsia="Times New Roman" w:hAnsi="Times New Roman"/>
                <w:sz w:val="12"/>
                <w:szCs w:val="12"/>
                <w:color w:val="auto"/>
                <w:w w:val="97"/>
              </w:rPr>
              <w:t>(THIS PAGE INTENTIONALLY LEFT BLANK.)</w:t>
            </w:r>
          </w:p>
        </w:tc>
        <w:tc>
          <w:tcPr>
            <w:tcW w:w="0" w:type="dxa"/>
            <w:vAlign w:val="bottom"/>
          </w:tcPr>
          <w:p>
            <w:pPr>
              <w:spacing w:after="0"/>
              <w:rPr>
                <w:sz w:val="1"/>
                <w:szCs w:val="1"/>
                <w:color w:val="auto"/>
              </w:rPr>
            </w:pPr>
          </w:p>
        </w:tc>
      </w:tr>
      <w:tr>
        <w:trPr>
          <w:trHeight w:val="62"/>
        </w:trPr>
        <w:tc>
          <w:tcPr>
            <w:tcW w:w="800" w:type="dxa"/>
            <w:vAlign w:val="bottom"/>
          </w:tcPr>
          <w:p>
            <w:pPr>
              <w:spacing w:after="0"/>
              <w:rPr>
                <w:sz w:val="5"/>
                <w:szCs w:val="5"/>
                <w:color w:val="auto"/>
              </w:rPr>
            </w:pPr>
          </w:p>
        </w:tc>
        <w:tc>
          <w:tcPr>
            <w:tcW w:w="3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359"/>
          </w:cols>
          <w:pgMar w:left="1100" w:top="1440" w:right="1440" w:bottom="1440" w:gutter="0" w:footer="0" w:header="0"/>
        </w:sectPr>
      </w:pPr>
    </w:p>
    <w:bookmarkStart w:id="93" w:name="page94"/>
    <w:bookmarkEnd w:id="93"/>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557395" cy="36830"/>
                    </a:xfrm>
                    <a:prstGeom prst="rect">
                      <a:avLst/>
                    </a:prstGeom>
                    <a:noFill/>
                  </pic:spPr>
                </pic:pic>
              </a:graphicData>
            </a:graphic>
          </wp:anchor>
        </w:drawing>
        <w:t>APPENDIX G</w:t>
      </w:r>
    </w:p>
    <w:p>
      <w:pPr>
        <w:spacing w:after="0" w:line="78" w:lineRule="exact"/>
        <w:rPr>
          <w:sz w:val="20"/>
          <w:szCs w:val="20"/>
          <w:color w:val="auto"/>
        </w:rPr>
      </w:pPr>
    </w:p>
    <w:p>
      <w:pPr>
        <w:jc w:val="center"/>
        <w:ind w:right="3839"/>
        <w:spacing w:after="0"/>
        <w:rPr>
          <w:sz w:val="20"/>
          <w:szCs w:val="20"/>
          <w:color w:val="auto"/>
        </w:rPr>
      </w:pPr>
      <w:r>
        <w:rPr>
          <w:rFonts w:ascii="Times New Roman" w:cs="Times New Roman" w:eastAsia="Times New Roman" w:hAnsi="Times New Roman"/>
          <w:sz w:val="12"/>
          <w:szCs w:val="12"/>
          <w:b w:val="1"/>
          <w:bCs w:val="1"/>
          <w:color w:val="auto"/>
        </w:rPr>
        <w:t>FINANCIAL INTERMEDIARY VARIATIONS</w:t>
      </w:r>
    </w:p>
    <w:p>
      <w:pPr>
        <w:spacing w:after="0" w:line="82" w:lineRule="exact"/>
        <w:rPr>
          <w:sz w:val="20"/>
          <w:szCs w:val="20"/>
          <w:color w:val="auto"/>
        </w:rPr>
      </w:pPr>
    </w:p>
    <w:p>
      <w:pPr>
        <w:jc w:val="both"/>
        <w:ind w:right="3839" w:firstLine="240"/>
        <w:spacing w:after="0" w:line="256" w:lineRule="auto"/>
        <w:rPr>
          <w:sz w:val="20"/>
          <w:szCs w:val="20"/>
          <w:color w:val="auto"/>
        </w:rPr>
      </w:pPr>
      <w:r>
        <w:rPr>
          <w:rFonts w:ascii="Times New Roman" w:cs="Times New Roman" w:eastAsia="Times New Roman" w:hAnsi="Times New Roman"/>
          <w:sz w:val="12"/>
          <w:szCs w:val="12"/>
          <w:color w:val="auto"/>
        </w:rPr>
        <w:t>There may be variations in the availability of Allocation Options, Contract benefits, and other Contract features described in this prospectus-including restrictions, limitations, and other variations – which may apply depending on the selling firm through which your Contract is sold. Variations may be imposed by some selling firms without our knowledge. For example, your financial professional may not recommend a particular Allocation Option or Contract benefit to you. Any such variations are unknown to us. We cannot identify any such variations in this appendix without unreasonable effort or incurring unreasonable expense.</w:t>
      </w:r>
    </w:p>
    <w:p>
      <w:pPr>
        <w:spacing w:after="0" w:line="49" w:lineRule="exact"/>
        <w:rPr>
          <w:sz w:val="20"/>
          <w:szCs w:val="20"/>
          <w:color w:val="auto"/>
        </w:rPr>
      </w:pPr>
    </w:p>
    <w:p>
      <w:pPr>
        <w:jc w:val="both"/>
        <w:ind w:right="3839" w:firstLine="240"/>
        <w:spacing w:after="0" w:line="268" w:lineRule="auto"/>
        <w:rPr>
          <w:sz w:val="20"/>
          <w:szCs w:val="20"/>
          <w:color w:val="auto"/>
        </w:rPr>
      </w:pPr>
      <w:r>
        <w:rPr>
          <w:rFonts w:ascii="Times New Roman" w:cs="Times New Roman" w:eastAsia="Times New Roman" w:hAnsi="Times New Roman"/>
          <w:sz w:val="12"/>
          <w:szCs w:val="12"/>
          <w:b w:val="1"/>
          <w:bCs w:val="1"/>
          <w:color w:val="auto"/>
        </w:rPr>
        <w:t>You should discuss with your financial professional the availability of, and any limitations, restrictions, or other variations related to the Allocation Options, Contract benefits or other Contract features available to you through your financial professional.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2"/>
          <w:szCs w:val="12"/>
          <w:color w:val="auto"/>
        </w:rPr>
        <w:t>G-1</w:t>
      </w:r>
    </w:p>
    <w:p>
      <w:pPr>
        <w:sectPr>
          <w:pgSz w:w="11900" w:h="16838" w:orient="portrait"/>
          <w:cols w:equalWidth="0" w:num="1">
            <w:col w:w="9359"/>
          </w:cols>
          <w:pgMar w:left="1100" w:top="962" w:right="1440"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55739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180" w:type="dxa"/>
            <w:vAlign w:val="bottom"/>
            <w:vMerge w:val="restart"/>
          </w:tcPr>
          <w:p>
            <w:pPr>
              <w:ind w:left="740"/>
              <w:spacing w:after="0"/>
              <w:rPr>
                <w:sz w:val="20"/>
                <w:szCs w:val="20"/>
                <w:color w:val="auto"/>
              </w:rPr>
            </w:pPr>
            <w:r>
              <w:rPr>
                <w:rFonts w:ascii="Times New Roman" w:cs="Times New Roman" w:eastAsia="Times New Roman" w:hAnsi="Times New Roman"/>
                <w:sz w:val="12"/>
                <w:szCs w:val="12"/>
                <w:color w:val="auto"/>
                <w:w w:val="97"/>
              </w:rPr>
              <w:t>(THIS PAGE INTENTIONALLY LEFT BLANK.)</w:t>
            </w: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3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359"/>
          </w:cols>
          <w:pgMar w:left="1100" w:top="1440" w:right="1440"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55739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180" w:type="dxa"/>
            <w:vAlign w:val="bottom"/>
            <w:vMerge w:val="restart"/>
          </w:tcPr>
          <w:p>
            <w:pPr>
              <w:ind w:left="740"/>
              <w:spacing w:after="0"/>
              <w:rPr>
                <w:sz w:val="20"/>
                <w:szCs w:val="20"/>
                <w:color w:val="auto"/>
              </w:rPr>
            </w:pPr>
            <w:r>
              <w:rPr>
                <w:rFonts w:ascii="Times New Roman" w:cs="Times New Roman" w:eastAsia="Times New Roman" w:hAnsi="Times New Roman"/>
                <w:sz w:val="12"/>
                <w:szCs w:val="12"/>
                <w:color w:val="auto"/>
                <w:w w:val="97"/>
              </w:rPr>
              <w:t>(THIS PAGE INTENTIONALLY LEFT BLANK.)</w:t>
            </w:r>
          </w:p>
        </w:tc>
        <w:tc>
          <w:tcPr>
            <w:tcW w:w="0" w:type="dxa"/>
            <w:vAlign w:val="bottom"/>
          </w:tcPr>
          <w:p>
            <w:pPr>
              <w:spacing w:after="0"/>
              <w:rPr>
                <w:sz w:val="1"/>
                <w:szCs w:val="1"/>
                <w:color w:val="auto"/>
              </w:rPr>
            </w:pPr>
          </w:p>
        </w:tc>
      </w:tr>
      <w:tr>
        <w:trPr>
          <w:trHeight w:val="53"/>
        </w:trPr>
        <w:tc>
          <w:tcPr>
            <w:tcW w:w="800" w:type="dxa"/>
            <w:vAlign w:val="bottom"/>
          </w:tcPr>
          <w:p>
            <w:pPr>
              <w:spacing w:after="0"/>
              <w:rPr>
                <w:sz w:val="4"/>
                <w:szCs w:val="4"/>
                <w:color w:val="auto"/>
              </w:rPr>
            </w:pPr>
          </w:p>
        </w:tc>
        <w:tc>
          <w:tcPr>
            <w:tcW w:w="3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9359"/>
          </w:cols>
          <w:pgMar w:left="1100" w:top="1440" w:right="1440" w:bottom="1440" w:gutter="0" w:footer="0" w:header="0"/>
        </w:sectPr>
      </w:pPr>
    </w:p>
    <w:bookmarkStart w:id="96" w:name="page97"/>
    <w:bookmarkEnd w:id="96"/>
    <w:p>
      <w:pPr>
        <w:jc w:val="both"/>
        <w:ind w:right="3379" w:firstLine="240"/>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455739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57395" cy="36830"/>
                    </a:xfrm>
                    <a:prstGeom prst="rect">
                      <a:avLst/>
                    </a:prstGeom>
                    <a:noFill/>
                  </pic:spPr>
                </pic:pic>
              </a:graphicData>
            </a:graphic>
          </wp:anchor>
        </w:drawing>
        <w:t>The statement of additional information (“SAI”) dated April 27, 2026 includes additional information about the Contract and BLNY. The SAI is incorporated by reference. The SAI is available, without charge, upon request. For a free copy of the SAI, or to request other information about the Contract, and to make investor inquiries, call us at (888) 243-1932.</w:t>
      </w:r>
    </w:p>
    <w:p>
      <w:pPr>
        <w:spacing w:after="0" w:line="47" w:lineRule="exact"/>
        <w:rPr>
          <w:sz w:val="20"/>
          <w:szCs w:val="20"/>
          <w:color w:val="auto"/>
        </w:rPr>
      </w:pPr>
    </w:p>
    <w:p>
      <w:pPr>
        <w:jc w:val="both"/>
        <w:ind w:right="3359" w:firstLine="240"/>
        <w:spacing w:after="0" w:line="265" w:lineRule="auto"/>
        <w:rPr>
          <w:sz w:val="20"/>
          <w:szCs w:val="20"/>
          <w:color w:val="auto"/>
        </w:rPr>
      </w:pPr>
      <w:r>
        <w:rPr>
          <w:rFonts w:ascii="Times New Roman" w:cs="Times New Roman" w:eastAsia="Times New Roman" w:hAnsi="Times New Roman"/>
          <w:sz w:val="12"/>
          <w:szCs w:val="12"/>
          <w:color w:val="auto"/>
        </w:rPr>
        <w:t>Reports and other information about BLNY are available on the SEC’s website at https://www.sec.gov/, and copies of this information may be obtained, upon payment of a duplicating fee, by electronic request at the following email address: publicinfo@sec.gov.</w:t>
      </w:r>
    </w:p>
    <w:p>
      <w:pPr>
        <w:spacing w:after="0" w:line="4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2"/>
          <w:szCs w:val="12"/>
          <w:color w:val="auto"/>
        </w:rPr>
        <w:t>EDGAR Contract Identifier No. is C000261171</w:t>
      </w:r>
    </w:p>
    <w:p>
      <w:pPr>
        <w:sectPr>
          <w:pgSz w:w="11900" w:h="16838" w:orient="portrait"/>
          <w:cols w:equalWidth="0" w:num="1">
            <w:col w:w="9839"/>
          </w:cols>
          <w:pgMar w:left="620" w:top="1002" w:right="1440" w:bottom="1440" w:gutter="0" w:footer="0" w:header="0"/>
        </w:sectPr>
      </w:pPr>
    </w:p>
    <w:bookmarkStart w:id="97" w:name="page98"/>
    <w:bookmarkEnd w:id="97"/>
    <w:p>
      <w:pPr>
        <w:spacing w:after="0" w:line="2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116205</wp:posOffset>
            </wp:positionV>
            <wp:extent cx="455739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57395" cy="36830"/>
                    </a:xfrm>
                    <a:prstGeom prst="rect">
                      <a:avLst/>
                    </a:prstGeom>
                    <a:noFill/>
                  </pic:spPr>
                </pic:pic>
              </a:graphicData>
            </a:graphic>
          </wp:anchor>
        </w:drawing>
      </w:r>
    </w:p>
    <w:p>
      <w:pPr>
        <w:ind w:left="1128"/>
        <w:spacing w:after="0"/>
        <w:rPr>
          <w:sz w:val="20"/>
          <w:szCs w:val="20"/>
          <w:color w:val="auto"/>
        </w:rPr>
      </w:pPr>
      <w:r>
        <w:rPr>
          <w:rFonts w:ascii="Arial" w:cs="Arial" w:eastAsia="Arial" w:hAnsi="Arial"/>
          <w:sz w:val="24"/>
          <w:szCs w:val="24"/>
          <w:b w:val="1"/>
          <w:bCs w:val="1"/>
          <w:color w:val="auto"/>
        </w:rPr>
        <w:t>Statement of Additional Information</w:t>
      </w:r>
    </w:p>
    <w:p>
      <w:pPr>
        <w:spacing w:after="0" w:line="174" w:lineRule="exact"/>
        <w:rPr>
          <w:sz w:val="20"/>
          <w:szCs w:val="20"/>
          <w:color w:val="auto"/>
        </w:rPr>
      </w:pPr>
    </w:p>
    <w:p>
      <w:pPr>
        <w:ind w:left="408"/>
        <w:spacing w:after="0"/>
        <w:rPr>
          <w:sz w:val="20"/>
          <w:szCs w:val="20"/>
          <w:color w:val="auto"/>
        </w:rPr>
      </w:pPr>
      <w:r>
        <w:rPr>
          <w:rFonts w:ascii="Arial" w:cs="Arial" w:eastAsia="Arial" w:hAnsi="Arial"/>
          <w:sz w:val="24"/>
          <w:szCs w:val="24"/>
          <w:b w:val="1"/>
          <w:bCs w:val="1"/>
          <w:color w:val="auto"/>
        </w:rPr>
        <w:t>Individual Single Premium Deferred Index-linked</w:t>
      </w:r>
    </w:p>
    <w:p>
      <w:pPr>
        <w:jc w:val="center"/>
        <w:ind w:right="3471"/>
        <w:spacing w:after="0"/>
        <w:rPr>
          <w:sz w:val="20"/>
          <w:szCs w:val="20"/>
          <w:color w:val="auto"/>
        </w:rPr>
      </w:pPr>
      <w:r>
        <w:rPr>
          <w:rFonts w:ascii="Arial" w:cs="Arial" w:eastAsia="Arial" w:hAnsi="Arial"/>
          <w:sz w:val="24"/>
          <w:szCs w:val="24"/>
          <w:b w:val="1"/>
          <w:bCs w:val="1"/>
          <w:color w:val="auto"/>
        </w:rPr>
        <w:t>Annuity Contract</w:t>
      </w:r>
    </w:p>
    <w:p>
      <w:pPr>
        <w:spacing w:after="0" w:line="107" w:lineRule="exact"/>
        <w:rPr>
          <w:sz w:val="20"/>
          <w:szCs w:val="20"/>
          <w:color w:val="auto"/>
        </w:rPr>
      </w:pPr>
    </w:p>
    <w:p>
      <w:pPr>
        <w:ind w:left="1188"/>
        <w:spacing w:after="0"/>
        <w:rPr>
          <w:sz w:val="20"/>
          <w:szCs w:val="20"/>
          <w:color w:val="auto"/>
        </w:rPr>
      </w:pPr>
      <w:r>
        <w:rPr>
          <w:rFonts w:ascii="Arial" w:cs="Arial" w:eastAsia="Arial" w:hAnsi="Arial"/>
          <w:sz w:val="19"/>
          <w:szCs w:val="19"/>
          <w:b w:val="1"/>
          <w:bCs w:val="1"/>
          <w:color w:val="auto"/>
        </w:rPr>
        <w:t>Brighthouse Life Insurance Company of NY</w:t>
      </w:r>
    </w:p>
    <w:p>
      <w:pPr>
        <w:spacing w:after="0" w:line="134" w:lineRule="exact"/>
        <w:rPr>
          <w:sz w:val="20"/>
          <w:szCs w:val="20"/>
          <w:color w:val="auto"/>
        </w:rPr>
      </w:pPr>
    </w:p>
    <w:p>
      <w:pPr>
        <w:ind w:left="1188"/>
        <w:spacing w:after="0"/>
        <w:rPr>
          <w:sz w:val="20"/>
          <w:szCs w:val="20"/>
          <w:color w:val="auto"/>
        </w:rPr>
      </w:pPr>
      <w:r>
        <w:rPr>
          <w:rFonts w:ascii="Arial" w:cs="Arial" w:eastAsia="Arial" w:hAnsi="Arial"/>
          <w:sz w:val="19"/>
          <w:szCs w:val="19"/>
          <w:b w:val="1"/>
          <w:bCs w:val="1"/>
          <w:color w:val="auto"/>
        </w:rPr>
        <w:t>Brighthouse Shield</w:t>
      </w:r>
      <w:r>
        <w:rPr>
          <w:rFonts w:ascii="Arial" w:cs="Arial" w:eastAsia="Arial" w:hAnsi="Arial"/>
          <w:sz w:val="23"/>
          <w:szCs w:val="23"/>
          <w:b w:val="1"/>
          <w:bCs w:val="1"/>
          <w:color w:val="auto"/>
          <w:vertAlign w:val="superscript"/>
        </w:rPr>
        <w:t>®</w:t>
      </w:r>
      <w:r>
        <w:rPr>
          <w:rFonts w:ascii="Arial" w:cs="Arial" w:eastAsia="Arial" w:hAnsi="Arial"/>
          <w:sz w:val="19"/>
          <w:szCs w:val="19"/>
          <w:b w:val="1"/>
          <w:bCs w:val="1"/>
          <w:color w:val="auto"/>
        </w:rPr>
        <w:t xml:space="preserve"> Level II 6-Year Annuity</w:t>
      </w:r>
    </w:p>
    <w:p>
      <w:pPr>
        <w:spacing w:after="0" w:line="115" w:lineRule="exact"/>
        <w:rPr>
          <w:sz w:val="20"/>
          <w:szCs w:val="20"/>
          <w:color w:val="auto"/>
        </w:rPr>
      </w:pPr>
    </w:p>
    <w:p>
      <w:pPr>
        <w:jc w:val="both"/>
        <w:ind w:left="8" w:right="3699"/>
        <w:spacing w:after="0" w:line="280" w:lineRule="auto"/>
        <w:rPr>
          <w:sz w:val="20"/>
          <w:szCs w:val="20"/>
          <w:color w:val="auto"/>
        </w:rPr>
      </w:pPr>
      <w:r>
        <w:rPr>
          <w:rFonts w:ascii="Times New Roman" w:cs="Times New Roman" w:eastAsia="Times New Roman" w:hAnsi="Times New Roman"/>
          <w:sz w:val="11"/>
          <w:szCs w:val="11"/>
          <w:color w:val="auto"/>
        </w:rPr>
        <w:t>This Statement of Additional Information (“SAI”) is not a prospectus but relates to, and should be read in conjunction with, the Prospectus dated April 27, 2026. A copy of the Individual Single Premium Deferred Index-linked Annuity Contract Prospectus may be obtained by writing to Brighthouse Life Insurance Company of NY, P.O. Box 4301, Clinton, IA 52733-4301, by calling</w:t>
      </w:r>
    </w:p>
    <w:p>
      <w:pPr>
        <w:ind w:left="8" w:right="3619" w:hanging="8"/>
        <w:spacing w:after="0" w:line="260" w:lineRule="auto"/>
        <w:tabs>
          <w:tab w:leader="none" w:pos="298"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243-1932, by visiting the website https://dfinview.com/BHF/PUFT/BHF246?site=BHF1 or by accessing the Securities and Exchange Commission's website at http://www.sec.gov.</w:t>
      </w:r>
    </w:p>
    <w:p>
      <w:pPr>
        <w:spacing w:after="0" w:line="122" w:lineRule="exact"/>
        <w:rPr>
          <w:sz w:val="20"/>
          <w:szCs w:val="20"/>
          <w:color w:val="auto"/>
        </w:rPr>
      </w:pPr>
    </w:p>
    <w:p>
      <w:pPr>
        <w:ind w:left="8" w:right="3559"/>
        <w:spacing w:after="0" w:line="265" w:lineRule="auto"/>
        <w:rPr>
          <w:sz w:val="20"/>
          <w:szCs w:val="20"/>
          <w:color w:val="auto"/>
        </w:rPr>
      </w:pPr>
      <w:r>
        <w:rPr>
          <w:rFonts w:ascii="Times New Roman" w:cs="Times New Roman" w:eastAsia="Times New Roman" w:hAnsi="Times New Roman"/>
          <w:sz w:val="12"/>
          <w:szCs w:val="12"/>
          <w:color w:val="auto"/>
        </w:rPr>
        <w:t>The SAI contains information in addition to the information described in the Prospectus for the Individual Single Premium Deferred Index-linked Annuity Contract (the “Contract”) offered by Brighthouse Life Insurance Company of NY (“we”, “our”, or the “Company”).The Prospectus concisely sets forth information that a prospective investor ought to know before investing.</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Statement of Additional Information is dated April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Book 797 SAI</w:t>
      </w:r>
    </w:p>
    <w:p>
      <w:pPr>
        <w:sectPr>
          <w:pgSz w:w="11900" w:h="16838" w:orient="portrait"/>
          <w:cols w:equalWidth="0" w:num="1">
            <w:col w:w="9807"/>
          </w:cols>
          <w:pgMar w:left="652" w:top="1440" w:right="144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3"/>
        </w:trPr>
        <w:tc>
          <w:tcPr>
            <w:tcW w:w="1000" w:type="dxa"/>
            <w:vAlign w:val="bottom"/>
          </w:tcPr>
          <w:p>
            <w:pPr>
              <w:spacing w:after="0"/>
              <w:rPr>
                <w:sz w:val="16"/>
                <w:szCs w:val="16"/>
                <w:color w:val="auto"/>
              </w:rPr>
            </w:pPr>
          </w:p>
        </w:tc>
        <w:tc>
          <w:tcPr>
            <w:tcW w:w="2920" w:type="dxa"/>
            <w:vAlign w:val="bottom"/>
            <w:gridSpan w:val="9"/>
          </w:tcPr>
          <w:p>
            <w:pPr>
              <w:spacing w:after="0"/>
              <w:rPr>
                <w:sz w:val="20"/>
                <w:szCs w:val="20"/>
                <w:color w:val="auto"/>
              </w:rPr>
            </w:pPr>
            <w:r>
              <w:rPr>
                <w:rFonts w:ascii="Arial" w:cs="Arial" w:eastAsia="Arial" w:hAnsi="Arial"/>
                <w:sz w:val="16"/>
                <w:szCs w:val="16"/>
                <w:b w:val="1"/>
                <w:bCs w:val="1"/>
                <w:color w:val="auto"/>
              </w:rPr>
              <w:t>TABLE OF CONTENTS</w:t>
            </w:r>
          </w:p>
        </w:tc>
        <w:tc>
          <w:tcPr>
            <w:tcW w:w="1480" w:type="dxa"/>
            <w:vAlign w:val="bottom"/>
          </w:tcPr>
          <w:p>
            <w:pPr>
              <w:jc w:val="right"/>
              <w:ind w:right="95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89"/>
        </w:trPr>
        <w:tc>
          <w:tcPr>
            <w:tcW w:w="1000" w:type="dxa"/>
            <w:vAlign w:val="bottom"/>
            <w:shd w:val="clear" w:color="auto" w:fill="F0FFFF"/>
          </w:tcPr>
          <w:p>
            <w:pPr>
              <w:spacing w:after="0"/>
              <w:rPr>
                <w:sz w:val="16"/>
                <w:szCs w:val="16"/>
                <w:color w:val="auto"/>
              </w:rPr>
            </w:pPr>
          </w:p>
        </w:tc>
        <w:tc>
          <w:tcPr>
            <w:tcW w:w="2920" w:type="dxa"/>
            <w:vAlign w:val="bottom"/>
            <w:gridSpan w:val="9"/>
            <w:shd w:val="clear" w:color="auto" w:fill="F0FFFF"/>
          </w:tcPr>
          <w:p>
            <w:pPr>
              <w:spacing w:after="0"/>
              <w:rPr>
                <w:sz w:val="20"/>
                <w:szCs w:val="20"/>
                <w:color w:val="auto"/>
              </w:rPr>
            </w:pPr>
            <w:r>
              <w:rPr>
                <w:rFonts w:ascii="Arial" w:cs="Arial" w:eastAsia="Arial" w:hAnsi="Arial"/>
                <w:sz w:val="12"/>
                <w:szCs w:val="12"/>
                <w:b w:val="1"/>
                <w:bCs w:val="1"/>
                <w:color w:val="0000EE"/>
              </w:rPr>
              <w:t>COMPANY</w:t>
            </w:r>
          </w:p>
        </w:tc>
        <w:tc>
          <w:tcPr>
            <w:tcW w:w="1480" w:type="dxa"/>
            <w:vAlign w:val="bottom"/>
            <w:shd w:val="clear" w:color="auto" w:fill="F0FFFF"/>
          </w:tcPr>
          <w:p>
            <w:pPr>
              <w:jc w:val="right"/>
              <w:ind w:right="939"/>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7"/>
        </w:trPr>
        <w:tc>
          <w:tcPr>
            <w:tcW w:w="1000" w:type="dxa"/>
            <w:vAlign w:val="bottom"/>
            <w:shd w:val="clear" w:color="auto" w:fill="F0FFFF"/>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tcBorders>
              <w:right w:val="single" w:sz="8" w:color="F0FFFF"/>
            </w:tcBorders>
            <w:shd w:val="clear" w:color="auto" w:fill="F0FFFF"/>
          </w:tcPr>
          <w:p>
            <w:pPr>
              <w:spacing w:after="0"/>
              <w:rPr>
                <w:sz w:val="2"/>
                <w:szCs w:val="2"/>
                <w:color w:val="auto"/>
              </w:rPr>
            </w:pPr>
          </w:p>
        </w:tc>
        <w:tc>
          <w:tcPr>
            <w:tcW w:w="400" w:type="dxa"/>
            <w:vAlign w:val="bottom"/>
            <w:tcBorders>
              <w:left w:val="single" w:sz="8" w:color="F0FFFF"/>
            </w:tcBorders>
            <w:shd w:val="clear" w:color="auto" w:fill="F0FFFF"/>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92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8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spacing w:after="0"/>
              <w:rPr>
                <w:sz w:val="16"/>
                <w:szCs w:val="16"/>
                <w:color w:val="auto"/>
              </w:rPr>
            </w:pPr>
          </w:p>
        </w:tc>
        <w:tc>
          <w:tcPr>
            <w:tcW w:w="2920" w:type="dxa"/>
            <w:vAlign w:val="bottom"/>
            <w:gridSpan w:val="9"/>
          </w:tcPr>
          <w:p>
            <w:pPr>
              <w:spacing w:after="0"/>
              <w:rPr>
                <w:sz w:val="20"/>
                <w:szCs w:val="20"/>
                <w:color w:val="auto"/>
              </w:rPr>
            </w:pPr>
            <w:r>
              <w:rPr>
                <w:rFonts w:ascii="Arial" w:cs="Arial" w:eastAsia="Arial" w:hAnsi="Arial"/>
                <w:sz w:val="12"/>
                <w:szCs w:val="12"/>
                <w:b w:val="1"/>
                <w:bCs w:val="1"/>
                <w:color w:val="0000EE"/>
              </w:rPr>
              <w:t>SERVICES</w:t>
            </w:r>
          </w:p>
        </w:tc>
        <w:tc>
          <w:tcPr>
            <w:tcW w:w="1480" w:type="dxa"/>
            <w:vAlign w:val="bottom"/>
          </w:tcPr>
          <w:p>
            <w:pPr>
              <w:jc w:val="right"/>
              <w:ind w:right="939"/>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F0FFFF"/>
          </w:tcPr>
          <w:p>
            <w:pPr>
              <w:spacing w:after="0"/>
              <w:rPr>
                <w:sz w:val="16"/>
                <w:szCs w:val="16"/>
                <w:color w:val="auto"/>
              </w:rPr>
            </w:pPr>
          </w:p>
        </w:tc>
        <w:tc>
          <w:tcPr>
            <w:tcW w:w="2920" w:type="dxa"/>
            <w:vAlign w:val="bottom"/>
            <w:gridSpan w:val="9"/>
            <w:shd w:val="clear" w:color="auto" w:fill="F0FFFF"/>
          </w:tcPr>
          <w:p>
            <w:pPr>
              <w:spacing w:after="0"/>
              <w:rPr>
                <w:sz w:val="20"/>
                <w:szCs w:val="20"/>
                <w:color w:val="auto"/>
              </w:rPr>
            </w:pPr>
            <w:r>
              <w:rPr>
                <w:rFonts w:ascii="Arial" w:cs="Arial" w:eastAsia="Arial" w:hAnsi="Arial"/>
                <w:sz w:val="12"/>
                <w:szCs w:val="12"/>
                <w:b w:val="1"/>
                <w:bCs w:val="1"/>
                <w:color w:val="0000EE"/>
              </w:rPr>
              <w:t>INDEPENDENT AUDITOR</w:t>
            </w:r>
          </w:p>
        </w:tc>
        <w:tc>
          <w:tcPr>
            <w:tcW w:w="1480" w:type="dxa"/>
            <w:vAlign w:val="bottom"/>
            <w:shd w:val="clear" w:color="auto" w:fill="F0FFFF"/>
          </w:tcPr>
          <w:p>
            <w:pPr>
              <w:jc w:val="right"/>
              <w:ind w:right="939"/>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7"/>
        </w:trPr>
        <w:tc>
          <w:tcPr>
            <w:tcW w:w="1000" w:type="dxa"/>
            <w:vAlign w:val="bottom"/>
            <w:shd w:val="clear" w:color="auto" w:fill="F0FFFF"/>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40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F0FFFF"/>
            </w:tcBorders>
            <w:shd w:val="clear" w:color="auto" w:fill="0000EE"/>
          </w:tcPr>
          <w:p>
            <w:pPr>
              <w:spacing w:after="0"/>
              <w:rPr>
                <w:sz w:val="2"/>
                <w:szCs w:val="2"/>
                <w:color w:val="auto"/>
              </w:rPr>
            </w:pPr>
          </w:p>
        </w:tc>
        <w:tc>
          <w:tcPr>
            <w:tcW w:w="92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8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920" w:type="dxa"/>
            <w:vAlign w:val="bottom"/>
            <w:gridSpan w:val="9"/>
          </w:tcPr>
          <w:p>
            <w:pPr>
              <w:spacing w:after="0"/>
              <w:rPr>
                <w:sz w:val="20"/>
                <w:szCs w:val="20"/>
                <w:color w:val="auto"/>
              </w:rPr>
            </w:pPr>
            <w:r>
              <w:rPr>
                <w:rFonts w:ascii="Arial" w:cs="Arial" w:eastAsia="Arial" w:hAnsi="Arial"/>
                <w:sz w:val="12"/>
                <w:szCs w:val="12"/>
                <w:b w:val="1"/>
                <w:bCs w:val="1"/>
                <w:color w:val="0000EE"/>
              </w:rPr>
              <w:t>INTERIM VALUE CALCULATION AND EXAMPLES</w:t>
            </w:r>
          </w:p>
        </w:tc>
        <w:tc>
          <w:tcPr>
            <w:tcW w:w="1480" w:type="dxa"/>
            <w:vAlign w:val="bottom"/>
          </w:tcPr>
          <w:p>
            <w:pPr>
              <w:jc w:val="right"/>
              <w:ind w:right="939"/>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17"/>
        </w:trPr>
        <w:tc>
          <w:tcPr>
            <w:tcW w:w="1000" w:type="dxa"/>
            <w:vAlign w:val="bottom"/>
            <w:shd w:val="clear" w:color="auto" w:fill="F0FFFF"/>
          </w:tcPr>
          <w:p>
            <w:pPr>
              <w:spacing w:after="0"/>
              <w:rPr>
                <w:sz w:val="10"/>
                <w:szCs w:val="10"/>
                <w:color w:val="auto"/>
              </w:rPr>
            </w:pPr>
          </w:p>
        </w:tc>
        <w:tc>
          <w:tcPr>
            <w:tcW w:w="300" w:type="dxa"/>
            <w:vAlign w:val="bottom"/>
            <w:tcBorders>
              <w:top w:val="single" w:sz="8" w:color="0000EE"/>
            </w:tcBorders>
            <w:shd w:val="clear" w:color="auto" w:fill="F0FFFF"/>
          </w:tcPr>
          <w:p>
            <w:pPr>
              <w:spacing w:after="0"/>
              <w:rPr>
                <w:sz w:val="10"/>
                <w:szCs w:val="10"/>
                <w:color w:val="auto"/>
              </w:rPr>
            </w:pPr>
          </w:p>
        </w:tc>
        <w:tc>
          <w:tcPr>
            <w:tcW w:w="2500" w:type="dxa"/>
            <w:vAlign w:val="bottom"/>
            <w:tcBorders>
              <w:top w:val="single" w:sz="8" w:color="0000EE"/>
            </w:tcBorders>
            <w:gridSpan w:val="7"/>
            <w:shd w:val="clear" w:color="auto" w:fill="F0FFFF"/>
          </w:tcPr>
          <w:p>
            <w:pPr>
              <w:spacing w:after="0" w:line="117" w:lineRule="exact"/>
              <w:rPr>
                <w:sz w:val="20"/>
                <w:szCs w:val="20"/>
                <w:color w:val="auto"/>
              </w:rPr>
            </w:pPr>
            <w:r>
              <w:rPr>
                <w:rFonts w:ascii="Times New Roman" w:cs="Times New Roman" w:eastAsia="Times New Roman" w:hAnsi="Times New Roman"/>
                <w:sz w:val="12"/>
                <w:szCs w:val="12"/>
                <w:color w:val="0000EE"/>
              </w:rPr>
              <w:t>Interim Value</w:t>
            </w:r>
          </w:p>
        </w:tc>
        <w:tc>
          <w:tcPr>
            <w:tcW w:w="120" w:type="dxa"/>
            <w:vAlign w:val="bottom"/>
            <w:shd w:val="clear" w:color="auto" w:fill="F0FFFF"/>
          </w:tcPr>
          <w:p>
            <w:pPr>
              <w:spacing w:after="0"/>
              <w:rPr>
                <w:sz w:val="10"/>
                <w:szCs w:val="10"/>
                <w:color w:val="auto"/>
              </w:rPr>
            </w:pPr>
          </w:p>
        </w:tc>
        <w:tc>
          <w:tcPr>
            <w:tcW w:w="1480" w:type="dxa"/>
            <w:vAlign w:val="bottom"/>
            <w:shd w:val="clear" w:color="auto" w:fill="F0FFFF"/>
          </w:tcPr>
          <w:p>
            <w:pPr>
              <w:jc w:val="right"/>
              <w:ind w:right="939"/>
              <w:spacing w:after="0" w:line="117"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7"/>
        </w:trPr>
        <w:tc>
          <w:tcPr>
            <w:tcW w:w="1000" w:type="dxa"/>
            <w:vAlign w:val="bottom"/>
            <w:shd w:val="clear" w:color="auto" w:fill="F0FFFF"/>
          </w:tcPr>
          <w:p>
            <w:pPr>
              <w:spacing w:after="0"/>
              <w:rPr>
                <w:sz w:val="2"/>
                <w:szCs w:val="2"/>
                <w:color w:val="auto"/>
              </w:rPr>
            </w:pPr>
          </w:p>
        </w:tc>
        <w:tc>
          <w:tcPr>
            <w:tcW w:w="300" w:type="dxa"/>
            <w:vAlign w:val="bottom"/>
            <w:shd w:val="clear" w:color="auto" w:fill="F0FFFF"/>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400" w:type="dxa"/>
            <w:vAlign w:val="bottom"/>
            <w:tcBorders>
              <w:left w:val="single" w:sz="8" w:color="F0FFFF"/>
            </w:tcBorders>
            <w:shd w:val="clear" w:color="auto" w:fill="F0FFFF"/>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92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8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Borders>
              <w:bottom w:val="single" w:sz="8" w:color="0000EE"/>
            </w:tcBorders>
            <w:gridSpan w:val="4"/>
          </w:tcPr>
          <w:p>
            <w:pPr>
              <w:spacing w:after="0" w:line="117" w:lineRule="exact"/>
              <w:rPr>
                <w:sz w:val="20"/>
                <w:szCs w:val="20"/>
                <w:color w:val="auto"/>
              </w:rPr>
            </w:pPr>
            <w:r>
              <w:rPr>
                <w:rFonts w:ascii="Times New Roman" w:cs="Times New Roman" w:eastAsia="Times New Roman" w:hAnsi="Times New Roman"/>
                <w:sz w:val="12"/>
                <w:szCs w:val="12"/>
                <w:color w:val="0000EE"/>
                <w:w w:val="95"/>
              </w:rPr>
              <w:t>Interim Value Calculation</w:t>
            </w:r>
          </w:p>
        </w:tc>
        <w:tc>
          <w:tcPr>
            <w:tcW w:w="1380" w:type="dxa"/>
            <w:vAlign w:val="bottom"/>
            <w:gridSpan w:val="4"/>
          </w:tcPr>
          <w:p>
            <w:pPr>
              <w:spacing w:after="0"/>
              <w:rPr>
                <w:sz w:val="10"/>
                <w:szCs w:val="10"/>
                <w:color w:val="auto"/>
              </w:rPr>
            </w:pPr>
          </w:p>
        </w:tc>
        <w:tc>
          <w:tcPr>
            <w:tcW w:w="1480" w:type="dxa"/>
            <w:vAlign w:val="bottom"/>
          </w:tcPr>
          <w:p>
            <w:pPr>
              <w:jc w:val="right"/>
              <w:ind w:right="939"/>
              <w:spacing w:after="0" w:line="117"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F0FFFF"/>
            </w:tcBorders>
            <w:shd w:val="clear" w:color="auto" w:fill="F0FFFF"/>
          </w:tcPr>
          <w:p>
            <w:pPr>
              <w:spacing w:after="0"/>
              <w:rPr>
                <w:sz w:val="17"/>
                <w:szCs w:val="17"/>
                <w:color w:val="auto"/>
              </w:rPr>
            </w:pPr>
          </w:p>
        </w:tc>
        <w:tc>
          <w:tcPr>
            <w:tcW w:w="920" w:type="dxa"/>
            <w:vAlign w:val="bottom"/>
            <w:tcBorders>
              <w:bottom w:val="single" w:sz="8" w:color="0000EE"/>
              <w:right w:val="single" w:sz="8" w:color="F0FFFF"/>
            </w:tcBorders>
            <w:gridSpan w:val="3"/>
            <w:shd w:val="clear" w:color="auto" w:fill="F0FFFF"/>
          </w:tcPr>
          <w:p>
            <w:pPr>
              <w:spacing w:after="0"/>
              <w:rPr>
                <w:sz w:val="20"/>
                <w:szCs w:val="20"/>
                <w:color w:val="auto"/>
              </w:rPr>
            </w:pPr>
            <w:r>
              <w:rPr>
                <w:rFonts w:ascii="Arial" w:cs="Arial" w:eastAsia="Arial" w:hAnsi="Arial"/>
                <w:sz w:val="12"/>
                <w:szCs w:val="12"/>
                <w:b w:val="1"/>
                <w:bCs w:val="1"/>
                <w:color w:val="0000EE"/>
              </w:rPr>
              <w:t>DISTRIBUTION</w:t>
            </w:r>
          </w:p>
        </w:tc>
        <w:tc>
          <w:tcPr>
            <w:tcW w:w="2000" w:type="dxa"/>
            <w:vAlign w:val="bottom"/>
            <w:tcBorders>
              <w:left w:val="single" w:sz="8" w:color="F0FFFF"/>
              <w:bottom w:val="single" w:sz="8" w:color="F0FFFF"/>
            </w:tcBorders>
            <w:gridSpan w:val="6"/>
            <w:shd w:val="clear" w:color="auto" w:fill="F0FFFF"/>
          </w:tcPr>
          <w:p>
            <w:pPr>
              <w:spacing w:after="0"/>
              <w:rPr>
                <w:sz w:val="17"/>
                <w:szCs w:val="17"/>
                <w:color w:val="auto"/>
              </w:rPr>
            </w:pPr>
          </w:p>
        </w:tc>
        <w:tc>
          <w:tcPr>
            <w:tcW w:w="1480" w:type="dxa"/>
            <w:vAlign w:val="bottom"/>
            <w:tcBorders>
              <w:bottom w:val="single" w:sz="8" w:color="F0FFFF"/>
            </w:tcBorders>
            <w:shd w:val="clear" w:color="auto" w:fill="F0FFFF"/>
          </w:tcPr>
          <w:p>
            <w:pPr>
              <w:jc w:val="right"/>
              <w:ind w:right="939"/>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320" w:type="dxa"/>
            <w:vAlign w:val="bottom"/>
            <w:tcBorders>
              <w:bottom w:val="single" w:sz="8" w:color="0000EE"/>
            </w:tcBorders>
            <w:gridSpan w:val="4"/>
          </w:tcPr>
          <w:p>
            <w:pPr>
              <w:spacing w:after="0"/>
              <w:rPr>
                <w:sz w:val="20"/>
                <w:szCs w:val="20"/>
                <w:color w:val="auto"/>
              </w:rPr>
            </w:pPr>
            <w:r>
              <w:rPr>
                <w:rFonts w:ascii="Arial" w:cs="Arial" w:eastAsia="Arial" w:hAnsi="Arial"/>
                <w:sz w:val="12"/>
                <w:szCs w:val="12"/>
                <w:b w:val="1"/>
                <w:bCs w:val="1"/>
                <w:color w:val="0000EE"/>
                <w:w w:val="98"/>
              </w:rPr>
              <w:t>ANNUITY PROVISIONS</w:t>
            </w:r>
          </w:p>
        </w:tc>
        <w:tc>
          <w:tcPr>
            <w:tcW w:w="1600" w:type="dxa"/>
            <w:vAlign w:val="bottom"/>
            <w:gridSpan w:val="5"/>
          </w:tcPr>
          <w:p>
            <w:pPr>
              <w:spacing w:after="0"/>
              <w:rPr>
                <w:sz w:val="17"/>
                <w:szCs w:val="17"/>
                <w:color w:val="auto"/>
              </w:rPr>
            </w:pPr>
          </w:p>
        </w:tc>
        <w:tc>
          <w:tcPr>
            <w:tcW w:w="1480" w:type="dxa"/>
            <w:vAlign w:val="bottom"/>
          </w:tcPr>
          <w:p>
            <w:pPr>
              <w:jc w:val="right"/>
              <w:ind w:right="939"/>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17"/>
        </w:trPr>
        <w:tc>
          <w:tcPr>
            <w:tcW w:w="1000" w:type="dxa"/>
            <w:vAlign w:val="bottom"/>
            <w:shd w:val="clear" w:color="auto" w:fill="F0FFFF"/>
          </w:tcPr>
          <w:p>
            <w:pPr>
              <w:spacing w:after="0"/>
              <w:rPr>
                <w:sz w:val="10"/>
                <w:szCs w:val="10"/>
                <w:color w:val="auto"/>
              </w:rPr>
            </w:pPr>
          </w:p>
        </w:tc>
        <w:tc>
          <w:tcPr>
            <w:tcW w:w="300" w:type="dxa"/>
            <w:vAlign w:val="bottom"/>
            <w:shd w:val="clear" w:color="auto" w:fill="F0FFFF"/>
          </w:tcPr>
          <w:p>
            <w:pPr>
              <w:spacing w:after="0"/>
              <w:rPr>
                <w:sz w:val="10"/>
                <w:szCs w:val="10"/>
                <w:color w:val="auto"/>
              </w:rPr>
            </w:pPr>
          </w:p>
        </w:tc>
        <w:tc>
          <w:tcPr>
            <w:tcW w:w="2620" w:type="dxa"/>
            <w:vAlign w:val="bottom"/>
            <w:gridSpan w:val="8"/>
            <w:shd w:val="clear" w:color="auto" w:fill="F0FFFF"/>
          </w:tcPr>
          <w:p>
            <w:pPr>
              <w:spacing w:after="0" w:line="117" w:lineRule="exact"/>
              <w:rPr>
                <w:sz w:val="20"/>
                <w:szCs w:val="20"/>
                <w:color w:val="auto"/>
              </w:rPr>
            </w:pPr>
            <w:r>
              <w:rPr>
                <w:rFonts w:ascii="Times New Roman" w:cs="Times New Roman" w:eastAsia="Times New Roman" w:hAnsi="Times New Roman"/>
                <w:sz w:val="12"/>
                <w:szCs w:val="12"/>
                <w:color w:val="0000EE"/>
              </w:rPr>
              <w:t>Fixed Annuity</w:t>
            </w:r>
          </w:p>
        </w:tc>
        <w:tc>
          <w:tcPr>
            <w:tcW w:w="1480" w:type="dxa"/>
            <w:vAlign w:val="bottom"/>
            <w:shd w:val="clear" w:color="auto" w:fill="F0FFFF"/>
          </w:tcPr>
          <w:p>
            <w:pPr>
              <w:jc w:val="right"/>
              <w:ind w:right="939"/>
              <w:spacing w:after="0" w:line="117" w:lineRule="exact"/>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27"/>
        </w:trPr>
        <w:tc>
          <w:tcPr>
            <w:tcW w:w="1000" w:type="dxa"/>
            <w:vAlign w:val="bottom"/>
            <w:shd w:val="clear" w:color="auto" w:fill="F0FFFF"/>
          </w:tcPr>
          <w:p>
            <w:pPr>
              <w:spacing w:after="0"/>
              <w:rPr>
                <w:sz w:val="2"/>
                <w:szCs w:val="2"/>
                <w:color w:val="auto"/>
              </w:rPr>
            </w:pPr>
          </w:p>
        </w:tc>
        <w:tc>
          <w:tcPr>
            <w:tcW w:w="300" w:type="dxa"/>
            <w:vAlign w:val="bottom"/>
            <w:shd w:val="clear" w:color="auto" w:fill="F0FFFF"/>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400" w:type="dxa"/>
            <w:vAlign w:val="bottom"/>
            <w:tcBorders>
              <w:left w:val="single" w:sz="8" w:color="0000EE"/>
            </w:tcBorders>
            <w:shd w:val="clear" w:color="auto" w:fill="F0FFFF"/>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92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8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000" w:type="dxa"/>
            <w:vAlign w:val="bottom"/>
          </w:tcPr>
          <w:p>
            <w:pPr>
              <w:spacing w:after="0"/>
              <w:rPr>
                <w:sz w:val="17"/>
                <w:szCs w:val="17"/>
                <w:color w:val="auto"/>
              </w:rPr>
            </w:pPr>
          </w:p>
        </w:tc>
        <w:tc>
          <w:tcPr>
            <w:tcW w:w="2920" w:type="dxa"/>
            <w:vAlign w:val="bottom"/>
            <w:gridSpan w:val="9"/>
          </w:tcPr>
          <w:p>
            <w:pPr>
              <w:spacing w:after="0"/>
              <w:rPr>
                <w:sz w:val="20"/>
                <w:szCs w:val="20"/>
                <w:color w:val="auto"/>
              </w:rPr>
            </w:pPr>
            <w:r>
              <w:rPr>
                <w:rFonts w:ascii="Arial" w:cs="Arial" w:eastAsia="Arial" w:hAnsi="Arial"/>
                <w:sz w:val="12"/>
                <w:szCs w:val="12"/>
                <w:b w:val="1"/>
                <w:bCs w:val="1"/>
                <w:color w:val="0000EE"/>
              </w:rPr>
              <w:t>LEGAL OR REGULATORY RESTRICTIONS ON</w:t>
            </w:r>
          </w:p>
        </w:tc>
        <w:tc>
          <w:tcPr>
            <w:tcW w:w="1480" w:type="dxa"/>
            <w:vAlign w:val="bottom"/>
            <w:vMerge w:val="restart"/>
          </w:tcPr>
          <w:p>
            <w:pPr>
              <w:jc w:val="right"/>
              <w:ind w:right="939"/>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13"/>
        </w:trPr>
        <w:tc>
          <w:tcPr>
            <w:tcW w:w="1000" w:type="dxa"/>
            <w:vAlign w:val="bottom"/>
          </w:tcPr>
          <w:p>
            <w:pPr>
              <w:spacing w:after="0"/>
              <w:rPr>
                <w:sz w:val="9"/>
                <w:szCs w:val="9"/>
                <w:color w:val="auto"/>
              </w:rPr>
            </w:pPr>
          </w:p>
        </w:tc>
        <w:tc>
          <w:tcPr>
            <w:tcW w:w="920" w:type="dxa"/>
            <w:vAlign w:val="bottom"/>
            <w:tcBorders>
              <w:top w:val="single" w:sz="8" w:color="0000EE"/>
              <w:bottom w:val="single" w:sz="8" w:color="0000EE"/>
            </w:tcBorders>
            <w:gridSpan w:val="3"/>
          </w:tcPr>
          <w:p>
            <w:pPr>
              <w:spacing w:after="0" w:line="106" w:lineRule="exact"/>
              <w:rPr>
                <w:sz w:val="20"/>
                <w:szCs w:val="20"/>
                <w:color w:val="auto"/>
              </w:rPr>
            </w:pPr>
            <w:r>
              <w:rPr>
                <w:rFonts w:ascii="Arial" w:cs="Arial" w:eastAsia="Arial" w:hAnsi="Arial"/>
                <w:sz w:val="12"/>
                <w:szCs w:val="12"/>
                <w:b w:val="1"/>
                <w:bCs w:val="1"/>
                <w:color w:val="0000EE"/>
                <w:w w:val="92"/>
              </w:rPr>
              <w:t>TRANSACTIONS</w:t>
            </w:r>
          </w:p>
        </w:tc>
        <w:tc>
          <w:tcPr>
            <w:tcW w:w="1700" w:type="dxa"/>
            <w:vAlign w:val="bottom"/>
            <w:tcBorders>
              <w:top w:val="single" w:sz="8" w:color="0000EE"/>
            </w:tcBorders>
            <w:gridSpan w:val="4"/>
          </w:tcPr>
          <w:p>
            <w:pPr>
              <w:spacing w:after="0"/>
              <w:rPr>
                <w:sz w:val="9"/>
                <w:szCs w:val="9"/>
                <w:color w:val="auto"/>
              </w:rPr>
            </w:pPr>
          </w:p>
        </w:tc>
        <w:tc>
          <w:tcPr>
            <w:tcW w:w="300" w:type="dxa"/>
            <w:vAlign w:val="bottom"/>
            <w:gridSpan w:val="2"/>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F0FFFF"/>
            </w:tcBorders>
            <w:shd w:val="clear" w:color="auto" w:fill="F0FFFF"/>
          </w:tcPr>
          <w:p>
            <w:pPr>
              <w:spacing w:after="0"/>
              <w:rPr>
                <w:sz w:val="17"/>
                <w:szCs w:val="17"/>
                <w:color w:val="auto"/>
              </w:rPr>
            </w:pPr>
          </w:p>
        </w:tc>
        <w:tc>
          <w:tcPr>
            <w:tcW w:w="1540" w:type="dxa"/>
            <w:vAlign w:val="bottom"/>
            <w:tcBorders>
              <w:bottom w:val="single" w:sz="8" w:color="0000EE"/>
              <w:right w:val="single" w:sz="8" w:color="F0FFFF"/>
            </w:tcBorders>
            <w:gridSpan w:val="5"/>
            <w:shd w:val="clear" w:color="auto" w:fill="F0FFFF"/>
          </w:tcPr>
          <w:p>
            <w:pPr>
              <w:spacing w:after="0"/>
              <w:rPr>
                <w:sz w:val="20"/>
                <w:szCs w:val="20"/>
                <w:color w:val="auto"/>
              </w:rPr>
            </w:pPr>
            <w:r>
              <w:rPr>
                <w:rFonts w:ascii="Arial" w:cs="Arial" w:eastAsia="Arial" w:hAnsi="Arial"/>
                <w:sz w:val="12"/>
                <w:szCs w:val="12"/>
                <w:b w:val="1"/>
                <w:bCs w:val="1"/>
                <w:color w:val="0000EE"/>
              </w:rPr>
              <w:t>FINANCIAL STATEMENTS</w:t>
            </w:r>
          </w:p>
        </w:tc>
        <w:tc>
          <w:tcPr>
            <w:tcW w:w="1380" w:type="dxa"/>
            <w:vAlign w:val="bottom"/>
            <w:tcBorders>
              <w:bottom w:val="single" w:sz="8" w:color="F0FFFF"/>
            </w:tcBorders>
            <w:gridSpan w:val="4"/>
            <w:shd w:val="clear" w:color="auto" w:fill="F0FFFF"/>
          </w:tcPr>
          <w:p>
            <w:pPr>
              <w:spacing w:after="0"/>
              <w:rPr>
                <w:sz w:val="17"/>
                <w:szCs w:val="17"/>
                <w:color w:val="auto"/>
              </w:rPr>
            </w:pPr>
          </w:p>
        </w:tc>
        <w:tc>
          <w:tcPr>
            <w:tcW w:w="1480" w:type="dxa"/>
            <w:vAlign w:val="bottom"/>
            <w:tcBorders>
              <w:bottom w:val="single" w:sz="8" w:color="F0FFFF"/>
            </w:tcBorders>
            <w:shd w:val="clear" w:color="auto" w:fill="F0FFFF"/>
          </w:tcPr>
          <w:p>
            <w:pPr>
              <w:jc w:val="right"/>
              <w:ind w:right="939"/>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920" w:type="dxa"/>
            <w:vAlign w:val="bottom"/>
            <w:gridSpan w:val="9"/>
          </w:tcPr>
          <w:p>
            <w:pPr>
              <w:spacing w:after="0"/>
              <w:rPr>
                <w:sz w:val="20"/>
                <w:szCs w:val="20"/>
                <w:color w:val="auto"/>
              </w:rPr>
            </w:pPr>
            <w:r>
              <w:rPr>
                <w:rFonts w:ascii="Arial" w:cs="Arial" w:eastAsia="Arial" w:hAnsi="Arial"/>
                <w:sz w:val="12"/>
                <w:szCs w:val="12"/>
                <w:b w:val="1"/>
                <w:bCs w:val="1"/>
                <w:color w:val="0000EE"/>
              </w:rPr>
              <w:t>CHANGES IN AND DISAGREEMENTS WITH</w:t>
            </w:r>
          </w:p>
        </w:tc>
        <w:tc>
          <w:tcPr>
            <w:tcW w:w="1480" w:type="dxa"/>
            <w:vAlign w:val="bottom"/>
            <w:vMerge w:val="restart"/>
          </w:tcPr>
          <w:p>
            <w:pPr>
              <w:jc w:val="right"/>
              <w:ind w:right="939"/>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06"/>
        </w:trPr>
        <w:tc>
          <w:tcPr>
            <w:tcW w:w="1000" w:type="dxa"/>
            <w:vAlign w:val="bottom"/>
          </w:tcPr>
          <w:p>
            <w:pPr>
              <w:spacing w:after="0"/>
              <w:rPr>
                <w:sz w:val="9"/>
                <w:szCs w:val="9"/>
                <w:color w:val="auto"/>
              </w:rPr>
            </w:pPr>
          </w:p>
        </w:tc>
        <w:tc>
          <w:tcPr>
            <w:tcW w:w="2460" w:type="dxa"/>
            <w:vAlign w:val="bottom"/>
            <w:tcBorders>
              <w:top w:val="single" w:sz="8" w:color="0000EE"/>
            </w:tcBorders>
            <w:gridSpan w:val="6"/>
          </w:tcPr>
          <w:p>
            <w:pPr>
              <w:spacing w:after="0" w:line="106" w:lineRule="exact"/>
              <w:rPr>
                <w:sz w:val="20"/>
                <w:szCs w:val="20"/>
                <w:color w:val="auto"/>
              </w:rPr>
            </w:pPr>
            <w:r>
              <w:rPr>
                <w:rFonts w:ascii="Arial" w:cs="Arial" w:eastAsia="Arial" w:hAnsi="Arial"/>
                <w:sz w:val="12"/>
                <w:szCs w:val="12"/>
                <w:b w:val="1"/>
                <w:bCs w:val="1"/>
                <w:color w:val="0000EE"/>
              </w:rPr>
              <w:t>ACCOUNTANTS</w:t>
            </w:r>
          </w:p>
        </w:tc>
        <w:tc>
          <w:tcPr>
            <w:tcW w:w="460" w:type="dxa"/>
            <w:vAlign w:val="bottom"/>
            <w:gridSpan w:val="3"/>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720344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239"/>
          </w:cols>
          <w:pgMar w:left="1220" w:top="1206" w:right="1440" w:bottom="1440" w:gutter="0" w:footer="0" w:header="0"/>
        </w:sectPr>
      </w:pPr>
    </w:p>
    <w:bookmarkStart w:id="99" w:name="page100"/>
    <w:bookmarkEnd w:id="99"/>
    <w:p>
      <w:pPr>
        <w:spacing w:after="0" w:line="3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720344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COMPANY</w:t>
      </w:r>
    </w:p>
    <w:p>
      <w:pPr>
        <w:spacing w:after="0" w:line="115" w:lineRule="exact"/>
        <w:rPr>
          <w:sz w:val="20"/>
          <w:szCs w:val="20"/>
          <w:color w:val="auto"/>
        </w:rPr>
      </w:pPr>
    </w:p>
    <w:p>
      <w:pPr>
        <w:ind w:right="3639"/>
        <w:spacing w:after="0" w:line="300" w:lineRule="auto"/>
        <w:rPr>
          <w:sz w:val="20"/>
          <w:szCs w:val="20"/>
          <w:color w:val="auto"/>
        </w:rPr>
      </w:pPr>
      <w:r>
        <w:rPr>
          <w:rFonts w:ascii="Times New Roman" w:cs="Times New Roman" w:eastAsia="Times New Roman" w:hAnsi="Times New Roman"/>
          <w:sz w:val="12"/>
          <w:szCs w:val="12"/>
          <w:color w:val="auto"/>
        </w:rPr>
        <w:t>Brighthouse Life Insurance Company of NY (“BLNY” or the “Company”) is a stock life insurance company organized under the laws of the State of New York in 1992. Prior to March 6, 2017, BLNY was known as First MetLife Investors Insurance Company. (Prior to February 12, 2001, the Company was known as First Cova Life Insurance Company, and prior to June 1, 1995, it was known as First Xerox Life Insurance Company.) BLNY is licensed to conduct business only in the State of New York.</w:t>
      </w:r>
    </w:p>
    <w:p>
      <w:pPr>
        <w:spacing w:after="0" w:line="74" w:lineRule="exact"/>
        <w:rPr>
          <w:sz w:val="20"/>
          <w:szCs w:val="20"/>
          <w:color w:val="auto"/>
        </w:rPr>
      </w:pPr>
    </w:p>
    <w:p>
      <w:pPr>
        <w:ind w:right="3599"/>
        <w:spacing w:after="0" w:line="297" w:lineRule="auto"/>
        <w:rPr>
          <w:sz w:val="20"/>
          <w:szCs w:val="20"/>
          <w:color w:val="auto"/>
        </w:rPr>
      </w:pPr>
      <w:r>
        <w:rPr>
          <w:rFonts w:ascii="Times New Roman" w:cs="Times New Roman" w:eastAsia="Times New Roman" w:hAnsi="Times New Roman"/>
          <w:sz w:val="12"/>
          <w:szCs w:val="12"/>
          <w:color w:val="auto"/>
        </w:rPr>
        <w:t>BLNY is a wholly-owned subsidiary of, and controlled by, Brighthouse Life Insurance Company (“BLIC”). BLIC is an indirect, wholly-owned subsidiary of, and ultimately controlled by, Brighthouse Financial, Inc. (“BHF”), a publicly-traded company. The Company was an indirect, wholly-owned subsidiary of MetLife, Inc. until August 4, 2017, when BHF became an independent, publicly-traded company following the completion of a separation transaction. BHF, through its subsidiaries and affiliates, is one of the largest providers of annuities and life insurance in the U.S. BLNY’s executive offices are located at 285 Madison Avenue, New York, NY 10017.</w:t>
      </w:r>
    </w:p>
    <w:p>
      <w:pPr>
        <w:spacing w:after="0" w:line="82" w:lineRule="exact"/>
        <w:rPr>
          <w:sz w:val="20"/>
          <w:szCs w:val="20"/>
          <w:color w:val="auto"/>
        </w:rPr>
      </w:pPr>
    </w:p>
    <w:p>
      <w:pPr>
        <w:ind w:right="3739"/>
        <w:spacing w:after="0" w:line="296" w:lineRule="auto"/>
        <w:rPr>
          <w:sz w:val="20"/>
          <w:szCs w:val="20"/>
          <w:color w:val="auto"/>
        </w:rPr>
      </w:pPr>
      <w:r>
        <w:rPr>
          <w:rFonts w:ascii="Times New Roman" w:cs="Times New Roman" w:eastAsia="Times New Roman" w:hAnsi="Times New Roman"/>
          <w:sz w:val="12"/>
          <w:szCs w:val="12"/>
          <w:color w:val="auto"/>
        </w:rPr>
        <w:t>On November 6, 2025, BHF and Aquarian Capital LLC (“Aquarian”) announced that they had entered into a definitive agreement under which an affiliate of Aquarian will acquire BHF. This transaction is subject to the satisfaction or waiver of customary closing conditions, including receipt of applicable regulatory approvals. Subject to such approvals and the satisfaction or waiver of the other conditions, the transaction is expected to be consummated in 2026.</w:t>
      </w:r>
    </w:p>
    <w:p>
      <w:pPr>
        <w:spacing w:after="0" w:line="84" w:lineRule="exact"/>
        <w:rPr>
          <w:sz w:val="20"/>
          <w:szCs w:val="20"/>
          <w:color w:val="auto"/>
        </w:rPr>
      </w:pPr>
    </w:p>
    <w:p>
      <w:pPr>
        <w:ind w:right="3659"/>
        <w:spacing w:after="0" w:line="296" w:lineRule="auto"/>
        <w:rPr>
          <w:sz w:val="20"/>
          <w:szCs w:val="20"/>
          <w:color w:val="auto"/>
        </w:rPr>
      </w:pPr>
      <w:r>
        <w:rPr>
          <w:rFonts w:ascii="Times New Roman" w:cs="Times New Roman" w:eastAsia="Times New Roman" w:hAnsi="Times New Roman"/>
          <w:sz w:val="12"/>
          <w:szCs w:val="12"/>
          <w:color w:val="auto"/>
        </w:rPr>
        <w:t>Upon the consummation of the transaction, Aquarian will become the ultimate parent of BHF, Brighthouse Life Insurance Company (“BLIC”) will remain an indirect wholly-owned subsidiary of BHF, and BLNY will remain a wholly-owned subsidiary of BLIC. Although Aquarian will replace BHF as BLNY’s ultimate parent, BLNY will continue in its present role as the issuer of your contract. All of your rights and benefits under your contract and BLNY’s obligations under the contract will remain unchanged.</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SERVICES</w:t>
      </w:r>
    </w:p>
    <w:p>
      <w:pPr>
        <w:spacing w:after="0" w:line="115" w:lineRule="exact"/>
        <w:rPr>
          <w:sz w:val="20"/>
          <w:szCs w:val="20"/>
          <w:color w:val="auto"/>
        </w:rPr>
      </w:pPr>
    </w:p>
    <w:p>
      <w:pPr>
        <w:ind w:right="3619"/>
        <w:spacing w:after="0" w:line="300" w:lineRule="auto"/>
        <w:rPr>
          <w:sz w:val="20"/>
          <w:szCs w:val="20"/>
          <w:color w:val="auto"/>
        </w:rPr>
      </w:pPr>
      <w:r>
        <w:rPr>
          <w:rFonts w:ascii="Times New Roman" w:cs="Times New Roman" w:eastAsia="Times New Roman" w:hAnsi="Times New Roman"/>
          <w:sz w:val="12"/>
          <w:szCs w:val="12"/>
          <w:color w:val="auto"/>
        </w:rPr>
        <w:t>BLNY maintains certain books and records of Brighthouse Separate Accoun SA II (the “Separate Account”) and provides certain issuance and other administrative services for the Contracts. Pursuant to a services agreement, Computer Sciences Corporation, through its affiliate Alliance-One Services, Inc. provides certain other administrative and recordkeeping services for the Contracts as well as other contracts and policies issued by BLNY. The amount paid to Computer Sciences Corporation for the period January 1, 2024 through December 31, 2024 was $896,224 and for the period January 1, 2025 through December 31, 2025 was $1,110,553. The Contracts were not offered before January 1, 2024.</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INDEPENDENT AUDITOR</w:t>
      </w:r>
    </w:p>
    <w:p>
      <w:pPr>
        <w:spacing w:after="0" w:line="115" w:lineRule="exact"/>
        <w:rPr>
          <w:sz w:val="20"/>
          <w:szCs w:val="20"/>
          <w:color w:val="auto"/>
        </w:rPr>
      </w:pPr>
    </w:p>
    <w:p>
      <w:pPr>
        <w:ind w:right="3539"/>
        <w:spacing w:after="0" w:line="297" w:lineRule="auto"/>
        <w:rPr>
          <w:sz w:val="20"/>
          <w:szCs w:val="20"/>
          <w:color w:val="auto"/>
        </w:rPr>
      </w:pPr>
      <w:r>
        <w:rPr>
          <w:rFonts w:ascii="Times New Roman" w:cs="Times New Roman" w:eastAsia="Times New Roman" w:hAnsi="Times New Roman"/>
          <w:sz w:val="12"/>
          <w:szCs w:val="12"/>
          <w:color w:val="auto"/>
        </w:rPr>
        <w:t>The statutory-basis financial statements of Brighthouse Life Insurance Company of NY as of December 31, 2025 and 2024 and for each of the two years in the period ended December 31, 2025, incorporated by reference in this Statement of Additional Information, have been audited by Deloitte &amp; Touche LLP, an independent auditor, as stated in their report which expresses an unqualified opinion on the statutory-basis financial statements and an adverse opinion on accounting principles generally accepted in the United States of America. Such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659"/>
          </w:cols>
          <w:pgMar w:left="800" w:top="1440" w:right="1440" w:bottom="1440" w:gutter="0" w:footer="0" w:header="0"/>
        </w:sectPr>
      </w:pPr>
    </w:p>
    <w:bookmarkStart w:id="100" w:name="page101"/>
    <w:bookmarkEnd w:id="100"/>
    <w:p>
      <w:pPr>
        <w:ind w:left="4" w:right="3779"/>
        <w:spacing w:after="0" w:line="32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t>The principal business address of Deloitte &amp; Touche LLP is 650 South Tryon Street, Suite 1800, Charlotte, North Carolina 28202-3512.</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INTERIM VALUE CALCULATION AND EXAMPLES</w:t>
      </w:r>
    </w:p>
    <w:p>
      <w:pPr>
        <w:spacing w:after="0" w:line="16"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Interim Value</w:t>
      </w:r>
    </w:p>
    <w:p>
      <w:pPr>
        <w:spacing w:after="0" w:line="103" w:lineRule="exact"/>
        <w:rPr>
          <w:sz w:val="20"/>
          <w:szCs w:val="20"/>
          <w:color w:val="auto"/>
        </w:rPr>
      </w:pPr>
    </w:p>
    <w:p>
      <w:pPr>
        <w:ind w:left="4" w:right="3559"/>
        <w:spacing w:after="0" w:line="301" w:lineRule="auto"/>
        <w:rPr>
          <w:sz w:val="20"/>
          <w:szCs w:val="20"/>
          <w:color w:val="auto"/>
        </w:rPr>
      </w:pPr>
      <w:r>
        <w:rPr>
          <w:rFonts w:ascii="Times New Roman" w:cs="Times New Roman" w:eastAsia="Times New Roman" w:hAnsi="Times New Roman"/>
          <w:sz w:val="12"/>
          <w:szCs w:val="12"/>
          <w:color w:val="auto"/>
        </w:rPr>
        <w:t>In setting the various rates we use in calculating the Investment Amount, we assume that you are going to hold a Shield Option until the Term End Date. Nevertheless, you have the right under the Contract to make withdrawals, Surrender the Contract, annuitize, and exercise Performance Lock before the Term End Date. Therefore, we calculate an Interim Value on each Business Day between the Term Start Date and prior to the Term End Date.</w:t>
      </w:r>
    </w:p>
    <w:p>
      <w:pPr>
        <w:spacing w:after="0" w:line="73" w:lineRule="exact"/>
        <w:rPr>
          <w:sz w:val="20"/>
          <w:szCs w:val="20"/>
          <w:color w:val="auto"/>
        </w:rPr>
      </w:pPr>
    </w:p>
    <w:p>
      <w:pPr>
        <w:ind w:left="4" w:right="3559"/>
        <w:spacing w:after="0" w:line="300" w:lineRule="auto"/>
        <w:rPr>
          <w:sz w:val="20"/>
          <w:szCs w:val="20"/>
          <w:color w:val="auto"/>
        </w:rPr>
      </w:pPr>
      <w:r>
        <w:rPr>
          <w:rFonts w:ascii="Times New Roman" w:cs="Times New Roman" w:eastAsia="Times New Roman" w:hAnsi="Times New Roman"/>
          <w:sz w:val="12"/>
          <w:szCs w:val="12"/>
          <w:color w:val="auto"/>
        </w:rPr>
        <w:t>Prior to the Term End Date, we use the Interim Value to calculate the amount that is available for (1) annuitization; (2) death benefits; (3) withdrawals (including RMDs and systematic withdrawals); (4) Surrenders; or (5) Performance Lock. The Interim Value is also used to determine how much the Investment Amount will be reduced by a withdrawal. You may obtain your Interim Value on any Business Day by calling us at (888) 243-1932 or by accessing our website at www.brighthousefinancial.com. However, Interim Values fluctuate daily, and the current value(s) quoted may differ from the actual value(s) calculated.</w:t>
      </w:r>
    </w:p>
    <w:p>
      <w:pPr>
        <w:spacing w:after="0" w:line="72" w:lineRule="exact"/>
        <w:rPr>
          <w:sz w:val="20"/>
          <w:szCs w:val="20"/>
          <w:color w:val="auto"/>
        </w:rPr>
      </w:pPr>
    </w:p>
    <w:p>
      <w:pPr>
        <w:ind w:left="4" w:right="3559"/>
        <w:spacing w:after="0" w:line="295" w:lineRule="auto"/>
        <w:rPr>
          <w:sz w:val="20"/>
          <w:szCs w:val="20"/>
          <w:color w:val="auto"/>
        </w:rPr>
      </w:pPr>
      <w:r>
        <w:rPr>
          <w:rFonts w:ascii="Times New Roman" w:cs="Times New Roman" w:eastAsia="Times New Roman" w:hAnsi="Times New Roman"/>
          <w:sz w:val="12"/>
          <w:szCs w:val="12"/>
          <w:color w:val="auto"/>
        </w:rPr>
        <w:t>We calculate the Interim Value of each Shield Option on any Business Day other than the Term Start Date and Term End Date. The Interim Value is based on a formula that reflects the value of each Shield Option taking into account the applicable Shield Rate and Rate Crediting Type, the current price of the underlying Index, the time remaining until the Term End Date, and the current value of the investments we have made to fund our obligations under the Shield Option. The Interim Value is an estimate of the current value of fixed income and derivative instruments we could purchase to assure our ability to meet our obligations to the Owner at a Term End Date. The Interim Value calculation is different than the calculation we use to calculate the Investment Amount for a Shield Option on the Term End Date. The Interim Value calculation is intended to protect the Company from losses on those fixed income and derivative instruments when amounts are withdrawn (or otherwise removed) from a Shield Option before the Term End Date. The Interim Value calculation transfers this risk from the Company to Contract Owners.</w:t>
      </w:r>
    </w:p>
    <w:p>
      <w:pPr>
        <w:spacing w:after="0" w:line="77" w:lineRule="exact"/>
        <w:rPr>
          <w:sz w:val="20"/>
          <w:szCs w:val="20"/>
          <w:color w:val="auto"/>
        </w:rPr>
      </w:pPr>
    </w:p>
    <w:p>
      <w:pPr>
        <w:ind w:left="4" w:right="3619"/>
        <w:spacing w:after="0" w:line="304" w:lineRule="auto"/>
        <w:rPr>
          <w:sz w:val="20"/>
          <w:szCs w:val="20"/>
          <w:color w:val="auto"/>
        </w:rPr>
      </w:pPr>
      <w:r>
        <w:rPr>
          <w:rFonts w:ascii="Times New Roman" w:cs="Times New Roman" w:eastAsia="Times New Roman" w:hAnsi="Times New Roman"/>
          <w:sz w:val="12"/>
          <w:szCs w:val="12"/>
          <w:color w:val="auto"/>
        </w:rPr>
        <w:t>The Interim Value assesses the fair value of the assets allocated to the Shield Option (Investment Amount) plus the current value of the portfolio of options utilized to replicate the performance of these Shield Options. There are many external factors that may impact the Interim Value including changes in the Indices, changes in the interest rate environment, and volatility.</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Interim Value Calculation</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The Interim Value for each Shield Option is equal to the sum of (1) and (2), where:</w:t>
      </w:r>
    </w:p>
    <w:p>
      <w:pPr>
        <w:spacing w:after="0" w:line="105" w:lineRule="exact"/>
        <w:rPr>
          <w:sz w:val="20"/>
          <w:szCs w:val="20"/>
          <w:color w:val="auto"/>
        </w:rPr>
      </w:pPr>
    </w:p>
    <w:p>
      <w:pPr>
        <w:ind w:left="244" w:right="3979" w:hanging="244"/>
        <w:spacing w:after="0" w:line="311" w:lineRule="auto"/>
        <w:tabs>
          <w:tab w:leader="none" w:pos="244"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market value of the Fixed Income Asset Proxy (as defined below) on the Business Day the Interim Value is calculated. It is determined as (A – B) multiplied by [(1 + C) divided by (1 + D)]</w:t>
      </w:r>
      <w:r>
        <w:rPr>
          <w:rFonts w:ascii="Times New Roman" w:cs="Times New Roman" w:eastAsia="Times New Roman" w:hAnsi="Times New Roman"/>
          <w:sz w:val="15"/>
          <w:szCs w:val="15"/>
          <w:color w:val="auto"/>
          <w:vertAlign w:val="superscript"/>
        </w:rPr>
        <w:t>E</w:t>
      </w:r>
      <w:r>
        <w:rPr>
          <w:rFonts w:ascii="Times New Roman" w:cs="Times New Roman" w:eastAsia="Times New Roman" w:hAnsi="Times New Roman"/>
          <w:sz w:val="12"/>
          <w:szCs w:val="12"/>
          <w:color w:val="auto"/>
        </w:rPr>
        <w:t>, where:</w:t>
      </w:r>
    </w:p>
    <w:p>
      <w:pPr>
        <w:spacing w:after="0" w:line="11" w:lineRule="exact"/>
        <w:rPr>
          <w:rFonts w:ascii="Times New Roman" w:cs="Times New Roman" w:eastAsia="Times New Roman" w:hAnsi="Times New Roman"/>
          <w:sz w:val="12"/>
          <w:szCs w:val="12"/>
          <w:color w:val="auto"/>
        </w:rPr>
      </w:pPr>
    </w:p>
    <w:p>
      <w:pPr>
        <w:ind w:left="484" w:hanging="244"/>
        <w:spacing w:after="0"/>
        <w:tabs>
          <w:tab w:leader="none" w:pos="484" w:val="left"/>
        </w:tabs>
        <w:numPr>
          <w:ilvl w:val="1"/>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Investment Amount on the Business Day the Interim Value is calculated;</w:t>
      </w:r>
    </w:p>
    <w:p>
      <w:pPr>
        <w:spacing w:after="0" w:line="105" w:lineRule="exact"/>
        <w:rPr>
          <w:rFonts w:ascii="Times New Roman" w:cs="Times New Roman" w:eastAsia="Times New Roman" w:hAnsi="Times New Roman"/>
          <w:sz w:val="12"/>
          <w:szCs w:val="12"/>
          <w:color w:val="auto"/>
        </w:rPr>
      </w:pPr>
    </w:p>
    <w:p>
      <w:pPr>
        <w:ind w:left="484" w:right="3679" w:hanging="244"/>
        <w:spacing w:after="0" w:line="326" w:lineRule="auto"/>
        <w:tabs>
          <w:tab w:leader="none" w:pos="484" w:val="left"/>
        </w:tabs>
        <w:numPr>
          <w:ilvl w:val="1"/>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market value of the Derivative Asset Proxy (as defined below) under initial market conditions, with straight-line amortization to the end of the Term;</w:t>
      </w:r>
    </w:p>
    <w:p>
      <w:pPr>
        <w:spacing w:after="0" w:line="30" w:lineRule="exact"/>
        <w:rPr>
          <w:rFonts w:ascii="Times New Roman" w:cs="Times New Roman" w:eastAsia="Times New Roman" w:hAnsi="Times New Roman"/>
          <w:sz w:val="12"/>
          <w:szCs w:val="12"/>
          <w:color w:val="auto"/>
        </w:rPr>
      </w:pPr>
    </w:p>
    <w:p>
      <w:pPr>
        <w:ind w:left="484" w:hanging="244"/>
        <w:spacing w:after="0"/>
        <w:tabs>
          <w:tab w:leader="none" w:pos="484" w:val="left"/>
        </w:tabs>
        <w:numPr>
          <w:ilvl w:val="1"/>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Market Value Rate (as defined below) on the Term Start Date;</w:t>
      </w:r>
    </w:p>
    <w:p>
      <w:pPr>
        <w:spacing w:after="0" w:line="105" w:lineRule="exact"/>
        <w:rPr>
          <w:rFonts w:ascii="Times New Roman" w:cs="Times New Roman" w:eastAsia="Times New Roman" w:hAnsi="Times New Roman"/>
          <w:sz w:val="12"/>
          <w:szCs w:val="12"/>
          <w:color w:val="auto"/>
        </w:rPr>
      </w:pPr>
    </w:p>
    <w:p>
      <w:pPr>
        <w:ind w:left="484" w:hanging="244"/>
        <w:spacing w:after="0"/>
        <w:tabs>
          <w:tab w:leader="none" w:pos="484" w:val="left"/>
        </w:tabs>
        <w:numPr>
          <w:ilvl w:val="1"/>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Market Value Rate on the Business Day the Interim Value is calculated; and</w:t>
      </w:r>
    </w:p>
    <w:p>
      <w:pPr>
        <w:spacing w:after="0" w:line="105" w:lineRule="exact"/>
        <w:rPr>
          <w:rFonts w:ascii="Times New Roman" w:cs="Times New Roman" w:eastAsia="Times New Roman" w:hAnsi="Times New Roman"/>
          <w:sz w:val="12"/>
          <w:szCs w:val="12"/>
          <w:color w:val="auto"/>
        </w:rPr>
      </w:pPr>
    </w:p>
    <w:p>
      <w:pPr>
        <w:ind w:left="484" w:hanging="244"/>
        <w:spacing w:after="0"/>
        <w:tabs>
          <w:tab w:leader="none" w:pos="484" w:val="left"/>
        </w:tabs>
        <w:numPr>
          <w:ilvl w:val="1"/>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total days remaining in the Term divided by 365.</w:t>
      </w:r>
    </w:p>
    <w:p>
      <w:pPr>
        <w:spacing w:after="0" w:line="96" w:lineRule="exact"/>
        <w:rPr>
          <w:rFonts w:ascii="Times New Roman" w:cs="Times New Roman" w:eastAsia="Times New Roman" w:hAnsi="Times New Roman"/>
          <w:sz w:val="12"/>
          <w:szCs w:val="12"/>
          <w:color w:val="auto"/>
        </w:rPr>
      </w:pPr>
    </w:p>
    <w:p>
      <w:pPr>
        <w:ind w:left="224" w:hanging="224"/>
        <w:spacing w:after="0"/>
        <w:tabs>
          <w:tab w:leader="none" w:pos="224"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current market value of the Derivative Asset Proxy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04"/>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663"/>
          </w:cols>
          <w:pgMar w:left="796" w:top="1083" w:right="1440" w:bottom="1440" w:gutter="0" w:footer="0" w:header="0"/>
        </w:sectPr>
      </w:pPr>
    </w:p>
    <w:bookmarkStart w:id="101" w:name="page102"/>
    <w:bookmarkEnd w:id="101"/>
    <w:p>
      <w:pPr>
        <w:ind w:right="3919"/>
        <w:spacing w:after="0" w:line="32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720344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t>The Fixed Income Asset Proxy is meant to represent the market value of the fixed income assets supporting each Shield Option.</w:t>
      </w:r>
    </w:p>
    <w:p>
      <w:pPr>
        <w:spacing w:after="0" w:line="57" w:lineRule="exact"/>
        <w:rPr>
          <w:sz w:val="20"/>
          <w:szCs w:val="20"/>
          <w:color w:val="auto"/>
        </w:rPr>
      </w:pPr>
    </w:p>
    <w:p>
      <w:pPr>
        <w:ind w:right="3779"/>
        <w:spacing w:after="0" w:line="300" w:lineRule="auto"/>
        <w:rPr>
          <w:sz w:val="20"/>
          <w:szCs w:val="20"/>
          <w:color w:val="auto"/>
        </w:rPr>
      </w:pPr>
      <w:r>
        <w:rPr>
          <w:rFonts w:ascii="Times New Roman" w:cs="Times New Roman" w:eastAsia="Times New Roman" w:hAnsi="Times New Roman"/>
          <w:sz w:val="12"/>
          <w:szCs w:val="12"/>
          <w:color w:val="auto"/>
        </w:rPr>
        <w:t>The Market Value Rate change (C and D in the formula) is intended to apply a Market Value Adjustment to address any changes in interest rates from the Term Start Date to the day the Interim Value is calculated. In short, if interest rates have increased since the Term Start Date, the change in the Market Value Rate will result in a reduction of the fair value of the Investment Amount. Conversely, if interest rates have decreased since the Term Start Date, the change in the Market Value Rate will result in an increase of the fair value of the Investment Amount.</w:t>
      </w:r>
    </w:p>
    <w:p>
      <w:pPr>
        <w:spacing w:after="0" w:line="74" w:lineRule="exact"/>
        <w:rPr>
          <w:sz w:val="20"/>
          <w:szCs w:val="20"/>
          <w:color w:val="auto"/>
        </w:rPr>
      </w:pPr>
    </w:p>
    <w:p>
      <w:pPr>
        <w:ind w:right="3779"/>
        <w:spacing w:after="0" w:line="326" w:lineRule="auto"/>
        <w:rPr>
          <w:sz w:val="20"/>
          <w:szCs w:val="20"/>
          <w:color w:val="auto"/>
        </w:rPr>
      </w:pPr>
      <w:r>
        <w:rPr>
          <w:rFonts w:ascii="Times New Roman" w:cs="Times New Roman" w:eastAsia="Times New Roman" w:hAnsi="Times New Roman"/>
          <w:sz w:val="12"/>
          <w:szCs w:val="12"/>
          <w:color w:val="auto"/>
        </w:rPr>
        <w:t>The Market Value Rate will apply on a uniform basis for a class of Contract Owners in the same Shield Option and will be administered in a uniform and non-discriminatory manner.</w:t>
      </w:r>
    </w:p>
    <w:p>
      <w:pPr>
        <w:spacing w:after="0" w:line="57" w:lineRule="exact"/>
        <w:rPr>
          <w:sz w:val="20"/>
          <w:szCs w:val="20"/>
          <w:color w:val="auto"/>
        </w:rPr>
      </w:pPr>
    </w:p>
    <w:p>
      <w:pPr>
        <w:ind w:right="3559"/>
        <w:spacing w:after="0" w:line="301" w:lineRule="auto"/>
        <w:rPr>
          <w:sz w:val="20"/>
          <w:szCs w:val="20"/>
          <w:color w:val="auto"/>
        </w:rPr>
      </w:pPr>
      <w:r>
        <w:rPr>
          <w:rFonts w:ascii="Times New Roman" w:cs="Times New Roman" w:eastAsia="Times New Roman" w:hAnsi="Times New Roman"/>
          <w:sz w:val="12"/>
          <w:szCs w:val="12"/>
          <w:color w:val="auto"/>
        </w:rPr>
        <w:t>The Market Value Rate is the Constant Maturity Treasury (CMT) rate with a maturity equal to that of the Term. If a maturity of the CMT rate is not available that equals the Term, then the Market Value Rate will be linearly interpolated between the two closest available CMT maturities. The Market Value Rate will apply on a uniform basis for a class of Contract Owners in the same Shield Option and will be administered in a uniform and non-discriminatory manner.</w:t>
      </w:r>
    </w:p>
    <w:p>
      <w:pPr>
        <w:spacing w:after="0" w:line="73" w:lineRule="exact"/>
        <w:rPr>
          <w:sz w:val="20"/>
          <w:szCs w:val="20"/>
          <w:color w:val="auto"/>
        </w:rPr>
      </w:pPr>
    </w:p>
    <w:p>
      <w:pPr>
        <w:ind w:right="3699"/>
        <w:spacing w:after="0" w:line="326" w:lineRule="auto"/>
        <w:rPr>
          <w:sz w:val="20"/>
          <w:szCs w:val="20"/>
          <w:color w:val="auto"/>
        </w:rPr>
      </w:pPr>
      <w:r>
        <w:rPr>
          <w:rFonts w:ascii="Times New Roman" w:cs="Times New Roman" w:eastAsia="Times New Roman" w:hAnsi="Times New Roman"/>
          <w:sz w:val="12"/>
          <w:szCs w:val="12"/>
          <w:color w:val="auto"/>
        </w:rPr>
        <w:t>If the (CMT) rate is no longer published, or is discontinued, then we may substitute another suitable method for determining the Market Value Rate.</w:t>
      </w:r>
    </w:p>
    <w:p>
      <w:pPr>
        <w:spacing w:after="0" w:line="57" w:lineRule="exact"/>
        <w:rPr>
          <w:sz w:val="20"/>
          <w:szCs w:val="20"/>
          <w:color w:val="auto"/>
        </w:rPr>
      </w:pPr>
    </w:p>
    <w:p>
      <w:pPr>
        <w:ind w:right="3639"/>
        <w:spacing w:after="0" w:line="300" w:lineRule="auto"/>
        <w:rPr>
          <w:sz w:val="20"/>
          <w:szCs w:val="20"/>
          <w:color w:val="auto"/>
        </w:rPr>
      </w:pPr>
      <w:r>
        <w:rPr>
          <w:rFonts w:ascii="Times New Roman" w:cs="Times New Roman" w:eastAsia="Times New Roman" w:hAnsi="Times New Roman"/>
          <w:sz w:val="12"/>
          <w:szCs w:val="12"/>
          <w:color w:val="auto"/>
        </w:rPr>
        <w:t>The Derivative Asset Proxy is meant to represent an estimation of the market value of the possibility of gain or loss on the Term End Date. For the current market value of the Derivative Asset Proxy for each Shield Option, we utilize a fair market value methodology, the Black-Scholes Model, to value the replicating portfolio of options that support the Interim Value. The Derivative Asset Proxy is meant to represent the replicating portfolio of options designated by us and is used to estimate the market value of the possibility of gain or loss on the Term End Date. The value may be positive or negative.</w:t>
      </w:r>
    </w:p>
    <w:p>
      <w:pPr>
        <w:spacing w:after="0" w:line="74" w:lineRule="exact"/>
        <w:rPr>
          <w:sz w:val="20"/>
          <w:szCs w:val="20"/>
          <w:color w:val="auto"/>
        </w:rPr>
      </w:pPr>
    </w:p>
    <w:p>
      <w:pPr>
        <w:ind w:right="3619"/>
        <w:spacing w:after="0" w:line="300" w:lineRule="auto"/>
        <w:rPr>
          <w:sz w:val="20"/>
          <w:szCs w:val="20"/>
          <w:color w:val="auto"/>
        </w:rPr>
      </w:pPr>
      <w:r>
        <w:rPr>
          <w:rFonts w:ascii="Times New Roman" w:cs="Times New Roman" w:eastAsia="Times New Roman" w:hAnsi="Times New Roman"/>
          <w:sz w:val="12"/>
          <w:szCs w:val="12"/>
          <w:color w:val="auto"/>
        </w:rPr>
        <w:t>For each Shield Option, we solely designate and value options using the Black-Scholes Model, each of which is tied to the performance of the underlying Index associated with the Shield Option. We use derivatives to provide an estimate of the gain or loss on the Investment Amount allocated to the Shield Option that could occur on the Term End Date. This estimate also reflects the impact of the Cap Rate, Step Rate, Edge Rate, and Shield Rate at the end of the Term as well as the estimated cost of exiting the replicating options prior to the Term End Date.</w:t>
      </w:r>
    </w:p>
    <w:p>
      <w:pPr>
        <w:spacing w:after="0" w:line="74" w:lineRule="exact"/>
        <w:rPr>
          <w:sz w:val="20"/>
          <w:szCs w:val="20"/>
          <w:color w:val="auto"/>
        </w:rPr>
      </w:pPr>
    </w:p>
    <w:p>
      <w:pPr>
        <w:ind w:right="3539"/>
        <w:spacing w:after="0" w:line="300" w:lineRule="auto"/>
        <w:rPr>
          <w:sz w:val="20"/>
          <w:szCs w:val="20"/>
          <w:color w:val="auto"/>
        </w:rPr>
      </w:pPr>
      <w:r>
        <w:rPr>
          <w:rFonts w:ascii="Times New Roman" w:cs="Times New Roman" w:eastAsia="Times New Roman" w:hAnsi="Times New Roman"/>
          <w:sz w:val="12"/>
          <w:szCs w:val="12"/>
          <w:color w:val="auto"/>
        </w:rPr>
        <w:t>The valuation of the options is based on the Black-Scholes Model, which is one of the standard methods for valuing derivatives based on inputs from third party vendors. The methodology used to value these options as described above is determined solely by us and may vary, higher or lower, from other estimated valuations or the actual selling price of identical derivatives. Any variance between our estimated fair value price and other estimated or actual prices may be different from Shield Option type to Shield Option type and may also change from day to day.</w:t>
      </w:r>
    </w:p>
    <w:p>
      <w:pPr>
        <w:spacing w:after="0" w:line="74" w:lineRule="exact"/>
        <w:rPr>
          <w:sz w:val="20"/>
          <w:szCs w:val="20"/>
          <w:color w:val="auto"/>
        </w:rPr>
      </w:pPr>
    </w:p>
    <w:p>
      <w:pPr>
        <w:ind w:right="3659"/>
        <w:spacing w:after="0" w:line="304" w:lineRule="auto"/>
        <w:rPr>
          <w:sz w:val="20"/>
          <w:szCs w:val="20"/>
          <w:color w:val="auto"/>
        </w:rPr>
      </w:pPr>
      <w:r>
        <w:rPr>
          <w:rFonts w:ascii="Times New Roman" w:cs="Times New Roman" w:eastAsia="Times New Roman" w:hAnsi="Times New Roman"/>
          <w:sz w:val="12"/>
          <w:szCs w:val="12"/>
          <w:color w:val="auto"/>
        </w:rPr>
        <w:t>When we calculate the Interim Value, we will obtain market data for derivative pricing each Business Day from outside vendors. If these values are available and we are delayed in receiving these values, and cannot calculate a new Interim Value, we will use the prior Business Day’s Interim Value.</w:t>
      </w:r>
    </w:p>
    <w:p>
      <w:pPr>
        <w:spacing w:after="0" w:line="79" w:lineRule="exact"/>
        <w:rPr>
          <w:sz w:val="20"/>
          <w:szCs w:val="20"/>
          <w:color w:val="auto"/>
        </w:rPr>
      </w:pPr>
    </w:p>
    <w:p>
      <w:pPr>
        <w:ind w:right="3599"/>
        <w:spacing w:after="0" w:line="311" w:lineRule="auto"/>
        <w:rPr>
          <w:sz w:val="20"/>
          <w:szCs w:val="20"/>
          <w:color w:val="auto"/>
        </w:rPr>
      </w:pPr>
      <w:r>
        <w:rPr>
          <w:rFonts w:ascii="Times New Roman" w:cs="Times New Roman" w:eastAsia="Times New Roman" w:hAnsi="Times New Roman"/>
          <w:sz w:val="12"/>
          <w:szCs w:val="12"/>
          <w:color w:val="auto"/>
        </w:rPr>
        <w:t>The fair value of the replicating portfolio of options for each Shield Option is determined according to the following formulas, where,</w:t>
      </w:r>
    </w:p>
    <w:p>
      <w:pPr>
        <w:spacing w:after="0" w:line="38" w:lineRule="exact"/>
        <w:rPr>
          <w:sz w:val="20"/>
          <w:szCs w:val="20"/>
          <w:color w:val="auto"/>
        </w:rPr>
      </w:pPr>
    </w:p>
    <w:p>
      <w:pPr>
        <w:ind w:left="400" w:hanging="188"/>
        <w:spacing w:after="0"/>
        <w:tabs>
          <w:tab w:leader="none" w:pos="40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ATMC is an at-the-money call option,</w:t>
      </w:r>
    </w:p>
    <w:p>
      <w:pPr>
        <w:spacing w:after="0" w:line="78" w:lineRule="exact"/>
        <w:rPr>
          <w:rFonts w:ascii="Times New Roman" w:cs="Times New Roman" w:eastAsia="Times New Roman" w:hAnsi="Times New Roman"/>
          <w:sz w:val="12"/>
          <w:szCs w:val="12"/>
          <w:color w:val="auto"/>
        </w:rPr>
      </w:pPr>
    </w:p>
    <w:p>
      <w:pPr>
        <w:ind w:left="400" w:hanging="188"/>
        <w:spacing w:after="0"/>
        <w:tabs>
          <w:tab w:leader="none" w:pos="40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OTMC is an out-of-the-money call option,</w:t>
      </w:r>
    </w:p>
    <w:p>
      <w:pPr>
        <w:spacing w:after="0" w:line="78" w:lineRule="exact"/>
        <w:rPr>
          <w:rFonts w:ascii="Times New Roman" w:cs="Times New Roman" w:eastAsia="Times New Roman" w:hAnsi="Times New Roman"/>
          <w:sz w:val="12"/>
          <w:szCs w:val="12"/>
          <w:color w:val="auto"/>
        </w:rPr>
      </w:pPr>
    </w:p>
    <w:p>
      <w:pPr>
        <w:ind w:left="400" w:hanging="188"/>
        <w:spacing w:after="0"/>
        <w:tabs>
          <w:tab w:leader="none" w:pos="40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OTMP is an out-of-the-money put option,</w:t>
      </w:r>
    </w:p>
    <w:p>
      <w:pPr>
        <w:spacing w:after="0" w:line="78" w:lineRule="exact"/>
        <w:rPr>
          <w:rFonts w:ascii="Times New Roman" w:cs="Times New Roman" w:eastAsia="Times New Roman" w:hAnsi="Times New Roman"/>
          <w:sz w:val="12"/>
          <w:szCs w:val="12"/>
          <w:color w:val="auto"/>
        </w:rPr>
      </w:pPr>
    </w:p>
    <w:p>
      <w:pPr>
        <w:ind w:left="400" w:hanging="188"/>
        <w:spacing w:after="0"/>
        <w:tabs>
          <w:tab w:leader="none" w:pos="40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ATMBC is an at-the-money binary call option, and</w:t>
      </w:r>
    </w:p>
    <w:p>
      <w:pPr>
        <w:spacing w:after="0" w:line="78" w:lineRule="exact"/>
        <w:rPr>
          <w:rFonts w:ascii="Times New Roman" w:cs="Times New Roman" w:eastAsia="Times New Roman" w:hAnsi="Times New Roman"/>
          <w:sz w:val="12"/>
          <w:szCs w:val="12"/>
          <w:color w:val="auto"/>
        </w:rPr>
      </w:pPr>
    </w:p>
    <w:p>
      <w:pPr>
        <w:ind w:left="400" w:hanging="188"/>
        <w:spacing w:after="0"/>
        <w:tabs>
          <w:tab w:leader="none" w:pos="40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ITMBC is an in-the-money binary call option.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9659"/>
          </w:cols>
          <w:pgMar w:left="800" w:top="1083"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t>For Shield Options with a Cap Rate:</w:t>
      </w:r>
    </w:p>
    <w:p>
      <w:pPr>
        <w:spacing w:after="0" w:line="1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replicating portfolio of options is = ATMC – OTMC – OTMP</w:t>
      </w:r>
    </w:p>
    <w:p>
      <w:pPr>
        <w:spacing w:after="0" w:line="123" w:lineRule="exact"/>
        <w:rPr>
          <w:sz w:val="20"/>
          <w:szCs w:val="20"/>
          <w:color w:val="auto"/>
        </w:rPr>
      </w:pPr>
    </w:p>
    <w:p>
      <w:pPr>
        <w:ind w:right="3579"/>
        <w:spacing w:after="0" w:line="297" w:lineRule="auto"/>
        <w:rPr>
          <w:sz w:val="20"/>
          <w:szCs w:val="20"/>
          <w:color w:val="auto"/>
        </w:rPr>
      </w:pPr>
      <w:r>
        <w:rPr>
          <w:rFonts w:ascii="Times New Roman" w:cs="Times New Roman" w:eastAsia="Times New Roman" w:hAnsi="Times New Roman"/>
          <w:sz w:val="12"/>
          <w:szCs w:val="12"/>
          <w:color w:val="auto"/>
        </w:rPr>
        <w:t>With respect to our hypothetical portfolio formula, we designed the at-the-money call and out-of-the-money call to value the potential for a positive Performance Rate subject to any applicable Cap Rate. The out-of-the-money put is designed to value the potential for negative Index Performance in excess of the applicable Shield Rate for the Shield Option. It is important to note that the out-of-the-money put will almost always reduce the Interim Value, even when the current Index Value on a Business Day is higher than the Index Value on the Term Start Date. This is due to the risk that the Index Value could be lower on the Term End Date whether or not the current Index Value on a Business Day is lower than the Index Value on the Term Start Date. For purposes of the Interim Value formula, the value of the out-of-the-money call will be zero if a Cap Rate Shield Option is uncapped.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Shield Options with a Step Rate:</w:t>
      </w:r>
    </w:p>
    <w:p>
      <w:pPr>
        <w:spacing w:after="0" w:line="1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replicating portfolio of options is = [Step Rate x ATMBC] – OTMP</w:t>
      </w:r>
    </w:p>
    <w:p>
      <w:pPr>
        <w:spacing w:after="0" w:line="123" w:lineRule="exact"/>
        <w:rPr>
          <w:sz w:val="20"/>
          <w:szCs w:val="20"/>
          <w:color w:val="auto"/>
        </w:rPr>
      </w:pPr>
    </w:p>
    <w:p>
      <w:pPr>
        <w:jc w:val="both"/>
        <w:ind w:right="3639"/>
        <w:spacing w:after="0" w:line="329" w:lineRule="auto"/>
        <w:rPr>
          <w:sz w:val="20"/>
          <w:szCs w:val="20"/>
          <w:color w:val="auto"/>
        </w:rPr>
      </w:pPr>
      <w:r>
        <w:rPr>
          <w:rFonts w:ascii="Times New Roman" w:cs="Times New Roman" w:eastAsia="Times New Roman" w:hAnsi="Times New Roman"/>
          <w:sz w:val="11"/>
          <w:szCs w:val="11"/>
          <w:color w:val="auto"/>
        </w:rPr>
        <w:t>With respect to our hypothetical portfolio formula, we designed the at-the-money binary call to value the potential for gains equal to the Step Rate, if on the Term End Date, the Index Value is greater than or equal to the Index Value on the Term Start Date. The out-of-the-money put is designed to value the potential for a negative Performance Rate in excess of the applicable Shield Rate for the Shield Option. It is important to note that the out-of-the-money put will almost always reduce the Interim Value, even when the current Index Value on a Business Day is higher than the Index Value on the Term Start Date.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Shield Options with Step Rate Edge:</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replicating portfolio of options is = [Edge Rate x ITMBC] – OTMP</w:t>
      </w:r>
    </w:p>
    <w:p>
      <w:pPr>
        <w:spacing w:after="0" w:line="132" w:lineRule="exact"/>
        <w:rPr>
          <w:sz w:val="20"/>
          <w:szCs w:val="20"/>
          <w:color w:val="auto"/>
        </w:rPr>
      </w:pPr>
    </w:p>
    <w:p>
      <w:pPr>
        <w:jc w:val="both"/>
        <w:ind w:right="3679"/>
        <w:spacing w:after="0" w:line="296" w:lineRule="auto"/>
        <w:rPr>
          <w:sz w:val="20"/>
          <w:szCs w:val="20"/>
          <w:color w:val="auto"/>
        </w:rPr>
      </w:pPr>
      <w:r>
        <w:rPr>
          <w:rFonts w:ascii="Times New Roman" w:cs="Times New Roman" w:eastAsia="Times New Roman" w:hAnsi="Times New Roman"/>
          <w:sz w:val="12"/>
          <w:szCs w:val="12"/>
          <w:color w:val="auto"/>
        </w:rPr>
        <w:t>With respect to our hypothetical portfolio formula, we designed the in-the-money binary call to value the potential for gains equal to the Edge Rate if on the Term End Date, the Index Value is greater than or equal to the Shield Rate on the Term Start Date, and the out-of-the-money put to value the potential for negative Index Performance in excess of the applicable Shield Rate for the Shield Option. It is important to note that the out-of-the-money put will almost always reduce the Interim Value, even when the current Index Value on a Business Day is higher than the Index Value on the Term Start Date.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Example — Calculating your Interim Value</w:t>
      </w:r>
    </w:p>
    <w:p>
      <w:pPr>
        <w:spacing w:after="0" w:line="125" w:lineRule="exact"/>
        <w:rPr>
          <w:sz w:val="20"/>
          <w:szCs w:val="20"/>
          <w:color w:val="auto"/>
        </w:rPr>
      </w:pPr>
    </w:p>
    <w:p>
      <w:pPr>
        <w:ind w:right="3619"/>
        <w:spacing w:after="0" w:line="300" w:lineRule="auto"/>
        <w:rPr>
          <w:sz w:val="20"/>
          <w:szCs w:val="20"/>
          <w:color w:val="auto"/>
        </w:rPr>
      </w:pPr>
      <w:r>
        <w:rPr>
          <w:rFonts w:ascii="Times New Roman" w:cs="Times New Roman" w:eastAsia="Times New Roman" w:hAnsi="Times New Roman"/>
          <w:sz w:val="12"/>
          <w:szCs w:val="12"/>
          <w:color w:val="auto"/>
        </w:rPr>
        <w:t>Examples A and B are intended to show how Interim Value is calculated. Example A will illustrate an Interim Value calculation with positive Index Performance and Example B will illustrate an Interim Value calculation with negative Index Performance. For the purposes of these examples, assume the activity that triggers the Interim Value calculation occurs six (6) months into the first year of the contract and that there are no withdrawals made as of the date the Interim Value is calculated. Additionally, months are assumed to have 30 days and years are assumed to have 365 days.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Contract Effective Date: 8/2/2024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Purchase Payment: $200,000.00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Allocated to:</w:t>
      </w:r>
    </w:p>
    <w:p>
      <w:pPr>
        <w:spacing w:after="0" w:line="96" w:lineRule="exact"/>
        <w:rPr>
          <w:sz w:val="20"/>
          <w:szCs w:val="20"/>
          <w:color w:val="auto"/>
        </w:rPr>
      </w:pPr>
    </w:p>
    <w:p>
      <w:pPr>
        <w:ind w:left="480" w:hanging="244"/>
        <w:spacing w:after="0"/>
        <w:tabs>
          <w:tab w:leader="none" w:pos="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 1-Year Step Rate Edge; S&amp;P 500; Edge Rate 8.25%; 10% Shield Rate</w:t>
      </w:r>
    </w:p>
    <w:p>
      <w:pPr>
        <w:spacing w:after="0" w:line="105" w:lineRule="exact"/>
        <w:rPr>
          <w:rFonts w:ascii="Times New Roman" w:cs="Times New Roman" w:eastAsia="Times New Roman" w:hAnsi="Times New Roman"/>
          <w:sz w:val="12"/>
          <w:szCs w:val="12"/>
          <w:color w:val="auto"/>
        </w:rPr>
      </w:pPr>
    </w:p>
    <w:p>
      <w:pPr>
        <w:ind w:left="480" w:hanging="244"/>
        <w:spacing w:after="0"/>
        <w:tabs>
          <w:tab w:leader="none" w:pos="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 2-Year Step Rate; S&amp;P 500; Step Rate 18%; 15% Shield Rate</w:t>
      </w:r>
    </w:p>
    <w:p>
      <w:pPr>
        <w:spacing w:after="0" w:line="105" w:lineRule="exact"/>
        <w:rPr>
          <w:rFonts w:ascii="Times New Roman" w:cs="Times New Roman" w:eastAsia="Times New Roman" w:hAnsi="Times New Roman"/>
          <w:sz w:val="12"/>
          <w:szCs w:val="12"/>
          <w:color w:val="auto"/>
        </w:rPr>
      </w:pPr>
    </w:p>
    <w:p>
      <w:pPr>
        <w:ind w:left="480" w:hanging="244"/>
        <w:spacing w:after="0"/>
        <w:tabs>
          <w:tab w:leader="none" w:pos="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 3-Year Cap Rate; S&amp;P 500; Cap Rate 130%; 10% Shield Rate</w:t>
      </w:r>
    </w:p>
    <w:p>
      <w:pPr>
        <w:spacing w:after="0" w:line="96" w:lineRule="exact"/>
        <w:rPr>
          <w:rFonts w:ascii="Times New Roman" w:cs="Times New Roman" w:eastAsia="Times New Roman" w:hAnsi="Times New Roman"/>
          <w:sz w:val="12"/>
          <w:szCs w:val="12"/>
          <w:color w:val="auto"/>
        </w:rPr>
      </w:pPr>
    </w:p>
    <w:p>
      <w:pPr>
        <w:ind w:left="480" w:hanging="244"/>
        <w:spacing w:after="0"/>
        <w:tabs>
          <w:tab w:leader="none" w:pos="480"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 6-Year Cap Rate; S&amp;P 500; Cap Rate 200%; 25% Shield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9659"/>
          </w:cols>
          <w:pgMar w:left="800" w:top="1083" w:right="1440" w:bottom="1440" w:gutter="0" w:footer="0" w:header="0"/>
        </w:sectPr>
      </w:pPr>
    </w:p>
    <w:bookmarkStart w:id="103" w:name="page104"/>
    <w:bookmarkEnd w:id="103"/>
    <w:p>
      <w:pPr>
        <w:ind w:left="4"/>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720344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t> </w:t>
      </w:r>
    </w:p>
    <w:p>
      <w:pPr>
        <w:spacing w:after="0" w:line="33" w:lineRule="exact"/>
        <w:rPr>
          <w:sz w:val="20"/>
          <w:szCs w:val="20"/>
          <w:color w:val="auto"/>
        </w:rPr>
      </w:pPr>
    </w:p>
    <w:p>
      <w:pPr>
        <w:ind w:left="4"/>
        <w:spacing w:after="0"/>
        <w:rPr>
          <w:sz w:val="20"/>
          <w:szCs w:val="20"/>
          <w:color w:val="auto"/>
        </w:rPr>
      </w:pPr>
      <w:r>
        <w:rPr>
          <w:rFonts w:ascii="Arial" w:cs="Arial" w:eastAsia="Arial" w:hAnsi="Arial"/>
          <w:sz w:val="12"/>
          <w:szCs w:val="12"/>
          <w:b w:val="1"/>
          <w:bCs w:val="1"/>
          <w:u w:val="single" w:color="auto"/>
          <w:color w:val="auto"/>
        </w:rPr>
        <w:t>On the Contract Effective Date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 </w:t>
      </w:r>
    </w:p>
    <w:p>
      <w:pPr>
        <w:spacing w:after="0" w:line="81" w:lineRule="exact"/>
        <w:rPr>
          <w:sz w:val="20"/>
          <w:szCs w:val="20"/>
          <w:color w:val="auto"/>
        </w:rPr>
      </w:pPr>
    </w:p>
    <w:tbl>
      <w:tblPr>
        <w:tblLayout w:type="fixed"/>
        <w:tblInd w:w="14" w:type="dxa"/>
        <w:tblCellMar>
          <w:top w:w="0" w:type="dxa"/>
          <w:left w:w="0" w:type="dxa"/>
          <w:bottom w:w="0" w:type="dxa"/>
          <w:right w:w="0" w:type="dxa"/>
        </w:tblCellMar>
      </w:tblPr>
      <w:tr>
        <w:trPr>
          <w:trHeight w:val="198"/>
        </w:trPr>
        <w:tc>
          <w:tcPr>
            <w:tcW w:w="940" w:type="dxa"/>
            <w:vAlign w:val="bottom"/>
            <w:tcBorders>
              <w:top w:val="single" w:sz="8" w:color="auto"/>
              <w:left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right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1</w:t>
            </w:r>
          </w:p>
        </w:tc>
        <w:tc>
          <w:tcPr>
            <w:tcW w:w="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w:t>
            </w: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right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3</w:t>
            </w:r>
          </w:p>
        </w:tc>
        <w:tc>
          <w:tcPr>
            <w:tcW w:w="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4</w:t>
            </w:r>
          </w:p>
        </w:tc>
      </w:tr>
      <w:tr>
        <w:trPr>
          <w:trHeight w:val="161"/>
        </w:trPr>
        <w:tc>
          <w:tcPr>
            <w:tcW w:w="940" w:type="dxa"/>
            <w:vAlign w:val="bottom"/>
            <w:tcBorders>
              <w:left w:val="single" w:sz="8" w:color="auto"/>
            </w:tcBorders>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Step Rate Edge</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Step</w:t>
            </w:r>
          </w:p>
        </w:tc>
        <w:tc>
          <w:tcPr>
            <w:tcW w:w="100" w:type="dxa"/>
            <w:vAlign w:val="bottom"/>
          </w:tcPr>
          <w:p>
            <w:pPr>
              <w:spacing w:after="0"/>
              <w:rPr>
                <w:sz w:val="14"/>
                <w:szCs w:val="14"/>
                <w:color w:val="auto"/>
              </w:rPr>
            </w:pPr>
          </w:p>
        </w:tc>
        <w:tc>
          <w:tcPr>
            <w:tcW w:w="760" w:type="dxa"/>
            <w:vAlign w:val="bottom"/>
            <w:tcBorders>
              <w:right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6"/>
              </w:rPr>
              <w:t>Cap</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Cap</w:t>
            </w:r>
          </w:p>
        </w:tc>
      </w:tr>
      <w:tr>
        <w:trPr>
          <w:trHeight w:val="174"/>
        </w:trPr>
        <w:tc>
          <w:tcPr>
            <w:tcW w:w="940" w:type="dxa"/>
            <w:vAlign w:val="bottom"/>
            <w:tcBorders>
              <w:left w:val="single" w:sz="8" w:color="auto"/>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Rate</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9"/>
              </w:rPr>
              <w:t>Rate</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Rate</w:t>
            </w:r>
          </w:p>
        </w:tc>
      </w:tr>
      <w:tr>
        <w:trPr>
          <w:trHeight w:val="179"/>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Term (in months)</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24</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9"/>
              </w:rPr>
              <w:t>36</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72</w:t>
            </w:r>
          </w:p>
        </w:tc>
      </w:tr>
      <w:tr>
        <w:trPr>
          <w:trHeight w:val="178"/>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Months elapsed since Term Start Date</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r>
      <w:tr>
        <w:trPr>
          <w:trHeight w:val="178"/>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Investment Amount</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$50,000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$50,000</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rPr>
              <w:t>$50,000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$50,000</w:t>
            </w:r>
          </w:p>
        </w:tc>
      </w:tr>
      <w:tr>
        <w:trPr>
          <w:trHeight w:val="178"/>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Shield Rate</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w w:val="99"/>
              </w:rPr>
              <w:t>10%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25%</w:t>
            </w:r>
          </w:p>
        </w:tc>
      </w:tr>
      <w:tr>
        <w:trPr>
          <w:trHeight w:val="178"/>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Rate Crediting Type Rate</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8.25%</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9"/>
              </w:rPr>
              <w:t>130%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200%</w:t>
            </w:r>
          </w:p>
        </w:tc>
      </w:tr>
      <w:tr>
        <w:trPr>
          <w:trHeight w:val="178"/>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Months until Term End Date</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24</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9"/>
              </w:rPr>
              <w:t>36</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72</w:t>
            </w:r>
          </w:p>
        </w:tc>
      </w:tr>
      <w:tr>
        <w:trPr>
          <w:trHeight w:val="178"/>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Market Value Rate on Term Start Date</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2.00%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4.00%</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rPr>
              <w:t>6.00%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8.00%</w:t>
            </w:r>
          </w:p>
        </w:tc>
      </w:tr>
      <w:tr>
        <w:trPr>
          <w:trHeight w:val="178"/>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Starting Index Value</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520"/>
              <w:spacing w:after="0"/>
              <w:rPr>
                <w:sz w:val="20"/>
                <w:szCs w:val="20"/>
                <w:color w:val="auto"/>
              </w:rPr>
            </w:pPr>
            <w:r>
              <w:rPr>
                <w:rFonts w:ascii="Times New Roman" w:cs="Times New Roman" w:eastAsia="Times New Roman" w:hAnsi="Times New Roman"/>
                <w:sz w:val="12"/>
                <w:szCs w:val="12"/>
                <w:color w:val="auto"/>
                <w:w w:val="96"/>
              </w:rPr>
              <w:t>1,000</w:t>
            </w:r>
          </w:p>
        </w:tc>
        <w:tc>
          <w:tcPr>
            <w:tcW w:w="76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r>
      <w:tr>
        <w:trPr>
          <w:trHeight w:val="173"/>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Total Account Value</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2"/>
                <w:szCs w:val="12"/>
                <w:b w:val="1"/>
                <w:bCs w:val="1"/>
                <w:color w:val="auto"/>
                <w:w w:val="99"/>
              </w:rPr>
              <w:t>$200,000</w:t>
            </w:r>
          </w:p>
        </w:tc>
        <w:tc>
          <w:tcPr>
            <w:tcW w:w="860" w:type="dxa"/>
            <w:vAlign w:val="bottom"/>
            <w:tcBorders>
              <w:bottom w:val="single" w:sz="8" w:color="auto"/>
              <w:right w:val="single" w:sz="8" w:color="auto"/>
            </w:tcBorders>
          </w:tcPr>
          <w:p>
            <w:pPr>
              <w:spacing w:after="0"/>
              <w:rPr>
                <w:sz w:val="15"/>
                <w:szCs w:val="15"/>
                <w:color w:val="auto"/>
              </w:rPr>
            </w:pPr>
          </w:p>
        </w:tc>
      </w:tr>
      <w:tr>
        <w:trPr>
          <w:trHeight w:val="252"/>
        </w:trPr>
        <w:tc>
          <w:tcPr>
            <w:tcW w:w="2540" w:type="dxa"/>
            <w:vAlign w:val="bottom"/>
            <w:gridSpan w:val="4"/>
          </w:tcPr>
          <w:p>
            <w:pPr>
              <w:spacing w:after="0"/>
              <w:rPr>
                <w:sz w:val="20"/>
                <w:szCs w:val="20"/>
                <w:color w:val="auto"/>
              </w:rPr>
            </w:pPr>
            <w:r>
              <w:rPr>
                <w:rFonts w:ascii="Arial" w:cs="Arial" w:eastAsia="Arial" w:hAnsi="Arial"/>
                <w:sz w:val="12"/>
                <w:szCs w:val="12"/>
                <w:b w:val="1"/>
                <w:bCs w:val="1"/>
                <w:color w:val="auto"/>
              </w:rPr>
              <w:t> </w:t>
            </w: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30"/>
        </w:trPr>
        <w:tc>
          <w:tcPr>
            <w:tcW w:w="2480" w:type="dxa"/>
            <w:vAlign w:val="bottom"/>
            <w:tcBorders>
              <w:bottom w:val="single" w:sz="8" w:color="auto"/>
            </w:tcBorders>
            <w:gridSpan w:val="2"/>
          </w:tcPr>
          <w:p>
            <w:pPr>
              <w:spacing w:after="0" w:line="130" w:lineRule="exact"/>
              <w:rPr>
                <w:sz w:val="20"/>
                <w:szCs w:val="20"/>
                <w:color w:val="auto"/>
              </w:rPr>
            </w:pPr>
            <w:r>
              <w:rPr>
                <w:rFonts w:ascii="Arial" w:cs="Arial" w:eastAsia="Arial" w:hAnsi="Arial"/>
                <w:sz w:val="12"/>
                <w:szCs w:val="12"/>
                <w:b w:val="1"/>
                <w:bCs w:val="1"/>
                <w:color w:val="auto"/>
                <w:w w:val="98"/>
              </w:rPr>
              <w:t>Example A — Index Performance is Positive</w:t>
            </w:r>
          </w:p>
        </w:tc>
        <w:tc>
          <w:tcPr>
            <w:tcW w:w="60" w:type="dxa"/>
            <w:vAlign w:val="bottom"/>
            <w:gridSpan w:val="2"/>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78"/>
        </w:trPr>
        <w:tc>
          <w:tcPr>
            <w:tcW w:w="25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 </w:t>
            </w: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84"/>
        </w:trPr>
        <w:tc>
          <w:tcPr>
            <w:tcW w:w="94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r>
      <w:tr>
        <w:trPr>
          <w:trHeight w:val="179"/>
        </w:trPr>
        <w:tc>
          <w:tcPr>
            <w:tcW w:w="940" w:type="dxa"/>
            <w:vAlign w:val="bottom"/>
            <w:tcBorders>
              <w:left w:val="single" w:sz="8" w:color="auto"/>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Step Rate Edge</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Step Rate</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9"/>
              </w:rPr>
              <w:t>Cap Rate</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Cap Rate</w:t>
            </w:r>
          </w:p>
        </w:tc>
      </w:tr>
      <w:tr>
        <w:trPr>
          <w:trHeight w:val="174"/>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Months elapsed since Term Start Date</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620"/>
              <w:spacing w:after="0"/>
              <w:rPr>
                <w:sz w:val="20"/>
                <w:szCs w:val="20"/>
                <w:color w:val="auto"/>
              </w:rPr>
            </w:pPr>
            <w:r>
              <w:rPr>
                <w:rFonts w:ascii="Times New Roman" w:cs="Times New Roman" w:eastAsia="Times New Roman" w:hAnsi="Times New Roman"/>
                <w:sz w:val="12"/>
                <w:szCs w:val="12"/>
                <w:color w:val="auto"/>
                <w:w w:val="99"/>
              </w:rPr>
              <w:t>6</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r>
      <w:tr>
        <w:trPr>
          <w:trHeight w:val="178"/>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Months until Term End Date</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9"/>
              </w:rPr>
              <w:t>30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66</w:t>
            </w:r>
          </w:p>
        </w:tc>
      </w:tr>
      <w:tr>
        <w:trPr>
          <w:trHeight w:val="178"/>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Index Value</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500"/>
              <w:spacing w:after="0"/>
              <w:rPr>
                <w:sz w:val="20"/>
                <w:szCs w:val="20"/>
                <w:color w:val="auto"/>
              </w:rPr>
            </w:pPr>
            <w:r>
              <w:rPr>
                <w:rFonts w:ascii="Times New Roman" w:cs="Times New Roman" w:eastAsia="Times New Roman" w:hAnsi="Times New Roman"/>
                <w:sz w:val="12"/>
                <w:szCs w:val="12"/>
                <w:color w:val="auto"/>
                <w:w w:val="99"/>
              </w:rPr>
              <w:t>1200</w:t>
            </w:r>
          </w:p>
        </w:tc>
        <w:tc>
          <w:tcPr>
            <w:tcW w:w="76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r>
      <w:tr>
        <w:trPr>
          <w:trHeight w:val="205"/>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Index Performance on calculation date</w:t>
            </w:r>
            <w:r>
              <w:rPr>
                <w:rFonts w:ascii="Times New Roman" w:cs="Times New Roman" w:eastAsia="Times New Roman" w:hAnsi="Times New Roman"/>
                <w:sz w:val="15"/>
                <w:szCs w:val="15"/>
                <w:color w:val="auto"/>
                <w:vertAlign w:val="superscript"/>
              </w:rPr>
              <w:t>(1)</w:t>
            </w: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left="520"/>
              <w:spacing w:after="0"/>
              <w:rPr>
                <w:sz w:val="20"/>
                <w:szCs w:val="20"/>
                <w:color w:val="auto"/>
              </w:rPr>
            </w:pPr>
            <w:r>
              <w:rPr>
                <w:rFonts w:ascii="Times New Roman" w:cs="Times New Roman" w:eastAsia="Times New Roman" w:hAnsi="Times New Roman"/>
                <w:sz w:val="12"/>
                <w:szCs w:val="12"/>
                <w:color w:val="auto"/>
                <w:w w:val="99"/>
              </w:rPr>
              <w:t>20%</w:t>
            </w: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r>
      <w:tr>
        <w:trPr>
          <w:trHeight w:val="169"/>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Market Value Rate on calculation date</w:t>
            </w: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3.00%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5.00%</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rPr>
              <w:t>7.00%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9.00%</w:t>
            </w:r>
          </w:p>
        </w:tc>
      </w:tr>
      <w:tr>
        <w:trPr>
          <w:trHeight w:val="178"/>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Market value of the Fixed Income Asset Proxy</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$48,823.16</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$46,519.03</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w w:val="99"/>
              </w:rPr>
              <w:t>$42,116.56</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$34,758.31</w:t>
            </w:r>
          </w:p>
        </w:tc>
      </w:tr>
      <w:tr>
        <w:trPr>
          <w:trHeight w:val="178"/>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Market value of the Derivative Asset Proxy</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$3,848.51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$6,526.00</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w w:val="99"/>
              </w:rPr>
              <w:t>$16,069.42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$21,946.25</w:t>
            </w:r>
          </w:p>
        </w:tc>
      </w:tr>
      <w:tr>
        <w:trPr>
          <w:trHeight w:val="205"/>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Interim Value of each Shield Option</w:t>
            </w:r>
            <w:r>
              <w:rPr>
                <w:rFonts w:ascii="Times New Roman" w:cs="Times New Roman" w:eastAsia="Times New Roman" w:hAnsi="Times New Roman"/>
                <w:sz w:val="15"/>
                <w:szCs w:val="15"/>
                <w:color w:val="auto"/>
                <w:vertAlign w:val="superscript"/>
              </w:rPr>
              <w:t>(2)</w:t>
            </w: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$52,671.67</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$53,045.03</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w w:val="99"/>
              </w:rPr>
              <w:t>$58,185.98</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$56,704.57</w:t>
            </w:r>
          </w:p>
        </w:tc>
      </w:tr>
      <w:tr>
        <w:trPr>
          <w:trHeight w:val="164"/>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Total Account Value</w:t>
            </w: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2"/>
                <w:szCs w:val="12"/>
                <w:b w:val="1"/>
                <w:bCs w:val="1"/>
                <w:color w:val="auto"/>
                <w:w w:val="98"/>
              </w:rPr>
              <w:t>$220,607.25</w:t>
            </w:r>
          </w:p>
        </w:tc>
        <w:tc>
          <w:tcPr>
            <w:tcW w:w="860" w:type="dxa"/>
            <w:vAlign w:val="bottom"/>
            <w:tcBorders>
              <w:bottom w:val="single" w:sz="8" w:color="auto"/>
              <w:right w:val="single" w:sz="8" w:color="auto"/>
            </w:tcBorders>
          </w:tcPr>
          <w:p>
            <w:pPr>
              <w:spacing w:after="0"/>
              <w:rPr>
                <w:sz w:val="14"/>
                <w:szCs w:val="14"/>
                <w:color w:val="auto"/>
              </w:rPr>
            </w:pPr>
          </w:p>
        </w:tc>
      </w:tr>
      <w:tr>
        <w:trPr>
          <w:trHeight w:val="246"/>
        </w:trPr>
        <w:tc>
          <w:tcPr>
            <w:tcW w:w="2540" w:type="dxa"/>
            <w:vAlign w:val="bottom"/>
            <w:gridSpan w:val="4"/>
          </w:tcPr>
          <w:p>
            <w:pPr>
              <w:spacing w:after="0"/>
              <w:rPr>
                <w:sz w:val="20"/>
                <w:szCs w:val="20"/>
                <w:color w:val="auto"/>
              </w:rPr>
            </w:pPr>
            <w:r>
              <w:rPr>
                <w:rFonts w:ascii="Arial" w:cs="Arial" w:eastAsia="Arial" w:hAnsi="Arial"/>
                <w:sz w:val="12"/>
                <w:szCs w:val="12"/>
                <w:b w:val="1"/>
                <w:bCs w:val="1"/>
                <w:color w:val="auto"/>
              </w:rPr>
              <w:t> </w:t>
            </w: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36"/>
        </w:trPr>
        <w:tc>
          <w:tcPr>
            <w:tcW w:w="254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w w:val="99"/>
              </w:rPr>
              <w:t>Example B — Index Performance is Negative</w:t>
            </w: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78"/>
        </w:trPr>
        <w:tc>
          <w:tcPr>
            <w:tcW w:w="25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5"/>
        </w:trPr>
        <w:tc>
          <w:tcPr>
            <w:tcW w:w="9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r>
        <w:trPr>
          <w:trHeight w:val="179"/>
        </w:trPr>
        <w:tc>
          <w:tcPr>
            <w:tcW w:w="940" w:type="dxa"/>
            <w:vAlign w:val="bottom"/>
            <w:tcBorders>
              <w:left w:val="single" w:sz="8" w:color="auto"/>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Step Rate Edge</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Step Rate</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60"/>
              <w:spacing w:after="0"/>
              <w:rPr>
                <w:sz w:val="20"/>
                <w:szCs w:val="20"/>
                <w:color w:val="auto"/>
              </w:rPr>
            </w:pPr>
            <w:r>
              <w:rPr>
                <w:rFonts w:ascii="Arial" w:cs="Arial" w:eastAsia="Arial" w:hAnsi="Arial"/>
                <w:sz w:val="12"/>
                <w:szCs w:val="12"/>
                <w:b w:val="1"/>
                <w:bCs w:val="1"/>
                <w:color w:val="auto"/>
                <w:w w:val="99"/>
              </w:rPr>
              <w:t>Cap Rate</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Cap Rate</w:t>
            </w:r>
          </w:p>
        </w:tc>
      </w:tr>
      <w:tr>
        <w:trPr>
          <w:trHeight w:val="174"/>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Months elapsed since Term Start Date</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left="620"/>
              <w:spacing w:after="0"/>
              <w:rPr>
                <w:sz w:val="20"/>
                <w:szCs w:val="20"/>
                <w:color w:val="auto"/>
              </w:rPr>
            </w:pPr>
            <w:r>
              <w:rPr>
                <w:rFonts w:ascii="Times New Roman" w:cs="Times New Roman" w:eastAsia="Times New Roman" w:hAnsi="Times New Roman"/>
                <w:sz w:val="12"/>
                <w:szCs w:val="12"/>
                <w:color w:val="auto"/>
                <w:w w:val="99"/>
              </w:rPr>
              <w:t>6</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r>
      <w:tr>
        <w:trPr>
          <w:trHeight w:val="178"/>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Months until Term End Date</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9"/>
              </w:rPr>
              <w:t>30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66</w:t>
            </w:r>
          </w:p>
        </w:tc>
      </w:tr>
      <w:tr>
        <w:trPr>
          <w:trHeight w:val="178"/>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Index Value</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left="520"/>
              <w:spacing w:after="0"/>
              <w:rPr>
                <w:sz w:val="20"/>
                <w:szCs w:val="20"/>
                <w:color w:val="auto"/>
              </w:rPr>
            </w:pPr>
            <w:r>
              <w:rPr>
                <w:rFonts w:ascii="Times New Roman" w:cs="Times New Roman" w:eastAsia="Times New Roman" w:hAnsi="Times New Roman"/>
                <w:sz w:val="12"/>
                <w:szCs w:val="12"/>
                <w:color w:val="auto"/>
                <w:w w:val="99"/>
              </w:rPr>
              <w:t>700</w:t>
            </w:r>
          </w:p>
        </w:tc>
        <w:tc>
          <w:tcPr>
            <w:tcW w:w="76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r>
      <w:tr>
        <w:trPr>
          <w:trHeight w:val="205"/>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Index Performance on calculation date</w:t>
            </w:r>
            <w:r>
              <w:rPr>
                <w:rFonts w:ascii="Times New Roman" w:cs="Times New Roman" w:eastAsia="Times New Roman" w:hAnsi="Times New Roman"/>
                <w:sz w:val="15"/>
                <w:szCs w:val="15"/>
                <w:color w:val="auto"/>
                <w:vertAlign w:val="superscript"/>
              </w:rPr>
              <w:t>(1)</w:t>
            </w: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left="520"/>
              <w:spacing w:after="0"/>
              <w:rPr>
                <w:sz w:val="20"/>
                <w:szCs w:val="20"/>
                <w:color w:val="auto"/>
              </w:rPr>
            </w:pPr>
            <w:r>
              <w:rPr>
                <w:rFonts w:ascii="Times New Roman" w:cs="Times New Roman" w:eastAsia="Times New Roman" w:hAnsi="Times New Roman"/>
                <w:sz w:val="12"/>
                <w:szCs w:val="12"/>
                <w:color w:val="auto"/>
                <w:w w:val="99"/>
              </w:rPr>
              <w:t>-30%</w:t>
            </w: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r>
      <w:tr>
        <w:trPr>
          <w:trHeight w:val="169"/>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Market Value Rate on calculation date</w:t>
            </w: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3.00%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5.00%</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rPr>
              <w:t>7.00%</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9.00%</w:t>
            </w:r>
          </w:p>
        </w:tc>
      </w:tr>
      <w:tr>
        <w:trPr>
          <w:trHeight w:val="178"/>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Market value of the Fixed Income Asset Proxy</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$48,823.16</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$46,519.03</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w w:val="99"/>
              </w:rPr>
              <w:t>$42,116.56</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$34,758.31</w:t>
            </w:r>
          </w:p>
        </w:tc>
      </w:tr>
      <w:tr>
        <w:trPr>
          <w:trHeight w:val="178"/>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Market value of the Derivative Asset Proxy</w:t>
            </w: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-$8,899.83</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-$5,554.28</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9"/>
              </w:rPr>
              <w:t>-$5,794.44</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$2,103.07</w:t>
            </w:r>
          </w:p>
        </w:tc>
      </w:tr>
      <w:tr>
        <w:trPr>
          <w:trHeight w:val="205"/>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color w:val="auto"/>
              </w:rPr>
              <w:t>Interim Value of each Shield Option</w:t>
            </w:r>
            <w:r>
              <w:rPr>
                <w:rFonts w:ascii="Times New Roman" w:cs="Times New Roman" w:eastAsia="Times New Roman" w:hAnsi="Times New Roman"/>
                <w:sz w:val="15"/>
                <w:szCs w:val="15"/>
                <w:color w:val="auto"/>
                <w:vertAlign w:val="superscript"/>
              </w:rPr>
              <w:t>(2)</w:t>
            </w: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$39,923.32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$40,964.75</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w w:val="99"/>
              </w:rPr>
              <w:t>$36,322.12</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$36,861.38</w:t>
            </w:r>
          </w:p>
        </w:tc>
      </w:tr>
      <w:tr>
        <w:trPr>
          <w:trHeight w:val="164"/>
        </w:trPr>
        <w:tc>
          <w:tcPr>
            <w:tcW w:w="252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Total Account Value</w:t>
            </w: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2"/>
                <w:szCs w:val="12"/>
                <w:b w:val="1"/>
                <w:bCs w:val="1"/>
                <w:color w:val="auto"/>
                <w:w w:val="98"/>
              </w:rPr>
              <w:t>$154,071.57</w:t>
            </w:r>
          </w:p>
        </w:tc>
        <w:tc>
          <w:tcPr>
            <w:tcW w:w="860" w:type="dxa"/>
            <w:vAlign w:val="bottom"/>
            <w:tcBorders>
              <w:bottom w:val="single" w:sz="8" w:color="auto"/>
              <w:right w:val="single" w:sz="8" w:color="auto"/>
            </w:tcBorders>
          </w:tcPr>
          <w:p>
            <w:pPr>
              <w:spacing w:after="0"/>
              <w:rPr>
                <w:sz w:val="14"/>
                <w:szCs w:val="14"/>
                <w:color w:val="auto"/>
              </w:rPr>
            </w:pPr>
          </w:p>
        </w:tc>
      </w:tr>
      <w:tr>
        <w:trPr>
          <w:trHeight w:val="175"/>
        </w:trPr>
        <w:tc>
          <w:tcPr>
            <w:tcW w:w="940" w:type="dxa"/>
            <w:vAlign w:val="bottom"/>
            <w:tcBorders>
              <w:bottom w:val="single" w:sz="8" w:color="9A9A9A"/>
            </w:tcBorders>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-23495</wp:posOffset>
            </wp:positionV>
            <wp:extent cx="3111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pacing w:after="0" w:line="75" w:lineRule="exact"/>
        <w:rPr>
          <w:sz w:val="20"/>
          <w:szCs w:val="20"/>
          <w:color w:val="auto"/>
        </w:rPr>
      </w:pPr>
    </w:p>
    <w:p>
      <w:pPr>
        <w:ind w:left="4" w:right="3859"/>
        <w:spacing w:after="0" w:line="291" w:lineRule="auto"/>
        <w:rPr>
          <w:sz w:val="20"/>
          <w:szCs w:val="20"/>
          <w:color w:val="auto"/>
        </w:rPr>
      </w:pPr>
      <w:r>
        <w:rPr>
          <w:rFonts w:ascii="Arial" w:cs="Arial" w:eastAsia="Arial" w:hAnsi="Arial"/>
          <w:sz w:val="12"/>
          <w:szCs w:val="12"/>
          <w:b w:val="1"/>
          <w:bCs w:val="1"/>
          <w:color w:val="auto"/>
        </w:rPr>
        <w:t>The following notes to the table above provide important calculations showing how certain values are determined.</w:t>
      </w:r>
    </w:p>
    <w:p>
      <w:pPr>
        <w:spacing w:after="0" w:line="27" w:lineRule="exact"/>
        <w:rPr>
          <w:sz w:val="20"/>
          <w:szCs w:val="20"/>
          <w:color w:val="auto"/>
        </w:rPr>
      </w:pPr>
    </w:p>
    <w:p>
      <w:pPr>
        <w:ind w:left="244" w:right="3739" w:hanging="244"/>
        <w:spacing w:after="0" w:line="244" w:lineRule="auto"/>
        <w:tabs>
          <w:tab w:leader="none" w:pos="244" w:val="left"/>
        </w:tabs>
        <w:numPr>
          <w:ilvl w:val="0"/>
          <w:numId w:val="6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 xml:space="preserve">Index Performance is equal to the percentage change in the Index Value measured from the Term Start Date to the date of the Interim Value calculation. Index Performance is calculated as follows: </w:t>
      </w:r>
      <w:r>
        <w:rPr>
          <w:rFonts w:ascii="Times New Roman" w:cs="Times New Roman" w:eastAsia="Times New Roman" w:hAnsi="Times New Roman"/>
          <w:sz w:val="9"/>
          <w:szCs w:val="9"/>
          <w:color w:val="auto"/>
        </w:rPr>
        <w:t>Example A — Index Performance is Positive</w:t>
      </w:r>
    </w:p>
    <w:p>
      <w:pPr>
        <w:spacing w:after="0" w:line="383" w:lineRule="exact"/>
        <w:rPr>
          <w:sz w:val="20"/>
          <w:szCs w:val="20"/>
          <w:color w:val="auto"/>
        </w:rPr>
      </w:pPr>
    </w:p>
    <w:p>
      <w:pPr>
        <w:ind w:left="3004"/>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9663"/>
          </w:cols>
          <w:pgMar w:left="796" w:top="1081" w:right="1440" w:bottom="1440" w:gutter="0" w:footer="0" w:header="0"/>
        </w:sectPr>
      </w:pPr>
    </w:p>
    <w:bookmarkStart w:id="104" w:name="page105"/>
    <w:bookmarkEnd w:id="104"/>
    <w:p>
      <w:pPr>
        <w:jc w:val="center"/>
        <w:ind w:right="3575"/>
        <w:spacing w:after="0"/>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720344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t>(1200 [Index Value on date of Interim Value calculation] – 1000 [Index Value at Term Start Date])</w:t>
      </w:r>
    </w:p>
    <w:p>
      <w:pPr>
        <w:spacing w:after="0" w:line="2" w:lineRule="exact"/>
        <w:rPr>
          <w:sz w:val="20"/>
          <w:szCs w:val="20"/>
          <w:color w:val="auto"/>
        </w:rPr>
      </w:pPr>
    </w:p>
    <w:p>
      <w:pPr>
        <w:jc w:val="center"/>
        <w:ind w:right="3535"/>
        <w:spacing w:after="0"/>
        <w:rPr>
          <w:sz w:val="20"/>
          <w:szCs w:val="20"/>
          <w:color w:val="auto"/>
        </w:rPr>
      </w:pPr>
      <w:r>
        <w:rPr>
          <w:rFonts w:ascii="Times New Roman" w:cs="Times New Roman" w:eastAsia="Times New Roman" w:hAnsi="Times New Roman"/>
          <w:sz w:val="11"/>
          <w:szCs w:val="11"/>
          <w:color w:val="auto"/>
        </w:rPr>
        <w:t>÷ 1000 [Index Value at Term Start Date] = 20%</w:t>
      </w:r>
    </w:p>
    <w:tbl>
      <w:tblPr>
        <w:tblLayout w:type="fixed"/>
        <w:tblInd w:w="4" w:type="dxa"/>
        <w:tblCellMar>
          <w:top w:w="0" w:type="dxa"/>
          <w:left w:w="0" w:type="dxa"/>
          <w:bottom w:w="0" w:type="dxa"/>
          <w:right w:w="0" w:type="dxa"/>
        </w:tblCellMar>
      </w:tblPr>
      <w:tr>
        <w:trPr>
          <w:trHeight w:val="140"/>
        </w:trPr>
        <w:tc>
          <w:tcPr>
            <w:tcW w:w="2040" w:type="dxa"/>
            <w:vAlign w:val="bottom"/>
          </w:tcPr>
          <w:p>
            <w:pPr>
              <w:spacing w:after="0"/>
              <w:rPr>
                <w:sz w:val="20"/>
                <w:szCs w:val="20"/>
                <w:color w:val="auto"/>
              </w:rPr>
            </w:pPr>
            <w:r>
              <w:rPr>
                <w:rFonts w:ascii="Times New Roman" w:cs="Times New Roman" w:eastAsia="Times New Roman" w:hAnsi="Times New Roman"/>
                <w:sz w:val="11"/>
                <w:szCs w:val="11"/>
                <w:color w:val="auto"/>
              </w:rPr>
              <w:t>Example B — Index Performance is Negative</w:t>
            </w:r>
          </w:p>
        </w:tc>
        <w:tc>
          <w:tcPr>
            <w:tcW w:w="39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w w:val="96"/>
              </w:rPr>
              <w:t>(700 [Index Value on date of Interim Value calculation] – 1000 [Index Value at Term Start</w:t>
            </w:r>
          </w:p>
        </w:tc>
        <w:tc>
          <w:tcPr>
            <w:tcW w:w="0" w:type="dxa"/>
            <w:vAlign w:val="bottom"/>
          </w:tcPr>
          <w:p>
            <w:pPr>
              <w:spacing w:after="0"/>
              <w:rPr>
                <w:sz w:val="1"/>
                <w:szCs w:val="1"/>
                <w:color w:val="auto"/>
              </w:rPr>
            </w:pPr>
          </w:p>
        </w:tc>
      </w:tr>
      <w:tr>
        <w:trPr>
          <w:trHeight w:val="28"/>
        </w:trPr>
        <w:tc>
          <w:tcPr>
            <w:tcW w:w="2040" w:type="dxa"/>
            <w:vAlign w:val="bottom"/>
          </w:tcPr>
          <w:p>
            <w:pPr>
              <w:spacing w:after="0"/>
              <w:rPr>
                <w:sz w:val="2"/>
                <w:szCs w:val="2"/>
                <w:color w:val="auto"/>
              </w:rPr>
            </w:pPr>
          </w:p>
        </w:tc>
        <w:tc>
          <w:tcPr>
            <w:tcW w:w="3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40" w:type="dxa"/>
            <w:vAlign w:val="bottom"/>
          </w:tcPr>
          <w:p>
            <w:pPr>
              <w:spacing w:after="0"/>
              <w:rPr>
                <w:sz w:val="12"/>
                <w:szCs w:val="12"/>
                <w:color w:val="auto"/>
              </w:rPr>
            </w:pPr>
          </w:p>
        </w:tc>
        <w:tc>
          <w:tcPr>
            <w:tcW w:w="3940" w:type="dxa"/>
            <w:vAlign w:val="bottom"/>
          </w:tcPr>
          <w:p>
            <w:pPr>
              <w:ind w:left="860"/>
              <w:spacing w:after="0"/>
              <w:rPr>
                <w:sz w:val="20"/>
                <w:szCs w:val="20"/>
                <w:color w:val="auto"/>
              </w:rPr>
            </w:pPr>
            <w:r>
              <w:rPr>
                <w:rFonts w:ascii="Times New Roman" w:cs="Times New Roman" w:eastAsia="Times New Roman" w:hAnsi="Times New Roman"/>
                <w:sz w:val="11"/>
                <w:szCs w:val="11"/>
                <w:color w:val="auto"/>
              </w:rPr>
              <w:t>Date])</w:t>
            </w:r>
          </w:p>
        </w:tc>
        <w:tc>
          <w:tcPr>
            <w:tcW w:w="0" w:type="dxa"/>
            <w:vAlign w:val="bottom"/>
          </w:tcPr>
          <w:p>
            <w:pPr>
              <w:spacing w:after="0"/>
              <w:rPr>
                <w:sz w:val="1"/>
                <w:szCs w:val="1"/>
                <w:color w:val="auto"/>
              </w:rPr>
            </w:pPr>
          </w:p>
        </w:tc>
      </w:tr>
    </w:tbl>
    <w:p>
      <w:pPr>
        <w:ind w:left="2104" w:hanging="88"/>
        <w:spacing w:after="0"/>
        <w:tabs>
          <w:tab w:leader="none" w:pos="2104" w:val="left"/>
        </w:tabs>
        <w:numPr>
          <w:ilvl w:val="1"/>
          <w:numId w:val="6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1000 [Index Value at Term Start Date] = -30%</w:t>
      </w:r>
    </w:p>
    <w:p>
      <w:pPr>
        <w:spacing w:after="0" w:line="21" w:lineRule="exact"/>
        <w:rPr>
          <w:rFonts w:ascii="Times New Roman" w:cs="Times New Roman" w:eastAsia="Times New Roman" w:hAnsi="Times New Roman"/>
          <w:sz w:val="11"/>
          <w:szCs w:val="11"/>
          <w:color w:val="auto"/>
        </w:rPr>
      </w:pPr>
    </w:p>
    <w:p>
      <w:pPr>
        <w:ind w:left="244" w:right="3619" w:hanging="244"/>
        <w:spacing w:after="0" w:line="216" w:lineRule="auto"/>
        <w:tabs>
          <w:tab w:leader="none" w:pos="244" w:val="left"/>
        </w:tabs>
        <w:numPr>
          <w:ilvl w:val="0"/>
          <w:numId w:val="6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Interim Value of each Shield Option equals the sum of the Market value of the Fixed Income Asset Proxy and the Market value of the Derivative Asset Proxy.</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DISTRIBUTION</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Information about the distribution of the contracts is contained in the prospectus. (See “Distribution of the Contracts.”)</w:t>
      </w:r>
    </w:p>
    <w:p>
      <w:pPr>
        <w:spacing w:after="0" w:line="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Additional information is provided below.</w:t>
      </w:r>
    </w:p>
    <w:p>
      <w:pPr>
        <w:spacing w:after="0" w:line="123" w:lineRule="exact"/>
        <w:rPr>
          <w:sz w:val="20"/>
          <w:szCs w:val="20"/>
          <w:color w:val="auto"/>
        </w:rPr>
      </w:pPr>
    </w:p>
    <w:p>
      <w:pPr>
        <w:ind w:left="4" w:right="3719"/>
        <w:spacing w:after="0" w:line="326" w:lineRule="auto"/>
        <w:rPr>
          <w:sz w:val="20"/>
          <w:szCs w:val="20"/>
          <w:color w:val="auto"/>
        </w:rPr>
      </w:pPr>
      <w:r>
        <w:rPr>
          <w:rFonts w:ascii="Times New Roman" w:cs="Times New Roman" w:eastAsia="Times New Roman" w:hAnsi="Times New Roman"/>
          <w:sz w:val="12"/>
          <w:szCs w:val="12"/>
          <w:color w:val="auto"/>
        </w:rPr>
        <w:t>The contracts are offered to the public on a continuous basis. We anticipate continuing to offer the contracts, but reserve the right to discontinue the offering.</w:t>
      </w:r>
    </w:p>
    <w:p>
      <w:pPr>
        <w:spacing w:after="0" w:line="57" w:lineRule="exact"/>
        <w:rPr>
          <w:sz w:val="20"/>
          <w:szCs w:val="20"/>
          <w:color w:val="auto"/>
        </w:rPr>
      </w:pPr>
    </w:p>
    <w:p>
      <w:pPr>
        <w:ind w:left="4" w:right="3659"/>
        <w:spacing w:after="0" w:line="297" w:lineRule="auto"/>
        <w:rPr>
          <w:sz w:val="20"/>
          <w:szCs w:val="20"/>
          <w:color w:val="auto"/>
        </w:rPr>
      </w:pPr>
      <w:r>
        <w:rPr>
          <w:rFonts w:ascii="Times New Roman" w:cs="Times New Roman" w:eastAsia="Times New Roman" w:hAnsi="Times New Roman"/>
          <w:sz w:val="12"/>
          <w:szCs w:val="12"/>
          <w:color w:val="auto"/>
        </w:rPr>
        <w:t>Brighthouse Securities, LLC (Distributor) serves as principal underwriter for the contracts. The Distributor and the Company are affiliates because they are both under common control of Brighthouse Financial, Inc. The Distributor’s principal business address is located at 11225 North Community House Road, Charlotte, NC 28277. Distributor is registered as a broker-dealer with the Securities and Exchange Commission under the Securities Exchange Act of 1934 and is a member of the Financial Industry Regulatory Authority (FINRA). Distributor has entered into selling agreements with other broker-dealers (“selling firms”) and compensates them for their services.</w:t>
      </w:r>
    </w:p>
    <w:p>
      <w:pPr>
        <w:spacing w:after="0" w:line="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 </w:t>
      </w:r>
    </w:p>
    <w:p>
      <w:pPr>
        <w:spacing w:after="0" w:line="33" w:lineRule="exact"/>
        <w:rPr>
          <w:sz w:val="20"/>
          <w:szCs w:val="20"/>
          <w:color w:val="auto"/>
        </w:rPr>
      </w:pPr>
    </w:p>
    <w:p>
      <w:pPr>
        <w:ind w:left="4" w:right="3919"/>
        <w:spacing w:after="0" w:line="326" w:lineRule="auto"/>
        <w:rPr>
          <w:sz w:val="20"/>
          <w:szCs w:val="20"/>
          <w:color w:val="auto"/>
        </w:rPr>
      </w:pPr>
      <w:r>
        <w:rPr>
          <w:rFonts w:ascii="Times New Roman" w:cs="Times New Roman" w:eastAsia="Times New Roman" w:hAnsi="Times New Roman"/>
          <w:sz w:val="12"/>
          <w:szCs w:val="12"/>
          <w:color w:val="auto"/>
        </w:rPr>
        <w:t>The following table shows the amount of commissions paid to and the amount of commissions retained by the principal underwriter.</w:t>
      </w:r>
    </w:p>
    <w:p>
      <w:pPr>
        <w:spacing w:after="0" w:line="126" w:lineRule="exact"/>
        <w:rPr>
          <w:sz w:val="20"/>
          <w:szCs w:val="20"/>
          <w:color w:val="auto"/>
        </w:rPr>
      </w:pPr>
    </w:p>
    <w:tbl>
      <w:tblPr>
        <w:tblLayout w:type="fixed"/>
        <w:tblInd w:w="4" w:type="dxa"/>
        <w:tblCellMar>
          <w:top w:w="0" w:type="dxa"/>
          <w:left w:w="0" w:type="dxa"/>
          <w:bottom w:w="0" w:type="dxa"/>
          <w:right w:w="0" w:type="dxa"/>
        </w:tblCellMar>
      </w:tblPr>
      <w:tr>
        <w:trPr>
          <w:trHeight w:val="123"/>
        </w:trPr>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Aggregate Amount of</w:t>
            </w:r>
          </w:p>
        </w:tc>
      </w:tr>
      <w:tr>
        <w:trPr>
          <w:trHeight w:val="144"/>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Commissions Retained</w:t>
            </w:r>
          </w:p>
        </w:tc>
      </w:tr>
      <w:tr>
        <w:trPr>
          <w:trHeight w:val="144"/>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Aggregate Amount of</w:t>
            </w:r>
          </w:p>
        </w:tc>
        <w:tc>
          <w:tcPr>
            <w:tcW w:w="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by Distributor After</w:t>
            </w:r>
          </w:p>
        </w:tc>
      </w:tr>
      <w:tr>
        <w:trPr>
          <w:trHeight w:val="144"/>
        </w:trPr>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Commissions Paid to</w:t>
            </w:r>
          </w:p>
        </w:tc>
        <w:tc>
          <w:tcPr>
            <w:tcW w:w="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Payments to Selling</w:t>
            </w:r>
          </w:p>
        </w:tc>
      </w:tr>
      <w:tr>
        <w:trPr>
          <w:trHeight w:val="144"/>
        </w:trPr>
        <w:tc>
          <w:tcPr>
            <w:tcW w:w="420" w:type="dxa"/>
            <w:vAlign w:val="bottom"/>
          </w:tcPr>
          <w:p>
            <w:pPr>
              <w:spacing w:after="0"/>
              <w:rPr>
                <w:sz w:val="20"/>
                <w:szCs w:val="20"/>
                <w:color w:val="auto"/>
              </w:rPr>
            </w:pPr>
            <w:r>
              <w:rPr>
                <w:rFonts w:ascii="Times New Roman" w:cs="Times New Roman" w:eastAsia="Times New Roman" w:hAnsi="Times New Roman"/>
                <w:sz w:val="10"/>
                <w:szCs w:val="10"/>
                <w:color w:val="auto"/>
                <w:w w:val="91"/>
              </w:rPr>
              <w:t>Fiscal year</w:t>
            </w:r>
          </w:p>
        </w:tc>
        <w:tc>
          <w:tcPr>
            <w:tcW w:w="8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Distributor</w:t>
            </w:r>
          </w:p>
        </w:tc>
        <w:tc>
          <w:tcPr>
            <w:tcW w:w="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Firms</w:t>
            </w:r>
          </w:p>
        </w:tc>
      </w:tr>
      <w:tr>
        <w:trPr>
          <w:trHeight w:val="35"/>
        </w:trPr>
        <w:tc>
          <w:tcPr>
            <w:tcW w:w="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78"/>
        </w:trPr>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$94,595,394</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$0</w:t>
            </w:r>
          </w:p>
        </w:tc>
      </w:tr>
      <w:tr>
        <w:trPr>
          <w:trHeight w:val="261"/>
        </w:trPr>
        <w:tc>
          <w:tcPr>
            <w:tcW w:w="42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$80,082,297</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$0</w:t>
            </w:r>
          </w:p>
        </w:tc>
      </w:tr>
    </w:tbl>
    <w:p>
      <w:pPr>
        <w:spacing w:after="0" w:line="1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The Contracts were not offered before January 1, 2024.</w:t>
      </w:r>
    </w:p>
    <w:p>
      <w:pPr>
        <w:spacing w:after="0" w:line="123" w:lineRule="exact"/>
        <w:rPr>
          <w:sz w:val="20"/>
          <w:szCs w:val="20"/>
          <w:color w:val="auto"/>
        </w:rPr>
      </w:pPr>
    </w:p>
    <w:p>
      <w:pPr>
        <w:ind w:left="4" w:right="3539"/>
        <w:spacing w:after="0" w:line="312" w:lineRule="auto"/>
        <w:rPr>
          <w:sz w:val="20"/>
          <w:szCs w:val="20"/>
          <w:color w:val="auto"/>
        </w:rPr>
      </w:pPr>
      <w:r>
        <w:rPr>
          <w:rFonts w:ascii="Times New Roman" w:cs="Times New Roman" w:eastAsia="Times New Roman" w:hAnsi="Times New Roman"/>
          <w:sz w:val="12"/>
          <w:szCs w:val="12"/>
          <w:color w:val="auto"/>
        </w:rPr>
        <w:t>Distributor passes through commissions to selling firms for their sales. In addition we pay compensation to Distributor to offset its expenses, including compensation costs, marketing and distribution expenses, advertising, wholesaling, printing, and other expenses of distributing the contracts.</w:t>
      </w:r>
    </w:p>
    <w:p>
      <w:pPr>
        <w:spacing w:after="0" w:line="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As noted in the prospectus, we and Distributor pay compensation to all selling firms in the form of commissions and certain</w:t>
      </w:r>
    </w:p>
    <w:p>
      <w:pPr>
        <w:spacing w:after="0" w:line="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types of non-cash compensation. We and Distributor may pay additional compensation to selected firms, including marketing</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allowances, introduction fees, persistency payments, preferred status fees and industry conference fees. The terms of any</w:t>
      </w:r>
    </w:p>
    <w:p>
      <w:pPr>
        <w:spacing w:after="0" w:line="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particular agreement governing compensation may vary among selling firms and the amounts may be significant. The amount</w:t>
      </w:r>
    </w:p>
    <w:p>
      <w:pPr>
        <w:spacing w:after="0" w:line="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of additional compensation (non-commission amounts) paid to selected selling firms during 2025 ranged from $186 to</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$1,461,914.* The amount of commissions paid to selected selling firms during 2025 ranged from $83 to $20,061,227. The</w:t>
      </w:r>
    </w:p>
    <w:p>
      <w:pPr>
        <w:spacing w:after="0" w:line="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amount of total compensation (includes non-commission as well as commission amounts) paid to selected selling firms during</w:t>
      </w:r>
    </w:p>
    <w:p>
      <w:pPr>
        <w:spacing w:after="0" w:line="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2025 ranged from $83 to $21,523,141..*</w:t>
      </w:r>
    </w:p>
    <w:p>
      <w:pPr>
        <w:spacing w:after="0" w:line="123" w:lineRule="exact"/>
        <w:rPr>
          <w:sz w:val="20"/>
          <w:szCs w:val="20"/>
          <w:color w:val="auto"/>
        </w:rPr>
      </w:pPr>
    </w:p>
    <w:p>
      <w:pPr>
        <w:ind w:left="84" w:hanging="84"/>
        <w:spacing w:after="0"/>
        <w:tabs>
          <w:tab w:leader="none" w:pos="84"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calculating this range, the additional compensation (non-commission) amounts received by a selling firm</w:t>
      </w:r>
    </w:p>
    <w:p>
      <w:pPr>
        <w:spacing w:after="0" w:line="33" w:lineRule="exact"/>
        <w:rPr>
          <w:rFonts w:ascii="Times New Roman" w:cs="Times New Roman" w:eastAsia="Times New Roman" w:hAnsi="Times New Roman"/>
          <w:sz w:val="12"/>
          <w:szCs w:val="12"/>
          <w:color w:val="auto"/>
        </w:rPr>
      </w:pPr>
    </w:p>
    <w:p>
      <w:pPr>
        <w:ind w:left="4" w:right="3739"/>
        <w:spacing w:after="0" w:line="31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additional compensation received by the firm for the sale of insurance products issued by our affiliate Brighthouse Life Insurance Company.</w:t>
      </w:r>
    </w:p>
    <w:p>
      <w:pPr>
        <w:spacing w:after="0" w:line="362" w:lineRule="exact"/>
        <w:rPr>
          <w:sz w:val="20"/>
          <w:szCs w:val="20"/>
          <w:color w:val="auto"/>
        </w:rPr>
      </w:pPr>
    </w:p>
    <w:p>
      <w:pPr>
        <w:ind w:left="3004"/>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9663"/>
          </w:cols>
          <w:pgMar w:left="796" w:top="1084" w:right="1440" w:bottom="1440" w:gutter="0" w:footer="0" w:header="0"/>
        </w:sectPr>
      </w:pPr>
    </w:p>
    <w:bookmarkStart w:id="105" w:name="page106"/>
    <w:bookmarkEnd w:id="105"/>
    <w:p>
      <w:pPr>
        <w:ind w:right="3579"/>
        <w:spacing w:after="0" w:line="30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720344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t>The following list sets forth the names of selling firms that received additional compensation in 2025 in connection with the sale of our variable annuity contracts, variable life policies and other insurance products (including the contracts offered by the prospectus). The selling firms are listed in alphabetical order.</w:t>
      </w:r>
    </w:p>
    <w:p>
      <w:pPr>
        <w:spacing w:after="0" w:line="79" w:lineRule="exact"/>
        <w:rPr>
          <w:sz w:val="20"/>
          <w:szCs w:val="20"/>
          <w:color w:val="auto"/>
        </w:rPr>
      </w:pPr>
    </w:p>
    <w:p>
      <w:pPr>
        <w:ind w:right="3559"/>
        <w:spacing w:after="0" w:line="311" w:lineRule="auto"/>
        <w:rPr>
          <w:sz w:val="20"/>
          <w:szCs w:val="20"/>
          <w:color w:val="auto"/>
        </w:rPr>
      </w:pPr>
      <w:r>
        <w:rPr>
          <w:rFonts w:ascii="Times New Roman" w:cs="Times New Roman" w:eastAsia="Times New Roman" w:hAnsi="Times New Roman"/>
          <w:sz w:val="12"/>
          <w:szCs w:val="12"/>
          <w:color w:val="auto"/>
        </w:rPr>
        <w:t>There are other broker dealers who receive compensation for servicing our contracts, and the Account Value of the contracts or the amount of added Purchase Payments received may be included in determining their additional compensation, if any.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American Portfolios Financial Services,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Ameriprise Financial Services,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Ameritas Investment Corp.</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Benjamin F. Edwards &amp; Company,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BNY Mellon Securities Corporation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Cambridge Investment Research,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Capital Investments Group,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Centaurus Financial,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Cetera Advisors LLC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Cetera Advisor Networks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Cetera Financial Specialists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Cetera Investment Services LLC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CFD Investments,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Citigroup Global Markets,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Citizens Securities,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Commonwealth Financial Network</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Equitable Advisors,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Equity Services,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FSC Securities Corporation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Geneos Wealth Management,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Gradient Securities, LLC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GWN Securities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Hornor, Townsend &amp; Kent,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Independent Financial Group, LLC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Infinex Investments,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Integrity Alliance,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Investacorp Advisory Services,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Janney Montgomery Scott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J.P. Morgan Securities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J.W. Cole Financial,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Kestra Investment Services,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Key Investment Services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Lifemark Securities Corp.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Lincoln Financial Advisors Corporation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Lincoln Investment Planning,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Lion Street Financial, LLC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LPL Financial Corp. Affiliates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LPL Financial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Merrill Lynch, Pierce, Fenner &amp; Smith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MML Investors Services,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Morgan Stanley Smith Barney LLC</w:t>
      </w:r>
    </w:p>
    <w:p>
      <w:pPr>
        <w:spacing w:after="0" w:line="200" w:lineRule="exact"/>
        <w:rPr>
          <w:sz w:val="20"/>
          <w:szCs w:val="20"/>
          <w:color w:val="auto"/>
        </w:rPr>
      </w:pPr>
    </w:p>
    <w:p>
      <w:pPr>
        <w:spacing w:after="0" w:line="22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9659"/>
          </w:cols>
          <w:pgMar w:left="800" w:top="1083"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720344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t>Oppenheimer &amp; Co.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OSAIC Wealth,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Park Avenue Securities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PFS Investments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Raymond James &amp; Associates,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RBC Capital Markets,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Robert W. Baird &amp; Co</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Rockerfeller Capital Management.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Royal Alliance Associates,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SagePoint Financial,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Santander Securities LLC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Securities America,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Securities Service Network,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Stifel, Nicolaus &amp; Company, Incorporated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Leaders Group,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Transamerica Financial Advisors,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Triad Advisors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Truist Investment Services,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UBS Financial Services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United Planners Financial Services of America A Limited Partner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U.S. Bancorp Investments,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ValMark Securities,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Vanderbilt Securities, LLC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Voya Financial Advisors, Inc.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Wells Fargo Advisors,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Woodbury Financial Services, Inc.</w:t>
      </w:r>
    </w:p>
    <w:p>
      <w:pPr>
        <w:spacing w:after="0" w:line="132" w:lineRule="exact"/>
        <w:rPr>
          <w:sz w:val="20"/>
          <w:szCs w:val="20"/>
          <w:color w:val="auto"/>
        </w:rPr>
      </w:pPr>
    </w:p>
    <w:p>
      <w:pPr>
        <w:ind w:right="3559"/>
        <w:spacing w:after="0" w:line="311" w:lineRule="auto"/>
        <w:rPr>
          <w:sz w:val="20"/>
          <w:szCs w:val="20"/>
          <w:color w:val="auto"/>
        </w:rPr>
      </w:pPr>
      <w:r>
        <w:rPr>
          <w:rFonts w:ascii="Times New Roman" w:cs="Times New Roman" w:eastAsia="Times New Roman" w:hAnsi="Times New Roman"/>
          <w:sz w:val="12"/>
          <w:szCs w:val="12"/>
          <w:color w:val="auto"/>
        </w:rPr>
        <w:t>There are other broker dealers who receive compensation for servicing our contracts, and the Account Value of the contracts or the amount of added Purchase Payments received may be included in determining their additional compensation, if any.</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ANNUITY PROVISIONS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Fixed Annuity</w:t>
      </w:r>
    </w:p>
    <w:p>
      <w:pPr>
        <w:spacing w:after="0" w:line="103" w:lineRule="exact"/>
        <w:rPr>
          <w:sz w:val="20"/>
          <w:szCs w:val="20"/>
          <w:color w:val="auto"/>
        </w:rPr>
      </w:pPr>
    </w:p>
    <w:p>
      <w:pPr>
        <w:ind w:right="3599"/>
        <w:spacing w:after="0" w:line="295" w:lineRule="auto"/>
        <w:rPr>
          <w:sz w:val="20"/>
          <w:szCs w:val="20"/>
          <w:color w:val="auto"/>
        </w:rPr>
      </w:pPr>
      <w:r>
        <w:rPr>
          <w:rFonts w:ascii="Times New Roman" w:cs="Times New Roman" w:eastAsia="Times New Roman" w:hAnsi="Times New Roman"/>
          <w:sz w:val="12"/>
          <w:szCs w:val="12"/>
          <w:color w:val="auto"/>
        </w:rPr>
        <w:t>A fixed annuity is a series of payments made during the Annuity Phase which are guaranteed as to dollar amount by the Company and do not vary with the investment experience of the Separate Account. The Adjusted Contract Value (the Account Value, less any appliable premium taxes and any prorated rider charge) is determined on the annuity calculation date, which is a Business Day no more than five (5) Business Days before the Annuity Date. This value will be used to determine a fixed Annuity Payment. Annuity Payments will be paid as monthly installments or at any frequency acceptable to us and you and will be based upon the Annuity Option elected, the Annuitant's age, the Annuitant's sex (where permitted by law), and the appropriate Annuity Option table. Your annuity rates will not be less than those guaranteed in your contract at the time of purchase. If, as of the annuity calculation date, the then current Annuity Option rates applicable to this class of contracts provide an Annuity Payment greater than that which is guaranteed under the same Annuity Option under this contract, the greater payment will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9659"/>
          </w:cols>
          <w:pgMar w:left="800" w:top="1092" w:right="1440"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720344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t>LEGAL OR REGULATORY RESTRICTIONS ON TRANSACTIONS</w:t>
      </w:r>
    </w:p>
    <w:p>
      <w:pPr>
        <w:spacing w:after="0" w:line="115" w:lineRule="exact"/>
        <w:rPr>
          <w:sz w:val="20"/>
          <w:szCs w:val="20"/>
          <w:color w:val="auto"/>
        </w:rPr>
      </w:pPr>
    </w:p>
    <w:p>
      <w:pPr>
        <w:jc w:val="both"/>
        <w:ind w:right="3799"/>
        <w:spacing w:after="0" w:line="342" w:lineRule="auto"/>
        <w:rPr>
          <w:sz w:val="20"/>
          <w:szCs w:val="20"/>
          <w:color w:val="auto"/>
        </w:rPr>
      </w:pPr>
      <w:r>
        <w:rPr>
          <w:rFonts w:ascii="Times New Roman" w:cs="Times New Roman" w:eastAsia="Times New Roman" w:hAnsi="Times New Roman"/>
          <w:sz w:val="11"/>
          <w:szCs w:val="11"/>
          <w:color w:val="auto"/>
        </w:rPr>
        <w:t>If mandated under applicable law, the Company may be required to reject a Purchase Payment. The Company may also be required to block a contract Owner’s account and thereby refuse to pay any request for transfers, withdrawals, surrenders, death benefits or continue making Annuity Payments until instructions are received from the appropriate regulator.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9659"/>
          </w:cols>
          <w:pgMar w:left="800" w:top="1070" w:right="1440" w:bottom="1440" w:gutter="0" w:footer="0" w:header="0"/>
        </w:sectPr>
      </w:pPr>
    </w:p>
    <w:bookmarkStart w:id="108" w:name="page109"/>
    <w:bookmarkEnd w:id="108"/>
    <w:p>
      <w:pPr>
        <w:spacing w:after="0" w:line="3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720344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FINANCIAL STATEMENTS</w:t>
      </w:r>
    </w:p>
    <w:p>
      <w:pPr>
        <w:spacing w:after="0" w:line="115" w:lineRule="exact"/>
        <w:rPr>
          <w:sz w:val="20"/>
          <w:szCs w:val="20"/>
          <w:color w:val="auto"/>
        </w:rPr>
      </w:pPr>
    </w:p>
    <w:p>
      <w:pPr>
        <w:ind w:right="3679"/>
        <w:spacing w:after="0" w:line="326" w:lineRule="auto"/>
        <w:rPr>
          <w:rFonts w:ascii="Times New Roman" w:cs="Times New Roman" w:eastAsia="Times New Roman" w:hAnsi="Times New Roman"/>
          <w:sz w:val="12"/>
          <w:szCs w:val="12"/>
          <w:u w:val="single" w:color="auto"/>
          <w:color w:val="0000EE"/>
        </w:rPr>
      </w:pPr>
      <w:hyperlink r:id="rId157">
        <w:r>
          <w:rPr>
            <w:rFonts w:ascii="Times New Roman" w:cs="Times New Roman" w:eastAsia="Times New Roman" w:hAnsi="Times New Roman"/>
            <w:sz w:val="12"/>
            <w:szCs w:val="12"/>
            <w:u w:val="single" w:color="auto"/>
            <w:color w:val="0000EE"/>
          </w:rPr>
          <w:t>The statutory-basis financial statements of the Company are incorporated by reference to the submission form type N-VPFS,</w:t>
        </w:r>
      </w:hyperlink>
      <w:r>
        <w:rPr>
          <w:rFonts w:ascii="Times New Roman" w:cs="Times New Roman" w:eastAsia="Times New Roman" w:hAnsi="Times New Roman"/>
          <w:sz w:val="12"/>
          <w:szCs w:val="12"/>
          <w:u w:val="single" w:color="auto"/>
          <w:color w:val="0000EE"/>
        </w:rPr>
        <w:t xml:space="preserve"> </w:t>
      </w:r>
      <w:hyperlink r:id="rId157">
        <w:r>
          <w:rPr>
            <w:rFonts w:ascii="Times New Roman" w:cs="Times New Roman" w:eastAsia="Times New Roman" w:hAnsi="Times New Roman"/>
            <w:sz w:val="12"/>
            <w:szCs w:val="12"/>
            <w:u w:val="single" w:color="auto"/>
            <w:color w:val="0000EE"/>
          </w:rPr>
          <w:t>CIK No. 0001167609, filed by the Insurance Company with the SEC on April 8, 2026.</w:t>
        </w:r>
      </w:hyperlink>
    </w:p>
    <w:p>
      <w:pPr>
        <w:spacing w:after="0" w:line="57" w:lineRule="exact"/>
        <w:rPr>
          <w:sz w:val="20"/>
          <w:szCs w:val="20"/>
          <w:color w:val="auto"/>
        </w:rPr>
      </w:pPr>
    </w:p>
    <w:p>
      <w:pPr>
        <w:ind w:right="3559"/>
        <w:spacing w:after="0" w:line="326" w:lineRule="auto"/>
        <w:rPr>
          <w:sz w:val="20"/>
          <w:szCs w:val="20"/>
          <w:color w:val="auto"/>
        </w:rPr>
      </w:pPr>
      <w:r>
        <w:rPr>
          <w:rFonts w:ascii="Times New Roman" w:cs="Times New Roman" w:eastAsia="Times New Roman" w:hAnsi="Times New Roman"/>
          <w:sz w:val="12"/>
          <w:szCs w:val="12"/>
          <w:color w:val="auto"/>
        </w:rPr>
        <w:t>The statutory-basis financial statements of the Company should be considered only as bearing upon the ability of the Company to meet its obligations under the contract.</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AND DISAGREEMENTS WITH ACCOUNTANTS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9659"/>
          </w:cols>
          <w:pgMar w:left="800" w:top="1440" w:right="1440" w:bottom="1440" w:gutter="0" w:footer="0" w:header="0"/>
        </w:sectPr>
      </w:pPr>
    </w:p>
    <w:bookmarkStart w:id="109" w:name="page110"/>
    <w:bookmarkEnd w:id="109"/>
    <w:tbl>
      <w:tblPr>
        <w:tblLayout w:type="fixed"/>
        <w:tblInd w:w="4" w:type="dxa"/>
        <w:tblCellMar>
          <w:top w:w="0" w:type="dxa"/>
          <w:left w:w="0" w:type="dxa"/>
          <w:bottom w:w="0" w:type="dxa"/>
          <w:right w:w="0" w:type="dxa"/>
        </w:tblCellMar>
      </w:tblPr>
      <w:tr>
        <w:trPr>
          <w:trHeight w:val="165"/>
        </w:trPr>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360" w:type="dxa"/>
            <w:vAlign w:val="bottom"/>
            <w:gridSpan w:val="5"/>
          </w:tcPr>
          <w:p>
            <w:pPr>
              <w:ind w:left="460"/>
              <w:spacing w:after="0"/>
              <w:rPr>
                <w:sz w:val="20"/>
                <w:szCs w:val="20"/>
                <w:color w:val="auto"/>
              </w:rPr>
            </w:pPr>
            <w:r>
              <w:rPr>
                <w:rFonts w:ascii="Arial" w:cs="Arial" w:eastAsia="Arial" w:hAnsi="Arial"/>
                <w:sz w:val="12"/>
                <w:szCs w:val="12"/>
                <w:b w:val="1"/>
                <w:bCs w:val="1"/>
                <w:color w:val="auto"/>
              </w:rPr>
              <w:t>PART C - OTHER INFORMATION</w:t>
            </w:r>
          </w:p>
        </w:tc>
        <w:tc>
          <w:tcPr>
            <w:tcW w:w="0" w:type="dxa"/>
            <w:vAlign w:val="bottom"/>
          </w:tcPr>
          <w:p>
            <w:pPr>
              <w:spacing w:after="0"/>
              <w:rPr>
                <w:sz w:val="1"/>
                <w:szCs w:val="1"/>
                <w:color w:val="auto"/>
              </w:rPr>
            </w:pPr>
          </w:p>
        </w:tc>
      </w:tr>
      <w:tr>
        <w:trPr>
          <w:trHeight w:val="181"/>
        </w:trPr>
        <w:tc>
          <w:tcPr>
            <w:tcW w:w="860" w:type="dxa"/>
            <w:vAlign w:val="bottom"/>
            <w:gridSpan w:val="2"/>
          </w:tcPr>
          <w:p>
            <w:pPr>
              <w:spacing w:after="0"/>
              <w:rPr>
                <w:sz w:val="20"/>
                <w:szCs w:val="20"/>
                <w:color w:val="auto"/>
              </w:rPr>
            </w:pPr>
            <w:r>
              <w:rPr>
                <w:rFonts w:ascii="Arial" w:cs="Arial" w:eastAsia="Arial" w:hAnsi="Arial"/>
                <w:sz w:val="12"/>
                <w:szCs w:val="12"/>
                <w:color w:val="auto"/>
              </w:rPr>
              <w:t>Item</w:t>
            </w:r>
          </w:p>
        </w:tc>
        <w:tc>
          <w:tcPr>
            <w:tcW w:w="5180" w:type="dxa"/>
            <w:vAlign w:val="bottom"/>
            <w:gridSpan w:val="7"/>
          </w:tcPr>
          <w:p>
            <w:pPr>
              <w:ind w:left="280"/>
              <w:spacing w:after="0"/>
              <w:rPr>
                <w:sz w:val="20"/>
                <w:szCs w:val="20"/>
                <w:color w:val="auto"/>
              </w:rPr>
            </w:pPr>
            <w:r>
              <w:rPr>
                <w:rFonts w:ascii="Arial" w:cs="Arial" w:eastAsia="Arial" w:hAnsi="Arial"/>
                <w:sz w:val="12"/>
                <w:szCs w:val="12"/>
                <w:color w:val="auto"/>
              </w:rPr>
              <w:t>Exhibits</w:t>
            </w:r>
          </w:p>
        </w:tc>
        <w:tc>
          <w:tcPr>
            <w:tcW w:w="0" w:type="dxa"/>
            <w:vAlign w:val="bottom"/>
          </w:tcPr>
          <w:p>
            <w:pPr>
              <w:spacing w:after="0"/>
              <w:rPr>
                <w:sz w:val="1"/>
                <w:szCs w:val="1"/>
                <w:color w:val="auto"/>
              </w:rPr>
            </w:pPr>
          </w:p>
        </w:tc>
      </w:tr>
      <w:tr>
        <w:trPr>
          <w:trHeight w:val="159"/>
        </w:trPr>
        <w:tc>
          <w:tcPr>
            <w:tcW w:w="360" w:type="dxa"/>
            <w:vAlign w:val="bottom"/>
          </w:tcPr>
          <w:p>
            <w:pPr>
              <w:spacing w:after="0"/>
              <w:rPr>
                <w:sz w:val="20"/>
                <w:szCs w:val="20"/>
                <w:color w:val="auto"/>
              </w:rPr>
            </w:pPr>
            <w:r>
              <w:rPr>
                <w:rFonts w:ascii="Arial" w:cs="Arial" w:eastAsia="Arial" w:hAnsi="Arial"/>
                <w:sz w:val="12"/>
                <w:szCs w:val="12"/>
                <w:color w:val="auto"/>
              </w:rPr>
              <w:t>27.</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 w:type="dxa"/>
            <w:vAlign w:val="bottom"/>
            <w:gridSpan w:val="2"/>
          </w:tcPr>
          <w:p>
            <w:pPr>
              <w:spacing w:after="0"/>
              <w:rPr>
                <w:sz w:val="20"/>
                <w:szCs w:val="20"/>
                <w:color w:val="auto"/>
              </w:rPr>
            </w:pPr>
            <w:r>
              <w:rPr>
                <w:rFonts w:ascii="Arial" w:cs="Arial" w:eastAsia="Arial" w:hAnsi="Arial"/>
                <w:sz w:val="10"/>
                <w:szCs w:val="10"/>
                <w:b w:val="1"/>
                <w:bCs w:val="1"/>
                <w:color w:val="auto"/>
              </w:rPr>
              <w:t>Exhibit</w:t>
            </w:r>
          </w:p>
        </w:tc>
        <w:tc>
          <w:tcPr>
            <w:tcW w:w="280" w:type="dxa"/>
            <w:vAlign w:val="bottom"/>
          </w:tcPr>
          <w:p>
            <w:pPr>
              <w:spacing w:after="0"/>
              <w:rPr>
                <w:sz w:val="13"/>
                <w:szCs w:val="13"/>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4"/>
              </w:rPr>
              <w:t>Description</w:t>
            </w:r>
          </w:p>
        </w:tc>
        <w:tc>
          <w:tcPr>
            <w:tcW w:w="43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9"/>
              </w:rPr>
              <w:t>Number</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60" w:type="dxa"/>
            <w:vAlign w:val="bottom"/>
            <w:gridSpan w:val="2"/>
          </w:tcPr>
          <w:p>
            <w:pPr>
              <w:spacing w:after="0"/>
              <w:rPr>
                <w:sz w:val="20"/>
                <w:szCs w:val="20"/>
                <w:color w:val="auto"/>
              </w:rPr>
            </w:pPr>
            <w:r>
              <w:rPr>
                <w:rFonts w:ascii="Arial" w:cs="Arial" w:eastAsia="Arial" w:hAnsi="Arial"/>
                <w:sz w:val="12"/>
                <w:szCs w:val="12"/>
                <w:color w:val="auto"/>
              </w:rPr>
              <w:t>(a)</w:t>
            </w:r>
          </w:p>
        </w:tc>
        <w:tc>
          <w:tcPr>
            <w:tcW w:w="5180" w:type="dxa"/>
            <w:vAlign w:val="bottom"/>
            <w:gridSpan w:val="7"/>
          </w:tcPr>
          <w:p>
            <w:pPr>
              <w:ind w:left="280"/>
              <w:spacing w:after="0"/>
              <w:rPr>
                <w:sz w:val="20"/>
                <w:szCs w:val="20"/>
                <w:color w:val="auto"/>
              </w:rPr>
            </w:pPr>
            <w:r>
              <w:rPr>
                <w:rFonts w:ascii="Arial" w:cs="Arial" w:eastAsia="Arial" w:hAnsi="Arial"/>
                <w:sz w:val="12"/>
                <w:szCs w:val="12"/>
                <w:color w:val="auto"/>
              </w:rPr>
              <w:t>Not Applicable.</w:t>
            </w:r>
          </w:p>
        </w:tc>
        <w:tc>
          <w:tcPr>
            <w:tcW w:w="0" w:type="dxa"/>
            <w:vAlign w:val="bottom"/>
          </w:tcPr>
          <w:p>
            <w:pPr>
              <w:spacing w:after="0"/>
              <w:rPr>
                <w:sz w:val="1"/>
                <w:szCs w:val="1"/>
                <w:color w:val="auto"/>
              </w:rPr>
            </w:pPr>
          </w:p>
        </w:tc>
      </w:tr>
      <w:tr>
        <w:trPr>
          <w:trHeight w:val="225"/>
        </w:trPr>
        <w:tc>
          <w:tcPr>
            <w:tcW w:w="860" w:type="dxa"/>
            <w:vAlign w:val="bottom"/>
            <w:gridSpan w:val="2"/>
          </w:tcPr>
          <w:p>
            <w:pPr>
              <w:spacing w:after="0"/>
              <w:rPr>
                <w:sz w:val="20"/>
                <w:szCs w:val="20"/>
                <w:color w:val="auto"/>
              </w:rPr>
            </w:pPr>
            <w:r>
              <w:rPr>
                <w:rFonts w:ascii="Arial" w:cs="Arial" w:eastAsia="Arial" w:hAnsi="Arial"/>
                <w:sz w:val="12"/>
                <w:szCs w:val="12"/>
                <w:color w:val="auto"/>
              </w:rPr>
              <w:t>(b)</w:t>
            </w:r>
          </w:p>
        </w:tc>
        <w:tc>
          <w:tcPr>
            <w:tcW w:w="5180" w:type="dxa"/>
            <w:vAlign w:val="bottom"/>
            <w:gridSpan w:val="7"/>
          </w:tcPr>
          <w:p>
            <w:pPr>
              <w:ind w:left="280"/>
              <w:spacing w:after="0"/>
              <w:rPr>
                <w:sz w:val="20"/>
                <w:szCs w:val="20"/>
                <w:color w:val="auto"/>
              </w:rPr>
            </w:pPr>
            <w:r>
              <w:rPr>
                <w:rFonts w:ascii="Arial" w:cs="Arial" w:eastAsia="Arial" w:hAnsi="Arial"/>
                <w:sz w:val="12"/>
                <w:szCs w:val="12"/>
                <w:color w:val="auto"/>
              </w:rPr>
              <w:t>Not Applicable.</w:t>
            </w:r>
          </w:p>
        </w:tc>
        <w:tc>
          <w:tcPr>
            <w:tcW w:w="0" w:type="dxa"/>
            <w:vAlign w:val="bottom"/>
          </w:tcPr>
          <w:p>
            <w:pPr>
              <w:spacing w:after="0"/>
              <w:rPr>
                <w:sz w:val="1"/>
                <w:szCs w:val="1"/>
                <w:color w:val="auto"/>
              </w:rPr>
            </w:pPr>
          </w:p>
        </w:tc>
      </w:tr>
      <w:tr>
        <w:trPr>
          <w:trHeight w:val="216"/>
        </w:trPr>
        <w:tc>
          <w:tcPr>
            <w:tcW w:w="860" w:type="dxa"/>
            <w:vAlign w:val="bottom"/>
            <w:gridSpan w:val="2"/>
          </w:tcPr>
          <w:p>
            <w:pPr>
              <w:spacing w:after="0"/>
              <w:rPr>
                <w:sz w:val="20"/>
                <w:szCs w:val="20"/>
                <w:color w:val="auto"/>
              </w:rPr>
            </w:pPr>
            <w:r>
              <w:rPr>
                <w:rFonts w:ascii="Arial" w:cs="Arial" w:eastAsia="Arial" w:hAnsi="Arial"/>
                <w:sz w:val="12"/>
                <w:szCs w:val="12"/>
                <w:color w:val="auto"/>
              </w:rPr>
              <w:t>(c)   (i) (a)</w:t>
            </w:r>
          </w:p>
        </w:tc>
        <w:tc>
          <w:tcPr>
            <w:tcW w:w="280" w:type="dxa"/>
            <w:vAlign w:val="bottom"/>
          </w:tcPr>
          <w:p>
            <w:pPr>
              <w:spacing w:after="0"/>
              <w:rPr>
                <w:sz w:val="18"/>
                <w:szCs w:val="18"/>
                <w:color w:val="auto"/>
              </w:rPr>
            </w:pPr>
          </w:p>
        </w:tc>
        <w:tc>
          <w:tcPr>
            <w:tcW w:w="4900" w:type="dxa"/>
            <w:vAlign w:val="bottom"/>
            <w:gridSpan w:val="6"/>
            <w:vMerge w:val="restart"/>
          </w:tcPr>
          <w:p>
            <w:pPr>
              <w:spacing w:after="0"/>
              <w:rPr>
                <w:rFonts w:ascii="Arial" w:cs="Arial" w:eastAsia="Arial" w:hAnsi="Arial"/>
                <w:sz w:val="12"/>
                <w:szCs w:val="12"/>
                <w:color w:val="0000EE"/>
              </w:rPr>
            </w:pPr>
            <w:hyperlink r:id="rId158">
              <w:r>
                <w:rPr>
                  <w:rFonts w:ascii="Arial" w:cs="Arial" w:eastAsia="Arial" w:hAnsi="Arial"/>
                  <w:sz w:val="12"/>
                  <w:szCs w:val="12"/>
                  <w:color w:val="0000EE"/>
                </w:rPr>
                <w:t>Principal Underwriting Agreement and Distribution Agreement between Brighthouse Life</w:t>
              </w:r>
            </w:hyperlink>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9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60" w:type="dxa"/>
            <w:vAlign w:val="bottom"/>
            <w:tcBorders>
              <w:top w:val="single" w:sz="8" w:color="0000EE"/>
            </w:tcBorders>
            <w:gridSpan w:val="4"/>
          </w:tcPr>
          <w:p>
            <w:pPr>
              <w:spacing w:after="0" w:line="88" w:lineRule="exact"/>
              <w:rPr>
                <w:rFonts w:ascii="Arial" w:cs="Arial" w:eastAsia="Arial" w:hAnsi="Arial"/>
                <w:sz w:val="10"/>
                <w:szCs w:val="10"/>
                <w:color w:val="0000EE"/>
              </w:rPr>
            </w:pPr>
            <w:hyperlink r:id="rId158">
              <w:r>
                <w:rPr>
                  <w:rFonts w:ascii="Arial" w:cs="Arial" w:eastAsia="Arial" w:hAnsi="Arial"/>
                  <w:sz w:val="10"/>
                  <w:szCs w:val="10"/>
                  <w:color w:val="0000EE"/>
                </w:rPr>
                <w:t>Insurance Company of NY and Brighthouse Securities, LLC (effective 3-6-17). (Filed as</w:t>
              </w:r>
            </w:hyperlink>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40" w:type="dxa"/>
            <w:vAlign w:val="bottom"/>
            <w:tcBorders>
              <w:top w:val="single" w:sz="8" w:color="0000EE"/>
            </w:tcBorders>
            <w:gridSpan w:val="3"/>
          </w:tcPr>
          <w:p>
            <w:pPr>
              <w:spacing w:after="0" w:line="106" w:lineRule="exact"/>
              <w:rPr>
                <w:rFonts w:ascii="Arial" w:cs="Arial" w:eastAsia="Arial" w:hAnsi="Arial"/>
                <w:sz w:val="12"/>
                <w:szCs w:val="12"/>
                <w:color w:val="0000EE"/>
                <w:w w:val="99"/>
              </w:rPr>
            </w:pPr>
            <w:hyperlink r:id="rId158">
              <w:r>
                <w:rPr>
                  <w:rFonts w:ascii="Arial" w:cs="Arial" w:eastAsia="Arial" w:hAnsi="Arial"/>
                  <w:sz w:val="12"/>
                  <w:szCs w:val="12"/>
                  <w:color w:val="0000EE"/>
                  <w:w w:val="99"/>
                </w:rPr>
                <w:t>Exhibit 1(a) with Registration Statement No. 333-217514 on Form S-3 on April 27, 2017</w:t>
              </w:r>
            </w:hyperlink>
          </w:p>
        </w:tc>
        <w:tc>
          <w:tcPr>
            <w:tcW w:w="260" w:type="dxa"/>
            <w:vAlign w:val="bottom"/>
            <w:gridSpan w:val="3"/>
          </w:tcPr>
          <w:p>
            <w:pPr>
              <w:ind w:left="40"/>
              <w:spacing w:after="0" w:line="106" w:lineRule="exact"/>
              <w:rPr>
                <w:rFonts w:ascii="Arial" w:cs="Arial" w:eastAsia="Arial" w:hAnsi="Arial"/>
                <w:sz w:val="12"/>
                <w:szCs w:val="12"/>
                <w:color w:val="0000EE"/>
                <w:w w:val="99"/>
              </w:rPr>
            </w:pPr>
            <w:hyperlink r:id="rId158">
              <w:r>
                <w:rPr>
                  <w:rFonts w:ascii="Arial" w:cs="Arial" w:eastAsia="Arial" w:hAnsi="Arial"/>
                  <w:sz w:val="12"/>
                  <w:szCs w:val="12"/>
                  <w:color w:val="0000EE"/>
                  <w:w w:val="99"/>
                </w:rPr>
                <w:t>and</w:t>
              </w:r>
            </w:hyperlink>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20" w:type="dxa"/>
            <w:vAlign w:val="bottom"/>
            <w:tcBorders>
              <w:top w:val="single" w:sz="8" w:color="0000EE"/>
              <w:bottom w:val="single" w:sz="8" w:color="0000EE"/>
            </w:tcBorders>
            <w:gridSpan w:val="2"/>
          </w:tcPr>
          <w:p>
            <w:pPr>
              <w:spacing w:after="0" w:line="106" w:lineRule="exact"/>
              <w:rPr>
                <w:rFonts w:ascii="Arial" w:cs="Arial" w:eastAsia="Arial" w:hAnsi="Arial"/>
                <w:sz w:val="12"/>
                <w:szCs w:val="12"/>
                <w:color w:val="0000EE"/>
                <w:w w:val="99"/>
              </w:rPr>
            </w:pPr>
            <w:hyperlink r:id="rId158">
              <w:r>
                <w:rPr>
                  <w:rFonts w:ascii="Arial" w:cs="Arial" w:eastAsia="Arial" w:hAnsi="Arial"/>
                  <w:sz w:val="12"/>
                  <w:szCs w:val="12"/>
                  <w:color w:val="0000EE"/>
                  <w:w w:val="99"/>
                </w:rPr>
                <w:t>incorporated herein by reference.)</w:t>
              </w:r>
            </w:hyperlink>
          </w:p>
        </w:tc>
        <w:tc>
          <w:tcPr>
            <w:tcW w:w="3060" w:type="dxa"/>
            <w:vAlign w:val="bottom"/>
            <w:tcBorders>
              <w:top w:val="single" w:sz="8" w:color="0000EE"/>
            </w:tcBorders>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720344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ind w:left="1144" w:hanging="1144"/>
        <w:spacing w:after="0"/>
        <w:tabs>
          <w:tab w:leader="none" w:pos="1144" w:val="left"/>
        </w:tabs>
        <w:numPr>
          <w:ilvl w:val="0"/>
          <w:numId w:val="69"/>
        </w:numPr>
        <w:rPr>
          <w:rFonts w:ascii="Arial" w:cs="Arial" w:eastAsia="Arial" w:hAnsi="Arial"/>
          <w:sz w:val="11"/>
          <w:szCs w:val="11"/>
          <w:color w:val="auto"/>
        </w:rPr>
      </w:pPr>
      <w:hyperlink r:id="rId160">
        <w:r>
          <w:rPr>
            <w:rFonts w:ascii="Arial" w:cs="Arial" w:eastAsia="Arial" w:hAnsi="Arial"/>
            <w:sz w:val="11"/>
            <w:szCs w:val="11"/>
            <w:color w:val="auto"/>
          </w:rPr>
          <w:t xml:space="preserve">b)(ii). </w:t>
        </w:r>
        <w:r>
          <w:rPr>
            <w:rFonts w:ascii="Arial" w:cs="Arial" w:eastAsia="Arial" w:hAnsi="Arial"/>
            <w:sz w:val="11"/>
            <w:szCs w:val="11"/>
            <w:u w:val="single" w:color="auto"/>
            <w:color w:val="0000EE"/>
          </w:rPr>
          <w:t>Form of Brighthouse Securities, LLC Sales Agreement [7-19 NY]. (Filed as Exhibit 1(b)</w:t>
        </w:r>
      </w:hyperlink>
    </w:p>
    <w:p>
      <w:pPr>
        <w:spacing w:after="0" w:line="12" w:lineRule="exact"/>
        <w:rPr>
          <w:sz w:val="20"/>
          <w:szCs w:val="20"/>
          <w:color w:val="auto"/>
        </w:rPr>
      </w:pPr>
    </w:p>
    <w:p>
      <w:pPr>
        <w:ind w:left="1144" w:right="4119" w:hanging="1144"/>
        <w:spacing w:after="0" w:line="229" w:lineRule="auto"/>
        <w:tabs>
          <w:tab w:leader="none" w:pos="1144" w:val="left"/>
        </w:tabs>
        <w:numPr>
          <w:ilvl w:val="0"/>
          <w:numId w:val="70"/>
        </w:numPr>
        <w:rPr>
          <w:rFonts w:ascii="Arial" w:cs="Arial" w:eastAsia="Arial" w:hAnsi="Arial"/>
          <w:sz w:val="12"/>
          <w:szCs w:val="12"/>
          <w:u w:val="single" w:color="auto"/>
          <w:color w:val="0000EE"/>
        </w:rPr>
      </w:pPr>
      <w:hyperlink r:id="rId160">
        <w:r>
          <w:rPr>
            <w:rFonts w:ascii="Arial" w:cs="Arial" w:eastAsia="Arial" w:hAnsi="Arial"/>
            <w:sz w:val="12"/>
            <w:szCs w:val="12"/>
            <w:u w:val="single" w:color="auto"/>
            <w:color w:val="0000EE"/>
          </w:rPr>
          <w:t>(ii) with Registration Statement No. 333-265199 on Form S-1 on April 10, 2023 and</w:t>
        </w:r>
      </w:hyperlink>
      <w:r>
        <w:rPr>
          <w:rFonts w:ascii="Arial" w:cs="Arial" w:eastAsia="Arial" w:hAnsi="Arial"/>
          <w:sz w:val="12"/>
          <w:szCs w:val="12"/>
          <w:u w:val="single" w:color="auto"/>
          <w:color w:val="0000EE"/>
        </w:rPr>
        <w:t xml:space="preserve"> </w:t>
      </w:r>
      <w:hyperlink r:id="rId160">
        <w:r>
          <w:rPr>
            <w:rFonts w:ascii="Arial" w:cs="Arial" w:eastAsia="Arial" w:hAnsi="Arial"/>
            <w:sz w:val="12"/>
            <w:szCs w:val="12"/>
            <w:u w:val="single" w:color="auto"/>
            <w:color w:val="0000EE"/>
          </w:rPr>
          <w:t>incorporated herein by reference.)</w:t>
        </w:r>
      </w:hyperlink>
    </w:p>
    <w:p>
      <w:pPr>
        <w:spacing w:after="0" w:line="58" w:lineRule="exact"/>
        <w:rPr>
          <w:rFonts w:ascii="Arial" w:cs="Arial" w:eastAsia="Arial" w:hAnsi="Arial"/>
          <w:sz w:val="12"/>
          <w:szCs w:val="12"/>
          <w:color w:val="auto"/>
        </w:rPr>
      </w:pPr>
    </w:p>
    <w:p>
      <w:pPr>
        <w:ind w:left="284" w:hanging="284"/>
        <w:spacing w:after="0"/>
        <w:tabs>
          <w:tab w:leader="none" w:pos="284" w:val="left"/>
        </w:tabs>
        <w:numPr>
          <w:ilvl w:val="0"/>
          <w:numId w:val="71"/>
        </w:numPr>
        <w:rPr>
          <w:rFonts w:ascii="Arial" w:cs="Arial" w:eastAsia="Arial" w:hAnsi="Arial"/>
          <w:sz w:val="12"/>
          <w:szCs w:val="12"/>
          <w:color w:val="auto"/>
        </w:rPr>
      </w:pPr>
      <w:r>
        <w:rPr>
          <w:rFonts w:ascii="Arial" w:cs="Arial" w:eastAsia="Arial" w:hAnsi="Arial"/>
          <w:sz w:val="12"/>
          <w:szCs w:val="12"/>
          <w:color w:val="auto"/>
        </w:rPr>
        <w:t>(i)</w:t>
      </w:r>
    </w:p>
    <w:p>
      <w:pPr>
        <w:ind w:left="1144" w:right="3659"/>
        <w:spacing w:after="0" w:line="230" w:lineRule="auto"/>
        <w:rPr>
          <w:rFonts w:ascii="Arial" w:cs="Arial" w:eastAsia="Arial" w:hAnsi="Arial"/>
          <w:sz w:val="11"/>
          <w:szCs w:val="11"/>
          <w:u w:val="single" w:color="auto"/>
          <w:color w:val="0000EE"/>
        </w:rPr>
      </w:pPr>
      <w:hyperlink r:id="rId161">
        <w:r>
          <w:rPr>
            <w:rFonts w:ascii="Arial" w:cs="Arial" w:eastAsia="Arial" w:hAnsi="Arial"/>
            <w:sz w:val="11"/>
            <w:szCs w:val="11"/>
            <w:u w:val="single" w:color="auto"/>
            <w:color w:val="0000EE"/>
          </w:rPr>
          <w:t>Contract [5-213-NY (07/24} with Contract Schedule [5-C213-1-NY (0724)-6 yr]. (Filed as</w:t>
        </w:r>
      </w:hyperlink>
      <w:r>
        <w:rPr>
          <w:rFonts w:ascii="Arial" w:cs="Arial" w:eastAsia="Arial" w:hAnsi="Arial"/>
          <w:sz w:val="11"/>
          <w:szCs w:val="11"/>
          <w:u w:val="single" w:color="auto"/>
          <w:color w:val="0000EE"/>
        </w:rPr>
        <w:t xml:space="preserve"> </w:t>
      </w:r>
      <w:hyperlink r:id="rId161">
        <w:r>
          <w:rPr>
            <w:rFonts w:ascii="Arial" w:cs="Arial" w:eastAsia="Arial" w:hAnsi="Arial"/>
            <w:sz w:val="11"/>
            <w:szCs w:val="11"/>
            <w:u w:val="single" w:color="auto"/>
            <w:color w:val="0000EE"/>
          </w:rPr>
          <w:t>Exhibit 4(a) with Registration Statement No. 333-279315 on Form S-1 on May 10, 2024 and</w:t>
        </w:r>
      </w:hyperlink>
    </w:p>
    <w:p>
      <w:pPr>
        <w:spacing w:after="0" w:line="1" w:lineRule="exact"/>
        <w:rPr>
          <w:sz w:val="20"/>
          <w:szCs w:val="20"/>
          <w:color w:val="auto"/>
        </w:rPr>
      </w:pPr>
    </w:p>
    <w:p>
      <w:pPr>
        <w:ind w:left="1144"/>
        <w:spacing w:after="0"/>
        <w:rPr>
          <w:rFonts w:ascii="Arial" w:cs="Arial" w:eastAsia="Arial" w:hAnsi="Arial"/>
          <w:sz w:val="12"/>
          <w:szCs w:val="12"/>
          <w:u w:val="single" w:color="auto"/>
          <w:color w:val="0000EE"/>
        </w:rPr>
      </w:pPr>
      <w:hyperlink r:id="rId161">
        <w:r>
          <w:rPr>
            <w:rFonts w:ascii="Arial" w:cs="Arial" w:eastAsia="Arial" w:hAnsi="Arial"/>
            <w:sz w:val="12"/>
            <w:szCs w:val="12"/>
            <w:u w:val="single" w:color="auto"/>
            <w:color w:val="0000EE"/>
          </w:rPr>
          <w:t>incorporated herein by reference.)</w:t>
        </w:r>
      </w:hyperlink>
    </w:p>
    <w:p>
      <w:pPr>
        <w:spacing w:after="0" w:line="66" w:lineRule="exact"/>
        <w:rPr>
          <w:sz w:val="20"/>
          <w:szCs w:val="20"/>
          <w:color w:val="auto"/>
        </w:rPr>
      </w:pPr>
    </w:p>
    <w:p>
      <w:pPr>
        <w:ind w:left="1144" w:right="3979" w:hanging="1144"/>
        <w:spacing w:after="0" w:line="232" w:lineRule="auto"/>
        <w:tabs>
          <w:tab w:leader="none" w:pos="1144" w:val="left"/>
        </w:tabs>
        <w:numPr>
          <w:ilvl w:val="0"/>
          <w:numId w:val="72"/>
        </w:numPr>
        <w:rPr>
          <w:rFonts w:ascii="Arial" w:cs="Arial" w:eastAsia="Arial" w:hAnsi="Arial"/>
          <w:sz w:val="12"/>
          <w:szCs w:val="12"/>
          <w:u w:val="single" w:color="auto"/>
          <w:color w:val="0000EE"/>
        </w:rPr>
      </w:pPr>
      <w:hyperlink r:id="rId162">
        <w:r>
          <w:rPr>
            <w:rFonts w:ascii="Arial" w:cs="Arial" w:eastAsia="Arial" w:hAnsi="Arial"/>
            <w:sz w:val="12"/>
            <w:szCs w:val="12"/>
            <w:u w:val="single" w:color="auto"/>
            <w:color w:val="0000EE"/>
          </w:rPr>
          <w:t>Fixed Account Rider [5-4-FIX-1-NY (07/24)]. (Filed as Exhibit 4(b) with Registration</w:t>
        </w:r>
      </w:hyperlink>
      <w:r>
        <w:rPr>
          <w:rFonts w:ascii="Arial" w:cs="Arial" w:eastAsia="Arial" w:hAnsi="Arial"/>
          <w:sz w:val="12"/>
          <w:szCs w:val="12"/>
          <w:u w:val="single" w:color="auto"/>
          <w:color w:val="0000EE"/>
        </w:rPr>
        <w:t xml:space="preserve"> </w:t>
      </w:r>
      <w:hyperlink r:id="rId162">
        <w:r>
          <w:rPr>
            <w:rFonts w:ascii="Arial" w:cs="Arial" w:eastAsia="Arial" w:hAnsi="Arial"/>
            <w:sz w:val="12"/>
            <w:szCs w:val="12"/>
            <w:u w:val="single" w:color="auto"/>
            <w:color w:val="0000EE"/>
          </w:rPr>
          <w:t>Statement No. 333-279315 on Form S-1 on May 10, 2024 and incorporated herein by</w:t>
        </w:r>
      </w:hyperlink>
      <w:r>
        <w:rPr>
          <w:rFonts w:ascii="Arial" w:cs="Arial" w:eastAsia="Arial" w:hAnsi="Arial"/>
          <w:sz w:val="12"/>
          <w:szCs w:val="12"/>
          <w:u w:val="single" w:color="auto"/>
          <w:color w:val="0000EE"/>
        </w:rPr>
        <w:t xml:space="preserve"> </w:t>
      </w:r>
      <w:hyperlink r:id="rId162">
        <w:r>
          <w:rPr>
            <w:rFonts w:ascii="Arial" w:cs="Arial" w:eastAsia="Arial" w:hAnsi="Arial"/>
            <w:sz w:val="12"/>
            <w:szCs w:val="12"/>
            <w:u w:val="single" w:color="auto"/>
            <w:color w:val="0000EE"/>
          </w:rPr>
          <w:t>reference.)</w:t>
        </w:r>
      </w:hyperlink>
    </w:p>
    <w:p>
      <w:pPr>
        <w:spacing w:after="0" w:line="58" w:lineRule="exact"/>
        <w:rPr>
          <w:rFonts w:ascii="Arial" w:cs="Arial" w:eastAsia="Arial" w:hAnsi="Arial"/>
          <w:sz w:val="12"/>
          <w:szCs w:val="12"/>
          <w:u w:val="single" w:color="auto"/>
          <w:color w:val="0000EE"/>
        </w:rPr>
      </w:pPr>
    </w:p>
    <w:p>
      <w:pPr>
        <w:ind w:left="1144" w:right="3719" w:hanging="1144"/>
        <w:spacing w:after="0" w:line="232" w:lineRule="auto"/>
        <w:tabs>
          <w:tab w:leader="none" w:pos="1144" w:val="left"/>
        </w:tabs>
        <w:numPr>
          <w:ilvl w:val="0"/>
          <w:numId w:val="72"/>
        </w:numPr>
        <w:rPr>
          <w:rFonts w:ascii="Arial" w:cs="Arial" w:eastAsia="Arial" w:hAnsi="Arial"/>
          <w:sz w:val="12"/>
          <w:szCs w:val="12"/>
          <w:u w:val="single" w:color="auto"/>
          <w:color w:val="0000EE"/>
        </w:rPr>
      </w:pPr>
      <w:hyperlink r:id="rId163">
        <w:r>
          <w:rPr>
            <w:rFonts w:ascii="Arial" w:cs="Arial" w:eastAsia="Arial" w:hAnsi="Arial"/>
            <w:sz w:val="12"/>
            <w:szCs w:val="12"/>
            <w:u w:val="single" w:color="auto"/>
            <w:color w:val="0000EE"/>
          </w:rPr>
          <w:t>Return of Premium Death Benefit Rider [5-4-ROP-2-NY (07/24)]. (Filed as Exhibit 4(c) with</w:t>
        </w:r>
      </w:hyperlink>
      <w:r>
        <w:rPr>
          <w:rFonts w:ascii="Arial" w:cs="Arial" w:eastAsia="Arial" w:hAnsi="Arial"/>
          <w:sz w:val="12"/>
          <w:szCs w:val="12"/>
          <w:u w:val="single" w:color="auto"/>
          <w:color w:val="0000EE"/>
        </w:rPr>
        <w:t xml:space="preserve"> </w:t>
      </w:r>
      <w:hyperlink r:id="rId163">
        <w:r>
          <w:rPr>
            <w:rFonts w:ascii="Arial" w:cs="Arial" w:eastAsia="Arial" w:hAnsi="Arial"/>
            <w:sz w:val="12"/>
            <w:szCs w:val="12"/>
            <w:u w:val="single" w:color="auto"/>
            <w:color w:val="0000EE"/>
          </w:rPr>
          <w:t>Registration Statement No. 333-279315 on Form S-1 on May 10, 2024 and incorporated</w:t>
        </w:r>
      </w:hyperlink>
      <w:r>
        <w:rPr>
          <w:rFonts w:ascii="Arial" w:cs="Arial" w:eastAsia="Arial" w:hAnsi="Arial"/>
          <w:sz w:val="12"/>
          <w:szCs w:val="12"/>
          <w:u w:val="single" w:color="auto"/>
          <w:color w:val="0000EE"/>
        </w:rPr>
        <w:t xml:space="preserve"> </w:t>
      </w:r>
      <w:hyperlink r:id="rId163">
        <w:r>
          <w:rPr>
            <w:rFonts w:ascii="Arial" w:cs="Arial" w:eastAsia="Arial" w:hAnsi="Arial"/>
            <w:sz w:val="12"/>
            <w:szCs w:val="12"/>
            <w:u w:val="single" w:color="auto"/>
            <w:color w:val="0000EE"/>
          </w:rPr>
          <w:t>herein by reference.)</w:t>
        </w:r>
      </w:hyperlink>
    </w:p>
    <w:p>
      <w:pPr>
        <w:spacing w:after="0" w:line="67" w:lineRule="exact"/>
        <w:rPr>
          <w:rFonts w:ascii="Arial" w:cs="Arial" w:eastAsia="Arial" w:hAnsi="Arial"/>
          <w:sz w:val="12"/>
          <w:szCs w:val="12"/>
          <w:u w:val="single" w:color="auto"/>
          <w:color w:val="0000EE"/>
        </w:rPr>
      </w:pPr>
    </w:p>
    <w:p>
      <w:pPr>
        <w:ind w:left="1144" w:right="3679" w:hanging="1144"/>
        <w:spacing w:after="0" w:line="227" w:lineRule="auto"/>
        <w:tabs>
          <w:tab w:leader="none" w:pos="1144" w:val="left"/>
        </w:tabs>
        <w:numPr>
          <w:ilvl w:val="0"/>
          <w:numId w:val="72"/>
        </w:numPr>
        <w:rPr>
          <w:rFonts w:ascii="Arial" w:cs="Arial" w:eastAsia="Arial" w:hAnsi="Arial"/>
          <w:sz w:val="12"/>
          <w:szCs w:val="12"/>
          <w:u w:val="single" w:color="auto"/>
          <w:color w:val="0000EE"/>
        </w:rPr>
      </w:pPr>
      <w:hyperlink r:id="rId164">
        <w:r>
          <w:rPr>
            <w:rFonts w:ascii="Arial" w:cs="Arial" w:eastAsia="Arial" w:hAnsi="Arial"/>
            <w:sz w:val="12"/>
            <w:szCs w:val="12"/>
            <w:u w:val="single" w:color="auto"/>
            <w:color w:val="0000EE"/>
          </w:rPr>
          <w:t>Waiver of Withdrawal Charge for Nursing Home or Hospital Confinement Rider [ML-1215</w:t>
        </w:r>
      </w:hyperlink>
      <w:r>
        <w:rPr>
          <w:rFonts w:ascii="Arial" w:cs="Arial" w:eastAsia="Arial" w:hAnsi="Arial"/>
          <w:sz w:val="12"/>
          <w:szCs w:val="12"/>
          <w:u w:val="single" w:color="auto"/>
          <w:color w:val="0000EE"/>
        </w:rPr>
        <w:t xml:space="preserve"> </w:t>
      </w:r>
      <w:hyperlink r:id="rId164">
        <w:r>
          <w:rPr>
            <w:rFonts w:ascii="Arial" w:cs="Arial" w:eastAsia="Arial" w:hAnsi="Arial"/>
            <w:sz w:val="12"/>
            <w:szCs w:val="12"/>
            <w:u w:val="single" w:color="auto"/>
            <w:color w:val="0000EE"/>
          </w:rPr>
          <w:t>(01/01/02)]. (Filed as Exhibit 4(d) with Registration Statement No. 333-217514 on Form S-3</w:t>
        </w:r>
      </w:hyperlink>
      <w:r>
        <w:rPr>
          <w:rFonts w:ascii="Arial" w:cs="Arial" w:eastAsia="Arial" w:hAnsi="Arial"/>
          <w:sz w:val="12"/>
          <w:szCs w:val="12"/>
          <w:u w:val="single" w:color="auto"/>
          <w:color w:val="0000EE"/>
        </w:rPr>
        <w:t xml:space="preserve"> </w:t>
      </w:r>
      <w:hyperlink r:id="rId164">
        <w:r>
          <w:rPr>
            <w:rFonts w:ascii="Arial" w:cs="Arial" w:eastAsia="Arial" w:hAnsi="Arial"/>
            <w:sz w:val="12"/>
            <w:szCs w:val="12"/>
            <w:u w:val="single" w:color="auto"/>
            <w:color w:val="0000EE"/>
          </w:rPr>
          <w:t>on April 27, 2017 and incorporated herein by reference.)</w:t>
        </w:r>
      </w:hyperlink>
    </w:p>
    <w:p>
      <w:pPr>
        <w:spacing w:after="0" w:line="67" w:lineRule="exact"/>
        <w:rPr>
          <w:rFonts w:ascii="Arial" w:cs="Arial" w:eastAsia="Arial" w:hAnsi="Arial"/>
          <w:sz w:val="12"/>
          <w:szCs w:val="12"/>
          <w:u w:val="single" w:color="auto"/>
          <w:color w:val="0000EE"/>
        </w:rPr>
      </w:pPr>
    </w:p>
    <w:p>
      <w:pPr>
        <w:ind w:left="1144" w:right="3639" w:hanging="1144"/>
        <w:spacing w:after="0" w:line="232" w:lineRule="auto"/>
        <w:tabs>
          <w:tab w:leader="none" w:pos="1144" w:val="left"/>
        </w:tabs>
        <w:numPr>
          <w:ilvl w:val="0"/>
          <w:numId w:val="72"/>
        </w:numPr>
        <w:rPr>
          <w:rFonts w:ascii="Arial" w:cs="Arial" w:eastAsia="Arial" w:hAnsi="Arial"/>
          <w:sz w:val="12"/>
          <w:szCs w:val="12"/>
          <w:u w:val="single" w:color="auto"/>
          <w:color w:val="0000EE"/>
        </w:rPr>
      </w:pPr>
      <w:hyperlink r:id="rId165">
        <w:r>
          <w:rPr>
            <w:rFonts w:ascii="Arial" w:cs="Arial" w:eastAsia="Arial" w:hAnsi="Arial"/>
            <w:sz w:val="12"/>
            <w:szCs w:val="12"/>
            <w:u w:val="single" w:color="auto"/>
            <w:color w:val="0000EE"/>
          </w:rPr>
          <w:t>Waiver of Withdrawal Charge for Terminal Illness Rider [ML-1216 (01/01/02)]. (Filed as</w:t>
        </w:r>
      </w:hyperlink>
      <w:r>
        <w:rPr>
          <w:rFonts w:ascii="Arial" w:cs="Arial" w:eastAsia="Arial" w:hAnsi="Arial"/>
          <w:sz w:val="12"/>
          <w:szCs w:val="12"/>
          <w:u w:val="single" w:color="auto"/>
          <w:color w:val="0000EE"/>
        </w:rPr>
        <w:t xml:space="preserve"> </w:t>
      </w:r>
      <w:hyperlink r:id="rId165">
        <w:r>
          <w:rPr>
            <w:rFonts w:ascii="Arial" w:cs="Arial" w:eastAsia="Arial" w:hAnsi="Arial"/>
            <w:sz w:val="12"/>
            <w:szCs w:val="12"/>
            <w:u w:val="single" w:color="auto"/>
            <w:color w:val="0000EE"/>
          </w:rPr>
          <w:t>Exhibit 4(e) with Registration Statement No. 333-217514 on Form S-3 on April 27, 2017 and</w:t>
        </w:r>
      </w:hyperlink>
      <w:r>
        <w:rPr>
          <w:rFonts w:ascii="Arial" w:cs="Arial" w:eastAsia="Arial" w:hAnsi="Arial"/>
          <w:sz w:val="12"/>
          <w:szCs w:val="12"/>
          <w:u w:val="single" w:color="auto"/>
          <w:color w:val="0000EE"/>
        </w:rPr>
        <w:t xml:space="preserve"> </w:t>
      </w:r>
      <w:hyperlink r:id="rId165">
        <w:r>
          <w:rPr>
            <w:rFonts w:ascii="Arial" w:cs="Arial" w:eastAsia="Arial" w:hAnsi="Arial"/>
            <w:sz w:val="12"/>
            <w:szCs w:val="12"/>
            <w:u w:val="single" w:color="auto"/>
            <w:color w:val="0000EE"/>
          </w:rPr>
          <w:t>incorporated herein by reference.)</w:t>
        </w:r>
      </w:hyperlink>
    </w:p>
    <w:p>
      <w:pPr>
        <w:spacing w:after="0" w:line="58" w:lineRule="exact"/>
        <w:rPr>
          <w:rFonts w:ascii="Arial" w:cs="Arial" w:eastAsia="Arial" w:hAnsi="Arial"/>
          <w:sz w:val="12"/>
          <w:szCs w:val="12"/>
          <w:u w:val="single" w:color="auto"/>
          <w:color w:val="0000EE"/>
        </w:rPr>
      </w:pPr>
    </w:p>
    <w:p>
      <w:pPr>
        <w:ind w:left="1144" w:right="3679" w:hanging="1144"/>
        <w:spacing w:after="0" w:line="232" w:lineRule="auto"/>
        <w:tabs>
          <w:tab w:leader="none" w:pos="1144" w:val="left"/>
        </w:tabs>
        <w:numPr>
          <w:ilvl w:val="0"/>
          <w:numId w:val="72"/>
        </w:numPr>
        <w:rPr>
          <w:rFonts w:ascii="Arial" w:cs="Arial" w:eastAsia="Arial" w:hAnsi="Arial"/>
          <w:sz w:val="12"/>
          <w:szCs w:val="12"/>
          <w:u w:val="single" w:color="auto"/>
          <w:color w:val="0000EE"/>
        </w:rPr>
      </w:pPr>
      <w:hyperlink r:id="rId166">
        <w:r>
          <w:rPr>
            <w:rFonts w:ascii="Arial" w:cs="Arial" w:eastAsia="Arial" w:hAnsi="Arial"/>
            <w:sz w:val="12"/>
            <w:szCs w:val="12"/>
            <w:u w:val="single" w:color="auto"/>
            <w:color w:val="0000EE"/>
          </w:rPr>
          <w:t>Individual Retirement Annuity Qualification Rider [7-E-21 (06/21)]. (Filed as Exhibit 4(f) with</w:t>
        </w:r>
      </w:hyperlink>
      <w:r>
        <w:rPr>
          <w:rFonts w:ascii="Arial" w:cs="Arial" w:eastAsia="Arial" w:hAnsi="Arial"/>
          <w:sz w:val="12"/>
          <w:szCs w:val="12"/>
          <w:u w:val="single" w:color="auto"/>
          <w:color w:val="0000EE"/>
        </w:rPr>
        <w:t xml:space="preserve"> </w:t>
      </w:r>
      <w:hyperlink r:id="rId166">
        <w:r>
          <w:rPr>
            <w:rFonts w:ascii="Arial" w:cs="Arial" w:eastAsia="Arial" w:hAnsi="Arial"/>
            <w:sz w:val="12"/>
            <w:szCs w:val="12"/>
            <w:u w:val="single" w:color="auto"/>
            <w:color w:val="0000EE"/>
          </w:rPr>
          <w:t>Registration Statement No. 333-279315 on Form S-1 on May 10, 2024 and incorporated</w:t>
        </w:r>
      </w:hyperlink>
      <w:r>
        <w:rPr>
          <w:rFonts w:ascii="Arial" w:cs="Arial" w:eastAsia="Arial" w:hAnsi="Arial"/>
          <w:sz w:val="12"/>
          <w:szCs w:val="12"/>
          <w:u w:val="single" w:color="auto"/>
          <w:color w:val="0000EE"/>
        </w:rPr>
        <w:t xml:space="preserve"> </w:t>
      </w:r>
      <w:hyperlink r:id="rId166">
        <w:r>
          <w:rPr>
            <w:rFonts w:ascii="Arial" w:cs="Arial" w:eastAsia="Arial" w:hAnsi="Arial"/>
            <w:sz w:val="12"/>
            <w:szCs w:val="12"/>
            <w:u w:val="single" w:color="auto"/>
            <w:color w:val="0000EE"/>
          </w:rPr>
          <w:t>herein by reference.)</w:t>
        </w:r>
      </w:hyperlink>
    </w:p>
    <w:p>
      <w:pPr>
        <w:spacing w:after="0" w:line="67" w:lineRule="exact"/>
        <w:rPr>
          <w:rFonts w:ascii="Arial" w:cs="Arial" w:eastAsia="Arial" w:hAnsi="Arial"/>
          <w:sz w:val="12"/>
          <w:szCs w:val="12"/>
          <w:u w:val="single" w:color="auto"/>
          <w:color w:val="0000EE"/>
        </w:rPr>
      </w:pPr>
    </w:p>
    <w:p>
      <w:pPr>
        <w:ind w:left="1144" w:right="3659" w:hanging="1144"/>
        <w:spacing w:after="0" w:line="227" w:lineRule="auto"/>
        <w:tabs>
          <w:tab w:leader="none" w:pos="1144" w:val="left"/>
        </w:tabs>
        <w:numPr>
          <w:ilvl w:val="0"/>
          <w:numId w:val="72"/>
        </w:numPr>
        <w:rPr>
          <w:rFonts w:ascii="Arial" w:cs="Arial" w:eastAsia="Arial" w:hAnsi="Arial"/>
          <w:sz w:val="12"/>
          <w:szCs w:val="12"/>
          <w:u w:val="single" w:color="auto"/>
          <w:color w:val="0000EE"/>
        </w:rPr>
      </w:pPr>
      <w:hyperlink r:id="rId167">
        <w:r>
          <w:rPr>
            <w:rFonts w:ascii="Arial" w:cs="Arial" w:eastAsia="Arial" w:hAnsi="Arial"/>
            <w:sz w:val="12"/>
            <w:szCs w:val="12"/>
            <w:u w:val="single" w:color="auto"/>
            <w:color w:val="0000EE"/>
          </w:rPr>
          <w:t>Roth Individual Retirement Annuity (“Roth IRA”) Endorsement. [7-E-22 (06/21)]. (Filed as</w:t>
        </w:r>
      </w:hyperlink>
      <w:r>
        <w:rPr>
          <w:rFonts w:ascii="Arial" w:cs="Arial" w:eastAsia="Arial" w:hAnsi="Arial"/>
          <w:sz w:val="12"/>
          <w:szCs w:val="12"/>
          <w:u w:val="single" w:color="auto"/>
          <w:color w:val="0000EE"/>
        </w:rPr>
        <w:t xml:space="preserve"> </w:t>
      </w:r>
      <w:hyperlink r:id="rId167">
        <w:r>
          <w:rPr>
            <w:rFonts w:ascii="Arial" w:cs="Arial" w:eastAsia="Arial" w:hAnsi="Arial"/>
            <w:sz w:val="12"/>
            <w:szCs w:val="12"/>
            <w:u w:val="single" w:color="auto"/>
            <w:color w:val="0000EE"/>
          </w:rPr>
          <w:t>Exhibit 4(g) with Registration Statement No. 333-279315 on Form S-1 on May 10, 2024 and</w:t>
        </w:r>
      </w:hyperlink>
      <w:r>
        <w:rPr>
          <w:rFonts w:ascii="Arial" w:cs="Arial" w:eastAsia="Arial" w:hAnsi="Arial"/>
          <w:sz w:val="12"/>
          <w:szCs w:val="12"/>
          <w:u w:val="single" w:color="auto"/>
          <w:color w:val="0000EE"/>
        </w:rPr>
        <w:t xml:space="preserve"> </w:t>
      </w:r>
      <w:hyperlink r:id="rId167">
        <w:r>
          <w:rPr>
            <w:rFonts w:ascii="Arial" w:cs="Arial" w:eastAsia="Arial" w:hAnsi="Arial"/>
            <w:sz w:val="12"/>
            <w:szCs w:val="12"/>
            <w:u w:val="single" w:color="auto"/>
            <w:color w:val="0000EE"/>
          </w:rPr>
          <w:t>incorporated herein by reference.)</w:t>
        </w:r>
      </w:hyperlink>
    </w:p>
    <w:p>
      <w:pPr>
        <w:spacing w:after="0" w:line="67" w:lineRule="exact"/>
        <w:rPr>
          <w:rFonts w:ascii="Arial" w:cs="Arial" w:eastAsia="Arial" w:hAnsi="Arial"/>
          <w:sz w:val="12"/>
          <w:szCs w:val="12"/>
          <w:u w:val="single" w:color="auto"/>
          <w:color w:val="0000EE"/>
        </w:rPr>
      </w:pPr>
    </w:p>
    <w:p>
      <w:pPr>
        <w:ind w:left="1144" w:right="3839" w:hanging="1144"/>
        <w:spacing w:after="0" w:line="232" w:lineRule="auto"/>
        <w:tabs>
          <w:tab w:leader="none" w:pos="1144" w:val="left"/>
        </w:tabs>
        <w:numPr>
          <w:ilvl w:val="0"/>
          <w:numId w:val="72"/>
        </w:numPr>
        <w:rPr>
          <w:rFonts w:ascii="Arial" w:cs="Arial" w:eastAsia="Arial" w:hAnsi="Arial"/>
          <w:sz w:val="12"/>
          <w:szCs w:val="12"/>
          <w:u w:val="single" w:color="auto"/>
          <w:color w:val="0000EE"/>
        </w:rPr>
      </w:pPr>
      <w:hyperlink r:id="rId168">
        <w:r>
          <w:rPr>
            <w:rFonts w:ascii="Arial" w:cs="Arial" w:eastAsia="Arial" w:hAnsi="Arial"/>
            <w:sz w:val="12"/>
            <w:szCs w:val="12"/>
            <w:u w:val="single" w:color="auto"/>
            <w:color w:val="0000EE"/>
          </w:rPr>
          <w:t>Individual Non-Qualified Annuity Endorsement [ML-22504 (09/12)]. (Filed as Exhibit 4(h)</w:t>
        </w:r>
      </w:hyperlink>
      <w:r>
        <w:rPr>
          <w:rFonts w:ascii="Arial" w:cs="Arial" w:eastAsia="Arial" w:hAnsi="Arial"/>
          <w:sz w:val="12"/>
          <w:szCs w:val="12"/>
          <w:u w:val="single" w:color="auto"/>
          <w:color w:val="0000EE"/>
        </w:rPr>
        <w:t xml:space="preserve"> </w:t>
      </w:r>
      <w:hyperlink r:id="rId168">
        <w:r>
          <w:rPr>
            <w:rFonts w:ascii="Arial" w:cs="Arial" w:eastAsia="Arial" w:hAnsi="Arial"/>
            <w:sz w:val="12"/>
            <w:szCs w:val="12"/>
            <w:u w:val="single" w:color="auto"/>
            <w:color w:val="0000EE"/>
          </w:rPr>
          <w:t>with Registration Statement No. 333-217514 on Form S-3 on April 27, 2017 and</w:t>
        </w:r>
      </w:hyperlink>
      <w:r>
        <w:rPr>
          <w:rFonts w:ascii="Arial" w:cs="Arial" w:eastAsia="Arial" w:hAnsi="Arial"/>
          <w:sz w:val="12"/>
          <w:szCs w:val="12"/>
          <w:u w:val="single" w:color="auto"/>
          <w:color w:val="0000EE"/>
        </w:rPr>
        <w:t xml:space="preserve"> </w:t>
      </w:r>
      <w:hyperlink r:id="rId168">
        <w:r>
          <w:rPr>
            <w:rFonts w:ascii="Arial" w:cs="Arial" w:eastAsia="Arial" w:hAnsi="Arial"/>
            <w:sz w:val="12"/>
            <w:szCs w:val="12"/>
            <w:u w:val="single" w:color="auto"/>
            <w:color w:val="0000EE"/>
          </w:rPr>
          <w:t>incorporated herein by reference.)</w:t>
        </w:r>
      </w:hyperlink>
    </w:p>
    <w:p>
      <w:pPr>
        <w:spacing w:after="0" w:line="58" w:lineRule="exact"/>
        <w:rPr>
          <w:rFonts w:ascii="Arial" w:cs="Arial" w:eastAsia="Arial" w:hAnsi="Arial"/>
          <w:sz w:val="12"/>
          <w:szCs w:val="12"/>
          <w:u w:val="single" w:color="auto"/>
          <w:color w:val="0000EE"/>
        </w:rPr>
      </w:pPr>
    </w:p>
    <w:p>
      <w:pPr>
        <w:ind w:left="1144" w:right="3619" w:hanging="1144"/>
        <w:spacing w:after="0" w:line="232" w:lineRule="auto"/>
        <w:tabs>
          <w:tab w:leader="none" w:pos="1144" w:val="left"/>
        </w:tabs>
        <w:numPr>
          <w:ilvl w:val="0"/>
          <w:numId w:val="72"/>
        </w:numPr>
        <w:rPr>
          <w:rFonts w:ascii="Arial" w:cs="Arial" w:eastAsia="Arial" w:hAnsi="Arial"/>
          <w:sz w:val="12"/>
          <w:szCs w:val="12"/>
          <w:u w:val="single" w:color="auto"/>
          <w:color w:val="0000EE"/>
        </w:rPr>
      </w:pPr>
      <w:hyperlink r:id="rId169">
        <w:r>
          <w:rPr>
            <w:rFonts w:ascii="Arial" w:cs="Arial" w:eastAsia="Arial" w:hAnsi="Arial"/>
            <w:sz w:val="12"/>
            <w:szCs w:val="12"/>
            <w:u w:val="single" w:color="auto"/>
            <w:color w:val="0000EE"/>
          </w:rPr>
          <w:t>Designated Beneficiary Non-Qualified Annuity Endorsement [FMLI-NQ-1 (11/05)-I]. (Filed as</w:t>
        </w:r>
      </w:hyperlink>
      <w:r>
        <w:rPr>
          <w:rFonts w:ascii="Arial" w:cs="Arial" w:eastAsia="Arial" w:hAnsi="Arial"/>
          <w:sz w:val="12"/>
          <w:szCs w:val="12"/>
          <w:u w:val="single" w:color="auto"/>
          <w:color w:val="0000EE"/>
        </w:rPr>
        <w:t xml:space="preserve"> </w:t>
      </w:r>
      <w:hyperlink r:id="rId169">
        <w:r>
          <w:rPr>
            <w:rFonts w:ascii="Arial" w:cs="Arial" w:eastAsia="Arial" w:hAnsi="Arial"/>
            <w:sz w:val="12"/>
            <w:szCs w:val="12"/>
            <w:u w:val="single" w:color="auto"/>
            <w:color w:val="0000EE"/>
          </w:rPr>
          <w:t>Exhibit 4(i) with Registration Statement No. 333-217514 on Form S-3 on April 27, 2017 and</w:t>
        </w:r>
      </w:hyperlink>
      <w:r>
        <w:rPr>
          <w:rFonts w:ascii="Arial" w:cs="Arial" w:eastAsia="Arial" w:hAnsi="Arial"/>
          <w:sz w:val="12"/>
          <w:szCs w:val="12"/>
          <w:u w:val="single" w:color="auto"/>
          <w:color w:val="0000EE"/>
        </w:rPr>
        <w:t xml:space="preserve"> </w:t>
      </w:r>
      <w:hyperlink r:id="rId169">
        <w:r>
          <w:rPr>
            <w:rFonts w:ascii="Arial" w:cs="Arial" w:eastAsia="Arial" w:hAnsi="Arial"/>
            <w:sz w:val="12"/>
            <w:szCs w:val="12"/>
            <w:u w:val="single" w:color="auto"/>
            <w:color w:val="0000EE"/>
          </w:rPr>
          <w:t>incorporated herein by reference.)</w:t>
        </w:r>
      </w:hyperlink>
    </w:p>
    <w:p>
      <w:pPr>
        <w:spacing w:after="0" w:line="67" w:lineRule="exact"/>
        <w:rPr>
          <w:rFonts w:ascii="Arial" w:cs="Arial" w:eastAsia="Arial" w:hAnsi="Arial"/>
          <w:sz w:val="12"/>
          <w:szCs w:val="12"/>
          <w:u w:val="single" w:color="auto"/>
          <w:color w:val="0000EE"/>
        </w:rPr>
      </w:pPr>
    </w:p>
    <w:p>
      <w:pPr>
        <w:jc w:val="both"/>
        <w:ind w:left="1144" w:right="3819" w:hanging="1144"/>
        <w:spacing w:after="0" w:line="227" w:lineRule="auto"/>
        <w:tabs>
          <w:tab w:leader="none" w:pos="1144" w:val="left"/>
        </w:tabs>
        <w:numPr>
          <w:ilvl w:val="0"/>
          <w:numId w:val="72"/>
        </w:numPr>
        <w:rPr>
          <w:rFonts w:ascii="Arial" w:cs="Arial" w:eastAsia="Arial" w:hAnsi="Arial"/>
          <w:sz w:val="12"/>
          <w:szCs w:val="12"/>
          <w:u w:val="single" w:color="auto"/>
          <w:color w:val="0000EE"/>
        </w:rPr>
      </w:pPr>
      <w:hyperlink r:id="rId170">
        <w:r>
          <w:rPr>
            <w:rFonts w:ascii="Arial" w:cs="Arial" w:eastAsia="Arial" w:hAnsi="Arial"/>
            <w:sz w:val="12"/>
            <w:szCs w:val="12"/>
            <w:u w:val="single" w:color="auto"/>
            <w:color w:val="0000EE"/>
          </w:rPr>
          <w:t>Form of Cap Rate Shield Option Rider [5-4-CAP-1-NY (07/24)]. (Filed as Exhibit 4(j) with</w:t>
        </w:r>
      </w:hyperlink>
      <w:r>
        <w:rPr>
          <w:rFonts w:ascii="Arial" w:cs="Arial" w:eastAsia="Arial" w:hAnsi="Arial"/>
          <w:sz w:val="12"/>
          <w:szCs w:val="12"/>
          <w:u w:val="single" w:color="auto"/>
          <w:color w:val="0000EE"/>
        </w:rPr>
        <w:t xml:space="preserve"> </w:t>
      </w:r>
      <w:hyperlink r:id="rId170">
        <w:r>
          <w:rPr>
            <w:rFonts w:ascii="Arial" w:cs="Arial" w:eastAsia="Arial" w:hAnsi="Arial"/>
            <w:sz w:val="12"/>
            <w:szCs w:val="12"/>
            <w:u w:val="single" w:color="auto"/>
            <w:color w:val="0000EE"/>
          </w:rPr>
          <w:t>Registration Statement No. 333-279315 on Form S-1 on May 10, 2024 and incorporated</w:t>
        </w:r>
      </w:hyperlink>
      <w:r>
        <w:rPr>
          <w:rFonts w:ascii="Arial" w:cs="Arial" w:eastAsia="Arial" w:hAnsi="Arial"/>
          <w:sz w:val="12"/>
          <w:szCs w:val="12"/>
          <w:u w:val="single" w:color="auto"/>
          <w:color w:val="0000EE"/>
        </w:rPr>
        <w:t xml:space="preserve"> </w:t>
      </w:r>
      <w:hyperlink r:id="rId170">
        <w:r>
          <w:rPr>
            <w:rFonts w:ascii="Arial" w:cs="Arial" w:eastAsia="Arial" w:hAnsi="Arial"/>
            <w:sz w:val="12"/>
            <w:szCs w:val="12"/>
            <w:u w:val="single" w:color="auto"/>
            <w:color w:val="0000EE"/>
          </w:rPr>
          <w:t>herein by reference.)</w:t>
        </w:r>
      </w:hyperlink>
    </w:p>
    <w:p>
      <w:pPr>
        <w:spacing w:after="0" w:line="67" w:lineRule="exact"/>
        <w:rPr>
          <w:rFonts w:ascii="Arial" w:cs="Arial" w:eastAsia="Arial" w:hAnsi="Arial"/>
          <w:sz w:val="12"/>
          <w:szCs w:val="12"/>
          <w:u w:val="single" w:color="auto"/>
          <w:color w:val="0000EE"/>
        </w:rPr>
      </w:pPr>
    </w:p>
    <w:p>
      <w:pPr>
        <w:ind w:left="1144" w:right="3699" w:hanging="1144"/>
        <w:spacing w:after="0" w:line="232" w:lineRule="auto"/>
        <w:tabs>
          <w:tab w:leader="none" w:pos="1144" w:val="left"/>
        </w:tabs>
        <w:numPr>
          <w:ilvl w:val="0"/>
          <w:numId w:val="72"/>
        </w:numPr>
        <w:rPr>
          <w:rFonts w:ascii="Arial" w:cs="Arial" w:eastAsia="Arial" w:hAnsi="Arial"/>
          <w:sz w:val="12"/>
          <w:szCs w:val="12"/>
          <w:u w:val="single" w:color="auto"/>
          <w:color w:val="0000EE"/>
        </w:rPr>
      </w:pPr>
      <w:hyperlink r:id="rId171">
        <w:r>
          <w:rPr>
            <w:rFonts w:ascii="Arial" w:cs="Arial" w:eastAsia="Arial" w:hAnsi="Arial"/>
            <w:sz w:val="12"/>
            <w:szCs w:val="12"/>
            <w:u w:val="single" w:color="auto"/>
            <w:color w:val="0000EE"/>
          </w:rPr>
          <w:t>Form of Step Rate Shield Option Rider [5-4-STEP-1-NY (07/24)]. (Filed as Exhibit 4(k) with</w:t>
        </w:r>
      </w:hyperlink>
      <w:r>
        <w:rPr>
          <w:rFonts w:ascii="Arial" w:cs="Arial" w:eastAsia="Arial" w:hAnsi="Arial"/>
          <w:sz w:val="12"/>
          <w:szCs w:val="12"/>
          <w:u w:val="single" w:color="auto"/>
          <w:color w:val="0000EE"/>
        </w:rPr>
        <w:t xml:space="preserve"> </w:t>
      </w:r>
      <w:hyperlink r:id="rId171">
        <w:r>
          <w:rPr>
            <w:rFonts w:ascii="Arial" w:cs="Arial" w:eastAsia="Arial" w:hAnsi="Arial"/>
            <w:sz w:val="12"/>
            <w:szCs w:val="12"/>
            <w:u w:val="single" w:color="auto"/>
            <w:color w:val="0000EE"/>
          </w:rPr>
          <w:t>Registration Statement No. 333-279315 on Form S-1 on May 10, 2024 and incorporated</w:t>
        </w:r>
      </w:hyperlink>
      <w:r>
        <w:rPr>
          <w:rFonts w:ascii="Arial" w:cs="Arial" w:eastAsia="Arial" w:hAnsi="Arial"/>
          <w:sz w:val="12"/>
          <w:szCs w:val="12"/>
          <w:u w:val="single" w:color="auto"/>
          <w:color w:val="0000EE"/>
        </w:rPr>
        <w:t xml:space="preserve"> </w:t>
      </w:r>
      <w:hyperlink r:id="rId171">
        <w:r>
          <w:rPr>
            <w:rFonts w:ascii="Arial" w:cs="Arial" w:eastAsia="Arial" w:hAnsi="Arial"/>
            <w:sz w:val="12"/>
            <w:szCs w:val="12"/>
            <w:u w:val="single" w:color="auto"/>
            <w:color w:val="0000EE"/>
          </w:rPr>
          <w:t>herein by reference.)</w:t>
        </w:r>
      </w:hyperlink>
    </w:p>
    <w:p>
      <w:pPr>
        <w:spacing w:after="0" w:line="58" w:lineRule="exact"/>
        <w:rPr>
          <w:rFonts w:ascii="Arial" w:cs="Arial" w:eastAsia="Arial" w:hAnsi="Arial"/>
          <w:sz w:val="12"/>
          <w:szCs w:val="12"/>
          <w:u w:val="single" w:color="auto"/>
          <w:color w:val="0000EE"/>
        </w:rPr>
      </w:pPr>
    </w:p>
    <w:p>
      <w:pPr>
        <w:ind w:left="1144" w:right="3739" w:hanging="1144"/>
        <w:spacing w:after="0" w:line="227" w:lineRule="auto"/>
        <w:tabs>
          <w:tab w:leader="none" w:pos="1144" w:val="left"/>
        </w:tabs>
        <w:numPr>
          <w:ilvl w:val="0"/>
          <w:numId w:val="72"/>
        </w:numPr>
        <w:rPr>
          <w:rFonts w:ascii="Arial" w:cs="Arial" w:eastAsia="Arial" w:hAnsi="Arial"/>
          <w:sz w:val="12"/>
          <w:szCs w:val="12"/>
          <w:u w:val="single" w:color="auto"/>
          <w:color w:val="0000EE"/>
        </w:rPr>
      </w:pPr>
      <w:hyperlink r:id="rId172">
        <w:r>
          <w:rPr>
            <w:rFonts w:ascii="Arial" w:cs="Arial" w:eastAsia="Arial" w:hAnsi="Arial"/>
            <w:sz w:val="12"/>
            <w:szCs w:val="12"/>
            <w:u w:val="single" w:color="auto"/>
            <w:color w:val="0000EE"/>
          </w:rPr>
          <w:t>Form of Step Rate Edge Shield Option Rider [5-4-SRE-2-NY (07/24)]. (Filed as Exhibit 4(l)</w:t>
        </w:r>
      </w:hyperlink>
      <w:r>
        <w:rPr>
          <w:rFonts w:ascii="Arial" w:cs="Arial" w:eastAsia="Arial" w:hAnsi="Arial"/>
          <w:sz w:val="12"/>
          <w:szCs w:val="12"/>
          <w:u w:val="single" w:color="auto"/>
          <w:color w:val="0000EE"/>
        </w:rPr>
        <w:t xml:space="preserve"> </w:t>
      </w:r>
      <w:hyperlink r:id="rId172">
        <w:r>
          <w:rPr>
            <w:rFonts w:ascii="Arial" w:cs="Arial" w:eastAsia="Arial" w:hAnsi="Arial"/>
            <w:sz w:val="12"/>
            <w:szCs w:val="12"/>
            <w:u w:val="single" w:color="auto"/>
            <w:color w:val="0000EE"/>
          </w:rPr>
          <w:t>with Registration Statement No. 333-279315 on Form S-1 on May 10, 2024 and</w:t>
        </w:r>
      </w:hyperlink>
      <w:r>
        <w:rPr>
          <w:rFonts w:ascii="Arial" w:cs="Arial" w:eastAsia="Arial" w:hAnsi="Arial"/>
          <w:sz w:val="12"/>
          <w:szCs w:val="12"/>
          <w:u w:val="single" w:color="auto"/>
          <w:color w:val="0000EE"/>
        </w:rPr>
        <w:t xml:space="preserve"> </w:t>
      </w:r>
      <w:hyperlink r:id="rId172">
        <w:r>
          <w:rPr>
            <w:rFonts w:ascii="Arial" w:cs="Arial" w:eastAsia="Arial" w:hAnsi="Arial"/>
            <w:sz w:val="12"/>
            <w:szCs w:val="12"/>
            <w:u w:val="single" w:color="auto"/>
            <w:color w:val="0000EE"/>
          </w:rPr>
          <w:t>incorporated herein by reference.)</w:t>
        </w:r>
      </w:hyperlink>
    </w:p>
    <w:p>
      <w:pPr>
        <w:spacing w:after="0" w:line="57" w:lineRule="exact"/>
        <w:rPr>
          <w:rFonts w:ascii="Arial" w:cs="Arial" w:eastAsia="Arial" w:hAnsi="Arial"/>
          <w:sz w:val="12"/>
          <w:szCs w:val="12"/>
          <w:u w:val="single" w:color="auto"/>
          <w:color w:val="0000EE"/>
        </w:rPr>
      </w:pPr>
    </w:p>
    <w:p>
      <w:pPr>
        <w:ind w:left="1144" w:right="3699" w:hanging="1144"/>
        <w:spacing w:after="0" w:line="225" w:lineRule="auto"/>
        <w:tabs>
          <w:tab w:leader="none" w:pos="1144" w:val="left"/>
        </w:tabs>
        <w:numPr>
          <w:ilvl w:val="0"/>
          <w:numId w:val="73"/>
        </w:numPr>
        <w:rPr>
          <w:rFonts w:ascii="Arial" w:cs="Arial" w:eastAsia="Arial" w:hAnsi="Arial"/>
          <w:sz w:val="12"/>
          <w:szCs w:val="12"/>
          <w:u w:val="single" w:color="auto"/>
          <w:color w:val="0000EE"/>
        </w:rPr>
      </w:pPr>
      <w:hyperlink r:id="rId173">
        <w:r>
          <w:rPr>
            <w:rFonts w:ascii="Arial" w:cs="Arial" w:eastAsia="Arial" w:hAnsi="Arial"/>
            <w:sz w:val="12"/>
            <w:szCs w:val="12"/>
            <w:u w:val="single" w:color="auto"/>
            <w:color w:val="0000EE"/>
          </w:rPr>
          <w:t>Form of Brighthouse Shield</w:t>
        </w:r>
        <w:r>
          <w:rPr>
            <w:rFonts w:ascii="Arial" w:cs="Arial" w:eastAsia="Arial" w:hAnsi="Arial"/>
            <w:sz w:val="15"/>
            <w:szCs w:val="15"/>
            <w:u w:val="single" w:color="auto"/>
            <w:color w:val="0000EE"/>
            <w:vertAlign w:val="superscript"/>
          </w:rPr>
          <w:t>®</w:t>
        </w:r>
        <w:r>
          <w:rPr>
            <w:rFonts w:ascii="Arial" w:cs="Arial" w:eastAsia="Arial" w:hAnsi="Arial"/>
            <w:sz w:val="12"/>
            <w:szCs w:val="12"/>
            <w:u w:val="single" w:color="auto"/>
            <w:color w:val="0000EE"/>
          </w:rPr>
          <w:t xml:space="preserve"> Level II 6-Year Annuity Application [SLS2-APP-NY (07/24)</w:t>
        </w:r>
      </w:hyperlink>
      <w:r>
        <w:rPr>
          <w:rFonts w:ascii="Arial" w:cs="Arial" w:eastAsia="Arial" w:hAnsi="Arial"/>
          <w:sz w:val="12"/>
          <w:szCs w:val="12"/>
          <w:u w:val="single" w:color="auto"/>
          <w:color w:val="0000EE"/>
        </w:rPr>
        <w:t xml:space="preserve"> </w:t>
      </w:r>
      <w:hyperlink r:id="rId173">
        <w:r>
          <w:rPr>
            <w:rFonts w:ascii="Arial" w:cs="Arial" w:eastAsia="Arial" w:hAnsi="Arial"/>
            <w:sz w:val="12"/>
            <w:szCs w:val="12"/>
            <w:u w:val="single" w:color="auto"/>
            <w:color w:val="0000EE"/>
          </w:rPr>
          <w:t>BSL2-6-NY (07/24)]. (Filed as Exhibit (e) with Registrant’s Registration Statement No. 333-</w:t>
        </w:r>
      </w:hyperlink>
      <w:hyperlink r:id="rId173">
        <w:r>
          <w:rPr>
            <w:rFonts w:ascii="Arial" w:cs="Arial" w:eastAsia="Arial" w:hAnsi="Arial"/>
            <w:sz w:val="12"/>
            <w:szCs w:val="12"/>
            <w:u w:val="single" w:color="auto"/>
            <w:color w:val="0000EE"/>
          </w:rPr>
          <w:t>279315 on Form N-4 on April 21, 2025 and incorporated herein by reference.)</w:t>
        </w:r>
      </w:hyperlink>
    </w:p>
    <w:p>
      <w:pPr>
        <w:sectPr>
          <w:pgSz w:w="11900" w:h="16838" w:orient="portrait"/>
          <w:cols w:equalWidth="0" w:num="1">
            <w:col w:w="9663"/>
          </w:cols>
          <w:pgMar w:left="796" w:top="1063" w:right="1440" w:bottom="1440" w:gutter="0" w:footer="0" w:header="0"/>
        </w:sectPr>
      </w:pPr>
    </w:p>
    <w:bookmarkStart w:id="110" w:name="page111"/>
    <w:bookmarkEnd w:id="110"/>
    <w:p>
      <w:pPr>
        <w:ind w:left="44"/>
        <w:spacing w:after="0"/>
        <w:rPr>
          <w:sz w:val="20"/>
          <w:szCs w:val="20"/>
          <w:color w:val="auto"/>
        </w:rPr>
      </w:pPr>
      <w:r>
        <w:rPr>
          <w:rFonts w:ascii="Arial" w:cs="Arial" w:eastAsia="Arial" w:hAnsi="Arial"/>
          <w:sz w:val="10"/>
          <w:szCs w:val="10"/>
          <w:b w:val="1"/>
          <w:bCs w:val="1"/>
          <w:color w:val="auto"/>
        </w:rPr>
        <w:drawing>
          <wp:anchor simplePos="0" relativeHeight="251657728" behindDoc="1" locked="0" layoutInCell="0" allowOverlap="1">
            <wp:simplePos x="0" y="0"/>
            <wp:positionH relativeFrom="page">
              <wp:posOffset>172720</wp:posOffset>
            </wp:positionH>
            <wp:positionV relativeFrom="page">
              <wp:posOffset>116205</wp:posOffset>
            </wp:positionV>
            <wp:extent cx="455168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4551680" cy="36830"/>
                    </a:xfrm>
                    <a:prstGeom prst="rect">
                      <a:avLst/>
                    </a:prstGeom>
                    <a:noFill/>
                  </pic:spPr>
                </pic:pic>
              </a:graphicData>
            </a:graphic>
          </wp:anchor>
        </w:drawing>
        <w:t>Exhibit</w:t>
      </w:r>
    </w:p>
    <w:p>
      <w:pPr>
        <w:spacing w:after="0" w:line="47" w:lineRule="exact"/>
        <w:rPr>
          <w:sz w:val="20"/>
          <w:szCs w:val="20"/>
          <w:color w:val="auto"/>
        </w:rPr>
      </w:pPr>
    </w:p>
    <w:p>
      <w:pPr>
        <w:ind w:left="4"/>
        <w:spacing w:after="0"/>
        <w:tabs>
          <w:tab w:leader="none" w:pos="1704" w:val="left"/>
        </w:tabs>
        <w:rPr>
          <w:sz w:val="20"/>
          <w:szCs w:val="20"/>
          <w:color w:val="auto"/>
        </w:rPr>
      </w:pPr>
      <w:r>
        <w:rPr>
          <w:rFonts w:ascii="Arial" w:cs="Arial" w:eastAsia="Arial" w:hAnsi="Arial"/>
          <w:sz w:val="10"/>
          <w:szCs w:val="10"/>
          <w:b w:val="1"/>
          <w:bCs w:val="1"/>
          <w:u w:val="single" w:color="auto"/>
          <w:color w:val="auto"/>
        </w:rPr>
        <w:t>Number</w:t>
      </w:r>
      <w:r>
        <w:rPr>
          <w:sz w:val="20"/>
          <w:szCs w:val="20"/>
          <w:color w:val="auto"/>
        </w:rPr>
        <w:tab/>
      </w:r>
      <w:r>
        <w:rPr>
          <w:rFonts w:ascii="Arial" w:cs="Arial" w:eastAsia="Arial" w:hAnsi="Arial"/>
          <w:sz w:val="10"/>
          <w:szCs w:val="10"/>
          <w:b w:val="1"/>
          <w:bCs w:val="1"/>
          <w:u w:val="single" w:color="auto"/>
          <w:color w:val="auto"/>
        </w:rPr>
        <w:t>Description</w:t>
      </w:r>
    </w:p>
    <w:p>
      <w:pPr>
        <w:spacing w:after="0" w:line="14" w:lineRule="exact"/>
        <w:rPr>
          <w:sz w:val="20"/>
          <w:szCs w:val="20"/>
          <w:color w:val="auto"/>
        </w:rPr>
      </w:pPr>
    </w:p>
    <w:p>
      <w:pPr>
        <w:ind w:left="284" w:hanging="284"/>
        <w:spacing w:after="0"/>
        <w:tabs>
          <w:tab w:leader="none" w:pos="284" w:val="left"/>
        </w:tabs>
        <w:numPr>
          <w:ilvl w:val="0"/>
          <w:numId w:val="74"/>
        </w:numPr>
        <w:rPr>
          <w:rFonts w:ascii="Arial" w:cs="Arial" w:eastAsia="Arial" w:hAnsi="Arial"/>
          <w:sz w:val="12"/>
          <w:szCs w:val="12"/>
          <w:color w:val="auto"/>
        </w:rPr>
      </w:pPr>
      <w:r>
        <w:rPr>
          <w:rFonts w:ascii="Arial" w:cs="Arial" w:eastAsia="Arial" w:hAnsi="Arial"/>
          <w:sz w:val="12"/>
          <w:szCs w:val="12"/>
          <w:color w:val="auto"/>
        </w:rPr>
        <w:t>(i)</w:t>
      </w:r>
    </w:p>
    <w:p>
      <w:pPr>
        <w:ind w:left="1144"/>
        <w:spacing w:after="0" w:line="219" w:lineRule="auto"/>
        <w:rPr>
          <w:rFonts w:ascii="Arial" w:cs="Arial" w:eastAsia="Arial" w:hAnsi="Arial"/>
          <w:sz w:val="12"/>
          <w:szCs w:val="12"/>
          <w:u w:val="single" w:color="auto"/>
          <w:color w:val="0000EE"/>
        </w:rPr>
      </w:pPr>
      <w:hyperlink r:id="rId172">
        <w:r>
          <w:rPr>
            <w:rFonts w:ascii="Arial" w:cs="Arial" w:eastAsia="Arial" w:hAnsi="Arial"/>
            <w:sz w:val="12"/>
            <w:szCs w:val="12"/>
            <w:u w:val="single" w:color="auto"/>
            <w:color w:val="0000EE"/>
          </w:rPr>
          <w:t>Form of Step Rate Edge Shield Option Rider [5-4-SRE-2-NY (07/24)]. (Filed as Exhibit 4(l)</w:t>
        </w:r>
      </w:hyperlink>
    </w:p>
    <w:p>
      <w:pPr>
        <w:ind w:left="1144" w:right="3599"/>
        <w:spacing w:after="0" w:line="229" w:lineRule="auto"/>
        <w:rPr>
          <w:rFonts w:ascii="Arial" w:cs="Arial" w:eastAsia="Arial" w:hAnsi="Arial"/>
          <w:sz w:val="12"/>
          <w:szCs w:val="12"/>
          <w:u w:val="single" w:color="auto"/>
          <w:color w:val="0000EE"/>
        </w:rPr>
      </w:pPr>
      <w:hyperlink r:id="rId172">
        <w:r>
          <w:rPr>
            <w:rFonts w:ascii="Arial" w:cs="Arial" w:eastAsia="Arial" w:hAnsi="Arial"/>
            <w:sz w:val="12"/>
            <w:szCs w:val="12"/>
            <w:u w:val="single" w:color="auto"/>
            <w:color w:val="0000EE"/>
          </w:rPr>
          <w:t>with Registration Statement No. 333-279315 on Form S-1 on May 10, 2024 and incorporated</w:t>
        </w:r>
      </w:hyperlink>
      <w:r>
        <w:rPr>
          <w:rFonts w:ascii="Arial" w:cs="Arial" w:eastAsia="Arial" w:hAnsi="Arial"/>
          <w:sz w:val="12"/>
          <w:szCs w:val="12"/>
          <w:u w:val="single" w:color="auto"/>
          <w:color w:val="0000EE"/>
        </w:rPr>
        <w:t xml:space="preserve"> </w:t>
      </w:r>
      <w:hyperlink r:id="rId172">
        <w:r>
          <w:rPr>
            <w:rFonts w:ascii="Arial" w:cs="Arial" w:eastAsia="Arial" w:hAnsi="Arial"/>
            <w:sz w:val="12"/>
            <w:szCs w:val="12"/>
            <w:u w:val="single" w:color="auto"/>
            <w:color w:val="0000EE"/>
          </w:rPr>
          <w:t>herein by reference.)</w:t>
        </w:r>
      </w:hyperlink>
    </w:p>
    <w:p>
      <w:pPr>
        <w:spacing w:after="0" w:line="58" w:lineRule="exact"/>
        <w:rPr>
          <w:sz w:val="20"/>
          <w:szCs w:val="20"/>
          <w:color w:val="auto"/>
        </w:rPr>
      </w:pPr>
    </w:p>
    <w:p>
      <w:pPr>
        <w:ind w:left="284" w:hanging="284"/>
        <w:spacing w:after="0"/>
        <w:tabs>
          <w:tab w:leader="none" w:pos="284" w:val="left"/>
        </w:tabs>
        <w:numPr>
          <w:ilvl w:val="0"/>
          <w:numId w:val="75"/>
        </w:numPr>
        <w:rPr>
          <w:rFonts w:ascii="Arial" w:cs="Arial" w:eastAsia="Arial" w:hAnsi="Arial"/>
          <w:sz w:val="12"/>
          <w:szCs w:val="12"/>
          <w:color w:val="auto"/>
        </w:rPr>
      </w:pPr>
      <w:r>
        <w:rPr>
          <w:rFonts w:ascii="Arial" w:cs="Arial" w:eastAsia="Arial" w:hAnsi="Arial"/>
          <w:sz w:val="12"/>
          <w:szCs w:val="12"/>
          <w:color w:val="auto"/>
        </w:rPr>
        <w:t>(ii)</w:t>
      </w:r>
    </w:p>
    <w:p>
      <w:pPr>
        <w:ind w:left="1144" w:right="3619"/>
        <w:spacing w:after="0" w:line="230" w:lineRule="auto"/>
        <w:rPr>
          <w:rFonts w:ascii="Arial" w:cs="Arial" w:eastAsia="Arial" w:hAnsi="Arial"/>
          <w:sz w:val="11"/>
          <w:szCs w:val="11"/>
          <w:u w:val="single" w:color="auto"/>
          <w:color w:val="0000EE"/>
        </w:rPr>
      </w:pPr>
      <w:hyperlink r:id="rId175">
        <w:r>
          <w:rPr>
            <w:rFonts w:ascii="Arial" w:cs="Arial" w:eastAsia="Arial" w:hAnsi="Arial"/>
            <w:sz w:val="11"/>
            <w:szCs w:val="11"/>
            <w:u w:val="single" w:color="auto"/>
            <w:color w:val="0000EE"/>
          </w:rPr>
          <w:t>Certificate of Amendment of Charter of Brighthouse Life Insurance Company of NY (formerly</w:t>
        </w:r>
      </w:hyperlink>
      <w:r>
        <w:rPr>
          <w:rFonts w:ascii="Arial" w:cs="Arial" w:eastAsia="Arial" w:hAnsi="Arial"/>
          <w:sz w:val="11"/>
          <w:szCs w:val="11"/>
          <w:u w:val="single" w:color="auto"/>
          <w:color w:val="0000EE"/>
        </w:rPr>
        <w:t xml:space="preserve"> </w:t>
      </w:r>
      <w:hyperlink r:id="rId175">
        <w:r>
          <w:rPr>
            <w:rFonts w:ascii="Arial" w:cs="Arial" w:eastAsia="Arial" w:hAnsi="Arial"/>
            <w:sz w:val="11"/>
            <w:szCs w:val="11"/>
            <w:u w:val="single" w:color="auto"/>
            <w:color w:val="0000EE"/>
          </w:rPr>
          <w:t>First MetLife Investors Insurance Company). (Incorporated by reference to Exhibit 3.1 to</w:t>
        </w:r>
      </w:hyperlink>
    </w:p>
    <w:p>
      <w:pPr>
        <w:spacing w:after="0" w:line="1" w:lineRule="exact"/>
        <w:rPr>
          <w:sz w:val="20"/>
          <w:szCs w:val="20"/>
          <w:color w:val="auto"/>
        </w:rPr>
      </w:pPr>
    </w:p>
    <w:p>
      <w:pPr>
        <w:ind w:left="1144"/>
        <w:spacing w:after="0"/>
        <w:rPr>
          <w:rFonts w:ascii="Arial" w:cs="Arial" w:eastAsia="Arial" w:hAnsi="Arial"/>
          <w:sz w:val="12"/>
          <w:szCs w:val="12"/>
          <w:u w:val="single" w:color="auto"/>
          <w:color w:val="0000EE"/>
        </w:rPr>
      </w:pPr>
      <w:hyperlink r:id="rId175">
        <w:r>
          <w:rPr>
            <w:rFonts w:ascii="Arial" w:cs="Arial" w:eastAsia="Arial" w:hAnsi="Arial"/>
            <w:sz w:val="12"/>
            <w:szCs w:val="12"/>
            <w:u w:val="single" w:color="auto"/>
            <w:color w:val="0000EE"/>
          </w:rPr>
          <w:t>Form 8-K, filed by Brighthouse Life Insurance Company of NY on March 6, 2017.)</w:t>
        </w:r>
      </w:hyperlink>
    </w:p>
    <w:p>
      <w:pPr>
        <w:spacing w:after="0" w:line="66" w:lineRule="exact"/>
        <w:rPr>
          <w:sz w:val="20"/>
          <w:szCs w:val="20"/>
          <w:color w:val="auto"/>
        </w:rPr>
      </w:pPr>
    </w:p>
    <w:p>
      <w:pPr>
        <w:ind w:left="284" w:hanging="284"/>
        <w:spacing w:after="0"/>
        <w:tabs>
          <w:tab w:leader="none" w:pos="284" w:val="left"/>
        </w:tabs>
        <w:numPr>
          <w:ilvl w:val="0"/>
          <w:numId w:val="76"/>
        </w:numPr>
        <w:rPr>
          <w:rFonts w:ascii="Arial" w:cs="Arial" w:eastAsia="Arial" w:hAnsi="Arial"/>
          <w:sz w:val="12"/>
          <w:szCs w:val="12"/>
          <w:color w:val="auto"/>
        </w:rPr>
      </w:pPr>
      <w:r>
        <w:rPr>
          <w:rFonts w:ascii="Arial" w:cs="Arial" w:eastAsia="Arial" w:hAnsi="Arial"/>
          <w:sz w:val="12"/>
          <w:szCs w:val="12"/>
          <w:color w:val="auto"/>
        </w:rPr>
        <w:t>(iii)</w:t>
      </w:r>
    </w:p>
    <w:p>
      <w:pPr>
        <w:ind w:left="1144"/>
        <w:spacing w:after="0" w:line="203" w:lineRule="auto"/>
        <w:rPr>
          <w:rFonts w:ascii="Arial" w:cs="Arial" w:eastAsia="Arial" w:hAnsi="Arial"/>
          <w:sz w:val="12"/>
          <w:szCs w:val="12"/>
          <w:u w:val="single" w:color="auto"/>
          <w:color w:val="0000EE"/>
        </w:rPr>
      </w:pPr>
      <w:hyperlink r:id="rId176">
        <w:r>
          <w:rPr>
            <w:rFonts w:ascii="Arial" w:cs="Arial" w:eastAsia="Arial" w:hAnsi="Arial"/>
            <w:sz w:val="12"/>
            <w:szCs w:val="12"/>
            <w:u w:val="single" w:color="auto"/>
            <w:color w:val="0000EE"/>
          </w:rPr>
          <w:t>Amended and Restated Bylaws of Brighthouse Life Insurance Company of NY, as effective</w:t>
        </w:r>
      </w:hyperlink>
    </w:p>
    <w:p>
      <w:pPr>
        <w:ind w:left="1144"/>
        <w:spacing w:after="0" w:line="203" w:lineRule="auto"/>
        <w:rPr>
          <w:rFonts w:ascii="Arial" w:cs="Arial" w:eastAsia="Arial" w:hAnsi="Arial"/>
          <w:sz w:val="12"/>
          <w:szCs w:val="12"/>
          <w:u w:val="single" w:color="auto"/>
          <w:color w:val="0000EE"/>
        </w:rPr>
      </w:pPr>
      <w:hyperlink r:id="rId176">
        <w:r>
          <w:rPr>
            <w:rFonts w:ascii="Arial" w:cs="Arial" w:eastAsia="Arial" w:hAnsi="Arial"/>
            <w:sz w:val="12"/>
            <w:szCs w:val="12"/>
            <w:u w:val="single" w:color="auto"/>
            <w:color w:val="0000EE"/>
          </w:rPr>
          <w:t>March 6, 2017. (Incorporated by reference to Exhibit 3.2 to Form 8-K, filed by Brighthouse</w:t>
        </w:r>
      </w:hyperlink>
    </w:p>
    <w:p>
      <w:pPr>
        <w:spacing w:after="0" w:line="1" w:lineRule="exact"/>
        <w:rPr>
          <w:sz w:val="20"/>
          <w:szCs w:val="20"/>
          <w:color w:val="auto"/>
        </w:rPr>
      </w:pPr>
    </w:p>
    <w:p>
      <w:pPr>
        <w:ind w:left="1144"/>
        <w:spacing w:after="0"/>
        <w:rPr>
          <w:rFonts w:ascii="Arial" w:cs="Arial" w:eastAsia="Arial" w:hAnsi="Arial"/>
          <w:sz w:val="12"/>
          <w:szCs w:val="12"/>
          <w:u w:val="single" w:color="auto"/>
          <w:color w:val="0000EE"/>
        </w:rPr>
      </w:pPr>
      <w:hyperlink r:id="rId176">
        <w:r>
          <w:rPr>
            <w:rFonts w:ascii="Arial" w:cs="Arial" w:eastAsia="Arial" w:hAnsi="Arial"/>
            <w:sz w:val="12"/>
            <w:szCs w:val="12"/>
            <w:u w:val="single" w:color="auto"/>
            <w:color w:val="0000EE"/>
          </w:rPr>
          <w:t>Life Insurance Company of NY on March 6, 2017.)</w:t>
        </w:r>
      </w:hyperlink>
    </w:p>
    <w:p>
      <w:pPr>
        <w:spacing w:after="0" w:line="66" w:lineRule="exact"/>
        <w:rPr>
          <w:sz w:val="20"/>
          <w:szCs w:val="20"/>
          <w:color w:val="auto"/>
        </w:rPr>
      </w:pPr>
    </w:p>
    <w:p>
      <w:pPr>
        <w:ind w:left="1144" w:right="3939" w:hanging="1144"/>
        <w:spacing w:after="0" w:line="225" w:lineRule="auto"/>
        <w:tabs>
          <w:tab w:leader="none" w:pos="1144" w:val="left"/>
        </w:tabs>
        <w:numPr>
          <w:ilvl w:val="0"/>
          <w:numId w:val="77"/>
        </w:numPr>
        <w:rPr>
          <w:rFonts w:ascii="Arial" w:cs="Arial" w:eastAsia="Arial" w:hAnsi="Arial"/>
          <w:sz w:val="12"/>
          <w:szCs w:val="12"/>
          <w:color w:val="auto"/>
        </w:rPr>
      </w:pPr>
      <w:r>
        <w:rPr>
          <w:rFonts w:ascii="Arial" w:cs="Arial" w:eastAsia="Arial" w:hAnsi="Arial"/>
          <w:sz w:val="12"/>
          <w:szCs w:val="12"/>
          <w:u w:val="single" w:color="auto"/>
          <w:color w:val="0000EE"/>
        </w:rPr>
        <w:t>Reinsurance Agreement and Amendment No. 1 between Brighthouse Life Insurance Company of NY and Brighthouse Life Insurance Company (effective October 1, 2023). [NYC60924.T01.60924] Confidential portions of this exhibit have been redacted. (Filed herewith.)</w:t>
      </w:r>
    </w:p>
    <w:p>
      <w:pPr>
        <w:spacing w:after="0" w:line="58" w:lineRule="exact"/>
        <w:rPr>
          <w:rFonts w:ascii="Arial" w:cs="Arial" w:eastAsia="Arial" w:hAnsi="Arial"/>
          <w:sz w:val="12"/>
          <w:szCs w:val="12"/>
          <w:color w:val="auto"/>
        </w:rPr>
      </w:pPr>
    </w:p>
    <w:p>
      <w:pPr>
        <w:ind w:left="1144" w:hanging="1144"/>
        <w:spacing w:after="0"/>
        <w:tabs>
          <w:tab w:leader="none" w:pos="1144" w:val="left"/>
        </w:tabs>
        <w:numPr>
          <w:ilvl w:val="0"/>
          <w:numId w:val="77"/>
        </w:numPr>
        <w:rPr>
          <w:rFonts w:ascii="Arial" w:cs="Arial" w:eastAsia="Arial" w:hAnsi="Arial"/>
          <w:sz w:val="12"/>
          <w:szCs w:val="12"/>
          <w:color w:val="auto"/>
        </w:rPr>
      </w:pPr>
      <w:r>
        <w:rPr>
          <w:rFonts w:ascii="Arial" w:cs="Arial" w:eastAsia="Arial" w:hAnsi="Arial"/>
          <w:sz w:val="12"/>
          <w:szCs w:val="12"/>
          <w:color w:val="auto"/>
        </w:rPr>
        <w:t>Not Applicable.</w:t>
      </w:r>
    </w:p>
    <w:p>
      <w:pPr>
        <w:spacing w:after="0" w:line="78" w:lineRule="exact"/>
        <w:rPr>
          <w:rFonts w:ascii="Arial" w:cs="Arial" w:eastAsia="Arial" w:hAnsi="Arial"/>
          <w:sz w:val="12"/>
          <w:szCs w:val="12"/>
          <w:color w:val="auto"/>
        </w:rPr>
      </w:pPr>
    </w:p>
    <w:p>
      <w:pPr>
        <w:ind w:left="1144" w:hanging="1144"/>
        <w:spacing w:after="0"/>
        <w:tabs>
          <w:tab w:leader="none" w:pos="1144" w:val="left"/>
        </w:tabs>
        <w:numPr>
          <w:ilvl w:val="0"/>
          <w:numId w:val="77"/>
        </w:numPr>
        <w:rPr>
          <w:rFonts w:ascii="Arial" w:cs="Arial" w:eastAsia="Arial" w:hAnsi="Arial"/>
          <w:sz w:val="12"/>
          <w:szCs w:val="12"/>
          <w:color w:val="auto"/>
        </w:rPr>
      </w:pPr>
      <w:r>
        <w:rPr>
          <w:rFonts w:ascii="Arial" w:cs="Arial" w:eastAsia="Arial" w:hAnsi="Arial"/>
          <w:sz w:val="12"/>
          <w:szCs w:val="12"/>
          <w:color w:val="auto"/>
        </w:rPr>
        <w:t>Not Applicable.</w:t>
      </w:r>
    </w:p>
    <w:p>
      <w:pPr>
        <w:spacing w:after="0" w:line="78" w:lineRule="exact"/>
        <w:rPr>
          <w:rFonts w:ascii="Arial" w:cs="Arial" w:eastAsia="Arial" w:hAnsi="Arial"/>
          <w:sz w:val="12"/>
          <w:szCs w:val="12"/>
          <w:color w:val="auto"/>
        </w:rPr>
      </w:pPr>
    </w:p>
    <w:p>
      <w:pPr>
        <w:ind w:left="1144" w:hanging="1144"/>
        <w:spacing w:after="0"/>
        <w:tabs>
          <w:tab w:leader="none" w:pos="1144" w:val="left"/>
        </w:tabs>
        <w:numPr>
          <w:ilvl w:val="0"/>
          <w:numId w:val="77"/>
        </w:numPr>
        <w:rPr>
          <w:rFonts w:ascii="Arial" w:cs="Arial" w:eastAsia="Arial" w:hAnsi="Arial"/>
          <w:sz w:val="12"/>
          <w:szCs w:val="12"/>
          <w:color w:val="auto"/>
        </w:rPr>
      </w:pPr>
      <w:r>
        <w:rPr>
          <w:rFonts w:ascii="Arial" w:cs="Arial" w:eastAsia="Arial" w:hAnsi="Arial"/>
          <w:sz w:val="12"/>
          <w:szCs w:val="12"/>
          <w:color w:val="auto"/>
        </w:rPr>
        <w:t>Not Applicable.</w:t>
      </w:r>
    </w:p>
    <w:p>
      <w:pPr>
        <w:spacing w:after="0" w:line="78" w:lineRule="exact"/>
        <w:rPr>
          <w:rFonts w:ascii="Arial" w:cs="Arial" w:eastAsia="Arial" w:hAnsi="Arial"/>
          <w:sz w:val="12"/>
          <w:szCs w:val="12"/>
          <w:color w:val="auto"/>
        </w:rPr>
      </w:pPr>
    </w:p>
    <w:p>
      <w:pPr>
        <w:ind w:left="1144" w:right="3959" w:hanging="1144"/>
        <w:spacing w:after="0" w:line="232" w:lineRule="auto"/>
        <w:tabs>
          <w:tab w:leader="none" w:pos="1144" w:val="left"/>
        </w:tabs>
        <w:numPr>
          <w:ilvl w:val="0"/>
          <w:numId w:val="77"/>
        </w:numPr>
        <w:rPr>
          <w:rFonts w:ascii="Arial" w:cs="Arial" w:eastAsia="Arial" w:hAnsi="Arial"/>
          <w:sz w:val="12"/>
          <w:szCs w:val="12"/>
          <w:u w:val="single" w:color="auto"/>
          <w:color w:val="0000EE"/>
        </w:rPr>
      </w:pPr>
      <w:hyperlink r:id="rId177">
        <w:r>
          <w:rPr>
            <w:rFonts w:ascii="Arial" w:cs="Arial" w:eastAsia="Arial" w:hAnsi="Arial"/>
            <w:sz w:val="12"/>
            <w:szCs w:val="12"/>
            <w:u w:val="single" w:color="auto"/>
            <w:color w:val="0000EE"/>
          </w:rPr>
          <w:t>Opinion and Consent of Counsel. (Filed as Exhibit (k) with Registrant’s Registration</w:t>
        </w:r>
      </w:hyperlink>
      <w:r>
        <w:rPr>
          <w:rFonts w:ascii="Arial" w:cs="Arial" w:eastAsia="Arial" w:hAnsi="Arial"/>
          <w:sz w:val="12"/>
          <w:szCs w:val="12"/>
          <w:u w:val="single" w:color="auto"/>
          <w:color w:val="0000EE"/>
        </w:rPr>
        <w:t xml:space="preserve"> </w:t>
      </w:r>
      <w:hyperlink r:id="rId177">
        <w:r>
          <w:rPr>
            <w:rFonts w:ascii="Arial" w:cs="Arial" w:eastAsia="Arial" w:hAnsi="Arial"/>
            <w:sz w:val="12"/>
            <w:szCs w:val="12"/>
            <w:u w:val="single" w:color="auto"/>
            <w:color w:val="0000EE"/>
          </w:rPr>
          <w:t>Statement No. 333-279315 on Form N-4 on April 21, 2025 and incorporated herein by</w:t>
        </w:r>
      </w:hyperlink>
      <w:r>
        <w:rPr>
          <w:rFonts w:ascii="Arial" w:cs="Arial" w:eastAsia="Arial" w:hAnsi="Arial"/>
          <w:sz w:val="12"/>
          <w:szCs w:val="12"/>
          <w:u w:val="single" w:color="auto"/>
          <w:color w:val="0000EE"/>
        </w:rPr>
        <w:t xml:space="preserve"> </w:t>
      </w:r>
      <w:hyperlink r:id="rId177">
        <w:r>
          <w:rPr>
            <w:rFonts w:ascii="Arial" w:cs="Arial" w:eastAsia="Arial" w:hAnsi="Arial"/>
            <w:sz w:val="12"/>
            <w:szCs w:val="12"/>
            <w:u w:val="single" w:color="auto"/>
            <w:color w:val="0000EE"/>
          </w:rPr>
          <w:t>reference.)</w:t>
        </w:r>
      </w:hyperlink>
    </w:p>
    <w:p>
      <w:pPr>
        <w:spacing w:after="0" w:line="58" w:lineRule="exact"/>
        <w:rPr>
          <w:rFonts w:ascii="Arial" w:cs="Arial" w:eastAsia="Arial" w:hAnsi="Arial"/>
          <w:sz w:val="12"/>
          <w:szCs w:val="12"/>
          <w:u w:val="single" w:color="auto"/>
          <w:color w:val="0000EE"/>
        </w:rPr>
      </w:pPr>
    </w:p>
    <w:p>
      <w:pPr>
        <w:ind w:left="1144" w:hanging="1144"/>
        <w:spacing w:after="0"/>
        <w:tabs>
          <w:tab w:leader="none" w:pos="1144" w:val="left"/>
        </w:tabs>
        <w:numPr>
          <w:ilvl w:val="0"/>
          <w:numId w:val="77"/>
        </w:numPr>
        <w:rPr>
          <w:rFonts w:ascii="Arial" w:cs="Arial" w:eastAsia="Arial" w:hAnsi="Arial"/>
          <w:sz w:val="12"/>
          <w:szCs w:val="12"/>
          <w:color w:val="auto"/>
        </w:rPr>
      </w:pPr>
      <w:r>
        <w:rPr>
          <w:rFonts w:ascii="Arial" w:cs="Arial" w:eastAsia="Arial" w:hAnsi="Arial"/>
          <w:sz w:val="12"/>
          <w:szCs w:val="12"/>
          <w:u w:val="single" w:color="auto"/>
          <w:color w:val="0000EE"/>
        </w:rPr>
        <w:t>Consent of Independent Auditor. (Filed herewith.)</w:t>
      </w:r>
    </w:p>
    <w:p>
      <w:pPr>
        <w:spacing w:after="0" w:line="78" w:lineRule="exact"/>
        <w:rPr>
          <w:rFonts w:ascii="Arial" w:cs="Arial" w:eastAsia="Arial" w:hAnsi="Arial"/>
          <w:sz w:val="12"/>
          <w:szCs w:val="12"/>
          <w:color w:val="auto"/>
        </w:rPr>
      </w:pPr>
    </w:p>
    <w:p>
      <w:pPr>
        <w:ind w:left="1144" w:hanging="1144"/>
        <w:spacing w:after="0"/>
        <w:tabs>
          <w:tab w:leader="none" w:pos="1144" w:val="left"/>
        </w:tabs>
        <w:numPr>
          <w:ilvl w:val="0"/>
          <w:numId w:val="77"/>
        </w:numPr>
        <w:rPr>
          <w:rFonts w:ascii="Arial" w:cs="Arial" w:eastAsia="Arial" w:hAnsi="Arial"/>
          <w:sz w:val="12"/>
          <w:szCs w:val="12"/>
          <w:color w:val="auto"/>
        </w:rPr>
      </w:pPr>
      <w:r>
        <w:rPr>
          <w:rFonts w:ascii="Arial" w:cs="Arial" w:eastAsia="Arial" w:hAnsi="Arial"/>
          <w:sz w:val="12"/>
          <w:szCs w:val="12"/>
          <w:color w:val="auto"/>
        </w:rPr>
        <w:t>Not Applicable.</w:t>
      </w:r>
    </w:p>
    <w:p>
      <w:pPr>
        <w:spacing w:after="0" w:line="78" w:lineRule="exact"/>
        <w:rPr>
          <w:rFonts w:ascii="Arial" w:cs="Arial" w:eastAsia="Arial" w:hAnsi="Arial"/>
          <w:sz w:val="12"/>
          <w:szCs w:val="12"/>
          <w:color w:val="auto"/>
        </w:rPr>
      </w:pPr>
    </w:p>
    <w:p>
      <w:pPr>
        <w:ind w:left="1144" w:hanging="1144"/>
        <w:spacing w:after="0"/>
        <w:tabs>
          <w:tab w:leader="none" w:pos="1144" w:val="left"/>
        </w:tabs>
        <w:numPr>
          <w:ilvl w:val="0"/>
          <w:numId w:val="77"/>
        </w:numPr>
        <w:rPr>
          <w:rFonts w:ascii="Arial" w:cs="Arial" w:eastAsia="Arial" w:hAnsi="Arial"/>
          <w:sz w:val="12"/>
          <w:szCs w:val="12"/>
          <w:color w:val="auto"/>
        </w:rPr>
      </w:pPr>
      <w:r>
        <w:rPr>
          <w:rFonts w:ascii="Arial" w:cs="Arial" w:eastAsia="Arial" w:hAnsi="Arial"/>
          <w:sz w:val="12"/>
          <w:szCs w:val="12"/>
          <w:color w:val="auto"/>
        </w:rPr>
        <w:t>Not Applicable.</w:t>
      </w:r>
    </w:p>
    <w:p>
      <w:pPr>
        <w:spacing w:after="0" w:line="78" w:lineRule="exact"/>
        <w:rPr>
          <w:rFonts w:ascii="Arial" w:cs="Arial" w:eastAsia="Arial" w:hAnsi="Arial"/>
          <w:sz w:val="12"/>
          <w:szCs w:val="12"/>
          <w:color w:val="auto"/>
        </w:rPr>
      </w:pPr>
    </w:p>
    <w:p>
      <w:pPr>
        <w:ind w:left="1144" w:right="3919" w:hanging="1144"/>
        <w:spacing w:after="0" w:line="227" w:lineRule="auto"/>
        <w:tabs>
          <w:tab w:leader="none" w:pos="1144" w:val="left"/>
        </w:tabs>
        <w:numPr>
          <w:ilvl w:val="0"/>
          <w:numId w:val="77"/>
        </w:numPr>
        <w:rPr>
          <w:rFonts w:ascii="Arial" w:cs="Arial" w:eastAsia="Arial" w:hAnsi="Arial"/>
          <w:sz w:val="12"/>
          <w:szCs w:val="12"/>
          <w:u w:val="single" w:color="auto"/>
          <w:color w:val="0000EE"/>
        </w:rPr>
      </w:pPr>
      <w:hyperlink r:id="rId178">
        <w:r>
          <w:rPr>
            <w:rFonts w:ascii="Arial" w:cs="Arial" w:eastAsia="Arial" w:hAnsi="Arial"/>
            <w:sz w:val="12"/>
            <w:szCs w:val="12"/>
            <w:u w:val="single" w:color="auto"/>
            <w:color w:val="0000EE"/>
          </w:rPr>
          <w:t>Form of Initial Summary Prospectus. (Filed as Exhibit (o) with Registrant’s Registration</w:t>
        </w:r>
      </w:hyperlink>
      <w:r>
        <w:rPr>
          <w:rFonts w:ascii="Arial" w:cs="Arial" w:eastAsia="Arial" w:hAnsi="Arial"/>
          <w:sz w:val="12"/>
          <w:szCs w:val="12"/>
          <w:u w:val="single" w:color="auto"/>
          <w:color w:val="0000EE"/>
        </w:rPr>
        <w:t xml:space="preserve"> </w:t>
      </w:r>
      <w:hyperlink r:id="rId178">
        <w:r>
          <w:rPr>
            <w:rFonts w:ascii="Arial" w:cs="Arial" w:eastAsia="Arial" w:hAnsi="Arial"/>
            <w:sz w:val="12"/>
            <w:szCs w:val="12"/>
            <w:u w:val="single" w:color="auto"/>
            <w:color w:val="0000EE"/>
          </w:rPr>
          <w:t>Statement No. 333-279315 on Form N-4 on April 21, 2025 and incorporated herein by</w:t>
        </w:r>
      </w:hyperlink>
      <w:r>
        <w:rPr>
          <w:rFonts w:ascii="Arial" w:cs="Arial" w:eastAsia="Arial" w:hAnsi="Arial"/>
          <w:sz w:val="12"/>
          <w:szCs w:val="12"/>
          <w:u w:val="single" w:color="auto"/>
          <w:color w:val="0000EE"/>
        </w:rPr>
        <w:t xml:space="preserve"> </w:t>
      </w:r>
      <w:hyperlink r:id="rId178">
        <w:r>
          <w:rPr>
            <w:rFonts w:ascii="Arial" w:cs="Arial" w:eastAsia="Arial" w:hAnsi="Arial"/>
            <w:sz w:val="12"/>
            <w:szCs w:val="12"/>
            <w:u w:val="single" w:color="auto"/>
            <w:color w:val="0000EE"/>
          </w:rPr>
          <w:t>reference.)</w:t>
        </w:r>
      </w:hyperlink>
    </w:p>
    <w:p>
      <w:pPr>
        <w:spacing w:after="0" w:line="58" w:lineRule="exact"/>
        <w:rPr>
          <w:rFonts w:ascii="Arial" w:cs="Arial" w:eastAsia="Arial" w:hAnsi="Arial"/>
          <w:sz w:val="12"/>
          <w:szCs w:val="12"/>
          <w:u w:val="single" w:color="auto"/>
          <w:color w:val="0000EE"/>
        </w:rPr>
      </w:pPr>
    </w:p>
    <w:p>
      <w:pPr>
        <w:ind w:left="1144" w:right="3839" w:hanging="1144"/>
        <w:spacing w:after="0" w:line="232" w:lineRule="auto"/>
        <w:tabs>
          <w:tab w:leader="none" w:pos="1144" w:val="left"/>
        </w:tabs>
        <w:numPr>
          <w:ilvl w:val="0"/>
          <w:numId w:val="77"/>
        </w:numPr>
        <w:rPr>
          <w:rFonts w:ascii="Arial" w:cs="Arial" w:eastAsia="Arial" w:hAnsi="Arial"/>
          <w:sz w:val="12"/>
          <w:szCs w:val="12"/>
          <w:color w:val="auto"/>
        </w:rPr>
      </w:pPr>
      <w:r>
        <w:rPr>
          <w:rFonts w:ascii="Arial" w:cs="Arial" w:eastAsia="Arial" w:hAnsi="Arial"/>
          <w:sz w:val="12"/>
          <w:szCs w:val="12"/>
          <w:u w:val="single" w:color="auto"/>
          <w:color w:val="0000EE"/>
        </w:rPr>
        <w:t>Powers of Attorney for David A. Rosenbaum, Kendall K. Alley, Edward C. Kosnik, Mayer Naiman, Douglas A. Rayvid, Robert A. Semke, Kevin White, Melissa B. Pavlovich and Gianna H. Figaro-Sterling. (Filed herewith.)</w:t>
      </w:r>
    </w:p>
    <w:p>
      <w:pPr>
        <w:spacing w:after="0" w:line="58" w:lineRule="exact"/>
        <w:rPr>
          <w:rFonts w:ascii="Arial" w:cs="Arial" w:eastAsia="Arial" w:hAnsi="Arial"/>
          <w:sz w:val="12"/>
          <w:szCs w:val="12"/>
          <w:color w:val="auto"/>
        </w:rPr>
      </w:pPr>
    </w:p>
    <w:p>
      <w:pPr>
        <w:ind w:left="1144" w:hanging="1144"/>
        <w:spacing w:after="0"/>
        <w:tabs>
          <w:tab w:leader="none" w:pos="1144" w:val="left"/>
        </w:tabs>
        <w:numPr>
          <w:ilvl w:val="0"/>
          <w:numId w:val="77"/>
        </w:numPr>
        <w:rPr>
          <w:rFonts w:ascii="Arial" w:cs="Arial" w:eastAsia="Arial" w:hAnsi="Arial"/>
          <w:sz w:val="12"/>
          <w:szCs w:val="12"/>
          <w:color w:val="auto"/>
        </w:rPr>
      </w:pPr>
      <w:r>
        <w:rPr>
          <w:rFonts w:ascii="Arial" w:cs="Arial" w:eastAsia="Arial" w:hAnsi="Arial"/>
          <w:sz w:val="12"/>
          <w:szCs w:val="12"/>
          <w:color w:val="auto"/>
        </w:rPr>
        <w:t>Not Applicable.</w:t>
      </w:r>
    </w:p>
    <w:p>
      <w:pPr>
        <w:spacing w:after="0" w:line="78" w:lineRule="exact"/>
        <w:rPr>
          <w:rFonts w:ascii="Arial" w:cs="Arial" w:eastAsia="Arial" w:hAnsi="Arial"/>
          <w:sz w:val="12"/>
          <w:szCs w:val="12"/>
          <w:color w:val="auto"/>
        </w:rPr>
      </w:pPr>
    </w:p>
    <w:p>
      <w:pPr>
        <w:ind w:left="1144" w:hanging="1144"/>
        <w:spacing w:after="0"/>
        <w:tabs>
          <w:tab w:leader="none" w:pos="1144" w:val="left"/>
        </w:tabs>
        <w:numPr>
          <w:ilvl w:val="0"/>
          <w:numId w:val="77"/>
        </w:numPr>
        <w:rPr>
          <w:rFonts w:ascii="Arial" w:cs="Arial" w:eastAsia="Arial" w:hAnsi="Arial"/>
          <w:sz w:val="12"/>
          <w:szCs w:val="12"/>
          <w:color w:val="auto"/>
        </w:rPr>
      </w:pPr>
      <w:r>
        <w:rPr>
          <w:rFonts w:ascii="Arial" w:cs="Arial" w:eastAsia="Arial" w:hAnsi="Arial"/>
          <w:sz w:val="12"/>
          <w:szCs w:val="12"/>
          <w:u w:val="single" w:color="auto"/>
          <w:color w:val="0000EE"/>
        </w:rPr>
        <w:t>Historical Current Limits on Index Gains. (Filed herewith.)</w:t>
      </w:r>
    </w:p>
    <w:p>
      <w:pPr>
        <w:spacing w:after="0" w:line="78" w:lineRule="exact"/>
        <w:rPr>
          <w:rFonts w:ascii="Arial" w:cs="Arial" w:eastAsia="Arial" w:hAnsi="Arial"/>
          <w:sz w:val="12"/>
          <w:szCs w:val="12"/>
          <w:u w:val="single" w:color="auto"/>
          <w:color w:val="0000EE"/>
        </w:rPr>
      </w:pPr>
    </w:p>
    <w:p>
      <w:pPr>
        <w:ind w:left="4"/>
        <w:spacing w:after="0"/>
        <w:rPr>
          <w:sz w:val="20"/>
          <w:szCs w:val="20"/>
          <w:color w:val="auto"/>
        </w:rPr>
      </w:pPr>
      <w:r>
        <w:rPr>
          <w:rFonts w:ascii="Arial" w:cs="Arial" w:eastAsia="Arial" w:hAnsi="Arial"/>
          <w:sz w:val="12"/>
          <w:szCs w:val="12"/>
          <w:color w:val="auto"/>
        </w:rPr>
        <w:t> </w:t>
      </w:r>
    </w:p>
    <w:p>
      <w:pPr>
        <w:spacing w:after="0" w:line="123" w:lineRule="exact"/>
        <w:rPr>
          <w:rFonts w:ascii="Arial" w:cs="Arial" w:eastAsia="Arial" w:hAnsi="Arial"/>
          <w:sz w:val="12"/>
          <w:szCs w:val="12"/>
          <w:u w:val="single" w:color="auto"/>
          <w:color w:val="0000EE"/>
        </w:rPr>
      </w:pPr>
    </w:p>
    <w:p>
      <w:pPr>
        <w:ind w:left="4"/>
        <w:spacing w:after="0"/>
        <w:tabs>
          <w:tab w:leader="none" w:pos="624" w:val="left"/>
        </w:tabs>
        <w:rPr>
          <w:sz w:val="20"/>
          <w:szCs w:val="20"/>
          <w:color w:val="auto"/>
        </w:rPr>
      </w:pPr>
      <w:r>
        <w:rPr>
          <w:rFonts w:ascii="Arial" w:cs="Arial" w:eastAsia="Arial" w:hAnsi="Arial"/>
          <w:sz w:val="12"/>
          <w:szCs w:val="12"/>
          <w:b w:val="1"/>
          <w:bCs w:val="1"/>
          <w:color w:val="auto"/>
        </w:rPr>
        <w:t>Item 28.</w:t>
        <w:tab/>
        <w:t>Directors and Officers of the Insurance Company.</w:t>
      </w:r>
    </w:p>
    <w:p>
      <w:pPr>
        <w:spacing w:after="0" w:line="102" w:lineRule="exact"/>
        <w:rPr>
          <w:rFonts w:ascii="Arial" w:cs="Arial" w:eastAsia="Arial" w:hAnsi="Arial"/>
          <w:sz w:val="12"/>
          <w:szCs w:val="12"/>
          <w:u w:val="single" w:color="auto"/>
          <w:color w:val="0000EE"/>
        </w:rPr>
      </w:pPr>
    </w:p>
    <w:tbl>
      <w:tblPr>
        <w:tblLayout w:type="fixed"/>
        <w:tblInd w:w="4" w:type="dxa"/>
        <w:tblCellMar>
          <w:top w:w="0" w:type="dxa"/>
          <w:left w:w="0" w:type="dxa"/>
          <w:bottom w:w="0" w:type="dxa"/>
          <w:right w:w="0" w:type="dxa"/>
        </w:tblCellMar>
      </w:tblPr>
      <w:tr>
        <w:trPr>
          <w:trHeight w:val="136"/>
        </w:trPr>
        <w:tc>
          <w:tcPr>
            <w:tcW w:w="2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 and Principal Business Address</w:t>
            </w:r>
          </w:p>
        </w:tc>
        <w:tc>
          <w:tcPr>
            <w:tcW w:w="160" w:type="dxa"/>
            <w:vAlign w:val="bottom"/>
          </w:tcPr>
          <w:p>
            <w:pPr>
              <w:spacing w:after="0"/>
              <w:rPr>
                <w:sz w:val="11"/>
                <w:szCs w:val="11"/>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Positions and Offices with Insurance Company</w:t>
            </w:r>
          </w:p>
        </w:tc>
      </w:tr>
      <w:tr>
        <w:trPr>
          <w:trHeight w:val="207"/>
        </w:trPr>
        <w:tc>
          <w:tcPr>
            <w:tcW w:w="2440" w:type="dxa"/>
            <w:vAlign w:val="bottom"/>
          </w:tcPr>
          <w:p>
            <w:pPr>
              <w:spacing w:after="0"/>
              <w:rPr>
                <w:sz w:val="20"/>
                <w:szCs w:val="20"/>
                <w:color w:val="auto"/>
              </w:rPr>
            </w:pPr>
            <w:r>
              <w:rPr>
                <w:rFonts w:ascii="Arial" w:cs="Arial" w:eastAsia="Arial" w:hAnsi="Arial"/>
                <w:sz w:val="12"/>
                <w:szCs w:val="12"/>
                <w:color w:val="auto"/>
              </w:rPr>
              <w:t>David A. Rosenbaum</w:t>
            </w:r>
          </w:p>
        </w:tc>
        <w:tc>
          <w:tcPr>
            <w:tcW w:w="16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Chairman of the Board, President, Chief Executive Officer and a</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11225 North Community House Road</w:t>
            </w:r>
          </w:p>
        </w:tc>
        <w:tc>
          <w:tcPr>
            <w:tcW w:w="160" w:type="dxa"/>
            <w:vAlign w:val="bottom"/>
          </w:tcPr>
          <w:p>
            <w:pPr>
              <w:spacing w:after="0"/>
              <w:rPr>
                <w:sz w:val="12"/>
                <w:szCs w:val="12"/>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Director</w:t>
            </w:r>
          </w:p>
        </w:tc>
      </w:tr>
      <w:tr>
        <w:trPr>
          <w:trHeight w:val="159"/>
        </w:trPr>
        <w:tc>
          <w:tcPr>
            <w:tcW w:w="2440" w:type="dxa"/>
            <w:vAlign w:val="bottom"/>
          </w:tcPr>
          <w:p>
            <w:pPr>
              <w:spacing w:after="0"/>
              <w:rPr>
                <w:sz w:val="20"/>
                <w:szCs w:val="20"/>
                <w:color w:val="auto"/>
              </w:rPr>
            </w:pPr>
            <w:r>
              <w:rPr>
                <w:rFonts w:ascii="Arial" w:cs="Arial" w:eastAsia="Arial" w:hAnsi="Arial"/>
                <w:sz w:val="12"/>
                <w:szCs w:val="12"/>
                <w:color w:val="auto"/>
              </w:rPr>
              <w:t>Charlotte, NC 28277</w:t>
            </w:r>
          </w:p>
        </w:tc>
        <w:tc>
          <w:tcPr>
            <w:tcW w:w="16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246"/>
        </w:trPr>
        <w:tc>
          <w:tcPr>
            <w:tcW w:w="2440" w:type="dxa"/>
            <w:vAlign w:val="bottom"/>
          </w:tcPr>
          <w:p>
            <w:pPr>
              <w:spacing w:after="0"/>
              <w:rPr>
                <w:sz w:val="20"/>
                <w:szCs w:val="20"/>
                <w:color w:val="auto"/>
              </w:rPr>
            </w:pPr>
            <w:r>
              <w:rPr>
                <w:rFonts w:ascii="Arial" w:cs="Arial" w:eastAsia="Arial" w:hAnsi="Arial"/>
                <w:sz w:val="12"/>
                <w:szCs w:val="12"/>
                <w:color w:val="auto"/>
              </w:rPr>
              <w:t>Kendall K. Alley</w:t>
            </w:r>
          </w:p>
        </w:tc>
        <w:tc>
          <w:tcPr>
            <w:tcW w:w="160" w:type="dxa"/>
            <w:vAlign w:val="bottom"/>
          </w:tcPr>
          <w:p>
            <w:pPr>
              <w:spacing w:after="0"/>
              <w:rPr>
                <w:sz w:val="21"/>
                <w:szCs w:val="21"/>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Director</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285 Madison Avenue, Suite 1400</w:t>
            </w:r>
          </w:p>
        </w:tc>
        <w:tc>
          <w:tcPr>
            <w:tcW w:w="160" w:type="dxa"/>
            <w:vAlign w:val="bottom"/>
          </w:tcPr>
          <w:p>
            <w:pPr>
              <w:spacing w:after="0"/>
              <w:rPr>
                <w:sz w:val="12"/>
                <w:szCs w:val="12"/>
                <w:color w:val="auto"/>
              </w:rPr>
            </w:pPr>
          </w:p>
        </w:tc>
        <w:tc>
          <w:tcPr>
            <w:tcW w:w="3520" w:type="dxa"/>
            <w:vAlign w:val="bottom"/>
          </w:tcPr>
          <w:p>
            <w:pPr>
              <w:spacing w:after="0"/>
              <w:rPr>
                <w:sz w:val="12"/>
                <w:szCs w:val="12"/>
                <w:color w:val="auto"/>
              </w:rPr>
            </w:pPr>
          </w:p>
        </w:tc>
      </w:tr>
      <w:tr>
        <w:trPr>
          <w:trHeight w:val="159"/>
        </w:trPr>
        <w:tc>
          <w:tcPr>
            <w:tcW w:w="2440" w:type="dxa"/>
            <w:vAlign w:val="bottom"/>
          </w:tcPr>
          <w:p>
            <w:pPr>
              <w:spacing w:after="0"/>
              <w:rPr>
                <w:sz w:val="20"/>
                <w:szCs w:val="20"/>
                <w:color w:val="auto"/>
              </w:rPr>
            </w:pPr>
            <w:r>
              <w:rPr>
                <w:rFonts w:ascii="Arial" w:cs="Arial" w:eastAsia="Arial" w:hAnsi="Arial"/>
                <w:sz w:val="12"/>
                <w:szCs w:val="12"/>
                <w:color w:val="auto"/>
              </w:rPr>
              <w:t>New York, NY 10017</w:t>
            </w:r>
          </w:p>
        </w:tc>
        <w:tc>
          <w:tcPr>
            <w:tcW w:w="16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255"/>
        </w:trPr>
        <w:tc>
          <w:tcPr>
            <w:tcW w:w="2440" w:type="dxa"/>
            <w:vAlign w:val="bottom"/>
          </w:tcPr>
          <w:p>
            <w:pPr>
              <w:spacing w:after="0"/>
              <w:rPr>
                <w:sz w:val="20"/>
                <w:szCs w:val="20"/>
                <w:color w:val="auto"/>
              </w:rPr>
            </w:pPr>
            <w:r>
              <w:rPr>
                <w:rFonts w:ascii="Arial" w:cs="Arial" w:eastAsia="Arial" w:hAnsi="Arial"/>
                <w:sz w:val="12"/>
                <w:szCs w:val="12"/>
                <w:color w:val="auto"/>
              </w:rPr>
              <w:t>Edward C. Kosnik</w:t>
            </w:r>
          </w:p>
        </w:tc>
        <w:tc>
          <w:tcPr>
            <w:tcW w:w="160" w:type="dxa"/>
            <w:vAlign w:val="bottom"/>
          </w:tcPr>
          <w:p>
            <w:pPr>
              <w:spacing w:after="0"/>
              <w:rPr>
                <w:sz w:val="22"/>
                <w:szCs w:val="22"/>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Director and Vice President</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11225 North Community House Road</w:t>
            </w:r>
          </w:p>
        </w:tc>
        <w:tc>
          <w:tcPr>
            <w:tcW w:w="160" w:type="dxa"/>
            <w:vAlign w:val="bottom"/>
          </w:tcPr>
          <w:p>
            <w:pPr>
              <w:spacing w:after="0"/>
              <w:rPr>
                <w:sz w:val="12"/>
                <w:szCs w:val="12"/>
                <w:color w:val="auto"/>
              </w:rPr>
            </w:pPr>
          </w:p>
        </w:tc>
        <w:tc>
          <w:tcPr>
            <w:tcW w:w="3520" w:type="dxa"/>
            <w:vAlign w:val="bottom"/>
          </w:tcPr>
          <w:p>
            <w:pPr>
              <w:spacing w:after="0"/>
              <w:rPr>
                <w:sz w:val="12"/>
                <w:szCs w:val="12"/>
                <w:color w:val="auto"/>
              </w:rPr>
            </w:pPr>
          </w:p>
        </w:tc>
      </w:tr>
      <w:tr>
        <w:trPr>
          <w:trHeight w:val="159"/>
        </w:trPr>
        <w:tc>
          <w:tcPr>
            <w:tcW w:w="2440" w:type="dxa"/>
            <w:vAlign w:val="bottom"/>
          </w:tcPr>
          <w:p>
            <w:pPr>
              <w:spacing w:after="0"/>
              <w:rPr>
                <w:sz w:val="20"/>
                <w:szCs w:val="20"/>
                <w:color w:val="auto"/>
              </w:rPr>
            </w:pPr>
            <w:r>
              <w:rPr>
                <w:rFonts w:ascii="Arial" w:cs="Arial" w:eastAsia="Arial" w:hAnsi="Arial"/>
                <w:sz w:val="12"/>
                <w:szCs w:val="12"/>
                <w:color w:val="auto"/>
              </w:rPr>
              <w:t>Charlotte, NC 28277</w:t>
            </w:r>
          </w:p>
        </w:tc>
        <w:tc>
          <w:tcPr>
            <w:tcW w:w="16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246"/>
        </w:trPr>
        <w:tc>
          <w:tcPr>
            <w:tcW w:w="2440" w:type="dxa"/>
            <w:vAlign w:val="bottom"/>
          </w:tcPr>
          <w:p>
            <w:pPr>
              <w:spacing w:after="0"/>
              <w:rPr>
                <w:sz w:val="20"/>
                <w:szCs w:val="20"/>
                <w:color w:val="auto"/>
              </w:rPr>
            </w:pPr>
            <w:r>
              <w:rPr>
                <w:rFonts w:ascii="Arial" w:cs="Arial" w:eastAsia="Arial" w:hAnsi="Arial"/>
                <w:sz w:val="12"/>
                <w:szCs w:val="12"/>
                <w:color w:val="auto"/>
              </w:rPr>
              <w:t>Mayer Naiman</w:t>
            </w:r>
          </w:p>
        </w:tc>
        <w:tc>
          <w:tcPr>
            <w:tcW w:w="160" w:type="dxa"/>
            <w:vAlign w:val="bottom"/>
          </w:tcPr>
          <w:p>
            <w:pPr>
              <w:spacing w:after="0"/>
              <w:rPr>
                <w:sz w:val="21"/>
                <w:szCs w:val="21"/>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Director</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285 Madison Avenue, Suite 1400</w:t>
            </w:r>
          </w:p>
        </w:tc>
        <w:tc>
          <w:tcPr>
            <w:tcW w:w="160" w:type="dxa"/>
            <w:vAlign w:val="bottom"/>
          </w:tcPr>
          <w:p>
            <w:pPr>
              <w:spacing w:after="0"/>
              <w:rPr>
                <w:sz w:val="12"/>
                <w:szCs w:val="12"/>
                <w:color w:val="auto"/>
              </w:rPr>
            </w:pPr>
          </w:p>
        </w:tc>
        <w:tc>
          <w:tcPr>
            <w:tcW w:w="3520" w:type="dxa"/>
            <w:vAlign w:val="bottom"/>
          </w:tcPr>
          <w:p>
            <w:pPr>
              <w:spacing w:after="0"/>
              <w:rPr>
                <w:sz w:val="12"/>
                <w:szCs w:val="12"/>
                <w:color w:val="auto"/>
              </w:rPr>
            </w:pPr>
          </w:p>
        </w:tc>
      </w:tr>
      <w:tr>
        <w:trPr>
          <w:trHeight w:val="159"/>
        </w:trPr>
        <w:tc>
          <w:tcPr>
            <w:tcW w:w="2440" w:type="dxa"/>
            <w:vAlign w:val="bottom"/>
          </w:tcPr>
          <w:p>
            <w:pPr>
              <w:spacing w:after="0"/>
              <w:rPr>
                <w:sz w:val="20"/>
                <w:szCs w:val="20"/>
                <w:color w:val="auto"/>
              </w:rPr>
            </w:pPr>
            <w:r>
              <w:rPr>
                <w:rFonts w:ascii="Arial" w:cs="Arial" w:eastAsia="Arial" w:hAnsi="Arial"/>
                <w:sz w:val="12"/>
                <w:szCs w:val="12"/>
                <w:color w:val="auto"/>
              </w:rPr>
              <w:t>New York, NY 10017</w:t>
            </w:r>
          </w:p>
        </w:tc>
        <w:tc>
          <w:tcPr>
            <w:tcW w:w="160" w:type="dxa"/>
            <w:vAlign w:val="bottom"/>
          </w:tcPr>
          <w:p>
            <w:pPr>
              <w:spacing w:after="0"/>
              <w:rPr>
                <w:sz w:val="13"/>
                <w:szCs w:val="13"/>
                <w:color w:val="auto"/>
              </w:rPr>
            </w:pPr>
          </w:p>
        </w:tc>
        <w:tc>
          <w:tcPr>
            <w:tcW w:w="3520" w:type="dxa"/>
            <w:vAlign w:val="bottom"/>
          </w:tcPr>
          <w:p>
            <w:pPr>
              <w:spacing w:after="0"/>
              <w:rPr>
                <w:sz w:val="13"/>
                <w:szCs w:val="13"/>
                <w:color w:val="auto"/>
              </w:rPr>
            </w:pPr>
          </w:p>
        </w:tc>
      </w:tr>
    </w:tbl>
    <w:p>
      <w:pPr>
        <w:sectPr>
          <w:pgSz w:w="11900" w:h="16838" w:orient="portrait"/>
          <w:cols w:equalWidth="0" w:num="1">
            <w:col w:w="9663"/>
          </w:cols>
          <w:pgMar w:left="796" w:top="655" w:right="1440" w:bottom="1440" w:gutter="0" w:footer="0" w:header="0"/>
        </w:sectPr>
      </w:pPr>
    </w:p>
    <w:bookmarkStart w:id="111" w:name="page112"/>
    <w:bookmarkEnd w:id="111"/>
    <w:p>
      <w:pPr>
        <w:spacing w:after="0"/>
        <w:rPr>
          <w:sz w:val="20"/>
          <w:szCs w:val="20"/>
          <w:color w:val="auto"/>
        </w:rPr>
      </w:pPr>
      <w:r>
        <w:rPr>
          <w:rFonts w:ascii="Arial" w:cs="Arial" w:eastAsia="Arial" w:hAnsi="Arial"/>
          <w:sz w:val="12"/>
          <w:szCs w:val="12"/>
          <w:color w:val="auto"/>
        </w:rPr>
        <w:t>Douglas A. Rayvid</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285 Madison Avenue, Suite 1400</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New York, NY 10017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-417195</wp:posOffset>
            </wp:positionV>
            <wp:extent cx="455168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4551680" cy="36830"/>
                    </a:xfrm>
                    <a:prstGeom prst="rect">
                      <a:avLst/>
                    </a:prstGeom>
                    <a:noFill/>
                  </pic:spPr>
                </pic:pic>
              </a:graphicData>
            </a:graphic>
          </wp:anchor>
        </w:drawing>
      </w:r>
    </w:p>
    <w:p>
      <w:pPr>
        <w:spacing w:after="0" w:line="420" w:lineRule="exact"/>
        <w:rPr>
          <w:sz w:val="20"/>
          <w:szCs w:val="20"/>
          <w:color w:val="auto"/>
        </w:rPr>
      </w:pPr>
    </w:p>
    <w:p>
      <w:pPr>
        <w:sectPr>
          <w:pgSz w:w="11900" w:h="16838" w:orient="portrait"/>
          <w:cols w:equalWidth="0" w:num="2">
            <w:col w:w="1880" w:space="720"/>
            <w:col w:w="7059"/>
          </w:cols>
          <w:pgMar w:left="800" w:top="703" w:right="1440" w:bottom="1440" w:gutter="0" w:footer="0" w:header="0"/>
        </w:sectPr>
      </w:pPr>
    </w:p>
    <w:p>
      <w:pPr>
        <w:spacing w:after="0"/>
        <w:rPr>
          <w:sz w:val="20"/>
          <w:szCs w:val="20"/>
          <w:color w:val="auto"/>
        </w:rPr>
      </w:pPr>
      <w:r>
        <w:rPr>
          <w:rFonts w:ascii="Arial" w:cs="Arial" w:eastAsia="Arial" w:hAnsi="Arial"/>
          <w:sz w:val="12"/>
          <w:szCs w:val="12"/>
          <w:color w:val="auto"/>
        </w:rPr>
        <w:t>Robert A. Semke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Director</w:t>
      </w:r>
    </w:p>
    <w:p>
      <w:pPr>
        <w:spacing w:after="0" w:line="410"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Kevin White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Director</w:t>
      </w:r>
    </w:p>
    <w:p>
      <w:pPr>
        <w:spacing w:after="0" w:line="410"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Michele H. Abate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w:t>
      </w:r>
    </w:p>
    <w:p>
      <w:pPr>
        <w:spacing w:after="0" w:line="420"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Richard A. Cook</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 and Chief Accounting Officer</w:t>
      </w:r>
    </w:p>
    <w:p>
      <w:pPr>
        <w:spacing w:after="0" w:line="410"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Patrisha Cox</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w:t>
      </w:r>
    </w:p>
    <w:p>
      <w:pPr>
        <w:spacing w:after="0" w:line="410"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Rachel M. D’Anna</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w:t>
      </w:r>
    </w:p>
    <w:p>
      <w:pPr>
        <w:spacing w:after="0" w:line="420"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Devon DiBenedetto</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 and Chief Information Security Officer</w:t>
      </w:r>
    </w:p>
    <w:p>
      <w:pPr>
        <w:spacing w:after="0" w:line="411"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Micah Dowling</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w:t>
      </w:r>
    </w:p>
    <w:p>
      <w:pPr>
        <w:spacing w:after="0" w:line="410"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Tara Figard</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Gianna H. Figaro-Sterling</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Vice President and Controller</w:t>
      </w:r>
    </w:p>
    <w:p>
      <w:pPr>
        <w:spacing w:after="0" w:line="422"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Kevin Finneran</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 and Illustration Officer</w:t>
      </w:r>
    </w:p>
    <w:p>
      <w:pPr>
        <w:spacing w:after="0" w:line="411"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James Grady</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 and Chief Investment Officer</w:t>
      </w:r>
    </w:p>
    <w:p>
      <w:pPr>
        <w:spacing w:after="0" w:line="420"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Christopher Hartsfield</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 and Assistant Secretary</w:t>
      </w:r>
    </w:p>
    <w:p>
      <w:pPr>
        <w:sectPr>
          <w:pgSz w:w="11900" w:h="16838" w:orient="portrait"/>
          <w:cols w:equalWidth="0" w:num="2">
            <w:col w:w="1980" w:space="620"/>
            <w:col w:w="7059"/>
          </w:cols>
          <w:pgMar w:left="800" w:top="703" w:right="1440"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2"/>
          <w:szCs w:val="12"/>
          <w:color w:val="auto"/>
        </w:rPr>
        <w:t>Katie Hellmann</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 and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-417195</wp:posOffset>
            </wp:positionV>
            <wp:extent cx="455168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4551680" cy="36830"/>
                    </a:xfrm>
                    <a:prstGeom prst="rect">
                      <a:avLst/>
                    </a:prstGeom>
                    <a:noFill/>
                  </pic:spPr>
                </pic:pic>
              </a:graphicData>
            </a:graphic>
          </wp:anchor>
        </w:drawing>
      </w:r>
    </w:p>
    <w:p>
      <w:pPr>
        <w:spacing w:after="0" w:line="419" w:lineRule="exact"/>
        <w:rPr>
          <w:sz w:val="20"/>
          <w:szCs w:val="20"/>
          <w:color w:val="auto"/>
        </w:rPr>
      </w:pPr>
    </w:p>
    <w:p>
      <w:pPr>
        <w:sectPr>
          <w:pgSz w:w="11900" w:h="16838" w:orient="portrait"/>
          <w:cols w:equalWidth="0" w:num="2">
            <w:col w:w="1980" w:space="620"/>
            <w:col w:w="7059"/>
          </w:cols>
          <w:pgMar w:left="800" w:top="703" w:right="1440" w:bottom="1440" w:gutter="0" w:footer="0" w:header="0"/>
        </w:sectPr>
      </w:pPr>
    </w:p>
    <w:p>
      <w:pPr>
        <w:spacing w:after="0"/>
        <w:rPr>
          <w:sz w:val="20"/>
          <w:szCs w:val="20"/>
          <w:color w:val="auto"/>
        </w:rPr>
      </w:pPr>
      <w:r>
        <w:rPr>
          <w:rFonts w:ascii="Arial" w:cs="Arial" w:eastAsia="Arial" w:hAnsi="Arial"/>
          <w:sz w:val="12"/>
          <w:szCs w:val="12"/>
          <w:color w:val="auto"/>
        </w:rPr>
        <w:t>Jeffrey Hughes</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Vice President and Chief Technology Officer</w:t>
      </w:r>
    </w:p>
    <w:p>
      <w:pPr>
        <w:spacing w:after="0" w:line="422"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Allie Lin</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 and Secretary</w:t>
      </w:r>
    </w:p>
    <w:p>
      <w:pPr>
        <w:spacing w:after="0" w:line="410"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Brian McGurn</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Chief Derivatives Officer</w:t>
      </w:r>
    </w:p>
    <w:p>
      <w:pPr>
        <w:spacing w:after="0" w:line="419"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Philip Melville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w:t>
      </w:r>
    </w:p>
    <w:p>
      <w:pPr>
        <w:spacing w:after="0" w:line="411"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Janet Morgan</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Vice President and Treasurer</w:t>
      </w:r>
    </w:p>
    <w:p>
      <w:pPr>
        <w:spacing w:after="0" w:line="422"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Alan Otis</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w:t>
      </w:r>
    </w:p>
    <w:p>
      <w:pPr>
        <w:spacing w:after="0" w:line="419"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James Painter, Jr.</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Melissa B. Pavlovich</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Vice President and Chief Financial Officer</w:t>
      </w:r>
    </w:p>
    <w:p>
      <w:pPr>
        <w:spacing w:after="0" w:line="422"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Phillip Pfotenhauer</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w:t>
      </w:r>
    </w:p>
    <w:p>
      <w:pPr>
        <w:spacing w:after="0" w:line="419"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Kristi Slavin</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w:t>
      </w:r>
    </w:p>
    <w:p>
      <w:pPr>
        <w:spacing w:after="0" w:line="411"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Gregor Speakman</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w:t>
      </w:r>
    </w:p>
    <w:p>
      <w:pPr>
        <w:spacing w:after="0" w:line="411"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Michael Villella</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 and Illustration Actuary</w:t>
      </w:r>
    </w:p>
    <w:p>
      <w:pPr>
        <w:spacing w:after="0" w:line="420"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rPr>
          <w:sz w:val="20"/>
          <w:szCs w:val="20"/>
          <w:color w:val="auto"/>
        </w:rPr>
      </w:pPr>
      <w:r>
        <w:rPr>
          <w:rFonts w:ascii="Arial" w:cs="Arial" w:eastAsia="Arial" w:hAnsi="Arial"/>
          <w:sz w:val="12"/>
          <w:szCs w:val="12"/>
          <w:color w:val="auto"/>
        </w:rPr>
        <w:t>Julienne Warr</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w:t>
      </w:r>
    </w:p>
    <w:p>
      <w:pPr>
        <w:spacing w:after="0" w:line="483" w:lineRule="exact"/>
        <w:rPr>
          <w:sz w:val="20"/>
          <w:szCs w:val="20"/>
          <w:color w:val="auto"/>
        </w:rPr>
      </w:pPr>
    </w:p>
    <w:p>
      <w:pPr>
        <w:sectPr>
          <w:pgSz w:w="11900" w:h="16838" w:orient="portrait"/>
          <w:cols w:equalWidth="0" w:num="2">
            <w:col w:w="1980" w:space="620"/>
            <w:col w:w="7059"/>
          </w:cols>
          <w:pgMar w:left="800" w:top="703" w:right="1440" w:bottom="1440" w:gutter="0" w:footer="0" w:header="0"/>
          <w:type w:val="continuous"/>
        </w:sectPr>
      </w:pPr>
    </w:p>
    <w:p>
      <w:pPr>
        <w:spacing w:after="0"/>
        <w:tabs>
          <w:tab w:leader="none" w:pos="620" w:val="left"/>
        </w:tabs>
        <w:rPr>
          <w:sz w:val="20"/>
          <w:szCs w:val="20"/>
          <w:color w:val="auto"/>
        </w:rPr>
      </w:pPr>
      <w:r>
        <w:rPr>
          <w:rFonts w:ascii="Arial" w:cs="Arial" w:eastAsia="Arial" w:hAnsi="Arial"/>
          <w:sz w:val="12"/>
          <w:szCs w:val="12"/>
          <w:b w:val="1"/>
          <w:bCs w:val="1"/>
          <w:color w:val="auto"/>
        </w:rPr>
        <w:t>Item 29.</w:t>
        <w:tab/>
        <w:t>Persons Controlled by or Under Common Control with the Insurance Company</w:t>
      </w:r>
    </w:p>
    <w:p>
      <w:pPr>
        <w:sectPr>
          <w:pgSz w:w="11900" w:h="16838" w:orient="portrait"/>
          <w:cols w:equalWidth="0" w:num="1">
            <w:col w:w="9659"/>
          </w:cols>
          <w:pgMar w:left="800" w:top="703" w:right="1440" w:bottom="1440" w:gutter="0" w:footer="0" w:header="0"/>
          <w:type w:val="continuous"/>
        </w:sectPr>
      </w:pPr>
    </w:p>
    <w:bookmarkStart w:id="113" w:name="page114"/>
    <w:bookmarkEnd w:id="113"/>
    <w:p>
      <w:pPr>
        <w:ind w:left="4" w:right="365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116205</wp:posOffset>
            </wp:positionV>
            <wp:extent cx="455168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4551680" cy="36830"/>
                    </a:xfrm>
                    <a:prstGeom prst="rect">
                      <a:avLst/>
                    </a:prstGeom>
                    <a:noFill/>
                  </pic:spPr>
                </pic:pic>
              </a:graphicData>
            </a:graphic>
          </wp:anchor>
        </w:drawing>
        <w:t>The Insurance Company, Brighthouse Life Insurance Company of NY (“BLNY” or the “Company”) is under New York state insurance law. BLNY is an indirect, wholly-owned subsidiary of Brighthouse Financial, Inc., a publicly-traded company. The following outline indicates those entities that are controlled by Brighthouse Financial, Inc. or are under</w:t>
      </w:r>
    </w:p>
    <w:p>
      <w:pPr>
        <w:spacing w:after="0" w:line="2" w:lineRule="exact"/>
        <w:rPr>
          <w:sz w:val="20"/>
          <w:szCs w:val="20"/>
          <w:color w:val="auto"/>
        </w:rPr>
      </w:pPr>
    </w:p>
    <w:p>
      <w:pPr>
        <w:ind w:left="4"/>
        <w:spacing w:after="0"/>
        <w:rPr>
          <w:sz w:val="20"/>
          <w:szCs w:val="20"/>
          <w:color w:val="auto"/>
        </w:rPr>
      </w:pPr>
      <w:r>
        <w:rPr>
          <w:rFonts w:ascii="Arial" w:cs="Arial" w:eastAsia="Arial" w:hAnsi="Arial"/>
          <w:sz w:val="12"/>
          <w:szCs w:val="12"/>
          <w:color w:val="auto"/>
        </w:rPr>
        <w:t>the common control of Brighthouse Financial, Inc. </w:t>
      </w:r>
    </w:p>
    <w:p>
      <w:pPr>
        <w:spacing w:after="0" w:line="189" w:lineRule="exact"/>
        <w:rPr>
          <w:sz w:val="20"/>
          <w:szCs w:val="20"/>
          <w:color w:val="auto"/>
        </w:rPr>
      </w:pPr>
    </w:p>
    <w:p>
      <w:pPr>
        <w:jc w:val="center"/>
        <w:ind w:right="3575"/>
        <w:spacing w:after="0"/>
        <w:rPr>
          <w:sz w:val="20"/>
          <w:szCs w:val="20"/>
          <w:color w:val="auto"/>
        </w:rPr>
      </w:pPr>
      <w:r>
        <w:rPr>
          <w:rFonts w:ascii="Arial" w:cs="Arial" w:eastAsia="Arial" w:hAnsi="Arial"/>
          <w:sz w:val="12"/>
          <w:szCs w:val="12"/>
          <w:b w:val="1"/>
          <w:bCs w:val="1"/>
          <w:color w:val="auto"/>
        </w:rPr>
        <w:t>ORGANIZATIONAL STRUCTURE OF BRIGHTHOUSE FINANCIAL, INC. AND SUBSIDIARIES</w:t>
      </w:r>
    </w:p>
    <w:p>
      <w:pPr>
        <w:jc w:val="center"/>
        <w:ind w:right="3535"/>
        <w:spacing w:after="0"/>
        <w:rPr>
          <w:sz w:val="20"/>
          <w:szCs w:val="20"/>
          <w:color w:val="auto"/>
        </w:rPr>
      </w:pPr>
      <w:r>
        <w:rPr>
          <w:rFonts w:ascii="Arial" w:cs="Arial" w:eastAsia="Arial" w:hAnsi="Arial"/>
          <w:sz w:val="12"/>
          <w:szCs w:val="12"/>
          <w:b w:val="1"/>
          <w:bCs w:val="1"/>
          <w:color w:val="auto"/>
        </w:rPr>
        <w:t>AS OF DECEMBER 31, 2025</w:t>
      </w:r>
    </w:p>
    <w:p>
      <w:pPr>
        <w:spacing w:after="0" w:line="57" w:lineRule="exact"/>
        <w:rPr>
          <w:sz w:val="20"/>
          <w:szCs w:val="20"/>
          <w:color w:val="auto"/>
        </w:rPr>
      </w:pPr>
    </w:p>
    <w:p>
      <w:pPr>
        <w:ind w:left="4"/>
        <w:spacing w:after="0"/>
        <w:rPr>
          <w:sz w:val="20"/>
          <w:szCs w:val="20"/>
          <w:color w:val="auto"/>
        </w:rPr>
      </w:pPr>
      <w:r>
        <w:rPr>
          <w:rFonts w:ascii="Arial" w:cs="Arial" w:eastAsia="Arial" w:hAnsi="Arial"/>
          <w:sz w:val="12"/>
          <w:szCs w:val="12"/>
          <w:color w:val="auto"/>
        </w:rPr>
        <w:t>The following is a list of subsidiaries of Brighthouse Financial, Inc. as of December 31, 2025.</w:t>
      </w:r>
    </w:p>
    <w:p>
      <w:pPr>
        <w:spacing w:after="0" w:line="87" w:lineRule="exact"/>
        <w:rPr>
          <w:sz w:val="20"/>
          <w:szCs w:val="20"/>
          <w:color w:val="auto"/>
        </w:rPr>
      </w:pPr>
    </w:p>
    <w:p>
      <w:pPr>
        <w:ind w:left="4" w:right="3979"/>
        <w:spacing w:after="0" w:line="286" w:lineRule="auto"/>
        <w:rPr>
          <w:sz w:val="20"/>
          <w:szCs w:val="20"/>
          <w:color w:val="auto"/>
        </w:rPr>
      </w:pPr>
      <w:r>
        <w:rPr>
          <w:rFonts w:ascii="Arial" w:cs="Arial" w:eastAsia="Arial" w:hAnsi="Arial"/>
          <w:sz w:val="12"/>
          <w:szCs w:val="12"/>
          <w:color w:val="auto"/>
        </w:rPr>
        <w:t>The entity which is listed at the left margin (labeled with a capital letter) is a direct subsidiary of Brighthouse Financial, Inc. (DE).</w:t>
      </w:r>
    </w:p>
    <w:p>
      <w:pPr>
        <w:spacing w:after="0" w:line="40" w:lineRule="exact"/>
        <w:rPr>
          <w:sz w:val="20"/>
          <w:szCs w:val="20"/>
          <w:color w:val="auto"/>
        </w:rPr>
      </w:pPr>
    </w:p>
    <w:p>
      <w:pPr>
        <w:ind w:left="4" w:right="3779"/>
        <w:spacing w:after="0" w:line="286" w:lineRule="auto"/>
        <w:rPr>
          <w:sz w:val="20"/>
          <w:szCs w:val="20"/>
          <w:color w:val="auto"/>
        </w:rPr>
      </w:pPr>
      <w:r>
        <w:rPr>
          <w:rFonts w:ascii="Arial" w:cs="Arial" w:eastAsia="Arial" w:hAnsi="Arial"/>
          <w:sz w:val="12"/>
          <w:szCs w:val="12"/>
          <w:color w:val="auto"/>
        </w:rPr>
        <w:t>Each entity which is indented under another entity is a subsidiary of such other entity and, therefore, an indirect subsidiary of Brighthouse Financial, Inc.</w:t>
      </w:r>
    </w:p>
    <w:p>
      <w:pPr>
        <w:spacing w:after="0" w:line="31" w:lineRule="exact"/>
        <w:rPr>
          <w:sz w:val="20"/>
          <w:szCs w:val="20"/>
          <w:color w:val="auto"/>
        </w:rPr>
      </w:pPr>
    </w:p>
    <w:p>
      <w:pPr>
        <w:ind w:left="4" w:right="3619"/>
        <w:spacing w:after="0" w:line="285" w:lineRule="auto"/>
        <w:rPr>
          <w:sz w:val="20"/>
          <w:szCs w:val="20"/>
          <w:color w:val="auto"/>
        </w:rPr>
      </w:pPr>
      <w:r>
        <w:rPr>
          <w:rFonts w:ascii="Arial" w:cs="Arial" w:eastAsia="Arial" w:hAnsi="Arial"/>
          <w:sz w:val="11"/>
          <w:szCs w:val="11"/>
          <w:color w:val="auto"/>
        </w:rPr>
        <w:t>The voting securities of the subsidiaries listed are 100% owned by their respective parent companies. The jurisdiction of domicile of each subsidiary listed is set forth in the parenthetical following the name of such subsidiary. All of the entities listed below are included in the consolidated financial statements of Brighthouse Financial, Inc. Each of the entities listed under Section 2 is included in the consolidated financial statements of Brighthouse Life Insurance Company. Both Brighthouse Financial, Inc. and Brighthouse Life Insurance Company file consolidated financial statements with the SEC pursuant to the Securities Exchange Act of 1934, as amended.</w:t>
      </w:r>
    </w:p>
    <w:p>
      <w:pPr>
        <w:spacing w:after="0" w:line="35" w:lineRule="exact"/>
        <w:rPr>
          <w:sz w:val="20"/>
          <w:szCs w:val="20"/>
          <w:color w:val="auto"/>
        </w:rPr>
      </w:pPr>
    </w:p>
    <w:p>
      <w:pPr>
        <w:ind w:left="244" w:hanging="244"/>
        <w:spacing w:after="0"/>
        <w:tabs>
          <w:tab w:leader="none" w:pos="244" w:val="left"/>
        </w:tabs>
        <w:numPr>
          <w:ilvl w:val="0"/>
          <w:numId w:val="78"/>
        </w:numPr>
        <w:rPr>
          <w:rFonts w:ascii="Arial" w:cs="Arial" w:eastAsia="Arial" w:hAnsi="Arial"/>
          <w:sz w:val="12"/>
          <w:szCs w:val="12"/>
          <w:color w:val="auto"/>
        </w:rPr>
      </w:pPr>
      <w:r>
        <w:rPr>
          <w:rFonts w:ascii="Arial" w:cs="Arial" w:eastAsia="Arial" w:hAnsi="Arial"/>
          <w:sz w:val="12"/>
          <w:szCs w:val="12"/>
          <w:color w:val="auto"/>
        </w:rPr>
        <w:t>Brighthouse Holdings, LLC (DE)</w:t>
      </w:r>
    </w:p>
    <w:p>
      <w:pPr>
        <w:spacing w:after="0" w:line="150" w:lineRule="exact"/>
        <w:rPr>
          <w:rFonts w:ascii="Arial" w:cs="Arial" w:eastAsia="Arial" w:hAnsi="Arial"/>
          <w:sz w:val="12"/>
          <w:szCs w:val="12"/>
          <w:color w:val="auto"/>
        </w:rPr>
      </w:pPr>
    </w:p>
    <w:p>
      <w:pPr>
        <w:ind w:left="504" w:hanging="261"/>
        <w:spacing w:after="0"/>
        <w:tabs>
          <w:tab w:leader="none" w:pos="504" w:val="left"/>
        </w:tabs>
        <w:numPr>
          <w:ilvl w:val="1"/>
          <w:numId w:val="78"/>
        </w:numPr>
        <w:rPr>
          <w:rFonts w:ascii="Arial" w:cs="Arial" w:eastAsia="Arial" w:hAnsi="Arial"/>
          <w:sz w:val="12"/>
          <w:szCs w:val="12"/>
          <w:color w:val="auto"/>
        </w:rPr>
      </w:pPr>
      <w:r>
        <w:rPr>
          <w:rFonts w:ascii="Arial" w:cs="Arial" w:eastAsia="Arial" w:hAnsi="Arial"/>
          <w:sz w:val="12"/>
          <w:szCs w:val="12"/>
          <w:color w:val="auto"/>
        </w:rPr>
        <w:t>New England Life Insurance Company (MA)</w:t>
      </w:r>
    </w:p>
    <w:p>
      <w:pPr>
        <w:spacing w:after="0" w:line="150" w:lineRule="exact"/>
        <w:rPr>
          <w:rFonts w:ascii="Arial" w:cs="Arial" w:eastAsia="Arial" w:hAnsi="Arial"/>
          <w:sz w:val="12"/>
          <w:szCs w:val="12"/>
          <w:color w:val="auto"/>
        </w:rPr>
      </w:pPr>
    </w:p>
    <w:p>
      <w:pPr>
        <w:ind w:left="504" w:hanging="261"/>
        <w:spacing w:after="0"/>
        <w:tabs>
          <w:tab w:leader="none" w:pos="504" w:val="left"/>
        </w:tabs>
        <w:numPr>
          <w:ilvl w:val="1"/>
          <w:numId w:val="78"/>
        </w:numPr>
        <w:rPr>
          <w:rFonts w:ascii="Arial" w:cs="Arial" w:eastAsia="Arial" w:hAnsi="Arial"/>
          <w:sz w:val="12"/>
          <w:szCs w:val="12"/>
          <w:color w:val="auto"/>
        </w:rPr>
      </w:pPr>
      <w:r>
        <w:rPr>
          <w:rFonts w:ascii="Arial" w:cs="Arial" w:eastAsia="Arial" w:hAnsi="Arial"/>
          <w:sz w:val="12"/>
          <w:szCs w:val="12"/>
          <w:color w:val="auto"/>
        </w:rPr>
        <w:t>Brighthouse Life Insurance Company (DE)</w:t>
      </w:r>
    </w:p>
    <w:p>
      <w:pPr>
        <w:spacing w:after="0" w:line="150" w:lineRule="exact"/>
        <w:rPr>
          <w:rFonts w:ascii="Arial" w:cs="Arial" w:eastAsia="Arial" w:hAnsi="Arial"/>
          <w:sz w:val="12"/>
          <w:szCs w:val="12"/>
          <w:color w:val="auto"/>
        </w:rPr>
      </w:pPr>
    </w:p>
    <w:p>
      <w:pPr>
        <w:ind w:left="884" w:hanging="389"/>
        <w:spacing w:after="0"/>
        <w:tabs>
          <w:tab w:leader="none" w:pos="884" w:val="left"/>
        </w:tabs>
        <w:numPr>
          <w:ilvl w:val="2"/>
          <w:numId w:val="78"/>
        </w:numPr>
        <w:rPr>
          <w:rFonts w:ascii="Arial" w:cs="Arial" w:eastAsia="Arial" w:hAnsi="Arial"/>
          <w:sz w:val="12"/>
          <w:szCs w:val="12"/>
          <w:color w:val="auto"/>
        </w:rPr>
      </w:pPr>
      <w:r>
        <w:rPr>
          <w:rFonts w:ascii="Arial" w:cs="Arial" w:eastAsia="Arial" w:hAnsi="Arial"/>
          <w:sz w:val="12"/>
          <w:szCs w:val="12"/>
          <w:color w:val="auto"/>
        </w:rPr>
        <w:t>Brighthouse Reinsurance Company of Delaware (DE)</w:t>
      </w:r>
    </w:p>
    <w:p>
      <w:pPr>
        <w:spacing w:after="0" w:line="150" w:lineRule="exact"/>
        <w:rPr>
          <w:rFonts w:ascii="Arial" w:cs="Arial" w:eastAsia="Arial" w:hAnsi="Arial"/>
          <w:sz w:val="12"/>
          <w:szCs w:val="12"/>
          <w:color w:val="auto"/>
        </w:rPr>
      </w:pPr>
    </w:p>
    <w:p>
      <w:pPr>
        <w:ind w:left="884" w:hanging="389"/>
        <w:spacing w:after="0"/>
        <w:tabs>
          <w:tab w:leader="none" w:pos="884" w:val="left"/>
        </w:tabs>
        <w:numPr>
          <w:ilvl w:val="2"/>
          <w:numId w:val="78"/>
        </w:numPr>
        <w:rPr>
          <w:rFonts w:ascii="Arial" w:cs="Arial" w:eastAsia="Arial" w:hAnsi="Arial"/>
          <w:sz w:val="12"/>
          <w:szCs w:val="12"/>
          <w:color w:val="auto"/>
        </w:rPr>
      </w:pPr>
      <w:r>
        <w:rPr>
          <w:rFonts w:ascii="Arial" w:cs="Arial" w:eastAsia="Arial" w:hAnsi="Arial"/>
          <w:sz w:val="12"/>
          <w:szCs w:val="12"/>
          <w:color w:val="auto"/>
        </w:rPr>
        <w:t>Brighthouse Life Insurance Company of NY (NY)</w:t>
      </w:r>
    </w:p>
    <w:p>
      <w:pPr>
        <w:spacing w:after="0" w:line="150" w:lineRule="exact"/>
        <w:rPr>
          <w:sz w:val="20"/>
          <w:szCs w:val="20"/>
          <w:color w:val="auto"/>
        </w:rPr>
      </w:pPr>
    </w:p>
    <w:p>
      <w:pPr>
        <w:ind w:left="684"/>
        <w:spacing w:after="0"/>
        <w:rPr>
          <w:sz w:val="20"/>
          <w:szCs w:val="20"/>
          <w:color w:val="auto"/>
        </w:rPr>
      </w:pPr>
      <w:r>
        <w:rPr>
          <w:rFonts w:ascii="Arial" w:cs="Arial" w:eastAsia="Arial" w:hAnsi="Arial"/>
          <w:sz w:val="12"/>
          <w:szCs w:val="12"/>
          <w:color w:val="auto"/>
        </w:rPr>
        <w:t>(i.)     BLICNY Property Ventures, LLC (DE)</w:t>
      </w:r>
    </w:p>
    <w:p>
      <w:pPr>
        <w:spacing w:after="0" w:line="150" w:lineRule="exact"/>
        <w:rPr>
          <w:sz w:val="20"/>
          <w:szCs w:val="20"/>
          <w:color w:val="auto"/>
        </w:rPr>
      </w:pPr>
    </w:p>
    <w:p>
      <w:pPr>
        <w:ind w:left="684" w:right="6379" w:hanging="189"/>
        <w:spacing w:after="0" w:line="500" w:lineRule="auto"/>
        <w:tabs>
          <w:tab w:leader="none" w:pos="900" w:val="left"/>
        </w:tabs>
        <w:numPr>
          <w:ilvl w:val="0"/>
          <w:numId w:val="79"/>
        </w:numPr>
        <w:rPr>
          <w:rFonts w:ascii="Arial" w:cs="Arial" w:eastAsia="Arial" w:hAnsi="Arial"/>
          <w:sz w:val="12"/>
          <w:szCs w:val="12"/>
          <w:color w:val="auto"/>
        </w:rPr>
      </w:pPr>
      <w:r>
        <w:rPr>
          <w:rFonts w:ascii="Arial" w:cs="Arial" w:eastAsia="Arial" w:hAnsi="Arial"/>
          <w:sz w:val="12"/>
          <w:szCs w:val="12"/>
          <w:color w:val="auto"/>
        </w:rPr>
        <w:t>Brighthouse Renewables Holdings, LLC (DE) (i.)     Greater Sandhill I, LLC (DE)</w:t>
      </w:r>
    </w:p>
    <w:p>
      <w:pPr>
        <w:spacing w:after="0" w:line="1" w:lineRule="exact"/>
        <w:rPr>
          <w:rFonts w:ascii="Arial" w:cs="Arial" w:eastAsia="Arial" w:hAnsi="Arial"/>
          <w:sz w:val="12"/>
          <w:szCs w:val="12"/>
          <w:color w:val="auto"/>
        </w:rPr>
      </w:pPr>
    </w:p>
    <w:p>
      <w:pPr>
        <w:ind w:left="884" w:hanging="389"/>
        <w:spacing w:after="0"/>
        <w:tabs>
          <w:tab w:leader="none" w:pos="884" w:val="left"/>
        </w:tabs>
        <w:numPr>
          <w:ilvl w:val="0"/>
          <w:numId w:val="79"/>
        </w:numPr>
        <w:rPr>
          <w:rFonts w:ascii="Arial" w:cs="Arial" w:eastAsia="Arial" w:hAnsi="Arial"/>
          <w:sz w:val="12"/>
          <w:szCs w:val="12"/>
          <w:color w:val="auto"/>
        </w:rPr>
      </w:pPr>
      <w:r>
        <w:rPr>
          <w:rFonts w:ascii="Arial" w:cs="Arial" w:eastAsia="Arial" w:hAnsi="Arial"/>
          <w:sz w:val="12"/>
          <w:szCs w:val="12"/>
          <w:color w:val="auto"/>
        </w:rPr>
        <w:t>Brighthouse Assignment Company (CT)</w:t>
      </w:r>
    </w:p>
    <w:p>
      <w:pPr>
        <w:spacing w:after="0" w:line="150" w:lineRule="exact"/>
        <w:rPr>
          <w:rFonts w:ascii="Arial" w:cs="Arial" w:eastAsia="Arial" w:hAnsi="Arial"/>
          <w:sz w:val="12"/>
          <w:szCs w:val="12"/>
          <w:color w:val="auto"/>
        </w:rPr>
      </w:pPr>
    </w:p>
    <w:p>
      <w:pPr>
        <w:ind w:left="884" w:hanging="389"/>
        <w:spacing w:after="0"/>
        <w:tabs>
          <w:tab w:leader="none" w:pos="884" w:val="left"/>
        </w:tabs>
        <w:numPr>
          <w:ilvl w:val="0"/>
          <w:numId w:val="79"/>
        </w:numPr>
        <w:rPr>
          <w:rFonts w:ascii="Arial" w:cs="Arial" w:eastAsia="Arial" w:hAnsi="Arial"/>
          <w:sz w:val="12"/>
          <w:szCs w:val="12"/>
          <w:color w:val="auto"/>
        </w:rPr>
      </w:pPr>
      <w:r>
        <w:rPr>
          <w:rFonts w:ascii="Arial" w:cs="Arial" w:eastAsia="Arial" w:hAnsi="Arial"/>
          <w:sz w:val="12"/>
          <w:szCs w:val="12"/>
          <w:color w:val="auto"/>
        </w:rPr>
        <w:t>Euro TL Investments LLC (DE)</w:t>
      </w:r>
    </w:p>
    <w:p>
      <w:pPr>
        <w:spacing w:after="0" w:line="150" w:lineRule="exact"/>
        <w:rPr>
          <w:sz w:val="20"/>
          <w:szCs w:val="20"/>
          <w:color w:val="auto"/>
        </w:rPr>
      </w:pPr>
    </w:p>
    <w:p>
      <w:pPr>
        <w:ind w:left="884" w:hanging="389"/>
        <w:spacing w:after="0"/>
        <w:tabs>
          <w:tab w:leader="none" w:pos="884" w:val="left"/>
        </w:tabs>
        <w:numPr>
          <w:ilvl w:val="0"/>
          <w:numId w:val="80"/>
        </w:numPr>
        <w:rPr>
          <w:rFonts w:ascii="Arial" w:cs="Arial" w:eastAsia="Arial" w:hAnsi="Arial"/>
          <w:sz w:val="12"/>
          <w:szCs w:val="12"/>
          <w:color w:val="auto"/>
        </w:rPr>
      </w:pPr>
      <w:r>
        <w:rPr>
          <w:rFonts w:ascii="Arial" w:cs="Arial" w:eastAsia="Arial" w:hAnsi="Arial"/>
          <w:sz w:val="12"/>
          <w:szCs w:val="12"/>
          <w:color w:val="auto"/>
        </w:rPr>
        <w:t>Euro TI Investments LLC (DE)</w:t>
      </w:r>
    </w:p>
    <w:p>
      <w:pPr>
        <w:spacing w:after="0" w:line="150" w:lineRule="exact"/>
        <w:rPr>
          <w:sz w:val="20"/>
          <w:szCs w:val="20"/>
          <w:color w:val="auto"/>
        </w:rPr>
      </w:pPr>
    </w:p>
    <w:p>
      <w:pPr>
        <w:ind w:left="884" w:hanging="389"/>
        <w:spacing w:after="0"/>
        <w:tabs>
          <w:tab w:leader="none" w:pos="884" w:val="left"/>
        </w:tabs>
        <w:numPr>
          <w:ilvl w:val="0"/>
          <w:numId w:val="81"/>
        </w:numPr>
        <w:rPr>
          <w:rFonts w:ascii="Arial" w:cs="Arial" w:eastAsia="Arial" w:hAnsi="Arial"/>
          <w:sz w:val="12"/>
          <w:szCs w:val="12"/>
          <w:color w:val="auto"/>
        </w:rPr>
      </w:pPr>
      <w:r>
        <w:rPr>
          <w:rFonts w:ascii="Arial" w:cs="Arial" w:eastAsia="Arial" w:hAnsi="Arial"/>
          <w:sz w:val="12"/>
          <w:szCs w:val="12"/>
          <w:color w:val="auto"/>
        </w:rPr>
        <w:t>TLA Holdings LLC (DE)</w:t>
      </w:r>
    </w:p>
    <w:p>
      <w:pPr>
        <w:spacing w:after="0" w:line="150" w:lineRule="exact"/>
        <w:rPr>
          <w:rFonts w:ascii="Arial" w:cs="Arial" w:eastAsia="Arial" w:hAnsi="Arial"/>
          <w:sz w:val="12"/>
          <w:szCs w:val="12"/>
          <w:color w:val="auto"/>
        </w:rPr>
      </w:pPr>
    </w:p>
    <w:p>
      <w:pPr>
        <w:ind w:left="504"/>
        <w:spacing w:after="0"/>
        <w:rPr>
          <w:rFonts w:ascii="Arial" w:cs="Arial" w:eastAsia="Arial" w:hAnsi="Arial"/>
          <w:sz w:val="12"/>
          <w:szCs w:val="12"/>
          <w:color w:val="auto"/>
        </w:rPr>
      </w:pPr>
      <w:r>
        <w:rPr>
          <w:rFonts w:ascii="Arial" w:cs="Arial" w:eastAsia="Arial" w:hAnsi="Arial"/>
          <w:sz w:val="12"/>
          <w:szCs w:val="12"/>
          <w:color w:val="auto"/>
        </w:rPr>
        <w:t>hTLA Holdings II LLC (DE)</w:t>
      </w:r>
    </w:p>
    <w:p>
      <w:pPr>
        <w:spacing w:after="0" w:line="150" w:lineRule="exact"/>
        <w:rPr>
          <w:sz w:val="20"/>
          <w:szCs w:val="20"/>
          <w:color w:val="auto"/>
        </w:rPr>
      </w:pPr>
    </w:p>
    <w:p>
      <w:pPr>
        <w:ind w:left="504"/>
        <w:spacing w:after="0"/>
        <w:rPr>
          <w:sz w:val="20"/>
          <w:szCs w:val="20"/>
          <w:color w:val="auto"/>
        </w:rPr>
      </w:pPr>
      <w:r>
        <w:rPr>
          <w:rFonts w:ascii="Arial" w:cs="Arial" w:eastAsia="Arial" w:hAnsi="Arial"/>
          <w:sz w:val="12"/>
          <w:szCs w:val="12"/>
          <w:color w:val="auto"/>
        </w:rPr>
        <w:t>i.BLIC Property Ventures, LLC (DE)</w:t>
      </w:r>
    </w:p>
    <w:p>
      <w:pPr>
        <w:spacing w:after="0" w:line="150" w:lineRule="exact"/>
        <w:rPr>
          <w:sz w:val="20"/>
          <w:szCs w:val="20"/>
          <w:color w:val="auto"/>
        </w:rPr>
      </w:pPr>
    </w:p>
    <w:p>
      <w:pPr>
        <w:ind w:left="504" w:hanging="261"/>
        <w:spacing w:after="0"/>
        <w:tabs>
          <w:tab w:leader="none" w:pos="504" w:val="left"/>
        </w:tabs>
        <w:numPr>
          <w:ilvl w:val="0"/>
          <w:numId w:val="82"/>
        </w:numPr>
        <w:rPr>
          <w:rFonts w:ascii="Arial" w:cs="Arial" w:eastAsia="Arial" w:hAnsi="Arial"/>
          <w:sz w:val="12"/>
          <w:szCs w:val="12"/>
          <w:color w:val="auto"/>
        </w:rPr>
      </w:pPr>
      <w:r>
        <w:rPr>
          <w:rFonts w:ascii="Arial" w:cs="Arial" w:eastAsia="Arial" w:hAnsi="Arial"/>
          <w:sz w:val="12"/>
          <w:szCs w:val="12"/>
          <w:color w:val="auto"/>
        </w:rPr>
        <w:t>Brighthouse Securities, LLC (DE)</w:t>
      </w:r>
    </w:p>
    <w:p>
      <w:pPr>
        <w:spacing w:after="0" w:line="150" w:lineRule="exact"/>
        <w:rPr>
          <w:rFonts w:ascii="Arial" w:cs="Arial" w:eastAsia="Arial" w:hAnsi="Arial"/>
          <w:sz w:val="12"/>
          <w:szCs w:val="12"/>
          <w:color w:val="auto"/>
        </w:rPr>
      </w:pPr>
    </w:p>
    <w:p>
      <w:pPr>
        <w:ind w:left="504" w:hanging="261"/>
        <w:spacing w:after="0"/>
        <w:tabs>
          <w:tab w:leader="none" w:pos="504" w:val="left"/>
        </w:tabs>
        <w:numPr>
          <w:ilvl w:val="0"/>
          <w:numId w:val="82"/>
        </w:numPr>
        <w:rPr>
          <w:rFonts w:ascii="Arial" w:cs="Arial" w:eastAsia="Arial" w:hAnsi="Arial"/>
          <w:sz w:val="12"/>
          <w:szCs w:val="12"/>
          <w:color w:val="auto"/>
        </w:rPr>
      </w:pPr>
      <w:r>
        <w:rPr>
          <w:rFonts w:ascii="Arial" w:cs="Arial" w:eastAsia="Arial" w:hAnsi="Arial"/>
          <w:sz w:val="12"/>
          <w:szCs w:val="12"/>
          <w:color w:val="auto"/>
        </w:rPr>
        <w:t>Brighthouse Services, LLC (DE)</w:t>
      </w:r>
    </w:p>
    <w:p>
      <w:pPr>
        <w:spacing w:after="0" w:line="150" w:lineRule="exact"/>
        <w:rPr>
          <w:rFonts w:ascii="Arial" w:cs="Arial" w:eastAsia="Arial" w:hAnsi="Arial"/>
          <w:sz w:val="12"/>
          <w:szCs w:val="12"/>
          <w:color w:val="auto"/>
        </w:rPr>
      </w:pPr>
    </w:p>
    <w:p>
      <w:pPr>
        <w:ind w:left="504" w:hanging="261"/>
        <w:spacing w:after="0"/>
        <w:tabs>
          <w:tab w:leader="none" w:pos="504" w:val="left"/>
        </w:tabs>
        <w:numPr>
          <w:ilvl w:val="0"/>
          <w:numId w:val="82"/>
        </w:numPr>
        <w:rPr>
          <w:rFonts w:ascii="Arial" w:cs="Arial" w:eastAsia="Arial" w:hAnsi="Arial"/>
          <w:sz w:val="12"/>
          <w:szCs w:val="12"/>
          <w:color w:val="auto"/>
        </w:rPr>
      </w:pPr>
      <w:r>
        <w:rPr>
          <w:rFonts w:ascii="Arial" w:cs="Arial" w:eastAsia="Arial" w:hAnsi="Arial"/>
          <w:sz w:val="12"/>
          <w:szCs w:val="12"/>
          <w:color w:val="auto"/>
        </w:rPr>
        <w:t>Brighthouse Investment Advisers, LLC (DE)</w:t>
      </w:r>
    </w:p>
    <w:p>
      <w:pPr>
        <w:spacing w:after="0" w:line="168"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2"/>
          <w:szCs w:val="12"/>
          <w:b w:val="1"/>
          <w:bCs w:val="1"/>
          <w:color w:val="auto"/>
        </w:rPr>
        <w:t>Item 30.</w:t>
        <w:tab/>
        <w:t>Indemnification</w:t>
      </w:r>
    </w:p>
    <w:p>
      <w:pPr>
        <w:spacing w:after="0" w:line="69" w:lineRule="exact"/>
        <w:rPr>
          <w:sz w:val="20"/>
          <w:szCs w:val="20"/>
          <w:color w:val="auto"/>
        </w:rPr>
      </w:pPr>
    </w:p>
    <w:p>
      <w:pPr>
        <w:ind w:left="4" w:right="3559"/>
        <w:spacing w:after="0" w:line="256" w:lineRule="auto"/>
        <w:rPr>
          <w:sz w:val="20"/>
          <w:szCs w:val="20"/>
          <w:color w:val="auto"/>
        </w:rPr>
      </w:pPr>
      <w:r>
        <w:rPr>
          <w:rFonts w:ascii="Arial" w:cs="Arial" w:eastAsia="Arial" w:hAnsi="Arial"/>
          <w:sz w:val="12"/>
          <w:szCs w:val="12"/>
          <w:color w:val="auto"/>
        </w:rPr>
        <w:t>Pursuant to applicable provisions of Brighthouse Life Insurance Company’s by-laws or internal corporate policies adopted by Brighthouse Life Insurance Company or Brighthouse Financial, Inc., its ultimate parent, the directors, officers and other controlling persons of Brighthouse Life Insurance Company and of Brighthouse Life Insurance Company’s affiliate and the underwriter, Brighthouse Securities, LLC, who are made or threatened to be made a party to an action or proceeding, may be eligible to obtain indemnification against judgments, fines, amounts paid in settlement and reasonable expenses, including attorneys’ fees, incurred as a result of such action or proceeding. Under</w:t>
      </w:r>
    </w:p>
    <w:p>
      <w:pPr>
        <w:sectPr>
          <w:pgSz w:w="11900" w:h="16838" w:orient="portrait"/>
          <w:cols w:equalWidth="0" w:num="1">
            <w:col w:w="9663"/>
          </w:cols>
          <w:pgMar w:left="796" w:top="649" w:right="1440" w:bottom="1440" w:gutter="0" w:footer="0" w:header="0"/>
        </w:sectPr>
      </w:pPr>
    </w:p>
    <w:bookmarkStart w:id="114" w:name="page115"/>
    <w:bookmarkEnd w:id="114"/>
    <w:p>
      <w:pPr>
        <w:ind w:left="4" w:right="3719"/>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116205</wp:posOffset>
            </wp:positionV>
            <wp:extent cx="455168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4551680" cy="36830"/>
                    </a:xfrm>
                    <a:prstGeom prst="rect">
                      <a:avLst/>
                    </a:prstGeom>
                    <a:noFill/>
                  </pic:spPr>
                </pic:pic>
              </a:graphicData>
            </a:graphic>
          </wp:anchor>
        </w:drawing>
        <w:t>the principal underwriting agreement between Brighthouse Life Insurance Company and Brighthouse Securities, LLC, the parties have agreed to indemnify each other against certain liabilities and expenses from legal proceedings arising out of Brighthouse Securities LLC’s distribution of the Contracts.</w:t>
      </w:r>
    </w:p>
    <w:p>
      <w:pPr>
        <w:spacing w:after="0" w:line="51" w:lineRule="exact"/>
        <w:rPr>
          <w:sz w:val="20"/>
          <w:szCs w:val="20"/>
          <w:color w:val="auto"/>
        </w:rPr>
      </w:pPr>
    </w:p>
    <w:p>
      <w:pPr>
        <w:ind w:left="4" w:right="3579"/>
        <w:spacing w:after="0" w:line="268" w:lineRule="auto"/>
        <w:rPr>
          <w:sz w:val="20"/>
          <w:szCs w:val="20"/>
          <w:color w:val="auto"/>
        </w:rPr>
      </w:pPr>
      <w:r>
        <w:rPr>
          <w:rFonts w:ascii="Arial" w:cs="Arial" w:eastAsia="Arial" w:hAnsi="Arial"/>
          <w:sz w:val="12"/>
          <w:szCs w:val="12"/>
          <w:color w:val="auto"/>
        </w:rPr>
        <w:t>Brighthouse Financial, Inc. also maintains directors and officers and professional liability insurance policies under which the Insurance Company, and the Underwriter, as well as certain other Brighthouse subsidiaries, are covered. Brighthouse Financial, Inc. also has secured a financial institutions bond.</w:t>
      </w:r>
    </w:p>
    <w:p>
      <w:pPr>
        <w:spacing w:after="0" w:line="51" w:lineRule="exact"/>
        <w:rPr>
          <w:sz w:val="20"/>
          <w:szCs w:val="20"/>
          <w:color w:val="auto"/>
        </w:rPr>
      </w:pPr>
    </w:p>
    <w:p>
      <w:pPr>
        <w:ind w:left="4" w:right="3579"/>
        <w:spacing w:after="0" w:line="254" w:lineRule="auto"/>
        <w:rPr>
          <w:sz w:val="20"/>
          <w:szCs w:val="20"/>
          <w:color w:val="auto"/>
        </w:rPr>
      </w:pPr>
      <w:r>
        <w:rPr>
          <w:rFonts w:ascii="Arial" w:cs="Arial" w:eastAsia="Arial" w:hAnsi="Arial"/>
          <w:sz w:val="12"/>
          <w:szCs w:val="12"/>
          <w:color w:val="auto"/>
        </w:rPr>
        <w:t>Insofar as indemnification for liability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5"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2"/>
          <w:szCs w:val="12"/>
          <w:b w:val="1"/>
          <w:bCs w:val="1"/>
          <w:color w:val="auto"/>
        </w:rPr>
        <w:t>Item 31.</w:t>
        <w:tab/>
        <w:t>Principal Underwriters.</w:t>
      </w:r>
    </w:p>
    <w:p>
      <w:pPr>
        <w:spacing w:after="0" w:line="69" w:lineRule="exact"/>
        <w:rPr>
          <w:sz w:val="20"/>
          <w:szCs w:val="20"/>
          <w:color w:val="auto"/>
        </w:rPr>
      </w:pPr>
    </w:p>
    <w:p>
      <w:pPr>
        <w:ind w:left="584" w:hanging="584"/>
        <w:spacing w:after="0"/>
        <w:tabs>
          <w:tab w:leader="none" w:pos="584" w:val="left"/>
        </w:tabs>
        <w:numPr>
          <w:ilvl w:val="0"/>
          <w:numId w:val="83"/>
        </w:numPr>
        <w:rPr>
          <w:rFonts w:ascii="Arial" w:cs="Arial" w:eastAsia="Arial" w:hAnsi="Arial"/>
          <w:sz w:val="12"/>
          <w:szCs w:val="12"/>
          <w:color w:val="auto"/>
        </w:rPr>
      </w:pPr>
      <w:r>
        <w:rPr>
          <w:rFonts w:ascii="Arial" w:cs="Arial" w:eastAsia="Arial" w:hAnsi="Arial"/>
          <w:sz w:val="12"/>
          <w:szCs w:val="12"/>
          <w:color w:val="auto"/>
        </w:rPr>
        <w:t>Brighthouse Securities, LLC is the principal underwriter for the following investment companies :</w:t>
      </w:r>
    </w:p>
    <w:p>
      <w:pPr>
        <w:spacing w:after="0" w:line="96" w:lineRule="exact"/>
        <w:rPr>
          <w:sz w:val="20"/>
          <w:szCs w:val="20"/>
          <w:color w:val="auto"/>
        </w:rPr>
      </w:pPr>
    </w:p>
    <w:p>
      <w:pPr>
        <w:ind w:left="4"/>
        <w:spacing w:after="0"/>
        <w:rPr>
          <w:sz w:val="20"/>
          <w:szCs w:val="20"/>
          <w:color w:val="auto"/>
        </w:rPr>
      </w:pPr>
      <w:r>
        <w:rPr>
          <w:rFonts w:ascii="Arial" w:cs="Arial" w:eastAsia="Arial" w:hAnsi="Arial"/>
          <w:sz w:val="12"/>
          <w:szCs w:val="12"/>
          <w:color w:val="auto"/>
        </w:rPr>
        <w:t>Brighthouse Fund UL for Variable Life Insurance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2"/>
          <w:szCs w:val="12"/>
          <w:color w:val="auto"/>
        </w:rPr>
        <w:t>Brighthouse Fund UL III for Variable Life Insurance</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2"/>
          <w:szCs w:val="12"/>
          <w:color w:val="auto"/>
        </w:rPr>
        <w:t>Brighthouse Funds Trust I</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2"/>
          <w:szCs w:val="12"/>
          <w:color w:val="auto"/>
        </w:rPr>
        <w:t>Brighthouse Funds Trust II</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2"/>
          <w:szCs w:val="12"/>
          <w:color w:val="auto"/>
        </w:rPr>
        <w:t>Brighthouse Separate Account A</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2"/>
          <w:szCs w:val="12"/>
          <w:color w:val="auto"/>
        </w:rPr>
        <w:t>Brighthouse Separate Account Eleven for Variable Annuities</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2"/>
          <w:szCs w:val="12"/>
          <w:color w:val="auto"/>
        </w:rPr>
        <w:t>Brighthouse Separate Account QPN for Variable Annuities</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2"/>
          <w:szCs w:val="12"/>
          <w:color w:val="auto"/>
        </w:rPr>
        <w:t>Brighthouse Variable Annuity Account B</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2"/>
          <w:szCs w:val="12"/>
          <w:color w:val="auto"/>
        </w:rPr>
        <w:t>Brighthouse Variable Annuity Account C</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2"/>
          <w:szCs w:val="12"/>
          <w:color w:val="auto"/>
        </w:rPr>
        <w:t>Brighthouse Variable Life Account A</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2"/>
          <w:szCs w:val="12"/>
          <w:color w:val="auto"/>
        </w:rPr>
        <w:t>Brighthouse Variable Life Account One</w:t>
      </w:r>
    </w:p>
    <w:p>
      <w:pPr>
        <w:spacing w:after="0" w:line="15" w:lineRule="exact"/>
        <w:rPr>
          <w:sz w:val="20"/>
          <w:szCs w:val="20"/>
          <w:color w:val="auto"/>
        </w:rPr>
      </w:pPr>
    </w:p>
    <w:p>
      <w:pPr>
        <w:ind w:left="4"/>
        <w:spacing w:after="0"/>
        <w:rPr>
          <w:sz w:val="20"/>
          <w:szCs w:val="20"/>
          <w:color w:val="auto"/>
        </w:rPr>
      </w:pPr>
      <w:r>
        <w:rPr>
          <w:rFonts w:ascii="Arial" w:cs="Arial" w:eastAsia="Arial" w:hAnsi="Arial"/>
          <w:sz w:val="12"/>
          <w:szCs w:val="12"/>
          <w:color w:val="auto"/>
        </w:rPr>
        <w:t>New England Variable Annuity Separate Account</w:t>
      </w:r>
    </w:p>
    <w:p>
      <w:pPr>
        <w:spacing w:after="0" w:line="12" w:lineRule="exact"/>
        <w:rPr>
          <w:sz w:val="20"/>
          <w:szCs w:val="20"/>
          <w:color w:val="auto"/>
        </w:rPr>
      </w:pPr>
    </w:p>
    <w:p>
      <w:pPr>
        <w:ind w:left="4"/>
        <w:spacing w:after="0"/>
        <w:rPr>
          <w:sz w:val="20"/>
          <w:szCs w:val="20"/>
          <w:color w:val="auto"/>
        </w:rPr>
      </w:pPr>
      <w:r>
        <w:rPr>
          <w:rFonts w:ascii="Arial" w:cs="Arial" w:eastAsia="Arial" w:hAnsi="Arial"/>
          <w:sz w:val="12"/>
          <w:szCs w:val="12"/>
          <w:color w:val="auto"/>
        </w:rPr>
        <w:t>New England Variable Life Separate Account</w:t>
      </w:r>
    </w:p>
    <w:p>
      <w:pPr>
        <w:spacing w:after="0" w:line="75" w:lineRule="exact"/>
        <w:rPr>
          <w:sz w:val="20"/>
          <w:szCs w:val="20"/>
          <w:color w:val="auto"/>
        </w:rPr>
      </w:pPr>
    </w:p>
    <w:p>
      <w:pPr>
        <w:ind w:left="584" w:right="3599" w:hanging="584"/>
        <w:spacing w:after="0" w:line="286" w:lineRule="auto"/>
        <w:tabs>
          <w:tab w:leader="none" w:pos="584" w:val="left"/>
        </w:tabs>
        <w:numPr>
          <w:ilvl w:val="0"/>
          <w:numId w:val="84"/>
        </w:numPr>
        <w:rPr>
          <w:rFonts w:ascii="Arial" w:cs="Arial" w:eastAsia="Arial" w:hAnsi="Arial"/>
          <w:sz w:val="12"/>
          <w:szCs w:val="12"/>
          <w:color w:val="auto"/>
        </w:rPr>
      </w:pPr>
      <w:r>
        <w:rPr>
          <w:rFonts w:ascii="Arial" w:cs="Arial" w:eastAsia="Arial" w:hAnsi="Arial"/>
          <w:sz w:val="12"/>
          <w:szCs w:val="12"/>
          <w:color w:val="auto"/>
        </w:rPr>
        <w:t>Brighthouse Securities, LLC is the principal underwriter for the Contracts. The following persons are the officers and managers of Brighthouse Securities, LLC:</w:t>
      </w:r>
    </w:p>
    <w:p>
      <w:pPr>
        <w:spacing w:after="0" w:line="64" w:lineRule="exact"/>
        <w:rPr>
          <w:sz w:val="20"/>
          <w:szCs w:val="20"/>
          <w:color w:val="auto"/>
        </w:rPr>
      </w:pPr>
    </w:p>
    <w:tbl>
      <w:tblPr>
        <w:tblLayout w:type="fixed"/>
        <w:tblInd w:w="4" w:type="dxa"/>
        <w:tblCellMar>
          <w:top w:w="0" w:type="dxa"/>
          <w:left w:w="0" w:type="dxa"/>
          <w:bottom w:w="0" w:type="dxa"/>
          <w:right w:w="0" w:type="dxa"/>
        </w:tblCellMar>
      </w:tblPr>
      <w:tr>
        <w:trPr>
          <w:trHeight w:val="136"/>
        </w:trPr>
        <w:tc>
          <w:tcPr>
            <w:tcW w:w="2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 and Principal Business Address</w:t>
            </w:r>
          </w:p>
        </w:tc>
        <w:tc>
          <w:tcPr>
            <w:tcW w:w="160" w:type="dxa"/>
            <w:vAlign w:val="bottom"/>
          </w:tcPr>
          <w:p>
            <w:pPr>
              <w:spacing w:after="0"/>
              <w:rPr>
                <w:sz w:val="11"/>
                <w:szCs w:val="11"/>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Positions and Offices with Underwriter</w:t>
            </w:r>
          </w:p>
        </w:tc>
      </w:tr>
      <w:tr>
        <w:trPr>
          <w:trHeight w:val="207"/>
        </w:trPr>
        <w:tc>
          <w:tcPr>
            <w:tcW w:w="2440" w:type="dxa"/>
            <w:vAlign w:val="bottom"/>
          </w:tcPr>
          <w:p>
            <w:pPr>
              <w:spacing w:after="0"/>
              <w:rPr>
                <w:sz w:val="20"/>
                <w:szCs w:val="20"/>
                <w:color w:val="auto"/>
              </w:rPr>
            </w:pPr>
            <w:r>
              <w:rPr>
                <w:rFonts w:ascii="Arial" w:cs="Arial" w:eastAsia="Arial" w:hAnsi="Arial"/>
                <w:sz w:val="12"/>
                <w:szCs w:val="12"/>
                <w:color w:val="auto"/>
              </w:rPr>
              <w:t>Myles Lambert</w:t>
            </w:r>
          </w:p>
        </w:tc>
        <w:tc>
          <w:tcPr>
            <w:tcW w:w="16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Manager, President and Chief Executive Officer</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11225 North Community House Road</w:t>
            </w:r>
          </w:p>
        </w:tc>
        <w:tc>
          <w:tcPr>
            <w:tcW w:w="160" w:type="dxa"/>
            <w:vAlign w:val="bottom"/>
          </w:tcPr>
          <w:p>
            <w:pPr>
              <w:spacing w:after="0"/>
              <w:rPr>
                <w:sz w:val="12"/>
                <w:szCs w:val="12"/>
                <w:color w:val="auto"/>
              </w:rPr>
            </w:pPr>
          </w:p>
        </w:tc>
        <w:tc>
          <w:tcPr>
            <w:tcW w:w="3520" w:type="dxa"/>
            <w:vAlign w:val="bottom"/>
          </w:tcPr>
          <w:p>
            <w:pPr>
              <w:spacing w:after="0"/>
              <w:rPr>
                <w:sz w:val="12"/>
                <w:szCs w:val="12"/>
                <w:color w:val="auto"/>
              </w:rPr>
            </w:pPr>
          </w:p>
        </w:tc>
      </w:tr>
      <w:tr>
        <w:trPr>
          <w:trHeight w:val="159"/>
        </w:trPr>
        <w:tc>
          <w:tcPr>
            <w:tcW w:w="2440" w:type="dxa"/>
            <w:vAlign w:val="bottom"/>
          </w:tcPr>
          <w:p>
            <w:pPr>
              <w:spacing w:after="0"/>
              <w:rPr>
                <w:sz w:val="20"/>
                <w:szCs w:val="20"/>
                <w:color w:val="auto"/>
              </w:rPr>
            </w:pPr>
            <w:r>
              <w:rPr>
                <w:rFonts w:ascii="Arial" w:cs="Arial" w:eastAsia="Arial" w:hAnsi="Arial"/>
                <w:sz w:val="12"/>
                <w:szCs w:val="12"/>
                <w:color w:val="auto"/>
              </w:rPr>
              <w:t>Charlotte, NC 28277</w:t>
            </w:r>
          </w:p>
        </w:tc>
        <w:tc>
          <w:tcPr>
            <w:tcW w:w="16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246"/>
        </w:trPr>
        <w:tc>
          <w:tcPr>
            <w:tcW w:w="2440" w:type="dxa"/>
            <w:vAlign w:val="bottom"/>
          </w:tcPr>
          <w:p>
            <w:pPr>
              <w:spacing w:after="0"/>
              <w:rPr>
                <w:sz w:val="20"/>
                <w:szCs w:val="20"/>
                <w:color w:val="auto"/>
              </w:rPr>
            </w:pPr>
            <w:r>
              <w:rPr>
                <w:rFonts w:ascii="Arial" w:cs="Arial" w:eastAsia="Arial" w:hAnsi="Arial"/>
                <w:sz w:val="12"/>
                <w:szCs w:val="12"/>
                <w:color w:val="auto"/>
              </w:rPr>
              <w:t>Philip Beaulieu</w:t>
            </w:r>
          </w:p>
        </w:tc>
        <w:tc>
          <w:tcPr>
            <w:tcW w:w="160" w:type="dxa"/>
            <w:vAlign w:val="bottom"/>
          </w:tcPr>
          <w:p>
            <w:pPr>
              <w:spacing w:after="0"/>
              <w:rPr>
                <w:sz w:val="21"/>
                <w:szCs w:val="21"/>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Manager and Vice President</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11225 North Community House Road</w:t>
            </w:r>
          </w:p>
        </w:tc>
        <w:tc>
          <w:tcPr>
            <w:tcW w:w="160" w:type="dxa"/>
            <w:vAlign w:val="bottom"/>
          </w:tcPr>
          <w:p>
            <w:pPr>
              <w:spacing w:after="0"/>
              <w:rPr>
                <w:sz w:val="12"/>
                <w:szCs w:val="12"/>
                <w:color w:val="auto"/>
              </w:rPr>
            </w:pPr>
          </w:p>
        </w:tc>
        <w:tc>
          <w:tcPr>
            <w:tcW w:w="3520" w:type="dxa"/>
            <w:vAlign w:val="bottom"/>
          </w:tcPr>
          <w:p>
            <w:pPr>
              <w:spacing w:after="0"/>
              <w:rPr>
                <w:sz w:val="12"/>
                <w:szCs w:val="12"/>
                <w:color w:val="auto"/>
              </w:rPr>
            </w:pPr>
          </w:p>
        </w:tc>
      </w:tr>
      <w:tr>
        <w:trPr>
          <w:trHeight w:val="159"/>
        </w:trPr>
        <w:tc>
          <w:tcPr>
            <w:tcW w:w="2440" w:type="dxa"/>
            <w:vAlign w:val="bottom"/>
          </w:tcPr>
          <w:p>
            <w:pPr>
              <w:spacing w:after="0"/>
              <w:rPr>
                <w:sz w:val="20"/>
                <w:szCs w:val="20"/>
                <w:color w:val="auto"/>
              </w:rPr>
            </w:pPr>
            <w:r>
              <w:rPr>
                <w:rFonts w:ascii="Arial" w:cs="Arial" w:eastAsia="Arial" w:hAnsi="Arial"/>
                <w:sz w:val="12"/>
                <w:szCs w:val="12"/>
                <w:color w:val="auto"/>
              </w:rPr>
              <w:t>Charlotte, NC 28277</w:t>
            </w:r>
          </w:p>
        </w:tc>
        <w:tc>
          <w:tcPr>
            <w:tcW w:w="16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255"/>
        </w:trPr>
        <w:tc>
          <w:tcPr>
            <w:tcW w:w="2440" w:type="dxa"/>
            <w:vAlign w:val="bottom"/>
          </w:tcPr>
          <w:p>
            <w:pPr>
              <w:spacing w:after="0"/>
              <w:rPr>
                <w:sz w:val="20"/>
                <w:szCs w:val="20"/>
                <w:color w:val="auto"/>
              </w:rPr>
            </w:pPr>
            <w:r>
              <w:rPr>
                <w:rFonts w:ascii="Arial" w:cs="Arial" w:eastAsia="Arial" w:hAnsi="Arial"/>
                <w:sz w:val="12"/>
                <w:szCs w:val="12"/>
                <w:color w:val="auto"/>
              </w:rPr>
              <w:t>Amy Cusson</w:t>
            </w:r>
          </w:p>
        </w:tc>
        <w:tc>
          <w:tcPr>
            <w:tcW w:w="160" w:type="dxa"/>
            <w:vAlign w:val="bottom"/>
          </w:tcPr>
          <w:p>
            <w:pPr>
              <w:spacing w:after="0"/>
              <w:rPr>
                <w:sz w:val="22"/>
                <w:szCs w:val="22"/>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Manager</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11225 North Community House Road</w:t>
            </w:r>
          </w:p>
        </w:tc>
        <w:tc>
          <w:tcPr>
            <w:tcW w:w="160" w:type="dxa"/>
            <w:vAlign w:val="bottom"/>
          </w:tcPr>
          <w:p>
            <w:pPr>
              <w:spacing w:after="0"/>
              <w:rPr>
                <w:sz w:val="12"/>
                <w:szCs w:val="12"/>
                <w:color w:val="auto"/>
              </w:rPr>
            </w:pPr>
          </w:p>
        </w:tc>
        <w:tc>
          <w:tcPr>
            <w:tcW w:w="3520" w:type="dxa"/>
            <w:vAlign w:val="bottom"/>
          </w:tcPr>
          <w:p>
            <w:pPr>
              <w:spacing w:after="0"/>
              <w:rPr>
                <w:sz w:val="12"/>
                <w:szCs w:val="12"/>
                <w:color w:val="auto"/>
              </w:rPr>
            </w:pPr>
          </w:p>
        </w:tc>
      </w:tr>
      <w:tr>
        <w:trPr>
          <w:trHeight w:val="159"/>
        </w:trPr>
        <w:tc>
          <w:tcPr>
            <w:tcW w:w="2440" w:type="dxa"/>
            <w:vAlign w:val="bottom"/>
          </w:tcPr>
          <w:p>
            <w:pPr>
              <w:spacing w:after="0"/>
              <w:rPr>
                <w:sz w:val="20"/>
                <w:szCs w:val="20"/>
                <w:color w:val="auto"/>
              </w:rPr>
            </w:pPr>
            <w:r>
              <w:rPr>
                <w:rFonts w:ascii="Arial" w:cs="Arial" w:eastAsia="Arial" w:hAnsi="Arial"/>
                <w:sz w:val="12"/>
                <w:szCs w:val="12"/>
                <w:color w:val="auto"/>
              </w:rPr>
              <w:t>Charlotte, NC 28277</w:t>
            </w:r>
          </w:p>
        </w:tc>
        <w:tc>
          <w:tcPr>
            <w:tcW w:w="16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246"/>
        </w:trPr>
        <w:tc>
          <w:tcPr>
            <w:tcW w:w="2440" w:type="dxa"/>
            <w:vAlign w:val="bottom"/>
          </w:tcPr>
          <w:p>
            <w:pPr>
              <w:spacing w:after="0"/>
              <w:rPr>
                <w:sz w:val="20"/>
                <w:szCs w:val="20"/>
                <w:color w:val="auto"/>
              </w:rPr>
            </w:pPr>
            <w:r>
              <w:rPr>
                <w:rFonts w:ascii="Arial" w:cs="Arial" w:eastAsia="Arial" w:hAnsi="Arial"/>
                <w:sz w:val="12"/>
                <w:szCs w:val="12"/>
                <w:color w:val="auto"/>
              </w:rPr>
              <w:t>Michael Davis</w:t>
            </w:r>
          </w:p>
        </w:tc>
        <w:tc>
          <w:tcPr>
            <w:tcW w:w="160" w:type="dxa"/>
            <w:vAlign w:val="bottom"/>
          </w:tcPr>
          <w:p>
            <w:pPr>
              <w:spacing w:after="0"/>
              <w:rPr>
                <w:sz w:val="21"/>
                <w:szCs w:val="21"/>
                <w:color w:val="auto"/>
              </w:rPr>
            </w:pPr>
          </w:p>
        </w:tc>
        <w:tc>
          <w:tcPr>
            <w:tcW w:w="3520" w:type="dxa"/>
            <w:vAlign w:val="bottom"/>
          </w:tcPr>
          <w:p>
            <w:pPr>
              <w:spacing w:after="0"/>
              <w:rPr>
                <w:sz w:val="20"/>
                <w:szCs w:val="20"/>
                <w:color w:val="auto"/>
              </w:rPr>
            </w:pPr>
            <w:r>
              <w:rPr>
                <w:rFonts w:ascii="Arial" w:cs="Arial" w:eastAsia="Arial" w:hAnsi="Arial"/>
                <w:sz w:val="12"/>
                <w:szCs w:val="12"/>
                <w:color w:val="auto"/>
              </w:rPr>
              <w:t>Manager and Vice President</w:t>
            </w: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11225 North Community House Road</w:t>
            </w:r>
          </w:p>
        </w:tc>
        <w:tc>
          <w:tcPr>
            <w:tcW w:w="160" w:type="dxa"/>
            <w:vAlign w:val="bottom"/>
          </w:tcPr>
          <w:p>
            <w:pPr>
              <w:spacing w:after="0"/>
              <w:rPr>
                <w:sz w:val="12"/>
                <w:szCs w:val="12"/>
                <w:color w:val="auto"/>
              </w:rPr>
            </w:pPr>
          </w:p>
        </w:tc>
        <w:tc>
          <w:tcPr>
            <w:tcW w:w="3520" w:type="dxa"/>
            <w:vAlign w:val="bottom"/>
          </w:tcPr>
          <w:p>
            <w:pPr>
              <w:spacing w:after="0"/>
              <w:rPr>
                <w:sz w:val="12"/>
                <w:szCs w:val="12"/>
                <w:color w:val="auto"/>
              </w:rPr>
            </w:pPr>
          </w:p>
        </w:tc>
      </w:tr>
      <w:tr>
        <w:trPr>
          <w:trHeight w:val="159"/>
        </w:trPr>
        <w:tc>
          <w:tcPr>
            <w:tcW w:w="2440" w:type="dxa"/>
            <w:vAlign w:val="bottom"/>
          </w:tcPr>
          <w:p>
            <w:pPr>
              <w:spacing w:after="0"/>
              <w:rPr>
                <w:sz w:val="20"/>
                <w:szCs w:val="20"/>
                <w:color w:val="auto"/>
              </w:rPr>
            </w:pPr>
            <w:r>
              <w:rPr>
                <w:rFonts w:ascii="Arial" w:cs="Arial" w:eastAsia="Arial" w:hAnsi="Arial"/>
                <w:sz w:val="12"/>
                <w:szCs w:val="12"/>
                <w:color w:val="auto"/>
              </w:rPr>
              <w:t>Charlotte, NC 28277</w:t>
            </w:r>
          </w:p>
        </w:tc>
        <w:tc>
          <w:tcPr>
            <w:tcW w:w="160" w:type="dxa"/>
            <w:vAlign w:val="bottom"/>
          </w:tcPr>
          <w:p>
            <w:pPr>
              <w:spacing w:after="0"/>
              <w:rPr>
                <w:sz w:val="13"/>
                <w:szCs w:val="13"/>
                <w:color w:val="auto"/>
              </w:rPr>
            </w:pPr>
          </w:p>
        </w:tc>
        <w:tc>
          <w:tcPr>
            <w:tcW w:w="3520" w:type="dxa"/>
            <w:vAlign w:val="bottom"/>
          </w:tcPr>
          <w:p>
            <w:pPr>
              <w:spacing w:after="0"/>
              <w:rPr>
                <w:sz w:val="13"/>
                <w:szCs w:val="13"/>
                <w:color w:val="auto"/>
              </w:rPr>
            </w:pPr>
          </w:p>
        </w:tc>
      </w:tr>
    </w:tbl>
    <w:p>
      <w:pPr>
        <w:sectPr>
          <w:pgSz w:w="11900" w:h="16838" w:orient="portrait"/>
          <w:cols w:equalWidth="0" w:num="1">
            <w:col w:w="9663"/>
          </w:cols>
          <w:pgMar w:left="796" w:top="649" w:right="1440" w:bottom="1440" w:gutter="0" w:footer="0" w:header="0"/>
        </w:sectPr>
      </w:pPr>
    </w:p>
    <w:bookmarkStart w:id="115" w:name="page116"/>
    <w:bookmarkEnd w:id="115"/>
    <w:p>
      <w:pPr>
        <w:ind w:left="4"/>
        <w:spacing w:after="0"/>
        <w:rPr>
          <w:sz w:val="20"/>
          <w:szCs w:val="20"/>
          <w:color w:val="auto"/>
        </w:rPr>
      </w:pPr>
      <w:r>
        <w:rPr>
          <w:rFonts w:ascii="Arial" w:cs="Arial" w:eastAsia="Arial" w:hAnsi="Arial"/>
          <w:sz w:val="12"/>
          <w:szCs w:val="12"/>
          <w:color w:val="auto"/>
        </w:rPr>
        <w:t>Kevin Macilvane, Jr.</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-417195</wp:posOffset>
            </wp:positionV>
            <wp:extent cx="455168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4551680" cy="36830"/>
                    </a:xfrm>
                    <a:prstGeom prst="rect">
                      <a:avLst/>
                    </a:prstGeom>
                    <a:noFill/>
                  </pic:spPr>
                </pic:pic>
              </a:graphicData>
            </a:graphic>
          </wp:anchor>
        </w:drawing>
      </w:r>
    </w:p>
    <w:p>
      <w:pPr>
        <w:spacing w:after="0" w:line="420" w:lineRule="exact"/>
        <w:rPr>
          <w:sz w:val="20"/>
          <w:szCs w:val="20"/>
          <w:color w:val="auto"/>
        </w:rPr>
      </w:pPr>
    </w:p>
    <w:p>
      <w:pPr>
        <w:sectPr>
          <w:pgSz w:w="11900" w:h="16838" w:orient="portrait"/>
          <w:cols w:equalWidth="0" w:num="2">
            <w:col w:w="1984" w:space="620"/>
            <w:col w:w="7059"/>
          </w:cols>
          <w:pgMar w:left="796" w:top="703" w:right="1440" w:bottom="1440" w:gutter="0" w:footer="0" w:header="0"/>
        </w:sectPr>
      </w:pPr>
    </w:p>
    <w:p>
      <w:pPr>
        <w:ind w:left="4"/>
        <w:spacing w:after="0"/>
        <w:rPr>
          <w:sz w:val="20"/>
          <w:szCs w:val="20"/>
          <w:color w:val="auto"/>
        </w:rPr>
      </w:pPr>
      <w:r>
        <w:rPr>
          <w:rFonts w:ascii="Arial" w:cs="Arial" w:eastAsia="Arial" w:hAnsi="Arial"/>
          <w:sz w:val="12"/>
          <w:szCs w:val="12"/>
          <w:color w:val="auto"/>
        </w:rPr>
        <w:t>Gerard Nigro</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Manager and Vice President</w:t>
      </w:r>
    </w:p>
    <w:p>
      <w:pPr>
        <w:spacing w:after="0" w:line="411" w:lineRule="exact"/>
        <w:rPr>
          <w:sz w:val="20"/>
          <w:szCs w:val="20"/>
          <w:color w:val="auto"/>
        </w:rPr>
      </w:pPr>
    </w:p>
    <w:p>
      <w:pPr>
        <w:sectPr>
          <w:pgSz w:w="11900" w:h="16838" w:orient="portrait"/>
          <w:cols w:equalWidth="0" w:num="2">
            <w:col w:w="1984" w:space="620"/>
            <w:col w:w="7059"/>
          </w:cols>
          <w:pgMar w:left="796" w:top="703" w:right="1440" w:bottom="1440" w:gutter="0" w:footer="0" w:header="0"/>
          <w:type w:val="continuous"/>
        </w:sectPr>
      </w:pPr>
    </w:p>
    <w:p>
      <w:pPr>
        <w:ind w:left="4"/>
        <w:spacing w:after="0"/>
        <w:rPr>
          <w:sz w:val="20"/>
          <w:szCs w:val="20"/>
          <w:color w:val="auto"/>
        </w:rPr>
      </w:pPr>
      <w:r>
        <w:rPr>
          <w:rFonts w:ascii="Arial" w:cs="Arial" w:eastAsia="Arial" w:hAnsi="Arial"/>
          <w:sz w:val="12"/>
          <w:szCs w:val="12"/>
          <w:color w:val="auto"/>
        </w:rPr>
        <w:t>Richard Cook</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w:t>
      </w:r>
    </w:p>
    <w:p>
      <w:pPr>
        <w:spacing w:after="0" w:line="410" w:lineRule="exact"/>
        <w:rPr>
          <w:sz w:val="20"/>
          <w:szCs w:val="20"/>
          <w:color w:val="auto"/>
        </w:rPr>
      </w:pPr>
    </w:p>
    <w:p>
      <w:pPr>
        <w:sectPr>
          <w:pgSz w:w="11900" w:h="16838" w:orient="portrait"/>
          <w:cols w:equalWidth="0" w:num="2">
            <w:col w:w="1984" w:space="620"/>
            <w:col w:w="7059"/>
          </w:cols>
          <w:pgMar w:left="796" w:top="703" w:right="1440" w:bottom="1440" w:gutter="0" w:footer="0" w:header="0"/>
          <w:type w:val="continuous"/>
        </w:sectPr>
      </w:pPr>
    </w:p>
    <w:p>
      <w:pPr>
        <w:ind w:left="4"/>
        <w:spacing w:after="0"/>
        <w:rPr>
          <w:sz w:val="20"/>
          <w:szCs w:val="20"/>
          <w:color w:val="auto"/>
        </w:rPr>
      </w:pPr>
      <w:r>
        <w:rPr>
          <w:rFonts w:ascii="Arial" w:cs="Arial" w:eastAsia="Arial" w:hAnsi="Arial"/>
          <w:sz w:val="12"/>
          <w:szCs w:val="12"/>
          <w:color w:val="auto"/>
        </w:rPr>
        <w:t>Christopher Hartsfield</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 and Assistant Secretary</w:t>
      </w:r>
    </w:p>
    <w:p>
      <w:pPr>
        <w:spacing w:after="0" w:line="420" w:lineRule="exact"/>
        <w:rPr>
          <w:sz w:val="20"/>
          <w:szCs w:val="20"/>
          <w:color w:val="auto"/>
        </w:rPr>
      </w:pPr>
    </w:p>
    <w:p>
      <w:pPr>
        <w:sectPr>
          <w:pgSz w:w="11900" w:h="16838" w:orient="portrait"/>
          <w:cols w:equalWidth="0" w:num="2">
            <w:col w:w="1984" w:space="620"/>
            <w:col w:w="7059"/>
          </w:cols>
          <w:pgMar w:left="796" w:top="703" w:right="1440" w:bottom="1440" w:gutter="0" w:footer="0" w:header="0"/>
          <w:type w:val="continuous"/>
        </w:sectPr>
      </w:pPr>
    </w:p>
    <w:p>
      <w:pPr>
        <w:ind w:left="4"/>
        <w:spacing w:after="0"/>
        <w:rPr>
          <w:sz w:val="20"/>
          <w:szCs w:val="20"/>
          <w:color w:val="auto"/>
        </w:rPr>
      </w:pPr>
      <w:r>
        <w:rPr>
          <w:rFonts w:ascii="Arial" w:cs="Arial" w:eastAsia="Arial" w:hAnsi="Arial"/>
          <w:sz w:val="12"/>
          <w:szCs w:val="12"/>
          <w:color w:val="auto"/>
        </w:rPr>
        <w:t>Allie Lin</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 and Secretary</w:t>
      </w:r>
    </w:p>
    <w:p>
      <w:pPr>
        <w:spacing w:after="0" w:line="411" w:lineRule="exact"/>
        <w:rPr>
          <w:sz w:val="20"/>
          <w:szCs w:val="20"/>
          <w:color w:val="auto"/>
        </w:rPr>
      </w:pPr>
    </w:p>
    <w:p>
      <w:pPr>
        <w:sectPr>
          <w:pgSz w:w="11900" w:h="16838" w:orient="portrait"/>
          <w:cols w:equalWidth="0" w:num="2">
            <w:col w:w="1984" w:space="620"/>
            <w:col w:w="7059"/>
          </w:cols>
          <w:pgMar w:left="796" w:top="703" w:right="1440" w:bottom="1440" w:gutter="0" w:footer="0" w:header="0"/>
          <w:type w:val="continuous"/>
        </w:sectPr>
      </w:pPr>
    </w:p>
    <w:p>
      <w:pPr>
        <w:ind w:left="4"/>
        <w:spacing w:after="0"/>
        <w:rPr>
          <w:sz w:val="20"/>
          <w:szCs w:val="20"/>
          <w:color w:val="auto"/>
        </w:rPr>
      </w:pPr>
      <w:r>
        <w:rPr>
          <w:rFonts w:ascii="Arial" w:cs="Arial" w:eastAsia="Arial" w:hAnsi="Arial"/>
          <w:sz w:val="12"/>
          <w:szCs w:val="12"/>
          <w:color w:val="auto"/>
        </w:rPr>
        <w:t>John Martinez</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Principal Financial Officer</w:t>
      </w:r>
    </w:p>
    <w:p>
      <w:pPr>
        <w:spacing w:after="0" w:line="422" w:lineRule="exact"/>
        <w:rPr>
          <w:sz w:val="20"/>
          <w:szCs w:val="20"/>
          <w:color w:val="auto"/>
        </w:rPr>
      </w:pPr>
    </w:p>
    <w:p>
      <w:pPr>
        <w:sectPr>
          <w:pgSz w:w="11900" w:h="16838" w:orient="portrait"/>
          <w:cols w:equalWidth="0" w:num="2">
            <w:col w:w="1984" w:space="620"/>
            <w:col w:w="7059"/>
          </w:cols>
          <w:pgMar w:left="796" w:top="703" w:right="1440" w:bottom="1440" w:gutter="0" w:footer="0" w:header="0"/>
          <w:type w:val="continuous"/>
        </w:sectPr>
      </w:pPr>
    </w:p>
    <w:p>
      <w:pPr>
        <w:ind w:left="4"/>
        <w:spacing w:after="0"/>
        <w:rPr>
          <w:sz w:val="20"/>
          <w:szCs w:val="20"/>
          <w:color w:val="auto"/>
        </w:rPr>
      </w:pPr>
      <w:r>
        <w:rPr>
          <w:rFonts w:ascii="Arial" w:cs="Arial" w:eastAsia="Arial" w:hAnsi="Arial"/>
          <w:sz w:val="12"/>
          <w:szCs w:val="12"/>
          <w:color w:val="auto"/>
        </w:rPr>
        <w:t>Brian McGurn</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2"/>
          <w:szCs w:val="12"/>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 and Chief Derivatives Officer</w:t>
      </w:r>
    </w:p>
    <w:p>
      <w:pPr>
        <w:spacing w:after="0" w:line="419" w:lineRule="exact"/>
        <w:rPr>
          <w:sz w:val="20"/>
          <w:szCs w:val="20"/>
          <w:color w:val="auto"/>
        </w:rPr>
      </w:pPr>
    </w:p>
    <w:p>
      <w:pPr>
        <w:sectPr>
          <w:pgSz w:w="11900" w:h="16838" w:orient="portrait"/>
          <w:cols w:equalWidth="0" w:num="2">
            <w:col w:w="1984" w:space="620"/>
            <w:col w:w="7059"/>
          </w:cols>
          <w:pgMar w:left="796" w:top="703" w:right="1440" w:bottom="1440" w:gutter="0" w:footer="0" w:header="0"/>
          <w:type w:val="continuous"/>
        </w:sectPr>
      </w:pPr>
    </w:p>
    <w:p>
      <w:pPr>
        <w:ind w:left="4"/>
        <w:spacing w:after="0"/>
        <w:rPr>
          <w:sz w:val="20"/>
          <w:szCs w:val="20"/>
          <w:color w:val="auto"/>
        </w:rPr>
      </w:pPr>
      <w:r>
        <w:rPr>
          <w:rFonts w:ascii="Arial" w:cs="Arial" w:eastAsia="Arial" w:hAnsi="Arial"/>
          <w:sz w:val="12"/>
          <w:szCs w:val="12"/>
          <w:color w:val="auto"/>
        </w:rPr>
        <w:t>Janet Morgan</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2"/>
          <w:szCs w:val="12"/>
          <w:color w:val="auto"/>
        </w:rPr>
        <w:t>Charlotte, NC 28277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Vice President and Treasurer</w:t>
      </w:r>
    </w:p>
    <w:p>
      <w:pPr>
        <w:spacing w:after="0" w:line="422" w:lineRule="exact"/>
        <w:rPr>
          <w:sz w:val="20"/>
          <w:szCs w:val="20"/>
          <w:color w:val="auto"/>
        </w:rPr>
      </w:pPr>
    </w:p>
    <w:p>
      <w:pPr>
        <w:sectPr>
          <w:pgSz w:w="11900" w:h="16838" w:orient="portrait"/>
          <w:cols w:equalWidth="0" w:num="2">
            <w:col w:w="1984" w:space="620"/>
            <w:col w:w="7059"/>
          </w:cols>
          <w:pgMar w:left="796" w:top="703" w:right="1440" w:bottom="1440" w:gutter="0" w:footer="0" w:header="0"/>
          <w:type w:val="continuous"/>
        </w:sectPr>
      </w:pPr>
    </w:p>
    <w:p>
      <w:pPr>
        <w:ind w:left="4"/>
        <w:spacing w:after="0"/>
        <w:rPr>
          <w:sz w:val="20"/>
          <w:szCs w:val="20"/>
          <w:color w:val="auto"/>
        </w:rPr>
      </w:pPr>
      <w:r>
        <w:rPr>
          <w:rFonts w:ascii="Arial" w:cs="Arial" w:eastAsia="Arial" w:hAnsi="Arial"/>
          <w:sz w:val="12"/>
          <w:szCs w:val="12"/>
          <w:color w:val="auto"/>
        </w:rPr>
        <w:t>James Painter, Jr.</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2"/>
          <w:szCs w:val="12"/>
          <w:color w:val="auto"/>
        </w:rPr>
        <w:t>Charlotte, NC 28277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w:t>
      </w:r>
    </w:p>
    <w:p>
      <w:pPr>
        <w:spacing w:after="0" w:line="410" w:lineRule="exact"/>
        <w:rPr>
          <w:sz w:val="20"/>
          <w:szCs w:val="20"/>
          <w:color w:val="auto"/>
        </w:rPr>
      </w:pPr>
    </w:p>
    <w:p>
      <w:pPr>
        <w:sectPr>
          <w:pgSz w:w="11900" w:h="16838" w:orient="portrait"/>
          <w:cols w:equalWidth="0" w:num="2">
            <w:col w:w="1984" w:space="620"/>
            <w:col w:w="7059"/>
          </w:cols>
          <w:pgMar w:left="796" w:top="703" w:right="1440" w:bottom="1440" w:gutter="0" w:footer="0" w:header="0"/>
          <w:type w:val="continuous"/>
        </w:sectPr>
      </w:pPr>
    </w:p>
    <w:p>
      <w:pPr>
        <w:ind w:left="4"/>
        <w:spacing w:after="0"/>
        <w:rPr>
          <w:sz w:val="20"/>
          <w:szCs w:val="20"/>
          <w:color w:val="auto"/>
        </w:rPr>
      </w:pPr>
      <w:r>
        <w:rPr>
          <w:rFonts w:ascii="Arial" w:cs="Arial" w:eastAsia="Arial" w:hAnsi="Arial"/>
          <w:sz w:val="12"/>
          <w:szCs w:val="12"/>
          <w:color w:val="auto"/>
        </w:rPr>
        <w:t>Melissa Pavlovich</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2"/>
          <w:szCs w:val="12"/>
          <w:color w:val="auto"/>
        </w:rPr>
        <w:t>Charlotte, NC 28277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Vice President and Tax Director</w:t>
      </w:r>
    </w:p>
    <w:p>
      <w:pPr>
        <w:spacing w:after="0" w:line="431" w:lineRule="exact"/>
        <w:rPr>
          <w:sz w:val="20"/>
          <w:szCs w:val="20"/>
          <w:color w:val="auto"/>
        </w:rPr>
      </w:pPr>
    </w:p>
    <w:p>
      <w:pPr>
        <w:sectPr>
          <w:pgSz w:w="11900" w:h="16838" w:orient="portrait"/>
          <w:cols w:equalWidth="0" w:num="2">
            <w:col w:w="1984" w:space="620"/>
            <w:col w:w="7059"/>
          </w:cols>
          <w:pgMar w:left="796" w:top="703" w:right="1440" w:bottom="1440" w:gutter="0" w:footer="0" w:header="0"/>
          <w:type w:val="continuous"/>
        </w:sectPr>
      </w:pPr>
    </w:p>
    <w:p>
      <w:pPr>
        <w:ind w:left="4"/>
        <w:spacing w:after="0"/>
        <w:rPr>
          <w:sz w:val="20"/>
          <w:szCs w:val="20"/>
          <w:color w:val="auto"/>
        </w:rPr>
      </w:pPr>
      <w:r>
        <w:rPr>
          <w:rFonts w:ascii="Arial" w:cs="Arial" w:eastAsia="Arial" w:hAnsi="Arial"/>
          <w:sz w:val="12"/>
          <w:szCs w:val="12"/>
          <w:color w:val="auto"/>
        </w:rPr>
        <w:t>Kristin Prohonic</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1"/>
          <w:szCs w:val="11"/>
          <w:color w:val="auto"/>
        </w:rPr>
        <w:t>11225 North Community House Road</w:t>
      </w:r>
    </w:p>
    <w:p>
      <w:pPr>
        <w:spacing w:after="0" w:line="18" w:lineRule="exact"/>
        <w:rPr>
          <w:sz w:val="20"/>
          <w:szCs w:val="20"/>
          <w:color w:val="auto"/>
        </w:rPr>
      </w:pPr>
    </w:p>
    <w:p>
      <w:pPr>
        <w:ind w:left="4"/>
        <w:spacing w:after="0"/>
        <w:rPr>
          <w:sz w:val="20"/>
          <w:szCs w:val="20"/>
          <w:color w:val="auto"/>
        </w:rPr>
      </w:pPr>
      <w:r>
        <w:rPr>
          <w:rFonts w:ascii="Arial" w:cs="Arial" w:eastAsia="Arial" w:hAnsi="Arial"/>
          <w:sz w:val="12"/>
          <w:szCs w:val="12"/>
          <w:color w:val="auto"/>
        </w:rPr>
        <w:t>Charlotte, NC 28277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Vice President and Chief Compliance Officer</w:t>
      </w:r>
    </w:p>
    <w:p>
      <w:pPr>
        <w:spacing w:after="0" w:line="420" w:lineRule="exact"/>
        <w:rPr>
          <w:sz w:val="20"/>
          <w:szCs w:val="20"/>
          <w:color w:val="auto"/>
        </w:rPr>
      </w:pPr>
    </w:p>
    <w:p>
      <w:pPr>
        <w:sectPr>
          <w:pgSz w:w="11900" w:h="16838" w:orient="portrait"/>
          <w:cols w:equalWidth="0" w:num="2">
            <w:col w:w="1984" w:space="620"/>
            <w:col w:w="7059"/>
          </w:cols>
          <w:pgMar w:left="796" w:top="703" w:right="1440" w:bottom="1440" w:gutter="0" w:footer="0" w:header="0"/>
          <w:type w:val="continuous"/>
        </w:sectPr>
      </w:pPr>
    </w:p>
    <w:p>
      <w:pPr>
        <w:ind w:left="584" w:right="3739" w:hanging="584"/>
        <w:spacing w:after="0" w:line="262" w:lineRule="auto"/>
        <w:tabs>
          <w:tab w:leader="none" w:pos="584" w:val="left"/>
        </w:tabs>
        <w:numPr>
          <w:ilvl w:val="0"/>
          <w:numId w:val="85"/>
        </w:numPr>
        <w:rPr>
          <w:rFonts w:ascii="Arial" w:cs="Arial" w:eastAsia="Arial" w:hAnsi="Arial"/>
          <w:sz w:val="12"/>
          <w:szCs w:val="12"/>
          <w:color w:val="auto"/>
        </w:rPr>
      </w:pPr>
      <w:r>
        <w:rPr>
          <w:rFonts w:ascii="Arial" w:cs="Arial" w:eastAsia="Arial" w:hAnsi="Arial"/>
          <w:sz w:val="12"/>
          <w:szCs w:val="12"/>
          <w:color w:val="auto"/>
        </w:rPr>
        <w:t>Compensation from the Company. The following aggregate amount of commissions and other compensation was received by the Distributor, directly or indirectly, from the Insurance Company and the other separate accounts of the Insurance Company, which also issue variable annuity contracts, during their last fiscal year.</w:t>
      </w:r>
    </w:p>
    <w:p>
      <w:pPr>
        <w:spacing w:after="0" w:line="44" w:lineRule="exact"/>
        <w:rPr>
          <w:sz w:val="20"/>
          <w:szCs w:val="20"/>
          <w:color w:val="auto"/>
        </w:rPr>
      </w:pPr>
    </w:p>
    <w:tbl>
      <w:tblPr>
        <w:tblLayout w:type="fixed"/>
        <w:tblInd w:w="4" w:type="dxa"/>
        <w:tblCellMar>
          <w:top w:w="0" w:type="dxa"/>
          <w:left w:w="0" w:type="dxa"/>
          <w:bottom w:w="0" w:type="dxa"/>
          <w:right w:w="0" w:type="dxa"/>
        </w:tblCellMar>
      </w:tblPr>
      <w:tr>
        <w:trPr>
          <w:trHeight w:val="115"/>
        </w:trPr>
        <w:tc>
          <w:tcPr>
            <w:tcW w:w="4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60" w:type="dxa"/>
            <w:vAlign w:val="bottom"/>
            <w:gridSpan w:val="2"/>
          </w:tcPr>
          <w:p>
            <w:pPr>
              <w:jc w:val="right"/>
              <w:ind w:right="248"/>
              <w:spacing w:after="0"/>
              <w:rPr>
                <w:sz w:val="20"/>
                <w:szCs w:val="20"/>
                <w:color w:val="auto"/>
              </w:rPr>
            </w:pPr>
            <w:r>
              <w:rPr>
                <w:rFonts w:ascii="Arial" w:cs="Arial" w:eastAsia="Arial" w:hAnsi="Arial"/>
                <w:sz w:val="10"/>
                <w:szCs w:val="10"/>
                <w:b w:val="1"/>
                <w:bCs w:val="1"/>
                <w:color w:val="auto"/>
              </w:rPr>
              <w:t>(2)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8"/>
        </w:trPr>
        <w:tc>
          <w:tcPr>
            <w:tcW w:w="4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940" w:type="dxa"/>
            <w:vAlign w:val="bottom"/>
            <w:gridSpan w:val="3"/>
          </w:tcPr>
          <w:p>
            <w:pPr>
              <w:jc w:val="center"/>
              <w:ind w:left="32"/>
              <w:spacing w:after="0" w:line="108" w:lineRule="exact"/>
              <w:rPr>
                <w:sz w:val="20"/>
                <w:szCs w:val="20"/>
                <w:color w:val="auto"/>
              </w:rPr>
            </w:pPr>
            <w:r>
              <w:rPr>
                <w:rFonts w:ascii="Arial" w:cs="Arial" w:eastAsia="Arial" w:hAnsi="Arial"/>
                <w:sz w:val="10"/>
                <w:szCs w:val="10"/>
                <w:b w:val="1"/>
                <w:bCs w:val="1"/>
                <w:color w:val="auto"/>
                <w:w w:val="96"/>
              </w:rPr>
              <w:t>Net Underwriting</w:t>
            </w:r>
          </w:p>
        </w:tc>
        <w:tc>
          <w:tcPr>
            <w:tcW w:w="720" w:type="dxa"/>
            <w:vAlign w:val="bottom"/>
            <w:gridSpan w:val="2"/>
          </w:tcPr>
          <w:p>
            <w:pPr>
              <w:jc w:val="right"/>
              <w:ind w:right="220"/>
              <w:spacing w:after="0" w:line="108" w:lineRule="exact"/>
              <w:rPr>
                <w:sz w:val="20"/>
                <w:szCs w:val="20"/>
                <w:color w:val="auto"/>
              </w:rPr>
            </w:pPr>
            <w:r>
              <w:rPr>
                <w:rFonts w:ascii="Arial" w:cs="Arial" w:eastAsia="Arial" w:hAnsi="Arial"/>
                <w:sz w:val="10"/>
                <w:szCs w:val="10"/>
                <w:b w:val="1"/>
                <w:bCs w:val="1"/>
                <w:color w:val="auto"/>
              </w:rPr>
              <w:t>(3)</w:t>
            </w:r>
          </w:p>
        </w:tc>
        <w:tc>
          <w:tcPr>
            <w:tcW w:w="80" w:type="dxa"/>
            <w:vAlign w:val="bottom"/>
          </w:tcPr>
          <w:p>
            <w:pPr>
              <w:spacing w:after="0"/>
              <w:rPr>
                <w:sz w:val="9"/>
                <w:szCs w:val="9"/>
                <w:color w:val="auto"/>
              </w:rPr>
            </w:pPr>
          </w:p>
        </w:tc>
        <w:tc>
          <w:tcPr>
            <w:tcW w:w="580" w:type="dxa"/>
            <w:vAlign w:val="bottom"/>
            <w:gridSpan w:val="2"/>
          </w:tcPr>
          <w:p>
            <w:pPr>
              <w:jc w:val="right"/>
              <w:ind w:right="166"/>
              <w:spacing w:after="0" w:line="108" w:lineRule="exact"/>
              <w:rPr>
                <w:sz w:val="20"/>
                <w:szCs w:val="20"/>
                <w:color w:val="auto"/>
              </w:rPr>
            </w:pPr>
            <w:r>
              <w:rPr>
                <w:rFonts w:ascii="Arial" w:cs="Arial" w:eastAsia="Arial" w:hAnsi="Arial"/>
                <w:sz w:val="10"/>
                <w:szCs w:val="10"/>
                <w:b w:val="1"/>
                <w:bCs w:val="1"/>
                <w:color w:val="auto"/>
              </w:rPr>
              <w:t>(4)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ind w:right="208"/>
              <w:spacing w:after="0" w:line="108" w:lineRule="exact"/>
              <w:rPr>
                <w:sz w:val="20"/>
                <w:szCs w:val="20"/>
                <w:color w:val="auto"/>
              </w:rPr>
            </w:pPr>
            <w:r>
              <w:rPr>
                <w:rFonts w:ascii="Arial" w:cs="Arial" w:eastAsia="Arial" w:hAnsi="Arial"/>
                <w:sz w:val="10"/>
                <w:szCs w:val="10"/>
                <w:b w:val="1"/>
                <w:bCs w:val="1"/>
                <w:color w:val="auto"/>
              </w:rPr>
              <w:t>(5)</w:t>
            </w:r>
          </w:p>
        </w:tc>
        <w:tc>
          <w:tcPr>
            <w:tcW w:w="40" w:type="dxa"/>
            <w:vAlign w:val="bottom"/>
          </w:tcPr>
          <w:p>
            <w:pPr>
              <w:spacing w:after="0"/>
              <w:rPr>
                <w:sz w:val="9"/>
                <w:szCs w:val="9"/>
                <w:color w:val="auto"/>
              </w:rPr>
            </w:pPr>
          </w:p>
        </w:tc>
      </w:tr>
      <w:tr>
        <w:trPr>
          <w:trHeight w:val="108"/>
        </w:trPr>
        <w:tc>
          <w:tcPr>
            <w:tcW w:w="400" w:type="dxa"/>
            <w:vAlign w:val="bottom"/>
          </w:tcPr>
          <w:p>
            <w:pPr>
              <w:spacing w:after="0"/>
              <w:rPr>
                <w:sz w:val="9"/>
                <w:szCs w:val="9"/>
                <w:color w:val="auto"/>
              </w:rPr>
            </w:pPr>
          </w:p>
        </w:tc>
        <w:tc>
          <w:tcPr>
            <w:tcW w:w="2660" w:type="dxa"/>
            <w:vAlign w:val="bottom"/>
          </w:tcPr>
          <w:p>
            <w:pPr>
              <w:jc w:val="right"/>
              <w:ind w:right="1406"/>
              <w:spacing w:after="0" w:line="108" w:lineRule="exact"/>
              <w:rPr>
                <w:sz w:val="20"/>
                <w:szCs w:val="20"/>
                <w:color w:val="auto"/>
              </w:rPr>
            </w:pPr>
            <w:r>
              <w:rPr>
                <w:rFonts w:ascii="Arial" w:cs="Arial" w:eastAsia="Arial" w:hAnsi="Arial"/>
                <w:sz w:val="10"/>
                <w:szCs w:val="10"/>
                <w:b w:val="1"/>
                <w:bCs w:val="1"/>
                <w:color w:val="auto"/>
              </w:rPr>
              <w:t>(1)</w:t>
            </w:r>
          </w:p>
        </w:tc>
        <w:tc>
          <w:tcPr>
            <w:tcW w:w="140" w:type="dxa"/>
            <w:vAlign w:val="bottom"/>
          </w:tcPr>
          <w:p>
            <w:pPr>
              <w:spacing w:after="0"/>
              <w:rPr>
                <w:sz w:val="9"/>
                <w:szCs w:val="9"/>
                <w:color w:val="auto"/>
              </w:rPr>
            </w:pPr>
          </w:p>
        </w:tc>
        <w:tc>
          <w:tcPr>
            <w:tcW w:w="8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6"/>
              </w:rPr>
              <w:t>Discounts And</w:t>
            </w:r>
          </w:p>
        </w:tc>
        <w:tc>
          <w:tcPr>
            <w:tcW w:w="800" w:type="dxa"/>
            <w:vAlign w:val="bottom"/>
            <w:gridSpan w:val="3"/>
          </w:tcPr>
          <w:p>
            <w:pPr>
              <w:ind w:left="60"/>
              <w:spacing w:after="0" w:line="108" w:lineRule="exact"/>
              <w:rPr>
                <w:sz w:val="20"/>
                <w:szCs w:val="20"/>
                <w:color w:val="auto"/>
              </w:rPr>
            </w:pPr>
            <w:r>
              <w:rPr>
                <w:rFonts w:ascii="Arial" w:cs="Arial" w:eastAsia="Arial" w:hAnsi="Arial"/>
                <w:sz w:val="10"/>
                <w:szCs w:val="10"/>
                <w:b w:val="1"/>
                <w:bCs w:val="1"/>
                <w:color w:val="auto"/>
              </w:rPr>
              <w:t>Compensation</w:t>
            </w:r>
          </w:p>
        </w:tc>
        <w:tc>
          <w:tcPr>
            <w:tcW w:w="40" w:type="dxa"/>
            <w:vAlign w:val="bottom"/>
          </w:tcPr>
          <w:p>
            <w:pPr>
              <w:spacing w:after="0"/>
              <w:rPr>
                <w:sz w:val="9"/>
                <w:szCs w:val="9"/>
                <w:color w:val="auto"/>
              </w:rPr>
            </w:pPr>
          </w:p>
        </w:tc>
        <w:tc>
          <w:tcPr>
            <w:tcW w:w="760" w:type="dxa"/>
            <w:vAlign w:val="bottom"/>
            <w:gridSpan w:val="3"/>
          </w:tcPr>
          <w:p>
            <w:pPr>
              <w:ind w:left="40"/>
              <w:spacing w:after="0" w:line="108" w:lineRule="exact"/>
              <w:rPr>
                <w:sz w:val="20"/>
                <w:szCs w:val="20"/>
                <w:color w:val="auto"/>
              </w:rPr>
            </w:pPr>
            <w:r>
              <w:rPr>
                <w:rFonts w:ascii="Arial" w:cs="Arial" w:eastAsia="Arial" w:hAnsi="Arial"/>
                <w:sz w:val="10"/>
                <w:szCs w:val="10"/>
                <w:b w:val="1"/>
                <w:bCs w:val="1"/>
                <w:color w:val="auto"/>
              </w:rPr>
              <w:t>Brokerage</w:t>
            </w:r>
          </w:p>
        </w:tc>
        <w:tc>
          <w:tcPr>
            <w:tcW w:w="560" w:type="dxa"/>
            <w:vAlign w:val="bottom"/>
            <w:gridSpan w:val="2"/>
          </w:tcPr>
          <w:p>
            <w:pPr>
              <w:ind w:left="80"/>
              <w:spacing w:after="0" w:line="108" w:lineRule="exact"/>
              <w:rPr>
                <w:sz w:val="20"/>
                <w:szCs w:val="20"/>
                <w:color w:val="auto"/>
              </w:rPr>
            </w:pPr>
            <w:r>
              <w:rPr>
                <w:rFonts w:ascii="Arial" w:cs="Arial" w:eastAsia="Arial" w:hAnsi="Arial"/>
                <w:sz w:val="10"/>
                <w:szCs w:val="10"/>
                <w:b w:val="1"/>
                <w:bCs w:val="1"/>
                <w:color w:val="auto"/>
              </w:rPr>
              <w:t>Other</w:t>
            </w:r>
          </w:p>
        </w:tc>
      </w:tr>
      <w:tr>
        <w:trPr>
          <w:trHeight w:val="124"/>
        </w:trPr>
        <w:tc>
          <w:tcPr>
            <w:tcW w:w="400" w:type="dxa"/>
            <w:vAlign w:val="bottom"/>
          </w:tcPr>
          <w:p>
            <w:pPr>
              <w:spacing w:after="0"/>
              <w:rPr>
                <w:sz w:val="10"/>
                <w:szCs w:val="10"/>
                <w:color w:val="auto"/>
              </w:rPr>
            </w:pPr>
          </w:p>
        </w:tc>
        <w:tc>
          <w:tcPr>
            <w:tcW w:w="2660" w:type="dxa"/>
            <w:vAlign w:val="bottom"/>
          </w:tcPr>
          <w:p>
            <w:pPr>
              <w:jc w:val="center"/>
              <w:ind w:right="346"/>
              <w:spacing w:after="0"/>
              <w:rPr>
                <w:sz w:val="20"/>
                <w:szCs w:val="20"/>
                <w:color w:val="auto"/>
              </w:rPr>
            </w:pPr>
            <w:r>
              <w:rPr>
                <w:rFonts w:ascii="Arial" w:cs="Arial" w:eastAsia="Arial" w:hAnsi="Arial"/>
                <w:sz w:val="10"/>
                <w:szCs w:val="10"/>
                <w:b w:val="1"/>
                <w:bCs w:val="1"/>
                <w:color w:val="auto"/>
                <w:w w:val="96"/>
              </w:rPr>
              <w:t>Name of Principal Underwriter</w:t>
            </w:r>
          </w:p>
        </w:tc>
        <w:tc>
          <w:tcPr>
            <w:tcW w:w="14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0"/>
                <w:szCs w:val="10"/>
                <w:b w:val="1"/>
                <w:bCs w:val="1"/>
                <w:color w:val="auto"/>
                <w:w w:val="97"/>
              </w:rPr>
              <w:t>Commissions</w:t>
            </w:r>
          </w:p>
        </w:tc>
        <w:tc>
          <w:tcPr>
            <w:tcW w:w="80" w:type="dxa"/>
            <w:vAlign w:val="bottom"/>
          </w:tcPr>
          <w:p>
            <w:pPr>
              <w:spacing w:after="0"/>
              <w:rPr>
                <w:sz w:val="10"/>
                <w:szCs w:val="10"/>
                <w:color w:val="auto"/>
              </w:rPr>
            </w:pPr>
          </w:p>
        </w:tc>
        <w:tc>
          <w:tcPr>
            <w:tcW w:w="800" w:type="dxa"/>
            <w:vAlign w:val="bottom"/>
            <w:gridSpan w:val="3"/>
          </w:tcPr>
          <w:p>
            <w:pPr>
              <w:ind w:left="60"/>
              <w:spacing w:after="0"/>
              <w:rPr>
                <w:sz w:val="20"/>
                <w:szCs w:val="20"/>
                <w:color w:val="auto"/>
              </w:rPr>
            </w:pPr>
            <w:r>
              <w:rPr>
                <w:rFonts w:ascii="Arial" w:cs="Arial" w:eastAsia="Arial" w:hAnsi="Arial"/>
                <w:sz w:val="10"/>
                <w:szCs w:val="10"/>
                <w:b w:val="1"/>
                <w:bCs w:val="1"/>
                <w:color w:val="auto"/>
                <w:w w:val="96"/>
              </w:rPr>
              <w:t>On Redemption</w:t>
            </w:r>
          </w:p>
        </w:tc>
        <w:tc>
          <w:tcPr>
            <w:tcW w:w="1360" w:type="dxa"/>
            <w:vAlign w:val="bottom"/>
            <w:gridSpan w:val="6"/>
          </w:tcPr>
          <w:p>
            <w:pPr>
              <w:ind w:left="40"/>
              <w:spacing w:after="0"/>
              <w:rPr>
                <w:sz w:val="20"/>
                <w:szCs w:val="20"/>
                <w:color w:val="auto"/>
              </w:rPr>
            </w:pPr>
            <w:r>
              <w:rPr>
                <w:rFonts w:ascii="Arial" w:cs="Arial" w:eastAsia="Arial" w:hAnsi="Arial"/>
                <w:sz w:val="10"/>
                <w:szCs w:val="10"/>
                <w:b w:val="1"/>
                <w:bCs w:val="1"/>
                <w:color w:val="auto"/>
                <w:w w:val="94"/>
              </w:rPr>
              <w:t>Commissions Compensation</w:t>
            </w:r>
          </w:p>
        </w:tc>
      </w:tr>
      <w:tr>
        <w:trPr>
          <w:trHeight w:val="151"/>
        </w:trPr>
        <w:tc>
          <w:tcPr>
            <w:tcW w:w="3060" w:type="dxa"/>
            <w:vAlign w:val="bottom"/>
            <w:tcBorders>
              <w:top w:val="single" w:sz="8" w:color="auto"/>
            </w:tcBorders>
            <w:gridSpan w:val="2"/>
            <w:shd w:val="clear" w:color="auto" w:fill="F0FFFF"/>
          </w:tcPr>
          <w:p>
            <w:pPr>
              <w:spacing w:after="0"/>
              <w:rPr>
                <w:sz w:val="20"/>
                <w:szCs w:val="20"/>
                <w:color w:val="auto"/>
              </w:rPr>
            </w:pPr>
            <w:r>
              <w:rPr>
                <w:rFonts w:ascii="Arial" w:cs="Arial" w:eastAsia="Arial" w:hAnsi="Arial"/>
                <w:sz w:val="12"/>
                <w:szCs w:val="12"/>
                <w:color w:val="auto"/>
              </w:rPr>
              <w:t>Brighthouse Securities, LLC</w:t>
            </w:r>
          </w:p>
        </w:tc>
        <w:tc>
          <w:tcPr>
            <w:tcW w:w="140" w:type="dxa"/>
            <w:vAlign w:val="bottom"/>
            <w:shd w:val="clear" w:color="auto" w:fill="F0FFFF"/>
          </w:tcPr>
          <w:p>
            <w:pPr>
              <w:spacing w:after="0"/>
              <w:rPr>
                <w:sz w:val="13"/>
                <w:szCs w:val="13"/>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2"/>
                <w:szCs w:val="12"/>
                <w:color w:val="auto"/>
              </w:rPr>
              <w:t>$94,595,394</w:t>
            </w:r>
          </w:p>
        </w:tc>
        <w:tc>
          <w:tcPr>
            <w:tcW w:w="80" w:type="dxa"/>
            <w:vAlign w:val="bottom"/>
            <w:shd w:val="clear" w:color="auto" w:fill="F0FFFF"/>
          </w:tcPr>
          <w:p>
            <w:pPr>
              <w:spacing w:after="0"/>
              <w:rPr>
                <w:sz w:val="13"/>
                <w:szCs w:val="13"/>
                <w:color w:val="auto"/>
              </w:rPr>
            </w:pPr>
          </w:p>
        </w:tc>
        <w:tc>
          <w:tcPr>
            <w:tcW w:w="60" w:type="dxa"/>
            <w:vAlign w:val="bottom"/>
            <w:shd w:val="clear" w:color="auto" w:fill="F0FFFF"/>
          </w:tcPr>
          <w:p>
            <w:pPr>
              <w:spacing w:after="0"/>
              <w:rPr>
                <w:sz w:val="13"/>
                <w:szCs w:val="13"/>
                <w:color w:val="auto"/>
              </w:rPr>
            </w:pPr>
          </w:p>
        </w:tc>
        <w:tc>
          <w:tcPr>
            <w:tcW w:w="660" w:type="dxa"/>
            <w:vAlign w:val="bottom"/>
            <w:tcBorders>
              <w:top w:val="single" w:sz="8" w:color="auto"/>
            </w:tcBorders>
            <w:shd w:val="clear" w:color="auto" w:fill="F0FFFF"/>
          </w:tcPr>
          <w:p>
            <w:pPr>
              <w:jc w:val="right"/>
              <w:ind w:right="200"/>
              <w:spacing w:after="0"/>
              <w:rPr>
                <w:sz w:val="20"/>
                <w:szCs w:val="20"/>
                <w:color w:val="auto"/>
              </w:rPr>
            </w:pPr>
            <w:r>
              <w:rPr>
                <w:rFonts w:ascii="Arial" w:cs="Arial" w:eastAsia="Arial" w:hAnsi="Arial"/>
                <w:sz w:val="12"/>
                <w:szCs w:val="12"/>
                <w:color w:val="auto"/>
              </w:rPr>
              <w:t>$0</w:t>
            </w:r>
          </w:p>
        </w:tc>
        <w:tc>
          <w:tcPr>
            <w:tcW w:w="80" w:type="dxa"/>
            <w:vAlign w:val="bottom"/>
            <w:shd w:val="clear" w:color="auto" w:fill="F0FFFF"/>
          </w:tcPr>
          <w:p>
            <w:pPr>
              <w:spacing w:after="0"/>
              <w:rPr>
                <w:sz w:val="13"/>
                <w:szCs w:val="13"/>
                <w:color w:val="auto"/>
              </w:rPr>
            </w:pPr>
          </w:p>
        </w:tc>
        <w:tc>
          <w:tcPr>
            <w:tcW w:w="40" w:type="dxa"/>
            <w:vAlign w:val="bottom"/>
            <w:shd w:val="clear" w:color="auto" w:fill="F0FFFF"/>
          </w:tcPr>
          <w:p>
            <w:pPr>
              <w:spacing w:after="0"/>
              <w:rPr>
                <w:sz w:val="13"/>
                <w:szCs w:val="13"/>
                <w:color w:val="auto"/>
              </w:rPr>
            </w:pPr>
          </w:p>
        </w:tc>
        <w:tc>
          <w:tcPr>
            <w:tcW w:w="540" w:type="dxa"/>
            <w:vAlign w:val="bottom"/>
            <w:tcBorders>
              <w:top w:val="single" w:sz="8" w:color="auto"/>
            </w:tcBorders>
            <w:shd w:val="clear" w:color="auto" w:fill="F0FFFF"/>
          </w:tcPr>
          <w:p>
            <w:pPr>
              <w:jc w:val="right"/>
              <w:ind w:right="146"/>
              <w:spacing w:after="0"/>
              <w:rPr>
                <w:sz w:val="20"/>
                <w:szCs w:val="20"/>
                <w:color w:val="auto"/>
              </w:rPr>
            </w:pPr>
            <w:r>
              <w:rPr>
                <w:rFonts w:ascii="Arial" w:cs="Arial" w:eastAsia="Arial" w:hAnsi="Arial"/>
                <w:sz w:val="12"/>
                <w:szCs w:val="12"/>
                <w:color w:val="auto"/>
              </w:rPr>
              <w:t>$0</w:t>
            </w:r>
          </w:p>
        </w:tc>
        <w:tc>
          <w:tcPr>
            <w:tcW w:w="120" w:type="dxa"/>
            <w:vAlign w:val="bottom"/>
            <w:shd w:val="clear" w:color="auto" w:fill="F0FFFF"/>
          </w:tcPr>
          <w:p>
            <w:pPr>
              <w:spacing w:after="0"/>
              <w:rPr>
                <w:sz w:val="13"/>
                <w:szCs w:val="13"/>
                <w:color w:val="auto"/>
              </w:rPr>
            </w:pPr>
          </w:p>
        </w:tc>
        <w:tc>
          <w:tcPr>
            <w:tcW w:w="100" w:type="dxa"/>
            <w:vAlign w:val="bottom"/>
            <w:tcBorders>
              <w:top w:val="single" w:sz="8" w:color="auto"/>
            </w:tcBorders>
            <w:shd w:val="clear" w:color="auto" w:fill="F0FFFF"/>
          </w:tcPr>
          <w:p>
            <w:pPr>
              <w:spacing w:after="0"/>
              <w:rPr>
                <w:sz w:val="13"/>
                <w:szCs w:val="13"/>
                <w:color w:val="auto"/>
              </w:rPr>
            </w:pPr>
          </w:p>
        </w:tc>
        <w:tc>
          <w:tcPr>
            <w:tcW w:w="520" w:type="dxa"/>
            <w:vAlign w:val="bottom"/>
            <w:tcBorders>
              <w:top w:val="single" w:sz="8" w:color="auto"/>
            </w:tcBorders>
            <w:shd w:val="clear" w:color="auto" w:fill="F0FFFF"/>
          </w:tcPr>
          <w:p>
            <w:pPr>
              <w:jc w:val="right"/>
              <w:ind w:right="188"/>
              <w:spacing w:after="0"/>
              <w:rPr>
                <w:sz w:val="20"/>
                <w:szCs w:val="20"/>
                <w:color w:val="auto"/>
              </w:rPr>
            </w:pPr>
            <w:r>
              <w:rPr>
                <w:rFonts w:ascii="Arial" w:cs="Arial" w:eastAsia="Arial" w:hAnsi="Arial"/>
                <w:sz w:val="12"/>
                <w:szCs w:val="12"/>
                <w:color w:val="auto"/>
              </w:rPr>
              <w:t>$0</w:t>
            </w:r>
          </w:p>
        </w:tc>
        <w:tc>
          <w:tcPr>
            <w:tcW w:w="40" w:type="dxa"/>
            <w:vAlign w:val="bottom"/>
          </w:tcPr>
          <w:p>
            <w:pPr>
              <w:spacing w:after="0"/>
              <w:rPr>
                <w:sz w:val="13"/>
                <w:szCs w:val="13"/>
                <w:color w:val="auto"/>
              </w:rPr>
            </w:pPr>
          </w:p>
        </w:tc>
      </w:tr>
      <w:tr>
        <w:trPr>
          <w:trHeight w:val="243"/>
        </w:trPr>
        <w:tc>
          <w:tcPr>
            <w:tcW w:w="400" w:type="dxa"/>
            <w:vAlign w:val="bottom"/>
          </w:tcPr>
          <w:p>
            <w:pPr>
              <w:spacing w:after="0"/>
              <w:rPr>
                <w:sz w:val="20"/>
                <w:szCs w:val="20"/>
                <w:color w:val="auto"/>
              </w:rPr>
            </w:pPr>
            <w:r>
              <w:rPr>
                <w:rFonts w:ascii="Arial" w:cs="Arial" w:eastAsia="Arial" w:hAnsi="Arial"/>
                <w:sz w:val="12"/>
                <w:szCs w:val="12"/>
                <w:b w:val="1"/>
                <w:bCs w:val="1"/>
                <w:color w:val="auto"/>
              </w:rPr>
              <w:t>Item</w:t>
            </w:r>
          </w:p>
        </w:tc>
        <w:tc>
          <w:tcPr>
            <w:tcW w:w="5200" w:type="dxa"/>
            <w:vAlign w:val="bottom"/>
            <w:gridSpan w:val="11"/>
          </w:tcPr>
          <w:p>
            <w:pPr>
              <w:ind w:left="160"/>
              <w:spacing w:after="0"/>
              <w:rPr>
                <w:sz w:val="20"/>
                <w:szCs w:val="20"/>
                <w:color w:val="auto"/>
              </w:rPr>
            </w:pPr>
            <w:r>
              <w:rPr>
                <w:rFonts w:ascii="Arial" w:cs="Arial" w:eastAsia="Arial" w:hAnsi="Arial"/>
                <w:sz w:val="12"/>
                <w:szCs w:val="12"/>
                <w:b w:val="1"/>
                <w:bCs w:val="1"/>
                <w:color w:val="auto"/>
              </w:rPr>
              <w:t>Information About Contracts with Index-Linked Options and Fixed Options Subject to a</w:t>
            </w: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65"/>
        </w:trPr>
        <w:tc>
          <w:tcPr>
            <w:tcW w:w="400" w:type="dxa"/>
            <w:vAlign w:val="bottom"/>
          </w:tcPr>
          <w:p>
            <w:pPr>
              <w:spacing w:after="0"/>
              <w:rPr>
                <w:sz w:val="20"/>
                <w:szCs w:val="20"/>
                <w:color w:val="auto"/>
              </w:rPr>
            </w:pPr>
            <w:r>
              <w:rPr>
                <w:rFonts w:ascii="Arial" w:cs="Arial" w:eastAsia="Arial" w:hAnsi="Arial"/>
                <w:sz w:val="12"/>
                <w:szCs w:val="12"/>
                <w:b w:val="1"/>
                <w:bCs w:val="1"/>
                <w:color w:val="auto"/>
              </w:rPr>
              <w:t>31A.</w:t>
            </w:r>
          </w:p>
        </w:tc>
        <w:tc>
          <w:tcPr>
            <w:tcW w:w="2660" w:type="dxa"/>
            <w:vAlign w:val="bottom"/>
          </w:tcPr>
          <w:p>
            <w:pPr>
              <w:ind w:left="160"/>
              <w:spacing w:after="0"/>
              <w:rPr>
                <w:sz w:val="20"/>
                <w:szCs w:val="20"/>
                <w:color w:val="auto"/>
              </w:rPr>
            </w:pPr>
            <w:r>
              <w:rPr>
                <w:rFonts w:ascii="Arial" w:cs="Arial" w:eastAsia="Arial" w:hAnsi="Arial"/>
                <w:sz w:val="12"/>
                <w:szCs w:val="12"/>
                <w:b w:val="1"/>
                <w:bCs w:val="1"/>
                <w:color w:val="auto"/>
              </w:rPr>
              <w:t>Contract Adjustment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0" w:lineRule="exact"/>
        <w:rPr>
          <w:sz w:val="20"/>
          <w:szCs w:val="20"/>
          <w:color w:val="auto"/>
        </w:rPr>
      </w:pPr>
    </w:p>
    <w:p>
      <w:pPr>
        <w:ind w:left="584" w:hanging="584"/>
        <w:spacing w:after="0"/>
        <w:tabs>
          <w:tab w:leader="none" w:pos="584"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information in the table below is as of December 31, of the prior calendar year.</w:t>
      </w:r>
    </w:p>
    <w:p>
      <w:pPr>
        <w:sectPr>
          <w:pgSz w:w="11900" w:h="16838" w:orient="portrait"/>
          <w:cols w:equalWidth="0" w:num="1">
            <w:col w:w="9663"/>
          </w:cols>
          <w:pgMar w:left="796" w:top="703" w:right="1440" w:bottom="1440" w:gutter="0" w:footer="0" w:header="0"/>
          <w:type w:val="continuous"/>
        </w:sectPr>
      </w:pPr>
    </w:p>
    <w:bookmarkStart w:id="116" w:name="page117"/>
    <w:bookmarkEnd w:id="116"/>
    <w:tbl>
      <w:tblPr>
        <w:tblLayout w:type="fixed"/>
        <w:tblInd w:w="4"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jc w:val="center"/>
              <w:ind w:right="11"/>
              <w:spacing w:after="0"/>
              <w:rPr>
                <w:sz w:val="20"/>
                <w:szCs w:val="20"/>
                <w:color w:val="auto"/>
              </w:rPr>
            </w:pPr>
            <w:r>
              <w:rPr>
                <w:rFonts w:ascii="Arial" w:cs="Arial" w:eastAsia="Arial" w:hAnsi="Arial"/>
                <w:sz w:val="10"/>
                <w:szCs w:val="10"/>
                <w:b w:val="1"/>
                <w:bCs w:val="1"/>
                <w:color w:val="auto"/>
                <w:w w:val="93"/>
              </w:rPr>
              <w:t>Total Value</w:t>
            </w: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8"/>
        </w:trPr>
        <w:tc>
          <w:tcPr>
            <w:tcW w:w="1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jc w:val="center"/>
              <w:ind w:right="31"/>
              <w:spacing w:after="0" w:line="108" w:lineRule="exact"/>
              <w:rPr>
                <w:sz w:val="20"/>
                <w:szCs w:val="20"/>
                <w:color w:val="auto"/>
              </w:rPr>
            </w:pPr>
            <w:r>
              <w:rPr>
                <w:rFonts w:ascii="Arial" w:cs="Arial" w:eastAsia="Arial" w:hAnsi="Arial"/>
                <w:sz w:val="10"/>
                <w:szCs w:val="10"/>
                <w:b w:val="1"/>
                <w:bCs w:val="1"/>
                <w:color w:val="auto"/>
                <w:w w:val="95"/>
              </w:rPr>
              <w:t>attributable to</w:t>
            </w:r>
          </w:p>
        </w:tc>
        <w:tc>
          <w:tcPr>
            <w:tcW w:w="72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Gross</w:t>
            </w:r>
          </w:p>
        </w:tc>
        <w:tc>
          <w:tcPr>
            <w:tcW w:w="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Amount of</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8"/>
        </w:trPr>
        <w:tc>
          <w:tcPr>
            <w:tcW w:w="1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ind w:left="40"/>
              <w:spacing w:after="0" w:line="108" w:lineRule="exact"/>
              <w:rPr>
                <w:sz w:val="20"/>
                <w:szCs w:val="20"/>
                <w:color w:val="auto"/>
              </w:rPr>
            </w:pPr>
            <w:r>
              <w:rPr>
                <w:rFonts w:ascii="Arial" w:cs="Arial" w:eastAsia="Arial" w:hAnsi="Arial"/>
                <w:sz w:val="10"/>
                <w:szCs w:val="10"/>
                <w:b w:val="1"/>
                <w:bCs w:val="1"/>
                <w:color w:val="auto"/>
                <w:w w:val="96"/>
              </w:rPr>
              <w:t>the Index-Linked Option</w:t>
            </w:r>
          </w:p>
        </w:tc>
        <w:tc>
          <w:tcPr>
            <w:tcW w:w="720" w:type="dxa"/>
            <w:vAlign w:val="bottom"/>
          </w:tcPr>
          <w:p>
            <w:pPr>
              <w:jc w:val="center"/>
              <w:ind w:right="30"/>
              <w:spacing w:after="0" w:line="108" w:lineRule="exact"/>
              <w:rPr>
                <w:sz w:val="20"/>
                <w:szCs w:val="20"/>
                <w:color w:val="auto"/>
              </w:rPr>
            </w:pPr>
            <w:r>
              <w:rPr>
                <w:rFonts w:ascii="Arial" w:cs="Arial" w:eastAsia="Arial" w:hAnsi="Arial"/>
                <w:sz w:val="10"/>
                <w:szCs w:val="10"/>
                <w:b w:val="1"/>
                <w:bCs w:val="1"/>
                <w:color w:val="auto"/>
                <w:w w:val="95"/>
              </w:rPr>
              <w:t>Number of</w:t>
            </w:r>
          </w:p>
        </w:tc>
        <w:tc>
          <w:tcPr>
            <w:tcW w:w="9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Premiums</w:t>
            </w:r>
          </w:p>
        </w:tc>
        <w:tc>
          <w:tcPr>
            <w:tcW w:w="760" w:type="dxa"/>
            <w:vAlign w:val="bottom"/>
          </w:tcPr>
          <w:p>
            <w:pPr>
              <w:ind w:left="60"/>
              <w:spacing w:after="0" w:line="108" w:lineRule="exact"/>
              <w:rPr>
                <w:sz w:val="20"/>
                <w:szCs w:val="20"/>
                <w:color w:val="auto"/>
              </w:rPr>
            </w:pPr>
            <w:r>
              <w:rPr>
                <w:rFonts w:ascii="Arial" w:cs="Arial" w:eastAsia="Arial" w:hAnsi="Arial"/>
                <w:sz w:val="10"/>
                <w:szCs w:val="10"/>
                <w:b w:val="1"/>
                <w:bCs w:val="1"/>
                <w:color w:val="auto"/>
                <w:w w:val="97"/>
              </w:rPr>
              <w:t>Contract value</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8"/>
        </w:trPr>
        <w:tc>
          <w:tcPr>
            <w:tcW w:w="1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60" w:type="dxa"/>
            <w:vAlign w:val="bottom"/>
          </w:tcPr>
          <w:p>
            <w:pPr>
              <w:jc w:val="center"/>
              <w:ind w:right="31"/>
              <w:spacing w:after="0" w:line="108" w:lineRule="exact"/>
              <w:rPr>
                <w:sz w:val="20"/>
                <w:szCs w:val="20"/>
                <w:color w:val="auto"/>
              </w:rPr>
            </w:pPr>
            <w:r>
              <w:rPr>
                <w:rFonts w:ascii="Arial" w:cs="Arial" w:eastAsia="Arial" w:hAnsi="Arial"/>
                <w:sz w:val="10"/>
                <w:szCs w:val="10"/>
                <w:b w:val="1"/>
                <w:bCs w:val="1"/>
                <w:color w:val="auto"/>
                <w:w w:val="94"/>
              </w:rPr>
              <w:t>and/or Fixed</w:t>
            </w:r>
          </w:p>
        </w:tc>
        <w:tc>
          <w:tcPr>
            <w:tcW w:w="720" w:type="dxa"/>
            <w:vAlign w:val="bottom"/>
          </w:tcPr>
          <w:p>
            <w:pPr>
              <w:ind w:left="20"/>
              <w:spacing w:after="0" w:line="108" w:lineRule="exact"/>
              <w:rPr>
                <w:sz w:val="20"/>
                <w:szCs w:val="20"/>
                <w:color w:val="auto"/>
              </w:rPr>
            </w:pPr>
            <w:r>
              <w:rPr>
                <w:rFonts w:ascii="Arial" w:cs="Arial" w:eastAsia="Arial" w:hAnsi="Arial"/>
                <w:sz w:val="10"/>
                <w:szCs w:val="10"/>
                <w:b w:val="1"/>
                <w:bCs w:val="1"/>
                <w:color w:val="auto"/>
                <w:w w:val="95"/>
              </w:rPr>
              <w:t>Contracts Sold</w:t>
            </w:r>
          </w:p>
        </w:tc>
        <w:tc>
          <w:tcPr>
            <w:tcW w:w="9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received</w:t>
            </w:r>
          </w:p>
        </w:tc>
        <w:tc>
          <w:tcPr>
            <w:tcW w:w="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redeemed</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8"/>
        </w:trPr>
        <w:tc>
          <w:tcPr>
            <w:tcW w:w="1300" w:type="dxa"/>
            <w:vAlign w:val="bottom"/>
          </w:tcPr>
          <w:p>
            <w:pPr>
              <w:spacing w:after="0"/>
              <w:rPr>
                <w:sz w:val="9"/>
                <w:szCs w:val="9"/>
                <w:color w:val="auto"/>
              </w:rPr>
            </w:pPr>
          </w:p>
        </w:tc>
        <w:tc>
          <w:tcPr>
            <w:tcW w:w="6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Number of</w:t>
            </w:r>
          </w:p>
        </w:tc>
        <w:tc>
          <w:tcPr>
            <w:tcW w:w="1160" w:type="dxa"/>
            <w:vAlign w:val="bottom"/>
          </w:tcPr>
          <w:p>
            <w:pPr>
              <w:jc w:val="center"/>
              <w:ind w:right="31"/>
              <w:spacing w:after="0" w:line="108" w:lineRule="exact"/>
              <w:rPr>
                <w:sz w:val="20"/>
                <w:szCs w:val="20"/>
                <w:color w:val="auto"/>
              </w:rPr>
            </w:pPr>
            <w:r>
              <w:rPr>
                <w:rFonts w:ascii="Arial" w:cs="Arial" w:eastAsia="Arial" w:hAnsi="Arial"/>
                <w:sz w:val="10"/>
                <w:szCs w:val="10"/>
                <w:b w:val="1"/>
                <w:bCs w:val="1"/>
                <w:color w:val="auto"/>
                <w:w w:val="97"/>
              </w:rPr>
              <w:t>Option subject</w:t>
            </w:r>
          </w:p>
        </w:tc>
        <w:tc>
          <w:tcPr>
            <w:tcW w:w="720" w:type="dxa"/>
            <w:vAlign w:val="bottom"/>
          </w:tcPr>
          <w:p>
            <w:pPr>
              <w:jc w:val="center"/>
              <w:ind w:right="30"/>
              <w:spacing w:after="0" w:line="108" w:lineRule="exact"/>
              <w:rPr>
                <w:sz w:val="20"/>
                <w:szCs w:val="20"/>
                <w:color w:val="auto"/>
              </w:rPr>
            </w:pPr>
            <w:r>
              <w:rPr>
                <w:rFonts w:ascii="Arial" w:cs="Arial" w:eastAsia="Arial" w:hAnsi="Arial"/>
                <w:sz w:val="10"/>
                <w:szCs w:val="10"/>
                <w:b w:val="1"/>
                <w:bCs w:val="1"/>
                <w:color w:val="auto"/>
                <w:w w:val="98"/>
              </w:rPr>
              <w:t>during the</w:t>
            </w:r>
          </w:p>
        </w:tc>
        <w:tc>
          <w:tcPr>
            <w:tcW w:w="9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during the</w:t>
            </w:r>
          </w:p>
        </w:tc>
        <w:tc>
          <w:tcPr>
            <w:tcW w:w="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during the</w:t>
            </w:r>
          </w:p>
        </w:tc>
        <w:tc>
          <w:tcPr>
            <w:tcW w:w="640" w:type="dxa"/>
            <w:vAlign w:val="bottom"/>
            <w:gridSpan w:val="2"/>
          </w:tcPr>
          <w:p>
            <w:pPr>
              <w:ind w:left="40"/>
              <w:spacing w:after="0" w:line="108" w:lineRule="exact"/>
              <w:rPr>
                <w:sz w:val="20"/>
                <w:szCs w:val="20"/>
                <w:color w:val="auto"/>
              </w:rPr>
            </w:pPr>
            <w:r>
              <w:rPr>
                <w:rFonts w:ascii="Arial" w:cs="Arial" w:eastAsia="Arial" w:hAnsi="Arial"/>
                <w:sz w:val="10"/>
                <w:szCs w:val="10"/>
                <w:b w:val="1"/>
                <w:bCs w:val="1"/>
                <w:color w:val="auto"/>
                <w:w w:val="94"/>
              </w:rPr>
              <w:t>Combination</w:t>
            </w:r>
          </w:p>
        </w:tc>
      </w:tr>
      <w:tr>
        <w:trPr>
          <w:trHeight w:val="108"/>
        </w:trPr>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Name of the</w:t>
            </w:r>
          </w:p>
        </w:tc>
        <w:tc>
          <w:tcPr>
            <w:tcW w:w="6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Contracts</w:t>
            </w:r>
          </w:p>
        </w:tc>
        <w:tc>
          <w:tcPr>
            <w:tcW w:w="1160" w:type="dxa"/>
            <w:vAlign w:val="bottom"/>
          </w:tcPr>
          <w:p>
            <w:pPr>
              <w:jc w:val="center"/>
              <w:ind w:right="31"/>
              <w:spacing w:after="0" w:line="108" w:lineRule="exact"/>
              <w:rPr>
                <w:sz w:val="20"/>
                <w:szCs w:val="20"/>
                <w:color w:val="auto"/>
              </w:rPr>
            </w:pPr>
            <w:r>
              <w:rPr>
                <w:rFonts w:ascii="Arial" w:cs="Arial" w:eastAsia="Arial" w:hAnsi="Arial"/>
                <w:sz w:val="10"/>
                <w:szCs w:val="10"/>
                <w:b w:val="1"/>
                <w:bCs w:val="1"/>
                <w:color w:val="auto"/>
                <w:w w:val="97"/>
              </w:rPr>
              <w:t>to a Contract</w:t>
            </w:r>
          </w:p>
        </w:tc>
        <w:tc>
          <w:tcPr>
            <w:tcW w:w="720" w:type="dxa"/>
            <w:vAlign w:val="bottom"/>
          </w:tcPr>
          <w:p>
            <w:pPr>
              <w:ind w:left="20"/>
              <w:spacing w:after="0" w:line="108" w:lineRule="exact"/>
              <w:rPr>
                <w:sz w:val="20"/>
                <w:szCs w:val="20"/>
                <w:color w:val="auto"/>
              </w:rPr>
            </w:pPr>
            <w:r>
              <w:rPr>
                <w:rFonts w:ascii="Arial" w:cs="Arial" w:eastAsia="Arial" w:hAnsi="Arial"/>
                <w:sz w:val="10"/>
                <w:szCs w:val="10"/>
                <w:b w:val="1"/>
                <w:bCs w:val="1"/>
                <w:color w:val="auto"/>
              </w:rPr>
              <w:t>prior calendar</w:t>
            </w:r>
          </w:p>
        </w:tc>
        <w:tc>
          <w:tcPr>
            <w:tcW w:w="9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prior calendar</w:t>
            </w:r>
          </w:p>
        </w:tc>
        <w:tc>
          <w:tcPr>
            <w:tcW w:w="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prior calendar</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7"/>
              </w:rPr>
              <w:t>Contract</w:t>
            </w:r>
          </w:p>
        </w:tc>
      </w:tr>
      <w:tr>
        <w:trPr>
          <w:trHeight w:val="132"/>
        </w:trPr>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2"/>
              </w:rPr>
              <w:t>Contract</w:t>
            </w:r>
          </w:p>
        </w:tc>
        <w:tc>
          <w:tcPr>
            <w:tcW w:w="660" w:type="dxa"/>
            <w:vAlign w:val="bottom"/>
          </w:tcPr>
          <w:p>
            <w:pPr>
              <w:ind w:left="80"/>
              <w:spacing w:after="0"/>
              <w:rPr>
                <w:sz w:val="20"/>
                <w:szCs w:val="20"/>
                <w:color w:val="auto"/>
              </w:rPr>
            </w:pPr>
            <w:r>
              <w:rPr>
                <w:rFonts w:ascii="Arial" w:cs="Arial" w:eastAsia="Arial" w:hAnsi="Arial"/>
                <w:sz w:val="10"/>
                <w:szCs w:val="10"/>
                <w:b w:val="1"/>
                <w:bCs w:val="1"/>
                <w:color w:val="auto"/>
                <w:w w:val="97"/>
              </w:rPr>
              <w:t>outstanding</w:t>
            </w:r>
          </w:p>
        </w:tc>
        <w:tc>
          <w:tcPr>
            <w:tcW w:w="1160" w:type="dxa"/>
            <w:vAlign w:val="bottom"/>
          </w:tcPr>
          <w:p>
            <w:pPr>
              <w:jc w:val="center"/>
              <w:ind w:right="31"/>
              <w:spacing w:after="0"/>
              <w:rPr>
                <w:sz w:val="20"/>
                <w:szCs w:val="20"/>
                <w:color w:val="auto"/>
              </w:rPr>
            </w:pPr>
            <w:r>
              <w:rPr>
                <w:rFonts w:ascii="Arial" w:cs="Arial" w:eastAsia="Arial" w:hAnsi="Arial"/>
                <w:sz w:val="10"/>
                <w:szCs w:val="10"/>
                <w:b w:val="1"/>
                <w:bCs w:val="1"/>
                <w:color w:val="auto"/>
                <w:w w:val="94"/>
              </w:rPr>
              <w:t>Adjustment</w:t>
            </w:r>
          </w:p>
        </w:tc>
        <w:tc>
          <w:tcPr>
            <w:tcW w:w="720" w:type="dxa"/>
            <w:vAlign w:val="bottom"/>
          </w:tcPr>
          <w:p>
            <w:pPr>
              <w:jc w:val="center"/>
              <w:ind w:right="30"/>
              <w:spacing w:after="0"/>
              <w:rPr>
                <w:sz w:val="20"/>
                <w:szCs w:val="20"/>
                <w:color w:val="auto"/>
              </w:rPr>
            </w:pPr>
            <w:r>
              <w:rPr>
                <w:rFonts w:ascii="Arial" w:cs="Arial" w:eastAsia="Arial" w:hAnsi="Arial"/>
                <w:sz w:val="10"/>
                <w:szCs w:val="10"/>
                <w:b w:val="1"/>
                <w:bCs w:val="1"/>
                <w:color w:val="auto"/>
                <w:w w:val="96"/>
              </w:rPr>
              <w:t>year</w:t>
            </w: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6"/>
              </w:rPr>
              <w:t>year</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6"/>
              </w:rPr>
              <w:t>year</w:t>
            </w:r>
          </w:p>
        </w:tc>
        <w:tc>
          <w:tcPr>
            <w:tcW w:w="640" w:type="dxa"/>
            <w:vAlign w:val="bottom"/>
            <w:gridSpan w:val="2"/>
          </w:tcPr>
          <w:p>
            <w:pPr>
              <w:jc w:val="center"/>
              <w:spacing w:after="0"/>
              <w:rPr>
                <w:sz w:val="20"/>
                <w:szCs w:val="20"/>
                <w:color w:val="auto"/>
              </w:rPr>
            </w:pPr>
            <w:r>
              <w:rPr>
                <w:rFonts w:ascii="Arial" w:cs="Arial" w:eastAsia="Arial" w:hAnsi="Arial"/>
                <w:sz w:val="10"/>
                <w:szCs w:val="10"/>
                <w:b w:val="1"/>
                <w:bCs w:val="1"/>
                <w:color w:val="auto"/>
                <w:w w:val="98"/>
              </w:rPr>
              <w:t>(Yes/No)</w:t>
            </w:r>
          </w:p>
        </w:tc>
      </w:tr>
      <w:tr>
        <w:trPr>
          <w:trHeight w:val="150"/>
        </w:trPr>
        <w:tc>
          <w:tcPr>
            <w:tcW w:w="1300" w:type="dxa"/>
            <w:vAlign w:val="bottom"/>
            <w:shd w:val="clear" w:color="auto" w:fill="F0FFFF"/>
          </w:tcPr>
          <w:p>
            <w:pPr>
              <w:spacing w:after="0" w:line="151" w:lineRule="exact"/>
              <w:rPr>
                <w:sz w:val="20"/>
                <w:szCs w:val="20"/>
                <w:color w:val="auto"/>
              </w:rPr>
            </w:pPr>
            <w:r>
              <w:rPr>
                <w:rFonts w:ascii="Arial" w:cs="Arial" w:eastAsia="Arial" w:hAnsi="Arial"/>
                <w:sz w:val="12"/>
                <w:szCs w:val="12"/>
                <w:color w:val="auto"/>
              </w:rPr>
              <w:t>Brighthouse Shield</w:t>
            </w:r>
            <w:r>
              <w:rPr>
                <w:rFonts w:ascii="Arial" w:cs="Arial" w:eastAsia="Arial" w:hAnsi="Arial"/>
                <w:sz w:val="15"/>
                <w:szCs w:val="15"/>
                <w:color w:val="auto"/>
                <w:vertAlign w:val="superscript"/>
              </w:rPr>
              <w:t>®</w:t>
            </w:r>
          </w:p>
        </w:tc>
        <w:tc>
          <w:tcPr>
            <w:tcW w:w="660" w:type="dxa"/>
            <w:vAlign w:val="bottom"/>
            <w:shd w:val="clear" w:color="auto" w:fill="F0FFFF"/>
          </w:tcPr>
          <w:p>
            <w:pPr>
              <w:spacing w:after="0"/>
              <w:rPr>
                <w:sz w:val="13"/>
                <w:szCs w:val="13"/>
                <w:color w:val="auto"/>
              </w:rPr>
            </w:pPr>
          </w:p>
        </w:tc>
        <w:tc>
          <w:tcPr>
            <w:tcW w:w="1160" w:type="dxa"/>
            <w:vAlign w:val="bottom"/>
            <w:shd w:val="clear" w:color="auto" w:fill="F0FFFF"/>
          </w:tcPr>
          <w:p>
            <w:pPr>
              <w:spacing w:after="0"/>
              <w:rPr>
                <w:sz w:val="13"/>
                <w:szCs w:val="13"/>
                <w:color w:val="auto"/>
              </w:rPr>
            </w:pPr>
          </w:p>
        </w:tc>
        <w:tc>
          <w:tcPr>
            <w:tcW w:w="720" w:type="dxa"/>
            <w:vAlign w:val="bottom"/>
            <w:shd w:val="clear" w:color="auto" w:fill="F0FFFF"/>
          </w:tcPr>
          <w:p>
            <w:pPr>
              <w:spacing w:after="0"/>
              <w:rPr>
                <w:sz w:val="13"/>
                <w:szCs w:val="13"/>
                <w:color w:val="auto"/>
              </w:rPr>
            </w:pPr>
          </w:p>
        </w:tc>
        <w:tc>
          <w:tcPr>
            <w:tcW w:w="920" w:type="dxa"/>
            <w:vAlign w:val="bottom"/>
            <w:shd w:val="clear" w:color="auto" w:fill="F0FFFF"/>
          </w:tcPr>
          <w:p>
            <w:pPr>
              <w:spacing w:after="0"/>
              <w:rPr>
                <w:sz w:val="13"/>
                <w:szCs w:val="13"/>
                <w:color w:val="auto"/>
              </w:rPr>
            </w:pPr>
          </w:p>
        </w:tc>
        <w:tc>
          <w:tcPr>
            <w:tcW w:w="760" w:type="dxa"/>
            <w:vAlign w:val="bottom"/>
            <w:shd w:val="clear" w:color="auto" w:fill="F0FFFF"/>
          </w:tcPr>
          <w:p>
            <w:pPr>
              <w:spacing w:after="0"/>
              <w:rPr>
                <w:sz w:val="13"/>
                <w:szCs w:val="13"/>
                <w:color w:val="auto"/>
              </w:rPr>
            </w:pPr>
          </w:p>
        </w:tc>
        <w:tc>
          <w:tcPr>
            <w:tcW w:w="600" w:type="dxa"/>
            <w:vAlign w:val="bottom"/>
            <w:shd w:val="clear" w:color="auto" w:fill="F0FFFF"/>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1300" w:type="dxa"/>
            <w:vAlign w:val="bottom"/>
            <w:shd w:val="clear" w:color="auto" w:fill="F0FFFF"/>
          </w:tcPr>
          <w:p>
            <w:pPr>
              <w:spacing w:after="0"/>
              <w:rPr>
                <w:sz w:val="20"/>
                <w:szCs w:val="20"/>
                <w:color w:val="auto"/>
              </w:rPr>
            </w:pPr>
            <w:r>
              <w:rPr>
                <w:rFonts w:ascii="Arial" w:cs="Arial" w:eastAsia="Arial" w:hAnsi="Arial"/>
                <w:sz w:val="12"/>
                <w:szCs w:val="12"/>
                <w:color w:val="auto"/>
              </w:rPr>
              <w:t>Level II 6-Year Annuity</w:t>
            </w:r>
          </w:p>
        </w:tc>
        <w:tc>
          <w:tcPr>
            <w:tcW w:w="660" w:type="dxa"/>
            <w:vAlign w:val="bottom"/>
            <w:shd w:val="clear" w:color="auto" w:fill="F0FFFF"/>
          </w:tcPr>
          <w:p>
            <w:pPr>
              <w:jc w:val="center"/>
              <w:spacing w:after="0"/>
              <w:rPr>
                <w:sz w:val="20"/>
                <w:szCs w:val="20"/>
                <w:color w:val="auto"/>
              </w:rPr>
            </w:pPr>
            <w:r>
              <w:rPr>
                <w:rFonts w:ascii="Arial" w:cs="Arial" w:eastAsia="Arial" w:hAnsi="Arial"/>
                <w:sz w:val="12"/>
                <w:szCs w:val="12"/>
                <w:color w:val="auto"/>
                <w:w w:val="99"/>
              </w:rPr>
              <w:t>7,803</w:t>
            </w:r>
          </w:p>
        </w:tc>
        <w:tc>
          <w:tcPr>
            <w:tcW w:w="1160" w:type="dxa"/>
            <w:vAlign w:val="bottom"/>
            <w:shd w:val="clear" w:color="auto" w:fill="F0FFFF"/>
          </w:tcPr>
          <w:p>
            <w:pPr>
              <w:jc w:val="center"/>
              <w:ind w:right="31"/>
              <w:spacing w:after="0"/>
              <w:rPr>
                <w:sz w:val="20"/>
                <w:szCs w:val="20"/>
                <w:color w:val="auto"/>
              </w:rPr>
            </w:pPr>
            <w:r>
              <w:rPr>
                <w:rFonts w:ascii="Arial" w:cs="Arial" w:eastAsia="Arial" w:hAnsi="Arial"/>
                <w:sz w:val="12"/>
                <w:szCs w:val="12"/>
                <w:color w:val="auto"/>
                <w:w w:val="99"/>
              </w:rPr>
              <w:t>$1,663167,100</w:t>
            </w:r>
          </w:p>
        </w:tc>
        <w:tc>
          <w:tcPr>
            <w:tcW w:w="720" w:type="dxa"/>
            <w:vAlign w:val="bottom"/>
            <w:shd w:val="clear" w:color="auto" w:fill="F0FFFF"/>
          </w:tcPr>
          <w:p>
            <w:pPr>
              <w:jc w:val="center"/>
              <w:ind w:right="50"/>
              <w:spacing w:after="0"/>
              <w:rPr>
                <w:sz w:val="20"/>
                <w:szCs w:val="20"/>
                <w:color w:val="auto"/>
              </w:rPr>
            </w:pPr>
            <w:r>
              <w:rPr>
                <w:rFonts w:ascii="Arial" w:cs="Arial" w:eastAsia="Arial" w:hAnsi="Arial"/>
                <w:sz w:val="12"/>
                <w:szCs w:val="12"/>
                <w:color w:val="auto"/>
                <w:w w:val="99"/>
              </w:rPr>
              <w:t>5,882</w:t>
            </w:r>
          </w:p>
        </w:tc>
        <w:tc>
          <w:tcPr>
            <w:tcW w:w="920" w:type="dxa"/>
            <w:vAlign w:val="bottom"/>
            <w:shd w:val="clear" w:color="auto" w:fill="F0FFFF"/>
          </w:tcPr>
          <w:p>
            <w:pPr>
              <w:jc w:val="center"/>
              <w:spacing w:after="0"/>
              <w:rPr>
                <w:sz w:val="20"/>
                <w:szCs w:val="20"/>
                <w:color w:val="auto"/>
              </w:rPr>
            </w:pPr>
            <w:r>
              <w:rPr>
                <w:rFonts w:ascii="Arial" w:cs="Arial" w:eastAsia="Arial" w:hAnsi="Arial"/>
                <w:sz w:val="12"/>
                <w:szCs w:val="12"/>
                <w:color w:val="auto"/>
              </w:rPr>
              <w:t>$1,203,466,467</w:t>
            </w:r>
          </w:p>
        </w:tc>
        <w:tc>
          <w:tcPr>
            <w:tcW w:w="760" w:type="dxa"/>
            <w:vAlign w:val="bottom"/>
            <w:shd w:val="clear" w:color="auto" w:fill="F0FFFF"/>
          </w:tcPr>
          <w:p>
            <w:pPr>
              <w:jc w:val="center"/>
              <w:spacing w:after="0"/>
              <w:rPr>
                <w:sz w:val="20"/>
                <w:szCs w:val="20"/>
                <w:color w:val="auto"/>
              </w:rPr>
            </w:pPr>
            <w:r>
              <w:rPr>
                <w:rFonts w:ascii="Arial" w:cs="Arial" w:eastAsia="Arial" w:hAnsi="Arial"/>
                <w:sz w:val="12"/>
                <w:szCs w:val="12"/>
                <w:color w:val="auto"/>
                <w:w w:val="99"/>
              </w:rPr>
              <w:t>$7,819,712</w:t>
            </w:r>
          </w:p>
        </w:tc>
        <w:tc>
          <w:tcPr>
            <w:tcW w:w="600" w:type="dxa"/>
            <w:vAlign w:val="bottom"/>
            <w:shd w:val="clear" w:color="auto" w:fill="F0FFFF"/>
          </w:tcPr>
          <w:p>
            <w:pPr>
              <w:jc w:val="center"/>
              <w:spacing w:after="0"/>
              <w:rPr>
                <w:sz w:val="20"/>
                <w:szCs w:val="20"/>
                <w:color w:val="auto"/>
              </w:rPr>
            </w:pPr>
            <w:r>
              <w:rPr>
                <w:rFonts w:ascii="Arial" w:cs="Arial" w:eastAsia="Arial" w:hAnsi="Arial"/>
                <w:sz w:val="12"/>
                <w:szCs w:val="12"/>
                <w:color w:val="auto"/>
              </w:rPr>
              <w:t>No</w:t>
            </w:r>
          </w:p>
        </w:tc>
        <w:tc>
          <w:tcPr>
            <w:tcW w:w="40" w:type="dxa"/>
            <w:vAlign w:val="bottom"/>
          </w:tcPr>
          <w:p>
            <w:pPr>
              <w:spacing w:after="0"/>
              <w:rPr>
                <w:sz w:val="13"/>
                <w:szCs w:val="13"/>
                <w:color w:val="auto"/>
              </w:rPr>
            </w:pPr>
          </w:p>
        </w:tc>
      </w:tr>
    </w:tbl>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116205</wp:posOffset>
            </wp:positionV>
            <wp:extent cx="4551680"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4551680" cy="36830"/>
                    </a:xfrm>
                    <a:prstGeom prst="rect">
                      <a:avLst/>
                    </a:prstGeom>
                    <a:noFill/>
                  </pic:spPr>
                </pic:pic>
              </a:graphicData>
            </a:graphic>
          </wp:anchor>
        </w:drawing>
      </w:r>
    </w:p>
    <w:p>
      <w:pPr>
        <w:ind w:left="584" w:hanging="584"/>
        <w:spacing w:after="0"/>
        <w:tabs>
          <w:tab w:leader="none" w:pos="584" w:val="left"/>
        </w:tabs>
        <w:numPr>
          <w:ilvl w:val="0"/>
          <w:numId w:val="87"/>
        </w:numPr>
        <w:rPr>
          <w:rFonts w:ascii="Arial" w:cs="Arial" w:eastAsia="Arial" w:hAnsi="Arial"/>
          <w:sz w:val="12"/>
          <w:szCs w:val="12"/>
          <w:color w:val="auto"/>
        </w:rPr>
      </w:pPr>
      <w:r>
        <w:rPr>
          <w:rFonts w:ascii="Arial" w:cs="Arial" w:eastAsia="Arial" w:hAnsi="Arial"/>
          <w:sz w:val="12"/>
          <w:szCs w:val="12"/>
          <w:color w:val="auto"/>
        </w:rPr>
        <w:t>See Exhibit (r).</w:t>
      </w:r>
    </w:p>
    <w:p>
      <w:pPr>
        <w:spacing w:after="0" w:line="141"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2"/>
          <w:szCs w:val="12"/>
          <w:b w:val="1"/>
          <w:bCs w:val="1"/>
          <w:color w:val="auto"/>
        </w:rPr>
        <w:t>Item 32.</w:t>
      </w:r>
      <w:r>
        <w:rPr>
          <w:sz w:val="20"/>
          <w:szCs w:val="20"/>
          <w:color w:val="auto"/>
        </w:rPr>
        <w:tab/>
      </w:r>
      <w:r>
        <w:rPr>
          <w:rFonts w:ascii="Arial" w:cs="Arial" w:eastAsia="Arial" w:hAnsi="Arial"/>
          <w:sz w:val="11"/>
          <w:szCs w:val="11"/>
          <w:b w:val="1"/>
          <w:bCs w:val="1"/>
          <w:color w:val="auto"/>
        </w:rPr>
        <w:t>Location of Accounts and Records</w:t>
      </w:r>
    </w:p>
    <w:p>
      <w:pPr>
        <w:spacing w:after="0" w:line="69" w:lineRule="exact"/>
        <w:rPr>
          <w:sz w:val="20"/>
          <w:szCs w:val="20"/>
          <w:color w:val="auto"/>
        </w:rPr>
      </w:pPr>
    </w:p>
    <w:p>
      <w:pPr>
        <w:ind w:left="4"/>
        <w:spacing w:after="0"/>
        <w:rPr>
          <w:sz w:val="20"/>
          <w:szCs w:val="20"/>
          <w:color w:val="auto"/>
        </w:rPr>
      </w:pPr>
      <w:r>
        <w:rPr>
          <w:rFonts w:ascii="Arial" w:cs="Arial" w:eastAsia="Arial" w:hAnsi="Arial"/>
          <w:sz w:val="12"/>
          <w:szCs w:val="12"/>
          <w:color w:val="auto"/>
        </w:rPr>
        <w:t>Not Applicable.</w:t>
      </w:r>
    </w:p>
    <w:p>
      <w:pPr>
        <w:spacing w:after="0" w:line="141" w:lineRule="exact"/>
        <w:rPr>
          <w:sz w:val="20"/>
          <w:szCs w:val="20"/>
          <w:color w:val="auto"/>
        </w:rPr>
      </w:pPr>
    </w:p>
    <w:p>
      <w:pPr>
        <w:ind w:left="4"/>
        <w:spacing w:after="0"/>
        <w:tabs>
          <w:tab w:leader="none" w:pos="564" w:val="left"/>
        </w:tabs>
        <w:rPr>
          <w:sz w:val="20"/>
          <w:szCs w:val="20"/>
          <w:color w:val="auto"/>
        </w:rPr>
      </w:pPr>
      <w:r>
        <w:rPr>
          <w:rFonts w:ascii="Arial" w:cs="Arial" w:eastAsia="Arial" w:hAnsi="Arial"/>
          <w:sz w:val="12"/>
          <w:szCs w:val="12"/>
          <w:b w:val="1"/>
          <w:bCs w:val="1"/>
          <w:color w:val="auto"/>
        </w:rPr>
        <w:t>Item 33.</w:t>
      </w:r>
      <w:r>
        <w:rPr>
          <w:sz w:val="20"/>
          <w:szCs w:val="20"/>
          <w:color w:val="auto"/>
        </w:rPr>
        <w:tab/>
      </w:r>
      <w:r>
        <w:rPr>
          <w:rFonts w:ascii="Arial" w:cs="Arial" w:eastAsia="Arial" w:hAnsi="Arial"/>
          <w:sz w:val="11"/>
          <w:szCs w:val="11"/>
          <w:b w:val="1"/>
          <w:bCs w:val="1"/>
          <w:color w:val="auto"/>
        </w:rPr>
        <w:t>Management Services</w:t>
      </w:r>
    </w:p>
    <w:p>
      <w:pPr>
        <w:spacing w:after="0" w:line="60" w:lineRule="exact"/>
        <w:rPr>
          <w:sz w:val="20"/>
          <w:szCs w:val="20"/>
          <w:color w:val="auto"/>
        </w:rPr>
      </w:pPr>
    </w:p>
    <w:p>
      <w:pPr>
        <w:ind w:left="4"/>
        <w:spacing w:after="0"/>
        <w:rPr>
          <w:sz w:val="20"/>
          <w:szCs w:val="20"/>
          <w:color w:val="auto"/>
        </w:rPr>
      </w:pPr>
      <w:r>
        <w:rPr>
          <w:rFonts w:ascii="Arial" w:cs="Arial" w:eastAsia="Arial" w:hAnsi="Arial"/>
          <w:sz w:val="12"/>
          <w:szCs w:val="12"/>
          <w:color w:val="auto"/>
        </w:rPr>
        <w:t>Not Applicable.</w:t>
      </w:r>
    </w:p>
    <w:p>
      <w:pPr>
        <w:spacing w:after="0" w:line="141"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2"/>
          <w:szCs w:val="12"/>
          <w:b w:val="1"/>
          <w:bCs w:val="1"/>
          <w:color w:val="auto"/>
        </w:rPr>
        <w:t>Item 34.</w:t>
      </w:r>
      <w:r>
        <w:rPr>
          <w:sz w:val="20"/>
          <w:szCs w:val="20"/>
          <w:color w:val="auto"/>
        </w:rPr>
        <w:tab/>
      </w:r>
      <w:r>
        <w:rPr>
          <w:rFonts w:ascii="Arial" w:cs="Arial" w:eastAsia="Arial" w:hAnsi="Arial"/>
          <w:sz w:val="11"/>
          <w:szCs w:val="11"/>
          <w:b w:val="1"/>
          <w:bCs w:val="1"/>
          <w:color w:val="auto"/>
        </w:rPr>
        <w:t>Fee Representation and Undertakings</w:t>
      </w:r>
    </w:p>
    <w:p>
      <w:pPr>
        <w:spacing w:after="0" w:line="60" w:lineRule="exact"/>
        <w:rPr>
          <w:sz w:val="20"/>
          <w:szCs w:val="20"/>
          <w:color w:val="auto"/>
        </w:rPr>
      </w:pPr>
    </w:p>
    <w:p>
      <w:pPr>
        <w:ind w:left="4" w:right="3659"/>
        <w:spacing w:after="0" w:line="259" w:lineRule="auto"/>
        <w:rPr>
          <w:sz w:val="20"/>
          <w:szCs w:val="20"/>
          <w:color w:val="auto"/>
        </w:rPr>
      </w:pPr>
      <w:r>
        <w:rPr>
          <w:rFonts w:ascii="Arial" w:cs="Arial" w:eastAsia="Arial" w:hAnsi="Arial"/>
          <w:sz w:val="12"/>
          <w:szCs w:val="12"/>
          <w:color w:val="auto"/>
        </w:rPr>
        <w:t>The Company hereby undertakes (1) to file, during any period in which offers or sales are being made, a post-effective amendment to the registration statement to include any prospectus required by section 10(a)(3) of the Securities Act; and (2)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9663"/>
          </w:cols>
          <w:pgMar w:left="796" w:top="648" w:right="1440" w:bottom="1440" w:gutter="0" w:footer="0" w:header="0"/>
        </w:sectPr>
      </w:pPr>
    </w:p>
    <w:bookmarkStart w:id="117" w:name="page118"/>
    <w:bookmarkEnd w:id="117"/>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116205</wp:posOffset>
            </wp:positionV>
            <wp:extent cx="455168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4551680" cy="36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ind w:left="2912"/>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SIGNATURES</w:t>
      </w:r>
    </w:p>
    <w:p>
      <w:pPr>
        <w:spacing w:after="0" w:line="64" w:lineRule="exact"/>
        <w:rPr>
          <w:sz w:val="20"/>
          <w:szCs w:val="20"/>
          <w:color w:val="auto"/>
        </w:rPr>
      </w:pPr>
    </w:p>
    <w:p>
      <w:pPr>
        <w:ind w:left="112" w:right="3759"/>
        <w:spacing w:after="0" w:line="260" w:lineRule="auto"/>
        <w:rPr>
          <w:sz w:val="20"/>
          <w:szCs w:val="20"/>
          <w:color w:val="auto"/>
        </w:rPr>
      </w:pPr>
      <w:r>
        <w:rPr>
          <w:rFonts w:ascii="Times New Roman" w:cs="Times New Roman" w:eastAsia="Times New Roman" w:hAnsi="Times New Roman"/>
          <w:sz w:val="12"/>
          <w:szCs w:val="12"/>
          <w:color w:val="auto"/>
        </w:rPr>
        <w:t>Pursuant to the requirements of the Securities Act of 1933, the Registrant certifies that it meets all of the requirements for effectiveness of this registration statement under rule 485(b) under the Securities Act and has duly caused this registration statement to be signed on its behalf by the undersigned, duly authorized, in the City of Charlotte, and State of North Carolina, on this 17th day of April, 2026.</w:t>
      </w:r>
    </w:p>
    <w:p>
      <w:pPr>
        <w:sectPr>
          <w:pgSz w:w="11900" w:h="16838" w:orient="portrait"/>
          <w:cols w:equalWidth="0" w:num="1">
            <w:col w:w="10071"/>
          </w:cols>
          <w:pgMar w:left="388" w:top="629" w:right="1440" w:bottom="1440" w:gutter="0" w:footer="0" w:header="0"/>
        </w:sectPr>
      </w:pPr>
    </w:p>
    <w:p>
      <w:pPr>
        <w:spacing w:after="0" w:line="122" w:lineRule="exact"/>
        <w:rPr>
          <w:sz w:val="20"/>
          <w:szCs w:val="20"/>
          <w:color w:val="auto"/>
        </w:rPr>
      </w:pPr>
    </w:p>
    <w:p>
      <w:pPr>
        <w:ind w:left="152" w:hanging="152"/>
        <w:spacing w:after="0"/>
        <w:tabs>
          <w:tab w:leader="none" w:pos="152"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w:t>
      </w:r>
    </w:p>
    <w:p>
      <w:pPr>
        <w:spacing w:after="0" w:line="375" w:lineRule="exact"/>
        <w:rPr>
          <w:rFonts w:ascii="Times New Roman" w:cs="Times New Roman" w:eastAsia="Times New Roman" w:hAnsi="Times New Roman"/>
          <w:sz w:val="12"/>
          <w:szCs w:val="12"/>
          <w:color w:val="auto"/>
        </w:rPr>
      </w:pPr>
    </w:p>
    <w:p>
      <w:pPr>
        <w:ind w:left="152"/>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BRIGHTHOUSE LIFE INSURANCE COMPANY OF 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12065</wp:posOffset>
            </wp:positionV>
            <wp:extent cx="2320290" cy="165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2320290" cy="165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(Insurance Company)</w:t>
      </w:r>
    </w:p>
    <w:p>
      <w:pPr>
        <w:spacing w:after="0"/>
        <w:rPr>
          <w:sz w:val="20"/>
          <w:szCs w:val="20"/>
          <w:color w:val="auto"/>
        </w:rPr>
      </w:pPr>
      <w:r>
        <w:rPr>
          <w:rFonts w:ascii="Times New Roman" w:cs="Times New Roman" w:eastAsia="Times New Roman" w:hAnsi="Times New Roman"/>
          <w:sz w:val="12"/>
          <w:szCs w:val="12"/>
          <w:color w:val="auto"/>
        </w:rPr>
        <w:t> </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David A.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16510</wp:posOffset>
            </wp:positionV>
            <wp:extent cx="2320290" cy="1943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2320290" cy="19431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David A. Rosenbaum</w:t>
      </w:r>
    </w:p>
    <w:p>
      <w:pPr>
        <w:spacing w:after="0"/>
        <w:rPr>
          <w:sz w:val="20"/>
          <w:szCs w:val="20"/>
          <w:color w:val="auto"/>
        </w:rPr>
      </w:pPr>
      <w:r>
        <w:rPr>
          <w:rFonts w:ascii="Times New Roman" w:cs="Times New Roman" w:eastAsia="Times New Roman" w:hAnsi="Times New Roman"/>
          <w:sz w:val="12"/>
          <w:szCs w:val="12"/>
          <w:color w:val="auto"/>
        </w:rPr>
        <w:t>President</w:t>
      </w:r>
    </w:p>
    <w:p>
      <w:pPr>
        <w:sectPr>
          <w:pgSz w:w="11900" w:h="16838" w:orient="portrait"/>
          <w:cols w:equalWidth="0" w:num="2">
            <w:col w:w="332" w:space="120"/>
            <w:col w:w="9619"/>
          </w:cols>
          <w:pgMar w:left="388" w:top="629" w:right="1440" w:bottom="1440" w:gutter="0" w:footer="0" w:header="0"/>
          <w:type w:val="continuous"/>
        </w:sectPr>
      </w:pPr>
    </w:p>
    <w:bookmarkStart w:id="119" w:name="page120"/>
    <w:bookmarkEnd w:id="119"/>
    <w:p>
      <w:pPr>
        <w:ind w:left="120" w:right="373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116205</wp:posOffset>
            </wp:positionV>
            <wp:extent cx="720344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t>Pursuant to the requirements of the Securities Act of 1933, this registration statement has been signed by the following persons in the capacities indicated on April 17, 2026.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David A. Rosenbaum*</w:t>
            </w:r>
          </w:p>
        </w:tc>
        <w:tc>
          <w:tcPr>
            <w:tcW w:w="38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Chairman of the Board, President, Chief Executive Officer</w:t>
            </w:r>
          </w:p>
        </w:tc>
      </w:tr>
      <w:tr>
        <w:trPr>
          <w:trHeight w:val="187"/>
        </w:trPr>
        <w:tc>
          <w:tcPr>
            <w:tcW w:w="120" w:type="dxa"/>
            <w:vAlign w:val="bottom"/>
          </w:tcPr>
          <w:p>
            <w:pPr>
              <w:spacing w:after="0"/>
              <w:rPr>
                <w:sz w:val="16"/>
                <w:szCs w:val="16"/>
                <w:color w:val="auto"/>
              </w:rPr>
            </w:pPr>
          </w:p>
        </w:tc>
        <w:tc>
          <w:tcPr>
            <w:tcW w:w="2520" w:type="dxa"/>
            <w:vAlign w:val="bottom"/>
            <w:tcBorders>
              <w:bottom w:val="single" w:sz="8" w:color="F0FFFF"/>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2"/>
                <w:szCs w:val="12"/>
                <w:color w:val="auto"/>
              </w:rPr>
              <w:t>David A. Rosenbaum</w:t>
            </w:r>
          </w:p>
        </w:tc>
        <w:tc>
          <w:tcPr>
            <w:tcW w:w="38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and a Director</w:t>
            </w:r>
          </w:p>
        </w:tc>
      </w:tr>
      <w:tr>
        <w:trPr>
          <w:trHeight w:val="153"/>
        </w:trPr>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Pr>
          <w:p>
            <w:pPr>
              <w:spacing w:after="0"/>
              <w:rPr>
                <w:sz w:val="13"/>
                <w:szCs w:val="13"/>
                <w:color w:val="auto"/>
              </w:rPr>
            </w:pPr>
          </w:p>
        </w:tc>
      </w:tr>
      <w:tr>
        <w:trPr>
          <w:trHeight w:val="187"/>
        </w:trPr>
        <w:tc>
          <w:tcPr>
            <w:tcW w:w="120" w:type="dxa"/>
            <w:vAlign w:val="bottom"/>
          </w:tcPr>
          <w:p>
            <w:pPr>
              <w:spacing w:after="0"/>
              <w:rPr>
                <w:sz w:val="16"/>
                <w:szCs w:val="16"/>
                <w:color w:val="auto"/>
              </w:rPr>
            </w:pPr>
          </w:p>
        </w:tc>
        <w:tc>
          <w:tcPr>
            <w:tcW w:w="2520" w:type="dxa"/>
            <w:vAlign w:val="bottom"/>
            <w:tcBorders>
              <w:bottom w:val="single" w:sz="8" w:color="auto"/>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2"/>
                <w:szCs w:val="12"/>
                <w:color w:val="auto"/>
              </w:rPr>
              <w:t>/s/ Kendall K. Alley*</w:t>
            </w:r>
          </w:p>
        </w:tc>
        <w:tc>
          <w:tcPr>
            <w:tcW w:w="3820" w:type="dxa"/>
            <w:vAlign w:val="bottom"/>
            <w:tcBorders>
              <w:bottom w:val="single" w:sz="8" w:color="F0FFFF"/>
            </w:tcBorders>
            <w:gridSpan w:val="3"/>
            <w:shd w:val="clear" w:color="auto" w:fill="F0FFFF"/>
          </w:tcPr>
          <w:p>
            <w:pPr>
              <w:ind w:left="60"/>
              <w:spacing w:after="0"/>
              <w:rPr>
                <w:sz w:val="20"/>
                <w:szCs w:val="20"/>
                <w:color w:val="auto"/>
              </w:rPr>
            </w:pPr>
            <w:r>
              <w:rPr>
                <w:rFonts w:ascii="Times New Roman" w:cs="Times New Roman" w:eastAsia="Times New Roman" w:hAnsi="Times New Roman"/>
                <w:sz w:val="12"/>
                <w:szCs w:val="12"/>
                <w:color w:val="auto"/>
              </w:rPr>
              <w:t>Director</w:t>
            </w:r>
          </w:p>
        </w:tc>
      </w:tr>
      <w:tr>
        <w:trPr>
          <w:trHeight w:val="162"/>
        </w:trPr>
        <w:tc>
          <w:tcPr>
            <w:tcW w:w="12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Kendall K. Alley</w:t>
            </w:r>
          </w:p>
        </w:tc>
        <w:tc>
          <w:tcPr>
            <w:tcW w:w="10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80" w:type="dxa"/>
            <w:vAlign w:val="bottom"/>
            <w:shd w:val="clear" w:color="auto" w:fill="F0FFFF"/>
          </w:tcPr>
          <w:p>
            <w:pPr>
              <w:spacing w:after="0"/>
              <w:rPr>
                <w:sz w:val="14"/>
                <w:szCs w:val="14"/>
                <w:color w:val="auto"/>
              </w:rPr>
            </w:pPr>
          </w:p>
        </w:tc>
      </w:tr>
      <w:tr>
        <w:trPr>
          <w:trHeight w:val="36"/>
        </w:trPr>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60" w:type="dxa"/>
            <w:vAlign w:val="bottom"/>
            <w:shd w:val="clear" w:color="auto" w:fill="F0FFFF"/>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2680" w:type="dxa"/>
            <w:vAlign w:val="bottom"/>
            <w:shd w:val="clear" w:color="auto" w:fill="F0FFFF"/>
          </w:tcPr>
          <w:p>
            <w:pPr>
              <w:spacing w:after="0"/>
              <w:rPr>
                <w:sz w:val="3"/>
                <w:szCs w:val="3"/>
                <w:color w:val="auto"/>
              </w:rPr>
            </w:pPr>
          </w:p>
        </w:tc>
      </w:tr>
      <w:tr>
        <w:trPr>
          <w:trHeight w:val="153"/>
        </w:trPr>
        <w:tc>
          <w:tcPr>
            <w:tcW w:w="120" w:type="dxa"/>
            <w:vAlign w:val="bottom"/>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2180" w:type="dxa"/>
            <w:vAlign w:val="bottom"/>
            <w:tcBorders>
              <w:right w:val="single" w:sz="8" w:color="F0FFFF"/>
            </w:tcBorders>
            <w:shd w:val="clear" w:color="auto" w:fill="F0FFFF"/>
          </w:tcPr>
          <w:p>
            <w:pPr>
              <w:spacing w:after="0"/>
              <w:rPr>
                <w:sz w:val="13"/>
                <w:szCs w:val="13"/>
                <w:color w:val="auto"/>
              </w:rPr>
            </w:pPr>
          </w:p>
        </w:tc>
        <w:tc>
          <w:tcPr>
            <w:tcW w:w="106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2680" w:type="dxa"/>
            <w:vAlign w:val="bottom"/>
            <w:shd w:val="clear" w:color="auto" w:fill="F0FFFF"/>
          </w:tcPr>
          <w:p>
            <w:pPr>
              <w:spacing w:after="0"/>
              <w:rPr>
                <w:sz w:val="13"/>
                <w:szCs w:val="13"/>
                <w:color w:val="auto"/>
              </w:rPr>
            </w:pPr>
          </w:p>
        </w:tc>
      </w:tr>
      <w:tr>
        <w:trPr>
          <w:trHeight w:val="187"/>
        </w:trPr>
        <w:tc>
          <w:tcPr>
            <w:tcW w:w="120" w:type="dxa"/>
            <w:vAlign w:val="bottom"/>
          </w:tcPr>
          <w:p>
            <w:pPr>
              <w:spacing w:after="0"/>
              <w:rPr>
                <w:sz w:val="16"/>
                <w:szCs w:val="16"/>
                <w:color w:val="auto"/>
              </w:rPr>
            </w:pPr>
          </w:p>
        </w:tc>
        <w:tc>
          <w:tcPr>
            <w:tcW w:w="2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Edward C. Kosnik*</w:t>
            </w:r>
          </w:p>
        </w:tc>
        <w:tc>
          <w:tcPr>
            <w:tcW w:w="38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Director</w:t>
            </w:r>
          </w:p>
        </w:tc>
      </w:tr>
      <w:tr>
        <w:trPr>
          <w:trHeight w:val="178"/>
        </w:trPr>
        <w:tc>
          <w:tcPr>
            <w:tcW w:w="120" w:type="dxa"/>
            <w:vAlign w:val="bottom"/>
          </w:tcPr>
          <w:p>
            <w:pPr>
              <w:spacing w:after="0"/>
              <w:rPr>
                <w:sz w:val="15"/>
                <w:szCs w:val="15"/>
                <w:color w:val="auto"/>
              </w:rPr>
            </w:pPr>
          </w:p>
        </w:tc>
        <w:tc>
          <w:tcPr>
            <w:tcW w:w="2520" w:type="dxa"/>
            <w:vAlign w:val="bottom"/>
            <w:tcBorders>
              <w:bottom w:val="single" w:sz="8" w:color="F0FFFF"/>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2"/>
                <w:szCs w:val="12"/>
                <w:color w:val="auto"/>
              </w:rPr>
              <w:t>Edward C. Kosnik</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53"/>
        </w:trPr>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Pr>
          <w:p>
            <w:pPr>
              <w:spacing w:after="0"/>
              <w:rPr>
                <w:sz w:val="13"/>
                <w:szCs w:val="13"/>
                <w:color w:val="auto"/>
              </w:rPr>
            </w:pPr>
          </w:p>
        </w:tc>
      </w:tr>
      <w:tr>
        <w:trPr>
          <w:trHeight w:val="187"/>
        </w:trPr>
        <w:tc>
          <w:tcPr>
            <w:tcW w:w="120" w:type="dxa"/>
            <w:vAlign w:val="bottom"/>
          </w:tcPr>
          <w:p>
            <w:pPr>
              <w:spacing w:after="0"/>
              <w:rPr>
                <w:sz w:val="16"/>
                <w:szCs w:val="16"/>
                <w:color w:val="auto"/>
              </w:rPr>
            </w:pPr>
          </w:p>
        </w:tc>
        <w:tc>
          <w:tcPr>
            <w:tcW w:w="2520" w:type="dxa"/>
            <w:vAlign w:val="bottom"/>
            <w:tcBorders>
              <w:bottom w:val="single" w:sz="8" w:color="auto"/>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2"/>
                <w:szCs w:val="12"/>
                <w:color w:val="auto"/>
              </w:rPr>
              <w:t>/s/ Mayer Naiman*</w:t>
            </w:r>
          </w:p>
        </w:tc>
        <w:tc>
          <w:tcPr>
            <w:tcW w:w="3820" w:type="dxa"/>
            <w:vAlign w:val="bottom"/>
            <w:tcBorders>
              <w:bottom w:val="single" w:sz="8" w:color="F0FFFF"/>
            </w:tcBorders>
            <w:gridSpan w:val="3"/>
            <w:shd w:val="clear" w:color="auto" w:fill="F0FFFF"/>
          </w:tcPr>
          <w:p>
            <w:pPr>
              <w:ind w:left="60"/>
              <w:spacing w:after="0"/>
              <w:rPr>
                <w:sz w:val="20"/>
                <w:szCs w:val="20"/>
                <w:color w:val="auto"/>
              </w:rPr>
            </w:pPr>
            <w:r>
              <w:rPr>
                <w:rFonts w:ascii="Times New Roman" w:cs="Times New Roman" w:eastAsia="Times New Roman" w:hAnsi="Times New Roman"/>
                <w:sz w:val="12"/>
                <w:szCs w:val="12"/>
                <w:color w:val="auto"/>
              </w:rPr>
              <w:t>Director</w:t>
            </w:r>
          </w:p>
        </w:tc>
      </w:tr>
      <w:tr>
        <w:trPr>
          <w:trHeight w:val="162"/>
        </w:trPr>
        <w:tc>
          <w:tcPr>
            <w:tcW w:w="12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Mayer Naiman</w:t>
            </w:r>
          </w:p>
        </w:tc>
        <w:tc>
          <w:tcPr>
            <w:tcW w:w="10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80" w:type="dxa"/>
            <w:vAlign w:val="bottom"/>
            <w:shd w:val="clear" w:color="auto" w:fill="F0FFFF"/>
          </w:tcPr>
          <w:p>
            <w:pPr>
              <w:spacing w:after="0"/>
              <w:rPr>
                <w:sz w:val="14"/>
                <w:szCs w:val="14"/>
                <w:color w:val="auto"/>
              </w:rPr>
            </w:pPr>
          </w:p>
        </w:tc>
      </w:tr>
      <w:tr>
        <w:trPr>
          <w:trHeight w:val="36"/>
        </w:trPr>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60" w:type="dxa"/>
            <w:vAlign w:val="bottom"/>
            <w:shd w:val="clear" w:color="auto" w:fill="F0FFFF"/>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2680" w:type="dxa"/>
            <w:vAlign w:val="bottom"/>
            <w:shd w:val="clear" w:color="auto" w:fill="F0FFFF"/>
          </w:tcPr>
          <w:p>
            <w:pPr>
              <w:spacing w:after="0"/>
              <w:rPr>
                <w:sz w:val="3"/>
                <w:szCs w:val="3"/>
                <w:color w:val="auto"/>
              </w:rPr>
            </w:pPr>
          </w:p>
        </w:tc>
      </w:tr>
      <w:tr>
        <w:trPr>
          <w:trHeight w:val="153"/>
        </w:trPr>
        <w:tc>
          <w:tcPr>
            <w:tcW w:w="120" w:type="dxa"/>
            <w:vAlign w:val="bottom"/>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2180" w:type="dxa"/>
            <w:vAlign w:val="bottom"/>
            <w:tcBorders>
              <w:right w:val="single" w:sz="8" w:color="F0FFFF"/>
            </w:tcBorders>
            <w:shd w:val="clear" w:color="auto" w:fill="F0FFFF"/>
          </w:tcPr>
          <w:p>
            <w:pPr>
              <w:spacing w:after="0"/>
              <w:rPr>
                <w:sz w:val="13"/>
                <w:szCs w:val="13"/>
                <w:color w:val="auto"/>
              </w:rPr>
            </w:pPr>
          </w:p>
        </w:tc>
        <w:tc>
          <w:tcPr>
            <w:tcW w:w="106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2680" w:type="dxa"/>
            <w:vAlign w:val="bottom"/>
            <w:shd w:val="clear" w:color="auto" w:fill="F0FFFF"/>
          </w:tcPr>
          <w:p>
            <w:pPr>
              <w:spacing w:after="0"/>
              <w:rPr>
                <w:sz w:val="13"/>
                <w:szCs w:val="13"/>
                <w:color w:val="auto"/>
              </w:rPr>
            </w:pPr>
          </w:p>
        </w:tc>
      </w:tr>
      <w:tr>
        <w:trPr>
          <w:trHeight w:val="187"/>
        </w:trPr>
        <w:tc>
          <w:tcPr>
            <w:tcW w:w="120" w:type="dxa"/>
            <w:vAlign w:val="bottom"/>
          </w:tcPr>
          <w:p>
            <w:pPr>
              <w:spacing w:after="0"/>
              <w:rPr>
                <w:sz w:val="16"/>
                <w:szCs w:val="16"/>
                <w:color w:val="auto"/>
              </w:rPr>
            </w:pPr>
          </w:p>
        </w:tc>
        <w:tc>
          <w:tcPr>
            <w:tcW w:w="2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Douglas A. Rayvid*</w:t>
            </w:r>
          </w:p>
        </w:tc>
        <w:tc>
          <w:tcPr>
            <w:tcW w:w="38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Director</w:t>
            </w:r>
          </w:p>
        </w:tc>
      </w:tr>
      <w:tr>
        <w:trPr>
          <w:trHeight w:val="178"/>
        </w:trPr>
        <w:tc>
          <w:tcPr>
            <w:tcW w:w="120" w:type="dxa"/>
            <w:vAlign w:val="bottom"/>
          </w:tcPr>
          <w:p>
            <w:pPr>
              <w:spacing w:after="0"/>
              <w:rPr>
                <w:sz w:val="15"/>
                <w:szCs w:val="15"/>
                <w:color w:val="auto"/>
              </w:rPr>
            </w:pPr>
          </w:p>
        </w:tc>
        <w:tc>
          <w:tcPr>
            <w:tcW w:w="2520" w:type="dxa"/>
            <w:vAlign w:val="bottom"/>
            <w:tcBorders>
              <w:bottom w:val="single" w:sz="8" w:color="F0FFFF"/>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2"/>
                <w:szCs w:val="12"/>
                <w:color w:val="auto"/>
              </w:rPr>
              <w:t>Douglas A. Rayvid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53"/>
        </w:trPr>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Pr>
          <w:p>
            <w:pPr>
              <w:spacing w:after="0"/>
              <w:rPr>
                <w:sz w:val="13"/>
                <w:szCs w:val="13"/>
                <w:color w:val="auto"/>
              </w:rPr>
            </w:pPr>
          </w:p>
        </w:tc>
      </w:tr>
      <w:tr>
        <w:trPr>
          <w:trHeight w:val="187"/>
        </w:trPr>
        <w:tc>
          <w:tcPr>
            <w:tcW w:w="120" w:type="dxa"/>
            <w:vAlign w:val="bottom"/>
          </w:tcPr>
          <w:p>
            <w:pPr>
              <w:spacing w:after="0"/>
              <w:rPr>
                <w:sz w:val="16"/>
                <w:szCs w:val="16"/>
                <w:color w:val="auto"/>
              </w:rPr>
            </w:pPr>
          </w:p>
        </w:tc>
        <w:tc>
          <w:tcPr>
            <w:tcW w:w="2520" w:type="dxa"/>
            <w:vAlign w:val="bottom"/>
            <w:tcBorders>
              <w:bottom w:val="single" w:sz="8" w:color="auto"/>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2"/>
                <w:szCs w:val="12"/>
                <w:color w:val="auto"/>
              </w:rPr>
              <w:t>/s/ Robert A. Semke*</w:t>
            </w:r>
          </w:p>
        </w:tc>
        <w:tc>
          <w:tcPr>
            <w:tcW w:w="3820" w:type="dxa"/>
            <w:vAlign w:val="bottom"/>
            <w:tcBorders>
              <w:bottom w:val="single" w:sz="8" w:color="F0FFFF"/>
            </w:tcBorders>
            <w:gridSpan w:val="3"/>
            <w:shd w:val="clear" w:color="auto" w:fill="F0FFFF"/>
          </w:tcPr>
          <w:p>
            <w:pPr>
              <w:ind w:left="60"/>
              <w:spacing w:after="0"/>
              <w:rPr>
                <w:sz w:val="20"/>
                <w:szCs w:val="20"/>
                <w:color w:val="auto"/>
              </w:rPr>
            </w:pPr>
            <w:r>
              <w:rPr>
                <w:rFonts w:ascii="Times New Roman" w:cs="Times New Roman" w:eastAsia="Times New Roman" w:hAnsi="Times New Roman"/>
                <w:sz w:val="12"/>
                <w:szCs w:val="12"/>
                <w:color w:val="auto"/>
              </w:rPr>
              <w:t>Director</w:t>
            </w:r>
          </w:p>
        </w:tc>
      </w:tr>
      <w:tr>
        <w:trPr>
          <w:trHeight w:val="162"/>
        </w:trPr>
        <w:tc>
          <w:tcPr>
            <w:tcW w:w="12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Robert A. Semke</w:t>
            </w:r>
          </w:p>
        </w:tc>
        <w:tc>
          <w:tcPr>
            <w:tcW w:w="10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80" w:type="dxa"/>
            <w:vAlign w:val="bottom"/>
            <w:shd w:val="clear" w:color="auto" w:fill="F0FFFF"/>
          </w:tcPr>
          <w:p>
            <w:pPr>
              <w:spacing w:after="0"/>
              <w:rPr>
                <w:sz w:val="14"/>
                <w:szCs w:val="14"/>
                <w:color w:val="auto"/>
              </w:rPr>
            </w:pPr>
          </w:p>
        </w:tc>
      </w:tr>
      <w:tr>
        <w:trPr>
          <w:trHeight w:val="36"/>
        </w:trPr>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60" w:type="dxa"/>
            <w:vAlign w:val="bottom"/>
            <w:shd w:val="clear" w:color="auto" w:fill="F0FFFF"/>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2680" w:type="dxa"/>
            <w:vAlign w:val="bottom"/>
            <w:shd w:val="clear" w:color="auto" w:fill="F0FFFF"/>
          </w:tcPr>
          <w:p>
            <w:pPr>
              <w:spacing w:after="0"/>
              <w:rPr>
                <w:sz w:val="3"/>
                <w:szCs w:val="3"/>
                <w:color w:val="auto"/>
              </w:rPr>
            </w:pPr>
          </w:p>
        </w:tc>
      </w:tr>
      <w:tr>
        <w:trPr>
          <w:trHeight w:val="153"/>
        </w:trPr>
        <w:tc>
          <w:tcPr>
            <w:tcW w:w="120" w:type="dxa"/>
            <w:vAlign w:val="bottom"/>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2180" w:type="dxa"/>
            <w:vAlign w:val="bottom"/>
            <w:tcBorders>
              <w:right w:val="single" w:sz="8" w:color="F0FFFF"/>
            </w:tcBorders>
            <w:shd w:val="clear" w:color="auto" w:fill="F0FFFF"/>
          </w:tcPr>
          <w:p>
            <w:pPr>
              <w:spacing w:after="0"/>
              <w:rPr>
                <w:sz w:val="13"/>
                <w:szCs w:val="13"/>
                <w:color w:val="auto"/>
              </w:rPr>
            </w:pPr>
          </w:p>
        </w:tc>
        <w:tc>
          <w:tcPr>
            <w:tcW w:w="106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2680" w:type="dxa"/>
            <w:vAlign w:val="bottom"/>
            <w:shd w:val="clear" w:color="auto" w:fill="F0FFFF"/>
          </w:tcPr>
          <w:p>
            <w:pPr>
              <w:spacing w:after="0"/>
              <w:rPr>
                <w:sz w:val="13"/>
                <w:szCs w:val="13"/>
                <w:color w:val="auto"/>
              </w:rPr>
            </w:pPr>
          </w:p>
        </w:tc>
      </w:tr>
      <w:tr>
        <w:trPr>
          <w:trHeight w:val="187"/>
        </w:trPr>
        <w:tc>
          <w:tcPr>
            <w:tcW w:w="120" w:type="dxa"/>
            <w:vAlign w:val="bottom"/>
          </w:tcPr>
          <w:p>
            <w:pPr>
              <w:spacing w:after="0"/>
              <w:rPr>
                <w:sz w:val="16"/>
                <w:szCs w:val="16"/>
                <w:color w:val="auto"/>
              </w:rPr>
            </w:pPr>
          </w:p>
        </w:tc>
        <w:tc>
          <w:tcPr>
            <w:tcW w:w="2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Kevin White*</w:t>
            </w:r>
          </w:p>
        </w:tc>
        <w:tc>
          <w:tcPr>
            <w:tcW w:w="38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Director</w:t>
            </w:r>
          </w:p>
        </w:tc>
      </w:tr>
      <w:tr>
        <w:trPr>
          <w:trHeight w:val="178"/>
        </w:trPr>
        <w:tc>
          <w:tcPr>
            <w:tcW w:w="120" w:type="dxa"/>
            <w:vAlign w:val="bottom"/>
          </w:tcPr>
          <w:p>
            <w:pPr>
              <w:spacing w:after="0"/>
              <w:rPr>
                <w:sz w:val="15"/>
                <w:szCs w:val="15"/>
                <w:color w:val="auto"/>
              </w:rPr>
            </w:pPr>
          </w:p>
        </w:tc>
        <w:tc>
          <w:tcPr>
            <w:tcW w:w="2520" w:type="dxa"/>
            <w:vAlign w:val="bottom"/>
            <w:tcBorders>
              <w:bottom w:val="single" w:sz="8" w:color="F0FFFF"/>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2"/>
                <w:szCs w:val="12"/>
                <w:color w:val="auto"/>
              </w:rPr>
              <w:t>Kevin White</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53"/>
        </w:trPr>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80" w:type="dxa"/>
            <w:vAlign w:val="bottom"/>
          </w:tcPr>
          <w:p>
            <w:pPr>
              <w:spacing w:after="0"/>
              <w:rPr>
                <w:sz w:val="13"/>
                <w:szCs w:val="13"/>
                <w:color w:val="auto"/>
              </w:rPr>
            </w:pPr>
          </w:p>
        </w:tc>
      </w:tr>
      <w:tr>
        <w:trPr>
          <w:trHeight w:val="187"/>
        </w:trPr>
        <w:tc>
          <w:tcPr>
            <w:tcW w:w="120" w:type="dxa"/>
            <w:vAlign w:val="bottom"/>
          </w:tcPr>
          <w:p>
            <w:pPr>
              <w:spacing w:after="0"/>
              <w:rPr>
                <w:sz w:val="16"/>
                <w:szCs w:val="16"/>
                <w:color w:val="auto"/>
              </w:rPr>
            </w:pPr>
          </w:p>
        </w:tc>
        <w:tc>
          <w:tcPr>
            <w:tcW w:w="2520" w:type="dxa"/>
            <w:vAlign w:val="bottom"/>
            <w:tcBorders>
              <w:bottom w:val="single" w:sz="8" w:color="auto"/>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2"/>
                <w:szCs w:val="12"/>
                <w:color w:val="auto"/>
              </w:rPr>
              <w:t>/s/ Melissa B. Pavlovich*</w:t>
            </w:r>
          </w:p>
        </w:tc>
        <w:tc>
          <w:tcPr>
            <w:tcW w:w="3820" w:type="dxa"/>
            <w:vAlign w:val="bottom"/>
            <w:tcBorders>
              <w:bottom w:val="single" w:sz="8" w:color="F0FFFF"/>
            </w:tcBorders>
            <w:gridSpan w:val="3"/>
            <w:shd w:val="clear" w:color="auto" w:fill="F0FFFF"/>
          </w:tcPr>
          <w:p>
            <w:pPr>
              <w:ind w:left="60"/>
              <w:spacing w:after="0"/>
              <w:rPr>
                <w:sz w:val="20"/>
                <w:szCs w:val="20"/>
                <w:color w:val="auto"/>
              </w:rPr>
            </w:pPr>
            <w:r>
              <w:rPr>
                <w:rFonts w:ascii="Times New Roman" w:cs="Times New Roman" w:eastAsia="Times New Roman" w:hAnsi="Times New Roman"/>
                <w:sz w:val="12"/>
                <w:szCs w:val="12"/>
                <w:color w:val="auto"/>
              </w:rPr>
              <w:t>Vice President and Chief Financial Officer</w:t>
            </w:r>
          </w:p>
        </w:tc>
      </w:tr>
      <w:tr>
        <w:trPr>
          <w:trHeight w:val="162"/>
        </w:trPr>
        <w:tc>
          <w:tcPr>
            <w:tcW w:w="12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Melissa B. Pavlovich</w:t>
            </w:r>
          </w:p>
        </w:tc>
        <w:tc>
          <w:tcPr>
            <w:tcW w:w="10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2680" w:type="dxa"/>
            <w:vAlign w:val="bottom"/>
            <w:shd w:val="clear" w:color="auto" w:fill="F0FFFF"/>
          </w:tcPr>
          <w:p>
            <w:pPr>
              <w:spacing w:after="0"/>
              <w:rPr>
                <w:sz w:val="14"/>
                <w:szCs w:val="14"/>
                <w:color w:val="auto"/>
              </w:rPr>
            </w:pPr>
          </w:p>
        </w:tc>
      </w:tr>
      <w:tr>
        <w:trPr>
          <w:trHeight w:val="36"/>
        </w:trPr>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060" w:type="dxa"/>
            <w:vAlign w:val="bottom"/>
            <w:shd w:val="clear" w:color="auto" w:fill="F0FFFF"/>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2680" w:type="dxa"/>
            <w:vAlign w:val="bottom"/>
            <w:shd w:val="clear" w:color="auto" w:fill="F0FFFF"/>
          </w:tcPr>
          <w:p>
            <w:pPr>
              <w:spacing w:after="0"/>
              <w:rPr>
                <w:sz w:val="3"/>
                <w:szCs w:val="3"/>
                <w:color w:val="auto"/>
              </w:rPr>
            </w:pPr>
          </w:p>
        </w:tc>
      </w:tr>
      <w:tr>
        <w:trPr>
          <w:trHeight w:val="153"/>
        </w:trPr>
        <w:tc>
          <w:tcPr>
            <w:tcW w:w="120" w:type="dxa"/>
            <w:vAlign w:val="bottom"/>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2180" w:type="dxa"/>
            <w:vAlign w:val="bottom"/>
            <w:tcBorders>
              <w:right w:val="single" w:sz="8" w:color="F0FFFF"/>
            </w:tcBorders>
            <w:shd w:val="clear" w:color="auto" w:fill="F0FFFF"/>
          </w:tcPr>
          <w:p>
            <w:pPr>
              <w:spacing w:after="0"/>
              <w:rPr>
                <w:sz w:val="13"/>
                <w:szCs w:val="13"/>
                <w:color w:val="auto"/>
              </w:rPr>
            </w:pPr>
          </w:p>
        </w:tc>
        <w:tc>
          <w:tcPr>
            <w:tcW w:w="106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2680" w:type="dxa"/>
            <w:vAlign w:val="bottom"/>
            <w:shd w:val="clear" w:color="auto" w:fill="F0FFFF"/>
          </w:tcPr>
          <w:p>
            <w:pPr>
              <w:spacing w:after="0"/>
              <w:rPr>
                <w:sz w:val="13"/>
                <w:szCs w:val="13"/>
                <w:color w:val="auto"/>
              </w:rPr>
            </w:pPr>
          </w:p>
        </w:tc>
      </w:tr>
      <w:tr>
        <w:trPr>
          <w:trHeight w:val="187"/>
        </w:trPr>
        <w:tc>
          <w:tcPr>
            <w:tcW w:w="120" w:type="dxa"/>
            <w:vAlign w:val="bottom"/>
          </w:tcPr>
          <w:p>
            <w:pPr>
              <w:spacing w:after="0"/>
              <w:rPr>
                <w:sz w:val="16"/>
                <w:szCs w:val="16"/>
                <w:color w:val="auto"/>
              </w:rPr>
            </w:pPr>
          </w:p>
        </w:tc>
        <w:tc>
          <w:tcPr>
            <w:tcW w:w="2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/s/ Gianna H. Figaro-Sterling*</w:t>
            </w:r>
          </w:p>
        </w:tc>
        <w:tc>
          <w:tcPr>
            <w:tcW w:w="38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Vice President and Controller</w:t>
            </w:r>
          </w:p>
        </w:tc>
      </w:tr>
      <w:tr>
        <w:trPr>
          <w:trHeight w:val="187"/>
        </w:trPr>
        <w:tc>
          <w:tcPr>
            <w:tcW w:w="120" w:type="dxa"/>
            <w:vAlign w:val="bottom"/>
          </w:tcPr>
          <w:p>
            <w:pPr>
              <w:spacing w:after="0"/>
              <w:rPr>
                <w:sz w:val="16"/>
                <w:szCs w:val="16"/>
                <w:color w:val="auto"/>
              </w:rPr>
            </w:pPr>
          </w:p>
        </w:tc>
        <w:tc>
          <w:tcPr>
            <w:tcW w:w="2520" w:type="dxa"/>
            <w:vAlign w:val="bottom"/>
            <w:tcBorders>
              <w:bottom w:val="single" w:sz="8" w:color="F0FFFF"/>
              <w:right w:val="single" w:sz="8" w:color="F0FFFF"/>
            </w:tcBorders>
            <w:gridSpan w:val="2"/>
            <w:shd w:val="clear" w:color="auto" w:fill="F0FFFF"/>
          </w:tcPr>
          <w:p>
            <w:pPr>
              <w:spacing w:after="0"/>
              <w:rPr>
                <w:sz w:val="20"/>
                <w:szCs w:val="20"/>
                <w:color w:val="auto"/>
              </w:rPr>
            </w:pPr>
            <w:r>
              <w:rPr>
                <w:rFonts w:ascii="Times New Roman" w:cs="Times New Roman" w:eastAsia="Times New Roman" w:hAnsi="Times New Roman"/>
                <w:sz w:val="12"/>
                <w:szCs w:val="12"/>
                <w:color w:val="auto"/>
              </w:rPr>
              <w:t>Gianna H. Figaro-Sterling</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331"/>
        </w:trPr>
        <w:tc>
          <w:tcPr>
            <w:tcW w:w="2640" w:type="dxa"/>
            <w:vAlign w:val="bottom"/>
            <w:gridSpan w:val="3"/>
          </w:tcPr>
          <w:p>
            <w:pPr>
              <w:spacing w:after="0"/>
              <w:rPr>
                <w:sz w:val="20"/>
                <w:szCs w:val="20"/>
                <w:color w:val="auto"/>
              </w:rPr>
            </w:pPr>
            <w:r>
              <w:rPr>
                <w:rFonts w:ascii="Times New Roman" w:cs="Times New Roman" w:eastAsia="Times New Roman" w:hAnsi="Times New Roman"/>
                <w:sz w:val="23"/>
                <w:szCs w:val="23"/>
                <w:color w:val="auto"/>
                <w:vertAlign w:val="subscript"/>
              </w:rPr>
              <w:t xml:space="preserve">   *By:</w:t>
            </w:r>
            <w:r>
              <w:rPr>
                <w:rFonts w:ascii="Times New Roman" w:cs="Times New Roman" w:eastAsia="Times New Roman" w:hAnsi="Times New Roman"/>
                <w:sz w:val="12"/>
                <w:szCs w:val="12"/>
                <w:color w:val="auto"/>
              </w:rPr>
              <w:t xml:space="preserve"> /s/ Michele H. Abate</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7"/>
        </w:trPr>
        <w:tc>
          <w:tcPr>
            <w:tcW w:w="120" w:type="dxa"/>
            <w:vAlign w:val="bottom"/>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180" w:type="dxa"/>
            <w:vAlign w:val="bottom"/>
            <w:tcBorders>
              <w:top w:val="single" w:sz="8" w:color="auto"/>
              <w:right w:val="single" w:sz="8" w:color="F0FFFF"/>
            </w:tcBorders>
            <w:shd w:val="clear" w:color="auto" w:fill="F0FFFF"/>
          </w:tcPr>
          <w:p>
            <w:pPr>
              <w:ind w:left="20"/>
              <w:spacing w:after="0"/>
              <w:rPr>
                <w:sz w:val="20"/>
                <w:szCs w:val="20"/>
                <w:color w:val="auto"/>
              </w:rPr>
            </w:pPr>
            <w:r>
              <w:rPr>
                <w:rFonts w:ascii="Times New Roman" w:cs="Times New Roman" w:eastAsia="Times New Roman" w:hAnsi="Times New Roman"/>
                <w:sz w:val="12"/>
                <w:szCs w:val="12"/>
                <w:color w:val="auto"/>
              </w:rPr>
              <w:t>Michele H. Abate, Attorney-In-Fact</w:t>
            </w:r>
          </w:p>
        </w:tc>
        <w:tc>
          <w:tcPr>
            <w:tcW w:w="1060" w:type="dxa"/>
            <w:vAlign w:val="bottom"/>
            <w:tcBorders>
              <w:top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80" w:type="dxa"/>
            <w:vAlign w:val="bottom"/>
          </w:tcPr>
          <w:p>
            <w:pPr>
              <w:spacing w:after="0"/>
              <w:rPr>
                <w:sz w:val="18"/>
                <w:szCs w:val="18"/>
                <w:color w:val="auto"/>
              </w:rPr>
            </w:pPr>
          </w:p>
        </w:tc>
      </w:tr>
      <w:tr>
        <w:trPr>
          <w:trHeight w:val="153"/>
        </w:trPr>
        <w:tc>
          <w:tcPr>
            <w:tcW w:w="120" w:type="dxa"/>
            <w:vAlign w:val="bottom"/>
          </w:tcPr>
          <w:p>
            <w:pPr>
              <w:spacing w:after="0"/>
              <w:rPr>
                <w:sz w:val="13"/>
                <w:szCs w:val="13"/>
                <w:color w:val="auto"/>
              </w:rPr>
            </w:pPr>
          </w:p>
        </w:tc>
        <w:tc>
          <w:tcPr>
            <w:tcW w:w="340" w:type="dxa"/>
            <w:vAlign w:val="bottom"/>
            <w:shd w:val="clear" w:color="auto" w:fill="F0FFFF"/>
          </w:tcPr>
          <w:p>
            <w:pPr>
              <w:spacing w:after="0"/>
              <w:rPr>
                <w:sz w:val="13"/>
                <w:szCs w:val="13"/>
                <w:color w:val="auto"/>
              </w:rPr>
            </w:pPr>
          </w:p>
        </w:tc>
        <w:tc>
          <w:tcPr>
            <w:tcW w:w="2180" w:type="dxa"/>
            <w:vAlign w:val="bottom"/>
            <w:tcBorders>
              <w:right w:val="single" w:sz="8" w:color="F0FFFF"/>
            </w:tcBorders>
            <w:shd w:val="clear" w:color="auto" w:fill="F0FFFF"/>
          </w:tcPr>
          <w:p>
            <w:pPr>
              <w:ind w:left="20"/>
              <w:spacing w:after="0"/>
              <w:rPr>
                <w:sz w:val="20"/>
                <w:szCs w:val="20"/>
                <w:color w:val="auto"/>
              </w:rPr>
            </w:pPr>
            <w:r>
              <w:rPr>
                <w:rFonts w:ascii="Times New Roman" w:cs="Times New Roman" w:eastAsia="Times New Roman" w:hAnsi="Times New Roman"/>
                <w:sz w:val="12"/>
                <w:szCs w:val="12"/>
                <w:color w:val="auto"/>
              </w:rPr>
              <w:t>April 17, 2026</w:t>
            </w:r>
          </w:p>
        </w:tc>
        <w:tc>
          <w:tcPr>
            <w:tcW w:w="106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2680" w:type="dxa"/>
            <w:vAlign w:val="bottom"/>
          </w:tcPr>
          <w:p>
            <w:pPr>
              <w:spacing w:after="0"/>
              <w:rPr>
                <w:sz w:val="13"/>
                <w:szCs w:val="13"/>
                <w:color w:val="auto"/>
              </w:rPr>
            </w:pPr>
          </w:p>
        </w:tc>
      </w:tr>
    </w:tbl>
    <w:p>
      <w:pPr>
        <w:spacing w:after="0" w:line="34" w:lineRule="exact"/>
        <w:rPr>
          <w:sz w:val="20"/>
          <w:szCs w:val="20"/>
          <w:color w:val="auto"/>
        </w:rPr>
      </w:pPr>
    </w:p>
    <w:p>
      <w:pPr>
        <w:ind w:left="120" w:right="3859"/>
        <w:spacing w:after="0" w:line="279" w:lineRule="auto"/>
        <w:rPr>
          <w:sz w:val="20"/>
          <w:szCs w:val="20"/>
          <w:color w:val="auto"/>
        </w:rPr>
      </w:pPr>
      <w:r>
        <w:rPr>
          <w:rFonts w:ascii="Times New Roman" w:cs="Times New Roman" w:eastAsia="Times New Roman" w:hAnsi="Times New Roman"/>
          <w:sz w:val="12"/>
          <w:szCs w:val="12"/>
          <w:color w:val="auto"/>
        </w:rPr>
        <w:t>*Brighthouse Life Insurance Company of NY. Executed by Michele H. Abate, Esquire on behalf of those indicated pursuant to powers of attorney filed herewith.</w:t>
      </w:r>
    </w:p>
    <w:p>
      <w:pPr>
        <w:sectPr>
          <w:pgSz w:w="11900" w:h="16838" w:orient="portrait"/>
          <w:cols w:equalWidth="0" w:num="1">
            <w:col w:w="10079"/>
          </w:cols>
          <w:pgMar w:left="380" w:top="597" w:right="1440" w:bottom="1440" w:gutter="0" w:footer="0" w:header="0"/>
        </w:sectPr>
      </w:pPr>
    </w:p>
    <w:bookmarkStart w:id="120" w:name="page121"/>
    <w:bookmarkEnd w:id="120"/>
    <w:p>
      <w:pPr>
        <w:spacing w:after="0" w:line="27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116205</wp:posOffset>
            </wp:positionV>
            <wp:extent cx="720344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ind w:left="2572"/>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INDEX TO EXHIBITS</w:t>
      </w:r>
    </w:p>
    <w:p>
      <w:pPr>
        <w:spacing w:after="0" w:line="64" w:lineRule="exact"/>
        <w:rPr>
          <w:sz w:val="20"/>
          <w:szCs w:val="20"/>
          <w:color w:val="auto"/>
        </w:rPr>
      </w:pPr>
    </w:p>
    <w:p>
      <w:pPr>
        <w:ind w:left="872" w:right="3999" w:hanging="872"/>
        <w:spacing w:after="0" w:line="279" w:lineRule="auto"/>
        <w:tabs>
          <w:tab w:leader="none" w:pos="872"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Reinsurance Agreement and Amendment No. 1 between Brighthouse Life Insurance Company of NY and Brighthouse Life Insurance Company. (Confidential portions of this exhibit have been redacted.)</w:t>
      </w:r>
    </w:p>
    <w:p>
      <w:pPr>
        <w:spacing w:after="0" w:line="12" w:lineRule="exact"/>
        <w:rPr>
          <w:sz w:val="20"/>
          <w:szCs w:val="20"/>
          <w:color w:val="auto"/>
        </w:rPr>
      </w:pPr>
    </w:p>
    <w:p>
      <w:pPr>
        <w:ind w:left="872" w:hanging="872"/>
        <w:spacing w:after="0"/>
        <w:tabs>
          <w:tab w:leader="none" w:pos="872"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Consent of Independent Auditor</w:t>
      </w:r>
    </w:p>
    <w:p>
      <w:pPr>
        <w:spacing w:after="0" w:line="51" w:lineRule="exact"/>
        <w:rPr>
          <w:sz w:val="20"/>
          <w:szCs w:val="20"/>
          <w:color w:val="auto"/>
        </w:rPr>
      </w:pPr>
    </w:p>
    <w:p>
      <w:pPr>
        <w:ind w:left="872" w:hanging="872"/>
        <w:spacing w:after="0"/>
        <w:tabs>
          <w:tab w:leader="none" w:pos="872"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Powers of Attorney</w:t>
      </w:r>
    </w:p>
    <w:p>
      <w:pPr>
        <w:spacing w:after="0" w:line="60" w:lineRule="exact"/>
        <w:rPr>
          <w:sz w:val="20"/>
          <w:szCs w:val="20"/>
          <w:color w:val="auto"/>
        </w:rPr>
      </w:pPr>
    </w:p>
    <w:p>
      <w:pPr>
        <w:ind w:left="872" w:hanging="872"/>
        <w:spacing w:after="0"/>
        <w:tabs>
          <w:tab w:leader="none" w:pos="872"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Historical Current Limits on Index Gains</w:t>
      </w:r>
    </w:p>
    <w:p>
      <w:pPr>
        <w:sectPr>
          <w:pgSz w:w="11900" w:h="16838" w:orient="portrait"/>
          <w:cols w:equalWidth="0" w:num="1">
            <w:col w:w="9951"/>
          </w:cols>
          <w:pgMar w:left="508" w:top="629" w:right="1440" w:bottom="1440" w:gutter="0" w:footer="0" w:header="0"/>
        </w:sectPr>
      </w:pPr>
    </w:p>
    <w:bookmarkStart w:id="122" w:name="page123"/>
    <w:bookmarkEnd w:id="122"/>
    <w:p>
      <w:pPr>
        <w:spacing w:after="0"/>
        <w:tabs>
          <w:tab w:leader="none" w:pos="87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116205</wp:posOffset>
            </wp:positionV>
            <wp:extent cx="720344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tabs>
          <w:tab w:leader="none" w:pos="87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116205</wp:posOffset>
            </wp:positionV>
            <wp:extent cx="720344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ind w:right="4539"/>
        <w:spacing w:after="0" w:line="250" w:lineRule="auto"/>
        <w:rPr>
          <w:sz w:val="20"/>
          <w:szCs w:val="20"/>
          <w:color w:val="auto"/>
        </w:rPr>
      </w:pPr>
      <w:r>
        <w:rPr>
          <w:rFonts w:ascii="Arial" w:cs="Arial" w:eastAsia="Arial" w:hAnsi="Arial"/>
          <w:sz w:val="13"/>
          <w:szCs w:val="13"/>
          <w:color w:val="auto"/>
        </w:rPr>
        <w:t>CERTAIN INFORMATION IN THIS EXHIBIT HAS BEEN REDACTED BECAUSE IT IS BOTH (1) NOT MATERIAL AND (2) IS TREATED AS CONFIDENTIAL BY BRIGHTHOUSE LIFE INSURANCE COMPANY OF NY.</w:t>
      </w:r>
    </w:p>
    <w:p>
      <w:pPr>
        <w:spacing w:after="0" w:line="6" w:lineRule="exact"/>
        <w:rPr>
          <w:sz w:val="20"/>
          <w:szCs w:val="20"/>
          <w:color w:val="auto"/>
        </w:rPr>
      </w:pPr>
    </w:p>
    <w:p>
      <w:pPr>
        <w:jc w:val="right"/>
        <w:ind w:right="2819"/>
        <w:spacing w:after="0"/>
        <w:rPr>
          <w:sz w:val="20"/>
          <w:szCs w:val="20"/>
          <w:color w:val="auto"/>
        </w:rPr>
      </w:pPr>
      <w:r>
        <w:rPr>
          <w:rFonts w:ascii="Arial" w:cs="Arial" w:eastAsia="Arial" w:hAnsi="Arial"/>
          <w:sz w:val="14"/>
          <w:szCs w:val="14"/>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819"/>
        <w:spacing w:after="0"/>
        <w:rPr>
          <w:sz w:val="20"/>
          <w:szCs w:val="20"/>
          <w:color w:val="auto"/>
        </w:rPr>
      </w:pPr>
      <w:r>
        <w:rPr>
          <w:rFonts w:ascii="Arial" w:cs="Arial" w:eastAsia="Arial" w:hAnsi="Arial"/>
          <w:sz w:val="19"/>
          <w:szCs w:val="19"/>
          <w:b w:val="1"/>
          <w:bCs w:val="1"/>
          <w:color w:val="auto"/>
        </w:rPr>
        <w:t>REINSURANCE AGREEMENT</w:t>
      </w:r>
    </w:p>
    <w:p>
      <w:pPr>
        <w:spacing w:after="0" w:line="205" w:lineRule="exact"/>
        <w:rPr>
          <w:sz w:val="20"/>
          <w:szCs w:val="20"/>
          <w:color w:val="auto"/>
        </w:rPr>
      </w:pPr>
    </w:p>
    <w:p>
      <w:pPr>
        <w:jc w:val="center"/>
        <w:ind w:right="2819"/>
        <w:spacing w:after="0"/>
        <w:rPr>
          <w:sz w:val="20"/>
          <w:szCs w:val="20"/>
          <w:color w:val="auto"/>
        </w:rPr>
      </w:pPr>
      <w:r>
        <w:rPr>
          <w:rFonts w:ascii="Arial" w:cs="Arial" w:eastAsia="Arial" w:hAnsi="Arial"/>
          <w:sz w:val="19"/>
          <w:szCs w:val="19"/>
          <w:b w:val="1"/>
          <w:bCs w:val="1"/>
          <w:color w:val="auto"/>
        </w:rPr>
        <w:t>BETWEEN</w:t>
      </w:r>
    </w:p>
    <w:p>
      <w:pPr>
        <w:spacing w:after="0" w:line="196" w:lineRule="exact"/>
        <w:rPr>
          <w:sz w:val="20"/>
          <w:szCs w:val="20"/>
          <w:color w:val="auto"/>
        </w:rPr>
      </w:pPr>
    </w:p>
    <w:p>
      <w:pPr>
        <w:jc w:val="center"/>
        <w:ind w:right="2819"/>
        <w:spacing w:after="0"/>
        <w:rPr>
          <w:sz w:val="20"/>
          <w:szCs w:val="20"/>
          <w:color w:val="auto"/>
        </w:rPr>
      </w:pPr>
      <w:r>
        <w:rPr>
          <w:rFonts w:ascii="Arial" w:cs="Arial" w:eastAsia="Arial" w:hAnsi="Arial"/>
          <w:sz w:val="19"/>
          <w:szCs w:val="19"/>
          <w:b w:val="1"/>
          <w:bCs w:val="1"/>
          <w:color w:val="auto"/>
        </w:rPr>
        <w:t>BRIGHTHOUSE LIFE INSURANCE COMPANY OF NY</w:t>
      </w:r>
    </w:p>
    <w:p>
      <w:pPr>
        <w:spacing w:after="0" w:line="196" w:lineRule="exact"/>
        <w:rPr>
          <w:sz w:val="20"/>
          <w:szCs w:val="20"/>
          <w:color w:val="auto"/>
        </w:rPr>
      </w:pPr>
    </w:p>
    <w:p>
      <w:pPr>
        <w:jc w:val="center"/>
        <w:ind w:right="2819"/>
        <w:spacing w:after="0"/>
        <w:rPr>
          <w:sz w:val="20"/>
          <w:szCs w:val="20"/>
          <w:color w:val="auto"/>
        </w:rPr>
      </w:pPr>
      <w:r>
        <w:rPr>
          <w:rFonts w:ascii="Arial" w:cs="Arial" w:eastAsia="Arial" w:hAnsi="Arial"/>
          <w:sz w:val="19"/>
          <w:szCs w:val="19"/>
          <w:b w:val="1"/>
          <w:bCs w:val="1"/>
          <w:color w:val="auto"/>
        </w:rPr>
        <w:t>AND</w:t>
      </w:r>
    </w:p>
    <w:p>
      <w:pPr>
        <w:spacing w:after="0" w:line="205" w:lineRule="exact"/>
        <w:rPr>
          <w:sz w:val="20"/>
          <w:szCs w:val="20"/>
          <w:color w:val="auto"/>
        </w:rPr>
      </w:pPr>
    </w:p>
    <w:p>
      <w:pPr>
        <w:jc w:val="center"/>
        <w:ind w:right="2819"/>
        <w:spacing w:after="0"/>
        <w:rPr>
          <w:sz w:val="20"/>
          <w:szCs w:val="20"/>
          <w:color w:val="auto"/>
        </w:rPr>
      </w:pPr>
      <w:r>
        <w:rPr>
          <w:rFonts w:ascii="Arial" w:cs="Arial" w:eastAsia="Arial" w:hAnsi="Arial"/>
          <w:sz w:val="19"/>
          <w:szCs w:val="19"/>
          <w:b w:val="1"/>
          <w:bCs w:val="1"/>
          <w:color w:val="auto"/>
        </w:rPr>
        <w:t>BRIGHTHOUSE LIFE INSURANCE COMPANY</w:t>
      </w:r>
    </w:p>
    <w:p>
      <w:pPr>
        <w:sectPr>
          <w:pgSz w:w="11900" w:h="16838" w:orient="portrait"/>
          <w:cols w:equalWidth="0" w:num="1">
            <w:col w:w="10159"/>
          </w:cols>
          <w:pgMar w:left="300" w:top="125" w:right="1440"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4663440" cy="11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59"/>
          </w:cols>
          <w:pgMar w:left="300" w:top="224" w:right="1440" w:bottom="1440" w:gutter="0" w:footer="0" w:header="0"/>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4"/>
                <w:szCs w:val="14"/>
                <w:b w:val="1"/>
                <w:bCs w:val="1"/>
                <w:color w:val="auto"/>
                <w:w w:val="90"/>
              </w:rPr>
              <w:t>PREAMBLE </w:t>
            </w:r>
          </w:p>
        </w:tc>
        <w:tc>
          <w:tcPr>
            <w:tcW w:w="600" w:type="dxa"/>
            <w:vAlign w:val="bottom"/>
          </w:tcPr>
          <w:p>
            <w:pPr>
              <w:jc w:val="right"/>
              <w:ind w:right="368"/>
              <w:spacing w:after="0"/>
              <w:rPr>
                <w:sz w:val="20"/>
                <w:szCs w:val="20"/>
                <w:color w:val="auto"/>
              </w:rPr>
            </w:pPr>
            <w:r>
              <w:rPr>
                <w:rFonts w:ascii="Arial" w:cs="Arial" w:eastAsia="Arial" w:hAnsi="Arial"/>
                <w:sz w:val="14"/>
                <w:szCs w:val="14"/>
                <w:b w:val="1"/>
                <w:bCs w:val="1"/>
                <w:color w:val="auto"/>
              </w:rPr>
              <w:t>  </w:t>
            </w:r>
          </w:p>
        </w:tc>
        <w:tc>
          <w:tcPr>
            <w:tcW w:w="50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05"/>
        </w:trPr>
        <w:tc>
          <w:tcPr>
            <w:tcW w:w="860" w:type="dxa"/>
            <w:vAlign w:val="bottom"/>
          </w:tcPr>
          <w:p>
            <w:pPr>
              <w:spacing w:after="0"/>
              <w:rPr>
                <w:sz w:val="20"/>
                <w:szCs w:val="20"/>
                <w:color w:val="auto"/>
              </w:rPr>
            </w:pPr>
            <w:r>
              <w:rPr>
                <w:rFonts w:ascii="Arial" w:cs="Arial" w:eastAsia="Arial" w:hAnsi="Arial"/>
                <w:sz w:val="14"/>
                <w:szCs w:val="14"/>
                <w:b w:val="1"/>
                <w:bCs w:val="1"/>
                <w:color w:val="auto"/>
                <w:w w:val="98"/>
              </w:rPr>
              <w:t>ARTICLE I. </w:t>
            </w:r>
          </w:p>
        </w:tc>
        <w:tc>
          <w:tcPr>
            <w:tcW w:w="600" w:type="dxa"/>
            <w:vAlign w:val="bottom"/>
          </w:tcPr>
          <w:p>
            <w:pPr>
              <w:jc w:val="right"/>
              <w:ind w:right="388"/>
              <w:spacing w:after="0"/>
              <w:rPr>
                <w:sz w:val="20"/>
                <w:szCs w:val="20"/>
                <w:color w:val="auto"/>
              </w:rPr>
            </w:pPr>
            <w:r>
              <w:rPr>
                <w:rFonts w:ascii="Arial" w:cs="Arial" w:eastAsia="Arial" w:hAnsi="Arial"/>
                <w:sz w:val="14"/>
                <w:szCs w:val="14"/>
                <w:b w:val="1"/>
                <w:bCs w:val="1"/>
                <w:color w:val="auto"/>
                <w:w w:val="80"/>
              </w:rPr>
              <w:t>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REINSURANCE DEFINITION</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209"/>
        </w:trPr>
        <w:tc>
          <w:tcPr>
            <w:tcW w:w="860" w:type="dxa"/>
            <w:vAlign w:val="bottom"/>
          </w:tcPr>
          <w:p>
            <w:pPr>
              <w:spacing w:after="0"/>
              <w:rPr>
                <w:sz w:val="20"/>
                <w:szCs w:val="20"/>
                <w:color w:val="auto"/>
              </w:rPr>
            </w:pPr>
            <w:r>
              <w:rPr>
                <w:rFonts w:ascii="Arial" w:cs="Arial" w:eastAsia="Arial" w:hAnsi="Arial"/>
                <w:sz w:val="14"/>
                <w:szCs w:val="14"/>
                <w:b w:val="1"/>
                <w:bCs w:val="1"/>
                <w:color w:val="auto"/>
                <w:w w:val="94"/>
              </w:rPr>
              <w:t>ARTICLE II. </w:t>
            </w: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REINSURANCE PREMIUMS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207"/>
        </w:trPr>
        <w:tc>
          <w:tcPr>
            <w:tcW w:w="860" w:type="dxa"/>
            <w:vAlign w:val="bottom"/>
          </w:tcPr>
          <w:p>
            <w:pPr>
              <w:spacing w:after="0"/>
              <w:rPr>
                <w:sz w:val="20"/>
                <w:szCs w:val="20"/>
                <w:color w:val="auto"/>
              </w:rPr>
            </w:pPr>
            <w:r>
              <w:rPr>
                <w:rFonts w:ascii="Arial" w:cs="Arial" w:eastAsia="Arial" w:hAnsi="Arial"/>
                <w:sz w:val="14"/>
                <w:szCs w:val="14"/>
                <w:b w:val="1"/>
                <w:bCs w:val="1"/>
                <w:color w:val="auto"/>
                <w:w w:val="90"/>
              </w:rPr>
              <w:t>ARTICLE III. </w:t>
            </w:r>
          </w:p>
        </w:tc>
        <w:tc>
          <w:tcPr>
            <w:tcW w:w="600" w:type="dxa"/>
            <w:vAlign w:val="bottom"/>
          </w:tcPr>
          <w:p>
            <w:pPr>
              <w:jc w:val="right"/>
              <w:ind w:right="368"/>
              <w:spacing w:after="0"/>
              <w:rPr>
                <w:sz w:val="20"/>
                <w:szCs w:val="20"/>
                <w:color w:val="auto"/>
              </w:rPr>
            </w:pPr>
            <w:r>
              <w:rPr>
                <w:rFonts w:ascii="Arial" w:cs="Arial" w:eastAsia="Arial" w:hAnsi="Arial"/>
                <w:sz w:val="14"/>
                <w:szCs w:val="14"/>
                <w:b w:val="1"/>
                <w:bCs w:val="1"/>
                <w:color w:val="auto"/>
              </w:rPr>
              <w:t>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INITIAL CEDING COMMISSION AND ALLOWANCES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07"/>
        </w:trPr>
        <w:tc>
          <w:tcPr>
            <w:tcW w:w="860" w:type="dxa"/>
            <w:vAlign w:val="bottom"/>
          </w:tcPr>
          <w:p>
            <w:pPr>
              <w:spacing w:after="0"/>
              <w:rPr>
                <w:sz w:val="20"/>
                <w:szCs w:val="20"/>
                <w:color w:val="auto"/>
              </w:rPr>
            </w:pPr>
            <w:r>
              <w:rPr>
                <w:rFonts w:ascii="Arial" w:cs="Arial" w:eastAsia="Arial" w:hAnsi="Arial"/>
                <w:sz w:val="14"/>
                <w:szCs w:val="14"/>
                <w:b w:val="1"/>
                <w:bCs w:val="1"/>
                <w:color w:val="auto"/>
                <w:w w:val="88"/>
              </w:rPr>
              <w:t>ARTICLE IV. </w:t>
            </w:r>
          </w:p>
        </w:tc>
        <w:tc>
          <w:tcPr>
            <w:tcW w:w="600" w:type="dxa"/>
            <w:vAlign w:val="bottom"/>
          </w:tcPr>
          <w:p>
            <w:pPr>
              <w:jc w:val="right"/>
              <w:ind w:right="388"/>
              <w:spacing w:after="0"/>
              <w:rPr>
                <w:sz w:val="20"/>
                <w:szCs w:val="20"/>
                <w:color w:val="auto"/>
              </w:rPr>
            </w:pPr>
            <w:r>
              <w:rPr>
                <w:rFonts w:ascii="Arial" w:cs="Arial" w:eastAsia="Arial" w:hAnsi="Arial"/>
                <w:sz w:val="14"/>
                <w:szCs w:val="14"/>
                <w:b w:val="1"/>
                <w:bCs w:val="1"/>
                <w:color w:val="auto"/>
              </w:rPr>
              <w:t>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MODCO RESERVE ADJUSTMENT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r>
        <w:trPr>
          <w:trHeight w:val="207"/>
        </w:trPr>
        <w:tc>
          <w:tcPr>
            <w:tcW w:w="860" w:type="dxa"/>
            <w:vAlign w:val="bottom"/>
          </w:tcPr>
          <w:p>
            <w:pPr>
              <w:spacing w:after="0"/>
              <w:rPr>
                <w:sz w:val="20"/>
                <w:szCs w:val="20"/>
                <w:color w:val="auto"/>
              </w:rPr>
            </w:pPr>
            <w:r>
              <w:rPr>
                <w:rFonts w:ascii="Arial" w:cs="Arial" w:eastAsia="Arial" w:hAnsi="Arial"/>
                <w:sz w:val="14"/>
                <w:szCs w:val="14"/>
                <w:b w:val="1"/>
                <w:bCs w:val="1"/>
                <w:color w:val="auto"/>
                <w:w w:val="92"/>
              </w:rPr>
              <w:t>ARTICLE V. </w:t>
            </w:r>
          </w:p>
        </w:tc>
        <w:tc>
          <w:tcPr>
            <w:tcW w:w="60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INDEMNIFICATION FOR BENEFIT PAYMENTS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205"/>
        </w:trPr>
        <w:tc>
          <w:tcPr>
            <w:tcW w:w="860" w:type="dxa"/>
            <w:vAlign w:val="bottom"/>
          </w:tcPr>
          <w:p>
            <w:pPr>
              <w:spacing w:after="0"/>
              <w:rPr>
                <w:sz w:val="20"/>
                <w:szCs w:val="20"/>
                <w:color w:val="auto"/>
              </w:rPr>
            </w:pPr>
            <w:r>
              <w:rPr>
                <w:rFonts w:ascii="Arial" w:cs="Arial" w:eastAsia="Arial" w:hAnsi="Arial"/>
                <w:sz w:val="14"/>
                <w:szCs w:val="14"/>
                <w:b w:val="1"/>
                <w:bCs w:val="1"/>
                <w:color w:val="auto"/>
                <w:w w:val="88"/>
              </w:rPr>
              <w:t>ARTICLE VI. </w:t>
            </w:r>
          </w:p>
        </w:tc>
        <w:tc>
          <w:tcPr>
            <w:tcW w:w="600" w:type="dxa"/>
            <w:vAlign w:val="bottom"/>
          </w:tcPr>
          <w:p>
            <w:pPr>
              <w:jc w:val="right"/>
              <w:ind w:right="388"/>
              <w:spacing w:after="0"/>
              <w:rPr>
                <w:sz w:val="20"/>
                <w:szCs w:val="20"/>
                <w:color w:val="auto"/>
              </w:rPr>
            </w:pPr>
            <w:r>
              <w:rPr>
                <w:rFonts w:ascii="Arial" w:cs="Arial" w:eastAsia="Arial" w:hAnsi="Arial"/>
                <w:sz w:val="14"/>
                <w:szCs w:val="14"/>
                <w:b w:val="1"/>
                <w:bCs w:val="1"/>
                <w:color w:val="auto"/>
              </w:rPr>
              <w:t>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INITIAL AND ONGOING ACCOUNTING AND SETTLEMENTS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r>
        <w:trPr>
          <w:trHeight w:val="209"/>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ARTICLE VII. 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DURATION, RECAPTURE AND TERMINATION</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w:t>
            </w:r>
          </w:p>
        </w:tc>
      </w:tr>
      <w:tr>
        <w:trPr>
          <w:trHeight w:val="207"/>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ARTICLE VIII. 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TERMINAL ACCOUNTING AND SETTLEMENT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r>
        <w:trPr>
          <w:trHeight w:val="205"/>
        </w:trPr>
        <w:tc>
          <w:tcPr>
            <w:tcW w:w="860" w:type="dxa"/>
            <w:vAlign w:val="bottom"/>
          </w:tcPr>
          <w:p>
            <w:pPr>
              <w:spacing w:after="0"/>
              <w:rPr>
                <w:sz w:val="20"/>
                <w:szCs w:val="20"/>
                <w:color w:val="auto"/>
              </w:rPr>
            </w:pPr>
            <w:r>
              <w:rPr>
                <w:rFonts w:ascii="Arial" w:cs="Arial" w:eastAsia="Arial" w:hAnsi="Arial"/>
                <w:sz w:val="14"/>
                <w:szCs w:val="14"/>
                <w:b w:val="1"/>
                <w:bCs w:val="1"/>
                <w:color w:val="auto"/>
                <w:w w:val="88"/>
              </w:rPr>
              <w:t>ARTICLE IX. </w:t>
            </w:r>
          </w:p>
        </w:tc>
        <w:tc>
          <w:tcPr>
            <w:tcW w:w="600" w:type="dxa"/>
            <w:vAlign w:val="bottom"/>
          </w:tcPr>
          <w:p>
            <w:pPr>
              <w:jc w:val="right"/>
              <w:ind w:right="388"/>
              <w:spacing w:after="0"/>
              <w:rPr>
                <w:sz w:val="20"/>
                <w:szCs w:val="20"/>
                <w:color w:val="auto"/>
              </w:rPr>
            </w:pPr>
            <w:r>
              <w:rPr>
                <w:rFonts w:ascii="Arial" w:cs="Arial" w:eastAsia="Arial" w:hAnsi="Arial"/>
                <w:sz w:val="14"/>
                <w:szCs w:val="14"/>
                <w:b w:val="1"/>
                <w:bCs w:val="1"/>
                <w:color w:val="auto"/>
              </w:rPr>
              <w:t>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THE CEDING COMPANY REPRESENTATIONS AND</w:t>
            </w:r>
          </w:p>
        </w:tc>
        <w:tc>
          <w:tcPr>
            <w:tcW w:w="760" w:type="dxa"/>
            <w:vAlign w:val="bottom"/>
          </w:tcPr>
          <w:p>
            <w:pPr>
              <w:spacing w:after="0"/>
              <w:rPr>
                <w:sz w:val="17"/>
                <w:szCs w:val="17"/>
                <w:color w:val="auto"/>
              </w:rPr>
            </w:pPr>
          </w:p>
        </w:tc>
      </w:tr>
      <w:tr>
        <w:trPr>
          <w:trHeight w:val="209"/>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WARRANTIES </w:t>
            </w:r>
          </w:p>
        </w:tc>
        <w:tc>
          <w:tcPr>
            <w:tcW w:w="50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207"/>
        </w:trPr>
        <w:tc>
          <w:tcPr>
            <w:tcW w:w="860" w:type="dxa"/>
            <w:vAlign w:val="bottom"/>
          </w:tcPr>
          <w:p>
            <w:pPr>
              <w:spacing w:after="0"/>
              <w:rPr>
                <w:sz w:val="20"/>
                <w:szCs w:val="20"/>
                <w:color w:val="auto"/>
              </w:rPr>
            </w:pPr>
            <w:r>
              <w:rPr>
                <w:rFonts w:ascii="Arial" w:cs="Arial" w:eastAsia="Arial" w:hAnsi="Arial"/>
                <w:sz w:val="14"/>
                <w:szCs w:val="14"/>
                <w:b w:val="1"/>
                <w:bCs w:val="1"/>
                <w:color w:val="auto"/>
                <w:w w:val="92"/>
              </w:rPr>
              <w:t>ARTICLE X. </w:t>
            </w:r>
          </w:p>
        </w:tc>
        <w:tc>
          <w:tcPr>
            <w:tcW w:w="600" w:type="dxa"/>
            <w:vAlign w:val="bottom"/>
          </w:tcPr>
          <w:p>
            <w:pPr>
              <w:jc w:val="right"/>
              <w:ind w:right="388"/>
              <w:spacing w:after="0"/>
              <w:rPr>
                <w:sz w:val="20"/>
                <w:szCs w:val="20"/>
                <w:color w:val="auto"/>
              </w:rPr>
            </w:pPr>
            <w:r>
              <w:rPr>
                <w:rFonts w:ascii="Arial" w:cs="Arial" w:eastAsia="Arial" w:hAnsi="Arial"/>
                <w:sz w:val="14"/>
                <w:szCs w:val="14"/>
                <w:b w:val="1"/>
                <w:bCs w:val="1"/>
                <w:color w:val="auto"/>
              </w:rPr>
              <w:t>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REINSURER REPRESENTATIONS AND WARRANTIES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r>
        <w:trPr>
          <w:trHeight w:val="207"/>
        </w:trPr>
        <w:tc>
          <w:tcPr>
            <w:tcW w:w="860" w:type="dxa"/>
            <w:vAlign w:val="bottom"/>
          </w:tcPr>
          <w:p>
            <w:pPr>
              <w:spacing w:after="0"/>
              <w:rPr>
                <w:sz w:val="20"/>
                <w:szCs w:val="20"/>
                <w:color w:val="auto"/>
              </w:rPr>
            </w:pPr>
            <w:r>
              <w:rPr>
                <w:rFonts w:ascii="Arial" w:cs="Arial" w:eastAsia="Arial" w:hAnsi="Arial"/>
                <w:sz w:val="14"/>
                <w:szCs w:val="14"/>
                <w:b w:val="1"/>
                <w:bCs w:val="1"/>
                <w:color w:val="auto"/>
                <w:w w:val="88"/>
              </w:rPr>
              <w:t>ARTICLE XI. </w:t>
            </w:r>
          </w:p>
        </w:tc>
        <w:tc>
          <w:tcPr>
            <w:tcW w:w="600" w:type="dxa"/>
            <w:vAlign w:val="bottom"/>
          </w:tcPr>
          <w:p>
            <w:pPr>
              <w:jc w:val="right"/>
              <w:ind w:right="388"/>
              <w:spacing w:after="0"/>
              <w:rPr>
                <w:sz w:val="20"/>
                <w:szCs w:val="20"/>
                <w:color w:val="auto"/>
              </w:rPr>
            </w:pPr>
            <w:r>
              <w:rPr>
                <w:rFonts w:ascii="Arial" w:cs="Arial" w:eastAsia="Arial" w:hAnsi="Arial"/>
                <w:sz w:val="14"/>
                <w:szCs w:val="14"/>
                <w:b w:val="1"/>
                <w:bCs w:val="1"/>
                <w:color w:val="auto"/>
              </w:rPr>
              <w:t>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ARBITRATION</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207"/>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ARTICLE XII. 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INSOLVENCY</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r>
        <w:trPr>
          <w:trHeight w:val="20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ARTICLE XIII. 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GENERAL PROVISIONS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r>
        <w:trPr>
          <w:trHeight w:val="209"/>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ARTICLE XIV. 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NON-ADMITTED REINSURANCE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07"/>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SCHEDULE A 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POLICIES AND RISKS REINSURED</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34</w:t>
            </w:r>
          </w:p>
        </w:tc>
      </w:tr>
      <w:tr>
        <w:trPr>
          <w:trHeight w:val="207"/>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SCHEDULE B 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RESERVES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207"/>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SCHEDULE C 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MODCO INVESTMENT CREDIT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r>
        <w:trPr>
          <w:trHeight w:val="20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SCHEDULE D 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ALLOWANCES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209"/>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SCHEDULE E </w:t>
            </w:r>
          </w:p>
        </w:tc>
        <w:tc>
          <w:tcPr>
            <w:tcW w:w="5080" w:type="dxa"/>
            <w:vAlign w:val="bottom"/>
          </w:tcPr>
          <w:p>
            <w:pPr>
              <w:ind w:left="440"/>
              <w:spacing w:after="0"/>
              <w:rPr>
                <w:sz w:val="20"/>
                <w:szCs w:val="20"/>
                <w:color w:val="auto"/>
              </w:rPr>
            </w:pPr>
            <w:r>
              <w:rPr>
                <w:rFonts w:ascii="Arial" w:cs="Arial" w:eastAsia="Arial" w:hAnsi="Arial"/>
                <w:sz w:val="14"/>
                <w:szCs w:val="14"/>
                <w:b w:val="1"/>
                <w:bCs w:val="1"/>
                <w:color w:val="auto"/>
              </w:rPr>
              <w:t>QUARTERLY REPORT FORMAT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r>
        <w:trPr>
          <w:trHeight w:val="253"/>
        </w:trPr>
        <w:tc>
          <w:tcPr>
            <w:tcW w:w="8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80" w:type="dxa"/>
            <w:vAlign w:val="bottom"/>
          </w:tcPr>
          <w:p>
            <w:pPr>
              <w:ind w:left="2080"/>
              <w:spacing w:after="0"/>
              <w:rPr>
                <w:sz w:val="20"/>
                <w:szCs w:val="20"/>
                <w:color w:val="auto"/>
              </w:rPr>
            </w:pPr>
            <w:r>
              <w:rPr>
                <w:rFonts w:ascii="Arial" w:cs="Arial" w:eastAsia="Arial" w:hAnsi="Arial"/>
                <w:sz w:val="14"/>
                <w:szCs w:val="14"/>
                <w:color w:val="auto"/>
              </w:rPr>
              <w:t>- 2 -</w:t>
            </w:r>
          </w:p>
        </w:tc>
        <w:tc>
          <w:tcPr>
            <w:tcW w:w="760" w:type="dxa"/>
            <w:vAlign w:val="bottom"/>
          </w:tcPr>
          <w:p>
            <w:pPr>
              <w:spacing w:after="0"/>
              <w:rPr>
                <w:sz w:val="22"/>
                <w:szCs w:val="22"/>
                <w:color w:val="auto"/>
              </w:rPr>
            </w:pPr>
          </w:p>
        </w:tc>
      </w:tr>
    </w:tbl>
    <w:p>
      <w:pPr>
        <w:sectPr>
          <w:pgSz w:w="11900" w:h="16838" w:orient="portrait"/>
          <w:cols w:equalWidth="0" w:num="1">
            <w:col w:w="10159"/>
          </w:cols>
          <w:pgMar w:left="300" w:top="224" w:right="1440"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4663440" cy="114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59"/>
          </w:cols>
          <w:pgMar w:left="300" w:top="224" w:right="1440"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THIS REINSURANCE AGREEMENT </w:t>
      </w:r>
      <w:r>
        <w:rPr>
          <w:rFonts w:ascii="Arial" w:cs="Arial" w:eastAsia="Arial" w:hAnsi="Arial"/>
          <w:sz w:val="14"/>
          <w:szCs w:val="14"/>
          <w:color w:val="auto"/>
        </w:rPr>
        <w:t>(the “Agreement”) is made and entered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into on October 1, 2023 (“Effective Date”) by and between Brighthouse Life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Insurance Company of NY, a life insurance corporation domiciled in New York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“Ceding Company”), and Brighthouse Life Insurance Company, a life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insurance corporation domiciled in Delaware (the “Reinsurer”).</w:t>
      </w:r>
    </w:p>
    <w:p>
      <w:pPr>
        <w:spacing w:after="0" w:line="131" w:lineRule="exact"/>
        <w:rPr>
          <w:sz w:val="20"/>
          <w:szCs w:val="20"/>
          <w:color w:val="auto"/>
        </w:rPr>
      </w:pPr>
    </w:p>
    <w:p>
      <w:pPr>
        <w:ind w:right="4979"/>
        <w:spacing w:after="0" w:line="248" w:lineRule="auto"/>
        <w:rPr>
          <w:sz w:val="20"/>
          <w:szCs w:val="20"/>
          <w:color w:val="auto"/>
        </w:rPr>
      </w:pPr>
      <w:r>
        <w:rPr>
          <w:rFonts w:ascii="Arial" w:cs="Arial" w:eastAsia="Arial" w:hAnsi="Arial"/>
          <w:sz w:val="14"/>
          <w:szCs w:val="14"/>
          <w:b w:val="1"/>
          <w:bCs w:val="1"/>
          <w:color w:val="auto"/>
        </w:rPr>
        <w:t xml:space="preserve">THE BACKGROUND OF THIS AGREEMENT </w:t>
      </w:r>
      <w:r>
        <w:rPr>
          <w:rFonts w:ascii="Arial" w:cs="Arial" w:eastAsia="Arial" w:hAnsi="Arial"/>
          <w:sz w:val="14"/>
          <w:szCs w:val="14"/>
          <w:color w:val="auto"/>
        </w:rPr>
        <w:t>is that the Ceding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wishes to cede to the Reinsurer, effective as of the Effective Date, a [***] percent ([***]) quota share (the “Quota Share”) of the liabilities (net of Ceded Reinsurance Agreements) associated with the index-linked annuity contracts described in Schedule A, and the Reinsurer, having reviewed materials provided by the Ceding Company relating to such index-linked annuity contracts, wishes to accept the proposed cession on that basis.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mutual promises and undertakings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set forth herein, the parties agree as follows:</w:t>
      </w:r>
    </w:p>
    <w:p>
      <w:pPr>
        <w:spacing w:after="0" w:line="86"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159"/>
          </w:cols>
          <w:pgMar w:left="300" w:top="224" w:right="1440" w:bottom="1440" w:gutter="0" w:footer="0" w:header="0"/>
          <w:type w:val="continuous"/>
        </w:sectPr>
      </w:pPr>
    </w:p>
    <w:bookmarkStart w:id="127" w:name="page128"/>
    <w:bookmarkEnd w:id="127"/>
    <w:p>
      <w:pPr>
        <w:ind w:left="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I.     REINSURANCE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663440" cy="114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4" w:right="1440" w:bottom="1440" w:gutter="0" w:footer="0" w:header="0"/>
        </w:sectPr>
      </w:pPr>
    </w:p>
    <w:p>
      <w:pPr>
        <w:spacing w:after="0" w:line="218" w:lineRule="exact"/>
        <w:rPr>
          <w:sz w:val="20"/>
          <w:szCs w:val="20"/>
          <w:color w:val="auto"/>
        </w:rPr>
      </w:pPr>
    </w:p>
    <w:p>
      <w:pPr>
        <w:ind w:left="368" w:right="5279" w:hanging="368"/>
        <w:spacing w:after="0" w:line="250" w:lineRule="auto"/>
        <w:tabs>
          <w:tab w:leader="none" w:pos="361"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Policies and Risks Reinsured</w:t>
      </w:r>
      <w:r>
        <w:rPr>
          <w:rFonts w:ascii="Arial" w:cs="Arial" w:eastAsia="Arial" w:hAnsi="Arial"/>
          <w:sz w:val="14"/>
          <w:szCs w:val="14"/>
          <w:color w:val="auto"/>
        </w:rPr>
        <w:t>. In accordance with the terms and conditions hereof, effective as of 12:01 a.m. on the Effective Date, the Ceding Company hereby cedes and the Reinsurer hereby accepts as indemnity reinsurance, the Quota Share of the Ceding Company’s Net Benefit Payments under the index-linked annuity contracts described in Schedule A (the “Policies”).</w:t>
      </w:r>
    </w:p>
    <w:p>
      <w:pPr>
        <w:spacing w:after="0" w:line="127" w:lineRule="exact"/>
        <w:rPr>
          <w:rFonts w:ascii="Arial" w:cs="Arial" w:eastAsia="Arial" w:hAnsi="Arial"/>
          <w:sz w:val="14"/>
          <w:szCs w:val="14"/>
          <w:color w:val="auto"/>
        </w:rPr>
      </w:pPr>
    </w:p>
    <w:p>
      <w:pPr>
        <w:ind w:left="368" w:right="5099" w:hanging="368"/>
        <w:spacing w:after="0" w:line="246" w:lineRule="auto"/>
        <w:tabs>
          <w:tab w:leader="none" w:pos="361"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Basis of Reinsurance</w:t>
      </w:r>
      <w:r>
        <w:rPr>
          <w:rFonts w:ascii="Arial" w:cs="Arial" w:eastAsia="Arial" w:hAnsi="Arial"/>
          <w:sz w:val="14"/>
          <w:szCs w:val="14"/>
          <w:color w:val="auto"/>
        </w:rPr>
        <w:t>. The Ceding Company hereby cedes and the Reinsurer hereby accepts, as of the Effective Date, the Quota Share of all liabilities and obligations under the Policies that by the terms of such Policies contemplate payment from the Separate Accounts of the Ceding Company (the “Separate Account Liabilities”) on a modified coinsurance basis, and the Quota Share of all other liabilities and obligations under the Policies (the “General Account Liabilities”) on a coinsurance basis. The Ceding Company shall maintain the Modco Reserves, as defined in Schedule B, and shall own all assets held in relation to the Modco Reserves.</w:t>
      </w:r>
    </w:p>
    <w:p>
      <w:pPr>
        <w:spacing w:after="0" w:line="131" w:lineRule="exact"/>
        <w:rPr>
          <w:rFonts w:ascii="Arial" w:cs="Arial" w:eastAsia="Arial" w:hAnsi="Arial"/>
          <w:sz w:val="14"/>
          <w:szCs w:val="14"/>
          <w:color w:val="auto"/>
        </w:rPr>
      </w:pPr>
    </w:p>
    <w:p>
      <w:pPr>
        <w:ind w:left="368" w:right="5119" w:hanging="368"/>
        <w:spacing w:after="0" w:line="263" w:lineRule="auto"/>
        <w:tabs>
          <w:tab w:leader="none" w:pos="361"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Conditions</w:t>
      </w:r>
      <w:r>
        <w:rPr>
          <w:rFonts w:ascii="Arial" w:cs="Arial" w:eastAsia="Arial" w:hAnsi="Arial"/>
          <w:sz w:val="14"/>
          <w:szCs w:val="14"/>
          <w:color w:val="auto"/>
        </w:rPr>
        <w:t>. This reinsurance is subject to the same limitations and conditions specified in the Policies and their accompanying prospectuses, except as otherwise provided in this Agreement.</w:t>
      </w:r>
    </w:p>
    <w:p>
      <w:pPr>
        <w:spacing w:after="0" w:line="118" w:lineRule="exact"/>
        <w:rPr>
          <w:rFonts w:ascii="Arial" w:cs="Arial" w:eastAsia="Arial" w:hAnsi="Arial"/>
          <w:sz w:val="14"/>
          <w:szCs w:val="14"/>
          <w:color w:val="auto"/>
        </w:rPr>
      </w:pPr>
    </w:p>
    <w:p>
      <w:pPr>
        <w:ind w:left="368" w:right="5099" w:hanging="368"/>
        <w:spacing w:after="0" w:line="252" w:lineRule="auto"/>
        <w:tabs>
          <w:tab w:leader="none" w:pos="361"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Policy Changes</w:t>
      </w:r>
      <w:r>
        <w:rPr>
          <w:rFonts w:ascii="Arial" w:cs="Arial" w:eastAsia="Arial" w:hAnsi="Arial"/>
          <w:sz w:val="14"/>
          <w:szCs w:val="14"/>
          <w:color w:val="auto"/>
        </w:rPr>
        <w:t>. If the Ceding Company’s Net Benefit Payments under the Policies are changed because of changes required by any insurance regulatory authority or applicable law, the Reinsurer will participate, on the reinsurance basis set forth in this Article 1 Paragraph 2, in all Net Benefit Payments resulting from such changes.</w:t>
      </w:r>
    </w:p>
    <w:p>
      <w:pPr>
        <w:spacing w:after="0" w:line="126" w:lineRule="exact"/>
        <w:rPr>
          <w:rFonts w:ascii="Arial" w:cs="Arial" w:eastAsia="Arial" w:hAnsi="Arial"/>
          <w:sz w:val="14"/>
          <w:szCs w:val="14"/>
          <w:color w:val="auto"/>
        </w:rPr>
      </w:pPr>
    </w:p>
    <w:p>
      <w:pPr>
        <w:ind w:left="368" w:right="5099" w:hanging="368"/>
        <w:spacing w:after="0" w:line="250" w:lineRule="auto"/>
        <w:tabs>
          <w:tab w:leader="none" w:pos="361"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Reinstatements</w:t>
      </w:r>
      <w:r>
        <w:rPr>
          <w:rFonts w:ascii="Arial" w:cs="Arial" w:eastAsia="Arial" w:hAnsi="Arial"/>
          <w:sz w:val="14"/>
          <w:szCs w:val="14"/>
          <w:color w:val="auto"/>
        </w:rPr>
        <w:t>. If a Policy lapses and is subsequently reinstated while this Agreement is in force, the reinsurance for such Policy shall be reinstated automatically and the Ceding Company shall pay the Reinsurer its Quota Share of all amounts received in connection with the reinstatement of the Policy (net of amounts due under the Ceded Reinsurance Agreements, if any, in respect of such reinstatements).</w:t>
      </w:r>
    </w:p>
    <w:p>
      <w:pPr>
        <w:spacing w:after="0" w:line="127" w:lineRule="exact"/>
        <w:rPr>
          <w:rFonts w:ascii="Arial" w:cs="Arial" w:eastAsia="Arial" w:hAnsi="Arial"/>
          <w:sz w:val="14"/>
          <w:szCs w:val="14"/>
          <w:color w:val="auto"/>
        </w:rPr>
      </w:pPr>
    </w:p>
    <w:p>
      <w:pPr>
        <w:ind w:left="368" w:right="5159" w:hanging="368"/>
        <w:spacing w:after="0" w:line="247" w:lineRule="auto"/>
        <w:tabs>
          <w:tab w:leader="none" w:pos="361"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No Extracontractual Damages</w:t>
      </w:r>
      <w:r>
        <w:rPr>
          <w:rFonts w:ascii="Arial" w:cs="Arial" w:eastAsia="Arial" w:hAnsi="Arial"/>
          <w:sz w:val="14"/>
          <w:szCs w:val="14"/>
          <w:color w:val="auto"/>
        </w:rPr>
        <w:t>. The Reinsurer assumes no liability under this Agreement for any damages, fines, penalties, costs or expenses, or portion thereof, levied on or assessed against the Ceding Company by any court or regulatory body on the basis of negligence, oppression, malice, fraud, fault, wrongdoing or bad faith by the Ceding Company in connection with any claim or for any other act or omission, unless the Reinsurer shall have received prior notice of and shall have concurred prior to the actions taken or not taken by the Ceding Company that led to</w:t>
      </w:r>
    </w:p>
    <w:p>
      <w:pPr>
        <w:spacing w:after="0" w:line="69" w:lineRule="exact"/>
        <w:rPr>
          <w:sz w:val="20"/>
          <w:szCs w:val="20"/>
          <w:color w:val="auto"/>
        </w:rPr>
      </w:pPr>
    </w:p>
    <w:p>
      <w:pPr>
        <w:ind w:left="3628"/>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167"/>
          </w:cols>
          <w:pgMar w:left="292" w:top="224" w:right="1440"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levies or assessments, in which case, the Reinsurer shall pay its share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of such levy or assessment.</w:t>
      </w:r>
    </w:p>
    <w:p>
      <w:pPr>
        <w:spacing w:after="0" w:line="86" w:lineRule="exact"/>
        <w:rPr>
          <w:sz w:val="20"/>
          <w:szCs w:val="20"/>
          <w:color w:val="auto"/>
        </w:rPr>
      </w:pPr>
    </w:p>
    <w:p>
      <w:pPr>
        <w:ind w:left="326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799"/>
          </w:cols>
          <w:pgMar w:left="660" w:top="220" w:right="1440" w:bottom="1440" w:gutter="0" w:footer="0" w:header="0"/>
        </w:sectPr>
      </w:pPr>
    </w:p>
    <w:bookmarkStart w:id="129" w:name="page130"/>
    <w:bookmarkEnd w:id="129"/>
    <w:p>
      <w:pPr>
        <w:ind w:left="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II.   REINSURANCE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663440" cy="114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4" w:right="1440" w:bottom="1440" w:gutter="0" w:footer="0" w:header="0"/>
        </w:sectPr>
      </w:pPr>
    </w:p>
    <w:p>
      <w:pPr>
        <w:spacing w:after="0" w:line="218" w:lineRule="exact"/>
        <w:rPr>
          <w:sz w:val="20"/>
          <w:szCs w:val="20"/>
          <w:color w:val="auto"/>
        </w:rPr>
      </w:pPr>
    </w:p>
    <w:p>
      <w:pPr>
        <w:ind w:left="368" w:right="5099" w:hanging="368"/>
        <w:spacing w:after="0" w:line="252" w:lineRule="auto"/>
        <w:tabs>
          <w:tab w:leader="none" w:pos="361" w:val="left"/>
        </w:tabs>
        <w:numPr>
          <w:ilvl w:val="0"/>
          <w:numId w:val="94"/>
        </w:numPr>
        <w:rPr>
          <w:rFonts w:ascii="Arial" w:cs="Arial" w:eastAsia="Arial" w:hAnsi="Arial"/>
          <w:sz w:val="14"/>
          <w:szCs w:val="14"/>
          <w:color w:val="auto"/>
        </w:rPr>
      </w:pPr>
      <w:r>
        <w:rPr>
          <w:rFonts w:ascii="Arial" w:cs="Arial" w:eastAsia="Arial" w:hAnsi="Arial"/>
          <w:sz w:val="14"/>
          <w:szCs w:val="14"/>
          <w:u w:val="single" w:color="auto"/>
          <w:color w:val="auto"/>
        </w:rPr>
        <w:t>Initial Reinsurance Premium</w:t>
      </w:r>
      <w:r>
        <w:rPr>
          <w:rFonts w:ascii="Arial" w:cs="Arial" w:eastAsia="Arial" w:hAnsi="Arial"/>
          <w:sz w:val="14"/>
          <w:szCs w:val="14"/>
          <w:color w:val="auto"/>
        </w:rPr>
        <w:t>. The Ceding Company shall owe to the Reinsurer an “Initial Reinsurance Premium” for the reinsurance hereunder equal to the Statutory Reserves as of the Effective Date. The Initial Reinsurance Premium shall be calculated and paid in accordance with Article VI.</w:t>
      </w:r>
    </w:p>
    <w:p>
      <w:pPr>
        <w:spacing w:after="0" w:line="126" w:lineRule="exact"/>
        <w:rPr>
          <w:rFonts w:ascii="Arial" w:cs="Arial" w:eastAsia="Arial" w:hAnsi="Arial"/>
          <w:sz w:val="14"/>
          <w:szCs w:val="14"/>
          <w:color w:val="auto"/>
        </w:rPr>
      </w:pPr>
    </w:p>
    <w:p>
      <w:pPr>
        <w:ind w:left="368" w:right="5059" w:hanging="368"/>
        <w:spacing w:after="0" w:line="251" w:lineRule="auto"/>
        <w:tabs>
          <w:tab w:leader="none" w:pos="361" w:val="left"/>
        </w:tabs>
        <w:numPr>
          <w:ilvl w:val="0"/>
          <w:numId w:val="94"/>
        </w:numPr>
        <w:rPr>
          <w:rFonts w:ascii="Arial" w:cs="Arial" w:eastAsia="Arial" w:hAnsi="Arial"/>
          <w:sz w:val="14"/>
          <w:szCs w:val="14"/>
          <w:color w:val="auto"/>
        </w:rPr>
      </w:pPr>
      <w:r>
        <w:rPr>
          <w:rFonts w:ascii="Arial" w:cs="Arial" w:eastAsia="Arial" w:hAnsi="Arial"/>
          <w:sz w:val="14"/>
          <w:szCs w:val="14"/>
          <w:u w:val="single" w:color="auto"/>
          <w:color w:val="auto"/>
        </w:rPr>
        <w:t>Reinsurance Premium</w:t>
      </w:r>
      <w:r>
        <w:rPr>
          <w:rFonts w:ascii="Arial" w:cs="Arial" w:eastAsia="Arial" w:hAnsi="Arial"/>
          <w:sz w:val="14"/>
          <w:szCs w:val="14"/>
          <w:color w:val="auto"/>
        </w:rPr>
        <w:t>. Each Accounting Period, the Ceding Company shall pay to the Reinsurer a “Reinsurance Premium” in an amount equal to</w:t>
      </w:r>
    </w:p>
    <w:p>
      <w:pPr>
        <w:spacing w:after="0" w:line="1" w:lineRule="exact"/>
        <w:rPr>
          <w:rFonts w:ascii="Arial" w:cs="Arial" w:eastAsia="Arial" w:hAnsi="Arial"/>
          <w:sz w:val="14"/>
          <w:szCs w:val="14"/>
          <w:color w:val="auto"/>
        </w:rPr>
      </w:pPr>
    </w:p>
    <w:p>
      <w:pPr>
        <w:ind w:left="368" w:right="5119"/>
        <w:spacing w:after="0" w:line="243" w:lineRule="auto"/>
        <w:rPr>
          <w:rFonts w:ascii="Arial" w:cs="Arial" w:eastAsia="Arial" w:hAnsi="Arial"/>
          <w:sz w:val="14"/>
          <w:szCs w:val="14"/>
          <w:color w:val="auto"/>
        </w:rPr>
      </w:pPr>
      <w:r>
        <w:rPr>
          <w:rFonts w:ascii="Arial" w:cs="Arial" w:eastAsia="Arial" w:hAnsi="Arial"/>
          <w:sz w:val="14"/>
          <w:szCs w:val="14"/>
          <w:color w:val="auto"/>
        </w:rPr>
        <w:t xml:space="preserve">(i) the Reinsurer’s Quota Share of the gross policy premiums, considerations, payments and other amounts collected by the Ceding Company during the Accounting Period in respect of the Policies </w:t>
      </w:r>
      <w:r>
        <w:rPr>
          <w:rFonts w:ascii="Arial" w:cs="Arial" w:eastAsia="Arial" w:hAnsi="Arial"/>
          <w:sz w:val="14"/>
          <w:szCs w:val="14"/>
          <w:u w:val="single" w:color="auto"/>
          <w:color w:val="auto"/>
        </w:rPr>
        <w:t>less</w:t>
      </w:r>
      <w:r>
        <w:rPr>
          <w:rFonts w:ascii="Arial" w:cs="Arial" w:eastAsia="Arial" w:hAnsi="Arial"/>
          <w:sz w:val="14"/>
          <w:szCs w:val="14"/>
          <w:color w:val="auto"/>
        </w:rPr>
        <w:t xml:space="preserve"> (ii) any reinsurance premiums or other considerations payable by the Ceding Company under any other ceded reinsurance agreements of the Ceding Company to the extent relating to the Policies (the “Ceded Reinsurance Agreements”);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Ceding Company shall not pay reinsurance premium and other considerations pursuant to Ceded Reinsurance Agreements and this Agreement that, in the aggregate, exceed the gross policy premiums, considerations, payments and other amounts collected in respect of the Policies. The Reinsurance Premiums paid to the Reinsurer by the Ceding Company shall be remitted to the Reinsurer at the end of the Accounting Period during which the premiums were collected by the Ceding Company.</w:t>
      </w:r>
    </w:p>
    <w:p>
      <w:pPr>
        <w:spacing w:after="0" w:line="71" w:lineRule="exact"/>
        <w:rPr>
          <w:sz w:val="20"/>
          <w:szCs w:val="20"/>
          <w:color w:val="auto"/>
        </w:rPr>
      </w:pPr>
    </w:p>
    <w:p>
      <w:pPr>
        <w:ind w:left="3628"/>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167"/>
          </w:cols>
          <w:pgMar w:left="292" w:top="224" w:right="1440" w:bottom="1440" w:gutter="0" w:footer="0" w:header="0"/>
          <w:type w:val="continuous"/>
        </w:sectPr>
      </w:pPr>
    </w:p>
    <w:bookmarkStart w:id="130" w:name="page131"/>
    <w:bookmarkEnd w:id="130"/>
    <w:p>
      <w:pPr>
        <w:ind w:left="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III.   INITIAL CEDING COMMISSION AND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663440" cy="114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4" w:right="1440" w:bottom="1440" w:gutter="0" w:footer="0" w:header="0"/>
        </w:sectPr>
      </w:pPr>
    </w:p>
    <w:p>
      <w:pPr>
        <w:spacing w:after="0" w:line="218" w:lineRule="exact"/>
        <w:rPr>
          <w:sz w:val="20"/>
          <w:szCs w:val="20"/>
          <w:color w:val="auto"/>
        </w:rPr>
      </w:pPr>
    </w:p>
    <w:p>
      <w:pPr>
        <w:ind w:left="368" w:right="5079" w:hanging="368"/>
        <w:spacing w:after="0" w:line="250" w:lineRule="auto"/>
        <w:tabs>
          <w:tab w:leader="none" w:pos="361" w:val="left"/>
        </w:tabs>
        <w:numPr>
          <w:ilvl w:val="0"/>
          <w:numId w:val="95"/>
        </w:numPr>
        <w:rPr>
          <w:rFonts w:ascii="Arial" w:cs="Arial" w:eastAsia="Arial" w:hAnsi="Arial"/>
          <w:sz w:val="14"/>
          <w:szCs w:val="14"/>
          <w:color w:val="auto"/>
        </w:rPr>
      </w:pPr>
      <w:r>
        <w:rPr>
          <w:rFonts w:ascii="Arial" w:cs="Arial" w:eastAsia="Arial" w:hAnsi="Arial"/>
          <w:sz w:val="14"/>
          <w:szCs w:val="14"/>
          <w:u w:val="single" w:color="auto"/>
          <w:color w:val="auto"/>
        </w:rPr>
        <w:t>Initial Ceding Commission</w:t>
      </w:r>
      <w:r>
        <w:rPr>
          <w:rFonts w:ascii="Arial" w:cs="Arial" w:eastAsia="Arial" w:hAnsi="Arial"/>
          <w:sz w:val="14"/>
          <w:szCs w:val="14"/>
          <w:color w:val="auto"/>
        </w:rPr>
        <w:t>. The Reinsurer shall owe to the Ceding Company an “Initial Ceding Commission” that for purposes of the Effective Date has been estimated at [***] based on cash flow testing as of [***] and will be updated prior to settlement for the initial Accounting Period using the same methodology based on data as of [***]. The Initial Ceding Commission will be paid in accordance with Article VI.</w:t>
      </w:r>
    </w:p>
    <w:p>
      <w:pPr>
        <w:spacing w:after="0" w:line="127" w:lineRule="exact"/>
        <w:rPr>
          <w:rFonts w:ascii="Arial" w:cs="Arial" w:eastAsia="Arial" w:hAnsi="Arial"/>
          <w:sz w:val="14"/>
          <w:szCs w:val="14"/>
          <w:color w:val="auto"/>
        </w:rPr>
      </w:pPr>
    </w:p>
    <w:p>
      <w:pPr>
        <w:jc w:val="both"/>
        <w:ind w:left="368" w:right="5179" w:hanging="368"/>
        <w:spacing w:after="0" w:line="251" w:lineRule="auto"/>
        <w:tabs>
          <w:tab w:leader="none" w:pos="361" w:val="left"/>
        </w:tabs>
        <w:numPr>
          <w:ilvl w:val="0"/>
          <w:numId w:val="95"/>
        </w:numPr>
        <w:rPr>
          <w:rFonts w:ascii="Arial" w:cs="Arial" w:eastAsia="Arial" w:hAnsi="Arial"/>
          <w:sz w:val="14"/>
          <w:szCs w:val="14"/>
          <w:color w:val="auto"/>
        </w:rPr>
      </w:pPr>
      <w:r>
        <w:rPr>
          <w:rFonts w:ascii="Arial" w:cs="Arial" w:eastAsia="Arial" w:hAnsi="Arial"/>
          <w:sz w:val="14"/>
          <w:szCs w:val="14"/>
          <w:u w:val="single" w:color="auto"/>
          <w:color w:val="auto"/>
        </w:rPr>
        <w:t>Allowance</w:t>
      </w:r>
      <w:r>
        <w:rPr>
          <w:rFonts w:ascii="Arial" w:cs="Arial" w:eastAsia="Arial" w:hAnsi="Arial"/>
          <w:sz w:val="14"/>
          <w:szCs w:val="14"/>
          <w:color w:val="auto"/>
        </w:rPr>
        <w:t>. Following the Effective Date, the Reinsurer shall also pay the Ceding Company “Allowances” for each Accounting Period calculated as</w:t>
      </w:r>
    </w:p>
    <w:p>
      <w:pPr>
        <w:spacing w:after="0" w:line="1" w:lineRule="exact"/>
        <w:rPr>
          <w:rFonts w:ascii="Arial" w:cs="Arial" w:eastAsia="Arial" w:hAnsi="Arial"/>
          <w:sz w:val="14"/>
          <w:szCs w:val="14"/>
          <w:color w:val="auto"/>
        </w:rPr>
      </w:pPr>
    </w:p>
    <w:p>
      <w:pPr>
        <w:ind w:left="588" w:hanging="221"/>
        <w:spacing w:after="0"/>
        <w:tabs>
          <w:tab w:leader="none" w:pos="588" w:val="left"/>
        </w:tabs>
        <w:numPr>
          <w:ilvl w:val="1"/>
          <w:numId w:val="95"/>
        </w:numPr>
        <w:rPr>
          <w:rFonts w:ascii="Arial" w:cs="Arial" w:eastAsia="Arial" w:hAnsi="Arial"/>
          <w:sz w:val="14"/>
          <w:szCs w:val="14"/>
          <w:color w:val="auto"/>
        </w:rPr>
      </w:pPr>
      <w:r>
        <w:rPr>
          <w:rFonts w:ascii="Arial" w:cs="Arial" w:eastAsia="Arial" w:hAnsi="Arial"/>
          <w:sz w:val="14"/>
          <w:szCs w:val="14"/>
          <w:color w:val="auto"/>
        </w:rPr>
        <w:t>plus (b) plus (c), where:</w:t>
      </w:r>
    </w:p>
    <w:p>
      <w:pPr>
        <w:spacing w:after="0" w:line="149" w:lineRule="exact"/>
        <w:rPr>
          <w:rFonts w:ascii="Arial" w:cs="Arial" w:eastAsia="Arial" w:hAnsi="Arial"/>
          <w:sz w:val="14"/>
          <w:szCs w:val="14"/>
          <w:color w:val="auto"/>
        </w:rPr>
      </w:pPr>
    </w:p>
    <w:p>
      <w:pPr>
        <w:ind w:left="808" w:right="5259" w:hanging="448"/>
        <w:spacing w:after="0" w:line="285" w:lineRule="auto"/>
        <w:tabs>
          <w:tab w:leader="none" w:pos="792" w:val="left"/>
        </w:tabs>
        <w:numPr>
          <w:ilvl w:val="1"/>
          <w:numId w:val="96"/>
        </w:numPr>
        <w:rPr>
          <w:rFonts w:ascii="Arial" w:cs="Arial" w:eastAsia="Arial" w:hAnsi="Arial"/>
          <w:sz w:val="14"/>
          <w:szCs w:val="14"/>
          <w:color w:val="auto"/>
        </w:rPr>
      </w:pPr>
      <w:r>
        <w:rPr>
          <w:rFonts w:ascii="Arial" w:cs="Arial" w:eastAsia="Arial" w:hAnsi="Arial"/>
          <w:sz w:val="14"/>
          <w:szCs w:val="14"/>
          <w:color w:val="auto"/>
        </w:rPr>
        <w:t>equals the “Commission Allowance” as described in Schedule D; and</w:t>
      </w:r>
    </w:p>
    <w:p>
      <w:pPr>
        <w:spacing w:after="0" w:line="103" w:lineRule="exact"/>
        <w:rPr>
          <w:rFonts w:ascii="Arial" w:cs="Arial" w:eastAsia="Arial" w:hAnsi="Arial"/>
          <w:sz w:val="14"/>
          <w:szCs w:val="14"/>
          <w:color w:val="auto"/>
        </w:rPr>
      </w:pPr>
    </w:p>
    <w:p>
      <w:pPr>
        <w:ind w:left="808" w:right="5439" w:hanging="448"/>
        <w:spacing w:after="0" w:line="285" w:lineRule="auto"/>
        <w:tabs>
          <w:tab w:leader="none" w:pos="792" w:val="left"/>
        </w:tabs>
        <w:numPr>
          <w:ilvl w:val="1"/>
          <w:numId w:val="96"/>
        </w:numPr>
        <w:rPr>
          <w:rFonts w:ascii="Arial" w:cs="Arial" w:eastAsia="Arial" w:hAnsi="Arial"/>
          <w:sz w:val="14"/>
          <w:szCs w:val="14"/>
          <w:color w:val="auto"/>
        </w:rPr>
      </w:pPr>
      <w:r>
        <w:rPr>
          <w:rFonts w:ascii="Arial" w:cs="Arial" w:eastAsia="Arial" w:hAnsi="Arial"/>
          <w:sz w:val="14"/>
          <w:szCs w:val="14"/>
          <w:color w:val="auto"/>
        </w:rPr>
        <w:t>equals the “Maintenance Expense Allowance” as described in Schedule D; and</w:t>
      </w:r>
    </w:p>
    <w:p>
      <w:pPr>
        <w:spacing w:after="0" w:line="103" w:lineRule="exact"/>
        <w:rPr>
          <w:rFonts w:ascii="Arial" w:cs="Arial" w:eastAsia="Arial" w:hAnsi="Arial"/>
          <w:sz w:val="14"/>
          <w:szCs w:val="14"/>
          <w:color w:val="auto"/>
        </w:rPr>
      </w:pPr>
    </w:p>
    <w:p>
      <w:pPr>
        <w:ind w:left="788" w:hanging="428"/>
        <w:spacing w:after="0"/>
        <w:tabs>
          <w:tab w:leader="none" w:pos="788" w:val="left"/>
        </w:tabs>
        <w:numPr>
          <w:ilvl w:val="1"/>
          <w:numId w:val="96"/>
        </w:numPr>
        <w:rPr>
          <w:rFonts w:ascii="Arial" w:cs="Arial" w:eastAsia="Arial" w:hAnsi="Arial"/>
          <w:sz w:val="14"/>
          <w:szCs w:val="14"/>
          <w:color w:val="auto"/>
        </w:rPr>
      </w:pPr>
      <w:r>
        <w:rPr>
          <w:rFonts w:ascii="Arial" w:cs="Arial" w:eastAsia="Arial" w:hAnsi="Arial"/>
          <w:sz w:val="14"/>
          <w:szCs w:val="14"/>
          <w:color w:val="auto"/>
        </w:rPr>
        <w:t>equals the “Premium Tax Allowance” as described in Schedule D.</w:t>
      </w:r>
    </w:p>
    <w:p>
      <w:pPr>
        <w:spacing w:after="0" w:line="163" w:lineRule="exact"/>
        <w:rPr>
          <w:rFonts w:ascii="Arial" w:cs="Arial" w:eastAsia="Arial" w:hAnsi="Arial"/>
          <w:sz w:val="14"/>
          <w:szCs w:val="14"/>
          <w:color w:val="auto"/>
        </w:rPr>
      </w:pPr>
    </w:p>
    <w:p>
      <w:pPr>
        <w:ind w:left="368" w:right="5079" w:hanging="368"/>
        <w:spacing w:after="0" w:line="250" w:lineRule="auto"/>
        <w:tabs>
          <w:tab w:leader="none" w:pos="361" w:val="left"/>
        </w:tabs>
        <w:numPr>
          <w:ilvl w:val="0"/>
          <w:numId w:val="97"/>
        </w:numPr>
        <w:rPr>
          <w:rFonts w:ascii="Arial" w:cs="Arial" w:eastAsia="Arial" w:hAnsi="Arial"/>
          <w:sz w:val="14"/>
          <w:szCs w:val="14"/>
          <w:color w:val="auto"/>
        </w:rPr>
      </w:pPr>
      <w:r>
        <w:rPr>
          <w:rFonts w:ascii="Arial" w:cs="Arial" w:eastAsia="Arial" w:hAnsi="Arial"/>
          <w:sz w:val="14"/>
          <w:szCs w:val="14"/>
          <w:u w:val="single" w:color="auto"/>
          <w:color w:val="auto"/>
        </w:rPr>
        <w:t>Expenses</w:t>
      </w:r>
      <w:r>
        <w:rPr>
          <w:rFonts w:ascii="Arial" w:cs="Arial" w:eastAsia="Arial" w:hAnsi="Arial"/>
          <w:sz w:val="14"/>
          <w:szCs w:val="14"/>
          <w:color w:val="auto"/>
        </w:rPr>
        <w:t>. The allowance for any expenses incurred in connection with the Policies is included in the Allowance described in Paragraph 2. This Allowance is sufficient to cover anticipated allocable expenses incurred by the Ceding Company on the Policies reinsured, including premium taxes. The Reinsurer shall not indemnify the Ceding Company for any other expenses incurred in connection with the Policies.</w:t>
      </w:r>
    </w:p>
    <w:p>
      <w:pPr>
        <w:spacing w:after="0" w:line="65" w:lineRule="exact"/>
        <w:rPr>
          <w:sz w:val="20"/>
          <w:szCs w:val="20"/>
          <w:color w:val="auto"/>
        </w:rPr>
      </w:pPr>
    </w:p>
    <w:p>
      <w:pPr>
        <w:ind w:left="3628"/>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167"/>
          </w:cols>
          <w:pgMar w:left="292" w:top="224" w:right="1440" w:bottom="1440" w:gutter="0" w:footer="0" w:header="0"/>
          <w:type w:val="continuous"/>
        </w:sectPr>
      </w:pPr>
    </w:p>
    <w:bookmarkStart w:id="131" w:name="page132"/>
    <w:bookmarkEnd w:id="131"/>
    <w:p>
      <w:pPr>
        <w:ind w:left="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IV.  MODCO RESERVE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663440" cy="114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4" w:right="1440" w:bottom="1440" w:gutter="0" w:footer="0" w:header="0"/>
        </w:sectPr>
      </w:pPr>
    </w:p>
    <w:p>
      <w:pPr>
        <w:spacing w:after="0" w:line="218" w:lineRule="exact"/>
        <w:rPr>
          <w:sz w:val="20"/>
          <w:szCs w:val="20"/>
          <w:color w:val="auto"/>
        </w:rPr>
      </w:pPr>
    </w:p>
    <w:p>
      <w:pPr>
        <w:ind w:left="368" w:right="5079" w:hanging="368"/>
        <w:spacing w:after="0" w:line="251" w:lineRule="auto"/>
        <w:tabs>
          <w:tab w:leader="none" w:pos="361"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Accounting Period Modco Reserve Adjustment</w:t>
      </w:r>
      <w:r>
        <w:rPr>
          <w:rFonts w:ascii="Arial" w:cs="Arial" w:eastAsia="Arial" w:hAnsi="Arial"/>
          <w:sz w:val="14"/>
          <w:szCs w:val="14"/>
          <w:color w:val="auto"/>
        </w:rPr>
        <w:t>. The “Modco Reserve Adjustment” shall be computed each Accounting Period equal to (a) minus</w:t>
      </w:r>
    </w:p>
    <w:p>
      <w:pPr>
        <w:spacing w:after="0" w:line="1" w:lineRule="exact"/>
        <w:rPr>
          <w:rFonts w:ascii="Arial" w:cs="Arial" w:eastAsia="Arial" w:hAnsi="Arial"/>
          <w:sz w:val="14"/>
          <w:szCs w:val="14"/>
          <w:color w:val="auto"/>
        </w:rPr>
      </w:pPr>
    </w:p>
    <w:p>
      <w:pPr>
        <w:ind w:left="368"/>
        <w:spacing w:after="0"/>
        <w:rPr>
          <w:rFonts w:ascii="Arial" w:cs="Arial" w:eastAsia="Arial" w:hAnsi="Arial"/>
          <w:sz w:val="14"/>
          <w:szCs w:val="14"/>
          <w:color w:val="auto"/>
        </w:rPr>
      </w:pPr>
      <w:r>
        <w:rPr>
          <w:rFonts w:ascii="Arial" w:cs="Arial" w:eastAsia="Arial" w:hAnsi="Arial"/>
          <w:sz w:val="14"/>
          <w:szCs w:val="14"/>
          <w:color w:val="auto"/>
        </w:rPr>
        <w:t>(b) minus (c), where:</w:t>
      </w:r>
    </w:p>
    <w:p>
      <w:pPr>
        <w:spacing w:after="0" w:line="149" w:lineRule="exact"/>
        <w:rPr>
          <w:sz w:val="20"/>
          <w:szCs w:val="20"/>
          <w:color w:val="auto"/>
        </w:rPr>
      </w:pPr>
    </w:p>
    <w:p>
      <w:pPr>
        <w:ind w:left="588" w:right="5179" w:hanging="3"/>
        <w:spacing w:after="0" w:line="285" w:lineRule="auto"/>
        <w:tabs>
          <w:tab w:leader="none" w:pos="804" w:val="left"/>
        </w:tabs>
        <w:numPr>
          <w:ilvl w:val="1"/>
          <w:numId w:val="99"/>
        </w:numPr>
        <w:rPr>
          <w:rFonts w:ascii="Arial" w:cs="Arial" w:eastAsia="Arial" w:hAnsi="Arial"/>
          <w:sz w:val="14"/>
          <w:szCs w:val="14"/>
          <w:color w:val="auto"/>
        </w:rPr>
      </w:pPr>
      <w:r>
        <w:rPr>
          <w:rFonts w:ascii="Arial" w:cs="Arial" w:eastAsia="Arial" w:hAnsi="Arial"/>
          <w:sz w:val="14"/>
          <w:szCs w:val="14"/>
          <w:color w:val="auto"/>
        </w:rPr>
        <w:t>equals the Modco Reserves, as defined in Schedule B, at the end   of the current Accounting Period;</w:t>
      </w:r>
    </w:p>
    <w:p>
      <w:pPr>
        <w:spacing w:after="0" w:line="103" w:lineRule="exact"/>
        <w:rPr>
          <w:rFonts w:ascii="Arial" w:cs="Arial" w:eastAsia="Arial" w:hAnsi="Arial"/>
          <w:sz w:val="14"/>
          <w:szCs w:val="14"/>
          <w:color w:val="auto"/>
        </w:rPr>
      </w:pPr>
    </w:p>
    <w:p>
      <w:pPr>
        <w:ind w:left="588" w:right="5119" w:hanging="3"/>
        <w:spacing w:after="0" w:line="248" w:lineRule="auto"/>
        <w:tabs>
          <w:tab w:leader="none" w:pos="804" w:val="left"/>
        </w:tabs>
        <w:numPr>
          <w:ilvl w:val="1"/>
          <w:numId w:val="99"/>
        </w:numPr>
        <w:rPr>
          <w:rFonts w:ascii="Arial" w:cs="Arial" w:eastAsia="Arial" w:hAnsi="Arial"/>
          <w:sz w:val="14"/>
          <w:szCs w:val="14"/>
          <w:color w:val="auto"/>
        </w:rPr>
      </w:pPr>
      <w:r>
        <w:rPr>
          <w:rFonts w:ascii="Arial" w:cs="Arial" w:eastAsia="Arial" w:hAnsi="Arial"/>
          <w:sz w:val="14"/>
          <w:szCs w:val="14"/>
          <w:color w:val="auto"/>
        </w:rPr>
        <w:t>equals the Modco Reserves, as defined in Schedule B, at the end   of the prior Accounting Period, except that for the initial Accounting   Period, the Modco Reserve for purposes of this paragraph 1(b)</w:t>
      </w:r>
    </w:p>
    <w:p>
      <w:pPr>
        <w:ind w:left="588"/>
        <w:spacing w:after="0"/>
        <w:rPr>
          <w:rFonts w:ascii="Arial" w:cs="Arial" w:eastAsia="Arial" w:hAnsi="Arial"/>
          <w:sz w:val="14"/>
          <w:szCs w:val="14"/>
          <w:color w:val="auto"/>
        </w:rPr>
      </w:pPr>
      <w:r>
        <w:rPr>
          <w:rFonts w:ascii="Arial" w:cs="Arial" w:eastAsia="Arial" w:hAnsi="Arial"/>
          <w:sz w:val="14"/>
          <w:szCs w:val="14"/>
          <w:color w:val="auto"/>
        </w:rPr>
        <w:t>    shall equal the Modco Reserves as of the Effective Date; and</w:t>
      </w:r>
    </w:p>
    <w:p>
      <w:pPr>
        <w:spacing w:after="0" w:line="149" w:lineRule="exact"/>
        <w:rPr>
          <w:rFonts w:ascii="Arial" w:cs="Arial" w:eastAsia="Arial" w:hAnsi="Arial"/>
          <w:sz w:val="14"/>
          <w:szCs w:val="14"/>
          <w:color w:val="auto"/>
        </w:rPr>
      </w:pPr>
    </w:p>
    <w:p>
      <w:pPr>
        <w:ind w:left="808" w:hanging="223"/>
        <w:spacing w:after="0"/>
        <w:tabs>
          <w:tab w:leader="none" w:pos="808" w:val="left"/>
        </w:tabs>
        <w:numPr>
          <w:ilvl w:val="1"/>
          <w:numId w:val="99"/>
        </w:numPr>
        <w:rPr>
          <w:rFonts w:ascii="Arial" w:cs="Arial" w:eastAsia="Arial" w:hAnsi="Arial"/>
          <w:sz w:val="14"/>
          <w:szCs w:val="14"/>
          <w:color w:val="auto"/>
        </w:rPr>
      </w:pPr>
      <w:r>
        <w:rPr>
          <w:rFonts w:ascii="Arial" w:cs="Arial" w:eastAsia="Arial" w:hAnsi="Arial"/>
          <w:sz w:val="14"/>
          <w:szCs w:val="14"/>
          <w:color w:val="auto"/>
        </w:rPr>
        <w:t>equals the Modco Investment Credit, as described in Schedule C.</w:t>
      </w:r>
    </w:p>
    <w:p>
      <w:pPr>
        <w:spacing w:after="0" w:line="163" w:lineRule="exact"/>
        <w:rPr>
          <w:rFonts w:ascii="Arial" w:cs="Arial" w:eastAsia="Arial" w:hAnsi="Arial"/>
          <w:sz w:val="14"/>
          <w:szCs w:val="14"/>
          <w:color w:val="auto"/>
        </w:rPr>
      </w:pPr>
    </w:p>
    <w:p>
      <w:pPr>
        <w:ind w:left="368" w:right="5139" w:hanging="368"/>
        <w:spacing w:after="0" w:line="252" w:lineRule="auto"/>
        <w:tabs>
          <w:tab w:leader="none" w:pos="361" w:val="left"/>
        </w:tabs>
        <w:numPr>
          <w:ilvl w:val="0"/>
          <w:numId w:val="100"/>
        </w:numPr>
        <w:rPr>
          <w:rFonts w:ascii="Arial" w:cs="Arial" w:eastAsia="Arial" w:hAnsi="Arial"/>
          <w:sz w:val="14"/>
          <w:szCs w:val="14"/>
          <w:color w:val="auto"/>
        </w:rPr>
      </w:pPr>
      <w:r>
        <w:rPr>
          <w:rFonts w:ascii="Arial" w:cs="Arial" w:eastAsia="Arial" w:hAnsi="Arial"/>
          <w:sz w:val="14"/>
          <w:szCs w:val="14"/>
          <w:color w:val="auto"/>
        </w:rPr>
        <w:t>For any Accounting Period in which the amount computed in Paragraph 1 above is positive, the Reinsurer shall pay the Ceding Company such amount. For any Accounting Period in which the amount computed in Paragraph 1 above is negative, the Ceding Company shall pay the Reinsurer the absolute value of such amount.</w:t>
      </w:r>
    </w:p>
    <w:p>
      <w:pPr>
        <w:spacing w:after="0" w:line="126" w:lineRule="exact"/>
        <w:rPr>
          <w:rFonts w:ascii="Arial" w:cs="Arial" w:eastAsia="Arial" w:hAnsi="Arial"/>
          <w:sz w:val="14"/>
          <w:szCs w:val="14"/>
          <w:color w:val="auto"/>
        </w:rPr>
      </w:pPr>
    </w:p>
    <w:p>
      <w:pPr>
        <w:jc w:val="both"/>
        <w:ind w:left="368" w:right="5099" w:hanging="368"/>
        <w:spacing w:after="0" w:line="263" w:lineRule="auto"/>
        <w:tabs>
          <w:tab w:leader="none" w:pos="361" w:val="left"/>
        </w:tabs>
        <w:numPr>
          <w:ilvl w:val="0"/>
          <w:numId w:val="100"/>
        </w:numPr>
        <w:rPr>
          <w:rFonts w:ascii="Arial" w:cs="Arial" w:eastAsia="Arial" w:hAnsi="Arial"/>
          <w:sz w:val="14"/>
          <w:szCs w:val="14"/>
          <w:color w:val="auto"/>
        </w:rPr>
      </w:pPr>
      <w:r>
        <w:rPr>
          <w:rFonts w:ascii="Arial" w:cs="Arial" w:eastAsia="Arial" w:hAnsi="Arial"/>
          <w:sz w:val="14"/>
          <w:szCs w:val="14"/>
          <w:color w:val="auto"/>
        </w:rPr>
        <w:t>In calculating a Terminal Accounting Settlement payment, the reference in Paragraph 1(a) above to “the end of the current Accounting Period” refers to the Terminal Accounting Date as described in Article VIII, Paragraph 2.</w:t>
      </w:r>
    </w:p>
    <w:p>
      <w:pPr>
        <w:spacing w:after="0" w:line="118" w:lineRule="exact"/>
        <w:rPr>
          <w:rFonts w:ascii="Arial" w:cs="Arial" w:eastAsia="Arial" w:hAnsi="Arial"/>
          <w:sz w:val="14"/>
          <w:szCs w:val="14"/>
          <w:color w:val="auto"/>
        </w:rPr>
      </w:pPr>
    </w:p>
    <w:p>
      <w:pPr>
        <w:ind w:left="368" w:right="5059" w:hanging="368"/>
        <w:spacing w:after="0" w:line="256" w:lineRule="auto"/>
        <w:tabs>
          <w:tab w:leader="none" w:pos="361" w:val="left"/>
        </w:tabs>
        <w:numPr>
          <w:ilvl w:val="0"/>
          <w:numId w:val="100"/>
        </w:numPr>
        <w:rPr>
          <w:rFonts w:ascii="Arial" w:cs="Arial" w:eastAsia="Arial" w:hAnsi="Arial"/>
          <w:sz w:val="14"/>
          <w:szCs w:val="14"/>
          <w:color w:val="auto"/>
        </w:rPr>
      </w:pPr>
      <w:r>
        <w:rPr>
          <w:rFonts w:ascii="Arial" w:cs="Arial" w:eastAsia="Arial" w:hAnsi="Arial"/>
          <w:sz w:val="14"/>
          <w:szCs w:val="14"/>
          <w:u w:val="single" w:color="auto"/>
          <w:color w:val="auto"/>
        </w:rPr>
        <w:t>Initial Modco Reserve Adjustment</w:t>
      </w:r>
      <w:r>
        <w:rPr>
          <w:rFonts w:ascii="Arial" w:cs="Arial" w:eastAsia="Arial" w:hAnsi="Arial"/>
          <w:sz w:val="14"/>
          <w:szCs w:val="14"/>
          <w:color w:val="auto"/>
        </w:rPr>
        <w:t>. The “Initial Modco Reserve Adjustment” shall consist of an amount equal to the Modco Reserves as of the Effective Date. The Initial Modco Reserve Adjustment shall be calculated and paid in accordance with Article VI.</w:t>
      </w:r>
    </w:p>
    <w:p>
      <w:pPr>
        <w:spacing w:after="0" w:line="60" w:lineRule="exact"/>
        <w:rPr>
          <w:sz w:val="20"/>
          <w:szCs w:val="20"/>
          <w:color w:val="auto"/>
        </w:rPr>
      </w:pPr>
    </w:p>
    <w:p>
      <w:pPr>
        <w:ind w:left="3628"/>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167"/>
          </w:cols>
          <w:pgMar w:left="292" w:top="224" w:right="1440" w:bottom="1440" w:gutter="0" w:footer="0" w:header="0"/>
          <w:type w:val="continuous"/>
        </w:sectPr>
      </w:pPr>
    </w:p>
    <w:bookmarkStart w:id="132" w:name="page133"/>
    <w:bookmarkEnd w:id="132"/>
    <w:p>
      <w:pPr>
        <w:ind w:left="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V.  INDEMNIFICATION FOR BENEFIT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663440" cy="114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4" w:right="1440" w:bottom="1440" w:gutter="0" w:footer="0" w:header="0"/>
        </w:sectPr>
      </w:pPr>
    </w:p>
    <w:p>
      <w:pPr>
        <w:spacing w:after="0" w:line="218" w:lineRule="exact"/>
        <w:rPr>
          <w:sz w:val="20"/>
          <w:szCs w:val="20"/>
          <w:color w:val="auto"/>
        </w:rPr>
      </w:pPr>
    </w:p>
    <w:p>
      <w:pPr>
        <w:ind w:left="368" w:right="5239" w:hanging="368"/>
        <w:spacing w:after="0" w:line="263" w:lineRule="auto"/>
        <w:tabs>
          <w:tab w:leader="none" w:pos="361" w:val="left"/>
        </w:tabs>
        <w:numPr>
          <w:ilvl w:val="0"/>
          <w:numId w:val="101"/>
        </w:numPr>
        <w:rPr>
          <w:rFonts w:ascii="Arial" w:cs="Arial" w:eastAsia="Arial" w:hAnsi="Arial"/>
          <w:sz w:val="14"/>
          <w:szCs w:val="14"/>
          <w:color w:val="auto"/>
        </w:rPr>
      </w:pPr>
      <w:r>
        <w:rPr>
          <w:rFonts w:ascii="Arial" w:cs="Arial" w:eastAsia="Arial" w:hAnsi="Arial"/>
          <w:sz w:val="14"/>
          <w:szCs w:val="14"/>
          <w:u w:val="single" w:color="auto"/>
          <w:color w:val="auto"/>
        </w:rPr>
        <w:t>Indemnification for Benefit Payments</w:t>
      </w:r>
      <w:r>
        <w:rPr>
          <w:rFonts w:ascii="Arial" w:cs="Arial" w:eastAsia="Arial" w:hAnsi="Arial"/>
          <w:sz w:val="14"/>
          <w:szCs w:val="14"/>
          <w:color w:val="auto"/>
        </w:rPr>
        <w:t>. The Reinsurer shall indemnify the Ceding Company for the Reinsurer’s Quota Share of the Net Benefit Payments defined in Paragraph 2.</w:t>
      </w:r>
    </w:p>
    <w:p>
      <w:pPr>
        <w:spacing w:after="0" w:line="118" w:lineRule="exact"/>
        <w:rPr>
          <w:rFonts w:ascii="Arial" w:cs="Arial" w:eastAsia="Arial" w:hAnsi="Arial"/>
          <w:sz w:val="14"/>
          <w:szCs w:val="14"/>
          <w:color w:val="auto"/>
        </w:rPr>
      </w:pPr>
    </w:p>
    <w:p>
      <w:pPr>
        <w:ind w:left="368" w:right="5059" w:hanging="368"/>
        <w:spacing w:after="0" w:line="256" w:lineRule="auto"/>
        <w:tabs>
          <w:tab w:leader="none" w:pos="361" w:val="left"/>
        </w:tabs>
        <w:numPr>
          <w:ilvl w:val="0"/>
          <w:numId w:val="101"/>
        </w:numPr>
        <w:rPr>
          <w:rFonts w:ascii="Arial" w:cs="Arial" w:eastAsia="Arial" w:hAnsi="Arial"/>
          <w:sz w:val="14"/>
          <w:szCs w:val="14"/>
          <w:color w:val="auto"/>
        </w:rPr>
      </w:pPr>
      <w:r>
        <w:rPr>
          <w:rFonts w:ascii="Arial" w:cs="Arial" w:eastAsia="Arial" w:hAnsi="Arial"/>
          <w:sz w:val="14"/>
          <w:szCs w:val="14"/>
          <w:u w:val="single" w:color="auto"/>
          <w:color w:val="auto"/>
        </w:rPr>
        <w:t>Benefit Payments</w:t>
      </w:r>
      <w:r>
        <w:rPr>
          <w:rFonts w:ascii="Arial" w:cs="Arial" w:eastAsia="Arial" w:hAnsi="Arial"/>
          <w:sz w:val="14"/>
          <w:szCs w:val="14"/>
          <w:color w:val="auto"/>
        </w:rPr>
        <w:t>. “Net Benefit Payments” means the sum of benefits paid under the Policies less claim reimbursements collected under the Ceded Reinsurance Agreements, if any. Benefits paid under the Policies include, but are not limited to:</w:t>
      </w:r>
    </w:p>
    <w:p>
      <w:pPr>
        <w:spacing w:after="0" w:line="123" w:lineRule="exact"/>
        <w:rPr>
          <w:sz w:val="20"/>
          <w:szCs w:val="20"/>
          <w:color w:val="auto"/>
        </w:rPr>
      </w:pPr>
    </w:p>
    <w:p>
      <w:pPr>
        <w:ind w:left="588" w:right="5399" w:hanging="3"/>
        <w:spacing w:after="0" w:line="285" w:lineRule="auto"/>
        <w:tabs>
          <w:tab w:leader="none" w:pos="804" w:val="left"/>
        </w:tabs>
        <w:numPr>
          <w:ilvl w:val="0"/>
          <w:numId w:val="102"/>
        </w:numPr>
        <w:rPr>
          <w:rFonts w:ascii="Arial" w:cs="Arial" w:eastAsia="Arial" w:hAnsi="Arial"/>
          <w:sz w:val="14"/>
          <w:szCs w:val="14"/>
          <w:color w:val="auto"/>
        </w:rPr>
      </w:pPr>
      <w:r>
        <w:rPr>
          <w:rFonts w:ascii="Arial" w:cs="Arial" w:eastAsia="Arial" w:hAnsi="Arial"/>
          <w:sz w:val="14"/>
          <w:szCs w:val="14"/>
          <w:color w:val="auto"/>
        </w:rPr>
        <w:t>Death Claims. Death Claims include the death benefit and any   interest paid associated with the Policies.</w:t>
      </w:r>
    </w:p>
    <w:p>
      <w:pPr>
        <w:spacing w:after="0" w:line="103" w:lineRule="exact"/>
        <w:rPr>
          <w:rFonts w:ascii="Arial" w:cs="Arial" w:eastAsia="Arial" w:hAnsi="Arial"/>
          <w:sz w:val="14"/>
          <w:szCs w:val="14"/>
          <w:color w:val="auto"/>
        </w:rPr>
      </w:pPr>
    </w:p>
    <w:p>
      <w:pPr>
        <w:ind w:left="808" w:hanging="223"/>
        <w:spacing w:after="0"/>
        <w:tabs>
          <w:tab w:leader="none" w:pos="808" w:val="left"/>
        </w:tabs>
        <w:numPr>
          <w:ilvl w:val="0"/>
          <w:numId w:val="102"/>
        </w:numPr>
        <w:rPr>
          <w:rFonts w:ascii="Arial" w:cs="Arial" w:eastAsia="Arial" w:hAnsi="Arial"/>
          <w:sz w:val="14"/>
          <w:szCs w:val="14"/>
          <w:color w:val="auto"/>
        </w:rPr>
      </w:pPr>
      <w:r>
        <w:rPr>
          <w:rFonts w:ascii="Arial" w:cs="Arial" w:eastAsia="Arial" w:hAnsi="Arial"/>
          <w:sz w:val="14"/>
          <w:szCs w:val="14"/>
          <w:color w:val="auto"/>
        </w:rPr>
        <w:t>Surrenders and Withdrawals. Surrenders and withdrawals include</w:t>
      </w:r>
    </w:p>
    <w:p>
      <w:pPr>
        <w:spacing w:after="0" w:line="15" w:lineRule="exact"/>
        <w:rPr>
          <w:sz w:val="20"/>
          <w:szCs w:val="20"/>
          <w:color w:val="auto"/>
        </w:rPr>
      </w:pPr>
    </w:p>
    <w:p>
      <w:pPr>
        <w:ind w:left="808" w:hanging="223"/>
        <w:spacing w:after="0"/>
        <w:tabs>
          <w:tab w:leader="none" w:pos="808"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total amount paid in the event of a partial withdrawal of account</w:t>
      </w:r>
    </w:p>
    <w:p>
      <w:pPr>
        <w:spacing w:after="0" w:line="1" w:lineRule="exact"/>
        <w:rPr>
          <w:rFonts w:ascii="Arial" w:cs="Arial" w:eastAsia="Arial" w:hAnsi="Arial"/>
          <w:sz w:val="14"/>
          <w:szCs w:val="14"/>
          <w:color w:val="auto"/>
        </w:rPr>
      </w:pPr>
    </w:p>
    <w:p>
      <w:pPr>
        <w:ind w:left="808" w:hanging="223"/>
        <w:spacing w:after="0"/>
        <w:tabs>
          <w:tab w:leader="none" w:pos="808" w:val="left"/>
        </w:tabs>
        <w:numPr>
          <w:ilvl w:val="0"/>
          <w:numId w:val="103"/>
        </w:numPr>
        <w:rPr>
          <w:rFonts w:ascii="Arial" w:cs="Arial" w:eastAsia="Arial" w:hAnsi="Arial"/>
          <w:sz w:val="14"/>
          <w:szCs w:val="14"/>
          <w:color w:val="auto"/>
        </w:rPr>
      </w:pPr>
      <w:r>
        <w:rPr>
          <w:rFonts w:ascii="Arial" w:cs="Arial" w:eastAsia="Arial" w:hAnsi="Arial"/>
          <w:sz w:val="14"/>
          <w:szCs w:val="14"/>
          <w:color w:val="auto"/>
        </w:rPr>
        <w:t>value or full surrender of Policies, net of any applicable surrender</w:t>
      </w:r>
    </w:p>
    <w:p>
      <w:pPr>
        <w:spacing w:after="0" w:line="1" w:lineRule="exact"/>
        <w:rPr>
          <w:rFonts w:ascii="Arial" w:cs="Arial" w:eastAsia="Arial" w:hAnsi="Arial"/>
          <w:sz w:val="14"/>
          <w:szCs w:val="14"/>
          <w:color w:val="auto"/>
        </w:rPr>
      </w:pPr>
    </w:p>
    <w:p>
      <w:pPr>
        <w:ind w:left="808" w:hanging="223"/>
        <w:spacing w:after="0"/>
        <w:tabs>
          <w:tab w:leader="none" w:pos="808"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charges. Surrender charges are the total amount that the Ceding</w:t>
      </w:r>
    </w:p>
    <w:p>
      <w:pPr>
        <w:spacing w:after="0" w:line="1" w:lineRule="exact"/>
        <w:rPr>
          <w:rFonts w:ascii="Arial" w:cs="Arial" w:eastAsia="Arial" w:hAnsi="Arial"/>
          <w:sz w:val="14"/>
          <w:szCs w:val="14"/>
          <w:color w:val="auto"/>
        </w:rPr>
      </w:pPr>
    </w:p>
    <w:p>
      <w:pPr>
        <w:ind w:left="808" w:hanging="223"/>
        <w:spacing w:after="0"/>
        <w:tabs>
          <w:tab w:leader="none" w:pos="808"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Company deducts before paying the cash surrender value upon a</w:t>
      </w:r>
    </w:p>
    <w:p>
      <w:pPr>
        <w:spacing w:after="0" w:line="1" w:lineRule="exact"/>
        <w:rPr>
          <w:rFonts w:ascii="Arial" w:cs="Arial" w:eastAsia="Arial" w:hAnsi="Arial"/>
          <w:sz w:val="14"/>
          <w:szCs w:val="14"/>
          <w:color w:val="auto"/>
        </w:rPr>
      </w:pPr>
    </w:p>
    <w:p>
      <w:pPr>
        <w:ind w:left="808" w:hanging="223"/>
        <w:spacing w:after="0"/>
        <w:tabs>
          <w:tab w:leader="none" w:pos="808" w:val="left"/>
        </w:tabs>
        <w:numPr>
          <w:ilvl w:val="0"/>
          <w:numId w:val="103"/>
        </w:numPr>
        <w:rPr>
          <w:rFonts w:ascii="Arial" w:cs="Arial" w:eastAsia="Arial" w:hAnsi="Arial"/>
          <w:sz w:val="14"/>
          <w:szCs w:val="14"/>
          <w:color w:val="auto"/>
        </w:rPr>
      </w:pPr>
      <w:r>
        <w:rPr>
          <w:rFonts w:ascii="Arial" w:cs="Arial" w:eastAsia="Arial" w:hAnsi="Arial"/>
          <w:sz w:val="14"/>
          <w:szCs w:val="14"/>
          <w:color w:val="auto"/>
        </w:rPr>
        <w:t>full or partial surrender of Policies.</w:t>
      </w:r>
    </w:p>
    <w:p>
      <w:pPr>
        <w:spacing w:after="0" w:line="149" w:lineRule="exact"/>
        <w:rPr>
          <w:sz w:val="20"/>
          <w:szCs w:val="20"/>
          <w:color w:val="auto"/>
        </w:rPr>
      </w:pPr>
    </w:p>
    <w:p>
      <w:pPr>
        <w:ind w:left="588" w:right="5179" w:hanging="3"/>
        <w:spacing w:after="0" w:line="252" w:lineRule="auto"/>
        <w:tabs>
          <w:tab w:leader="none" w:pos="80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Annuity Payments. Annuity Payments include the amounts paid   under payout annuities and any loss upon annuitization (i.e., the   difference between the payout annuity premium and the account   value upon annuitization that would be reported in Paragraph 2(b)   above).</w:t>
      </w:r>
    </w:p>
    <w:p>
      <w:pPr>
        <w:spacing w:after="0" w:line="109" w:lineRule="exact"/>
        <w:rPr>
          <w:sz w:val="20"/>
          <w:szCs w:val="20"/>
          <w:color w:val="auto"/>
        </w:rPr>
      </w:pPr>
    </w:p>
    <w:p>
      <w:pPr>
        <w:ind w:left="368"/>
        <w:spacing w:after="0"/>
        <w:rPr>
          <w:sz w:val="20"/>
          <w:szCs w:val="20"/>
          <w:color w:val="auto"/>
        </w:rPr>
      </w:pPr>
      <w:r>
        <w:rPr>
          <w:rFonts w:ascii="Arial" w:cs="Arial" w:eastAsia="Arial" w:hAnsi="Arial"/>
          <w:sz w:val="14"/>
          <w:szCs w:val="14"/>
          <w:color w:val="auto"/>
        </w:rPr>
        <w:t>Net Benefit Payments will be paid by the Reinsurer hereunder as benefits</w:t>
      </w:r>
    </w:p>
    <w:p>
      <w:pPr>
        <w:spacing w:after="0" w:line="15" w:lineRule="exact"/>
        <w:rPr>
          <w:sz w:val="20"/>
          <w:szCs w:val="20"/>
          <w:color w:val="auto"/>
        </w:rPr>
      </w:pPr>
    </w:p>
    <w:p>
      <w:pPr>
        <w:ind w:left="368"/>
        <w:spacing w:after="0"/>
        <w:rPr>
          <w:sz w:val="20"/>
          <w:szCs w:val="20"/>
          <w:color w:val="auto"/>
        </w:rPr>
      </w:pPr>
      <w:r>
        <w:rPr>
          <w:rFonts w:ascii="Arial" w:cs="Arial" w:eastAsia="Arial" w:hAnsi="Arial"/>
          <w:sz w:val="14"/>
          <w:szCs w:val="14"/>
          <w:color w:val="auto"/>
        </w:rPr>
        <w:t>are paid by the Ceding Company, not in a lump sum payment.</w:t>
      </w:r>
    </w:p>
    <w:p>
      <w:pPr>
        <w:spacing w:after="0" w:line="149" w:lineRule="exact"/>
        <w:rPr>
          <w:sz w:val="20"/>
          <w:szCs w:val="20"/>
          <w:color w:val="auto"/>
        </w:rPr>
      </w:pPr>
    </w:p>
    <w:p>
      <w:pPr>
        <w:ind w:left="368" w:right="5439" w:hanging="368"/>
        <w:spacing w:after="0" w:line="263" w:lineRule="auto"/>
        <w:tabs>
          <w:tab w:leader="none" w:pos="361"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Liability and Payment</w:t>
      </w:r>
      <w:r>
        <w:rPr>
          <w:rFonts w:ascii="Arial" w:cs="Arial" w:eastAsia="Arial" w:hAnsi="Arial"/>
          <w:sz w:val="14"/>
          <w:szCs w:val="14"/>
          <w:color w:val="auto"/>
        </w:rPr>
        <w:t>. The Reinsurer shall accept the decision of the Ceding Company with respect to the determination and payment of amounts comprising Net Benefit Payments.</w:t>
      </w:r>
    </w:p>
    <w:p>
      <w:pPr>
        <w:spacing w:after="0" w:line="56" w:lineRule="exact"/>
        <w:rPr>
          <w:sz w:val="20"/>
          <w:szCs w:val="20"/>
          <w:color w:val="auto"/>
        </w:rPr>
      </w:pPr>
    </w:p>
    <w:p>
      <w:pPr>
        <w:ind w:left="3628"/>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167"/>
          </w:cols>
          <w:pgMar w:left="292" w:top="224" w:right="1440" w:bottom="1440" w:gutter="0" w:footer="0" w:header="0"/>
          <w:type w:val="continuous"/>
        </w:sectPr>
      </w:pPr>
    </w:p>
    <w:bookmarkStart w:id="133" w:name="page134"/>
    <w:bookmarkEnd w:id="133"/>
    <w:p>
      <w:pPr>
        <w:ind w:left="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VI.  ACCOUNTING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663440" cy="114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4" w:right="1440" w:bottom="1440" w:gutter="0" w:footer="0" w:header="0"/>
        </w:sectPr>
      </w:pPr>
    </w:p>
    <w:p>
      <w:pPr>
        <w:spacing w:after="0" w:line="218" w:lineRule="exact"/>
        <w:rPr>
          <w:sz w:val="20"/>
          <w:szCs w:val="20"/>
          <w:color w:val="auto"/>
        </w:rPr>
      </w:pPr>
    </w:p>
    <w:p>
      <w:pPr>
        <w:ind w:left="368" w:right="5079" w:hanging="368"/>
        <w:spacing w:after="0" w:line="249" w:lineRule="auto"/>
        <w:tabs>
          <w:tab w:leader="none" w:pos="361"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Accounting Period</w:t>
      </w:r>
      <w:r>
        <w:rPr>
          <w:rFonts w:ascii="Arial" w:cs="Arial" w:eastAsia="Arial" w:hAnsi="Arial"/>
          <w:sz w:val="14"/>
          <w:szCs w:val="14"/>
          <w:color w:val="auto"/>
        </w:rPr>
        <w:t>. Each “Accounting Period” under this Agreement shall be a calendar quarter, except that: (a) the initial Accounting Period runs from the Effective Date through the last day of the calendar quarter during which the Effective Date falls, and (b) the final Accounting Period runs from the end of the preceding Accounting Period until the Terminal Accounting Date of this Agreement, as described in Article VIII, Paragraph 2.</w:t>
      </w:r>
    </w:p>
    <w:p>
      <w:pPr>
        <w:spacing w:after="0" w:line="293" w:lineRule="exact"/>
        <w:rPr>
          <w:rFonts w:ascii="Arial" w:cs="Arial" w:eastAsia="Arial" w:hAnsi="Arial"/>
          <w:sz w:val="14"/>
          <w:szCs w:val="14"/>
          <w:color w:val="auto"/>
        </w:rPr>
      </w:pPr>
    </w:p>
    <w:p>
      <w:pPr>
        <w:ind w:left="368" w:right="5079" w:hanging="368"/>
        <w:spacing w:after="0" w:line="245" w:lineRule="auto"/>
        <w:tabs>
          <w:tab w:leader="none" w:pos="361"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Quarterly Accounting Reports</w:t>
      </w:r>
      <w:r>
        <w:rPr>
          <w:rFonts w:ascii="Arial" w:cs="Arial" w:eastAsia="Arial" w:hAnsi="Arial"/>
          <w:sz w:val="14"/>
          <w:szCs w:val="14"/>
          <w:color w:val="auto"/>
        </w:rPr>
        <w:t>. The Ceding Company shall submit quarterly accounting reports in a form substantially similar to that shown in Schedule E to the Reinsurer for each Accounting Period not later than thirty (30) days after the end of each Accounting Period. Such reports shall include information on the amount and calculation of the Reinsurance Premium, Net Benefit Payments, the Allowance and the Modco Reserve Adjustment. Additional information will be available upon request to the extent reasonably required by Reinsurer to administer the reinsurance provided under this Agreement. The initial quarterly accounting report for the initial Accounting Period shall also contain the Ceding Company’s calculations of the amounts for the Initial Reinsurance Premium, the Initial Ceding Commission, and the Initial Modco Reserve Adjustment.</w:t>
      </w:r>
    </w:p>
    <w:p>
      <w:pPr>
        <w:spacing w:after="0" w:line="295" w:lineRule="exact"/>
        <w:rPr>
          <w:rFonts w:ascii="Arial" w:cs="Arial" w:eastAsia="Arial" w:hAnsi="Arial"/>
          <w:sz w:val="14"/>
          <w:szCs w:val="14"/>
          <w:color w:val="auto"/>
        </w:rPr>
      </w:pPr>
    </w:p>
    <w:p>
      <w:pPr>
        <w:ind w:left="368" w:hanging="368"/>
        <w:spacing w:after="0"/>
        <w:tabs>
          <w:tab w:leader="none" w:pos="368"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Quarterly Settlements</w:t>
      </w:r>
      <w:r>
        <w:rPr>
          <w:rFonts w:ascii="Arial" w:cs="Arial" w:eastAsia="Arial" w:hAnsi="Arial"/>
          <w:sz w:val="14"/>
          <w:szCs w:val="14"/>
          <w:color w:val="auto"/>
        </w:rPr>
        <w:t>.</w:t>
      </w:r>
    </w:p>
    <w:p>
      <w:pPr>
        <w:spacing w:after="0" w:line="163" w:lineRule="exact"/>
        <w:rPr>
          <w:sz w:val="20"/>
          <w:szCs w:val="20"/>
          <w:color w:val="auto"/>
        </w:rPr>
      </w:pPr>
    </w:p>
    <w:p>
      <w:pPr>
        <w:ind w:left="368" w:right="5179" w:hanging="8"/>
        <w:spacing w:after="0" w:line="285" w:lineRule="auto"/>
        <w:tabs>
          <w:tab w:leader="none" w:pos="584" w:val="left"/>
        </w:tabs>
        <w:numPr>
          <w:ilvl w:val="0"/>
          <w:numId w:val="107"/>
        </w:numPr>
        <w:rPr>
          <w:rFonts w:ascii="Arial" w:cs="Arial" w:eastAsia="Arial" w:hAnsi="Arial"/>
          <w:sz w:val="14"/>
          <w:szCs w:val="14"/>
          <w:color w:val="auto"/>
        </w:rPr>
      </w:pPr>
      <w:r>
        <w:rPr>
          <w:rFonts w:ascii="Arial" w:cs="Arial" w:eastAsia="Arial" w:hAnsi="Arial"/>
          <w:sz w:val="14"/>
          <w:szCs w:val="14"/>
          <w:color w:val="auto"/>
        </w:rPr>
        <w:t>At the end of each Accounting Period, the Ceding Company shall pay   the Reinsurer the sum of:</w:t>
      </w:r>
    </w:p>
    <w:p>
      <w:pPr>
        <w:spacing w:after="0" w:line="184" w:lineRule="exact"/>
        <w:rPr>
          <w:rFonts w:ascii="Arial" w:cs="Arial" w:eastAsia="Arial" w:hAnsi="Arial"/>
          <w:sz w:val="14"/>
          <w:szCs w:val="14"/>
          <w:color w:val="auto"/>
        </w:rPr>
      </w:pPr>
    </w:p>
    <w:p>
      <w:pPr>
        <w:ind w:left="1308" w:hanging="354"/>
        <w:spacing w:after="0"/>
        <w:tabs>
          <w:tab w:leader="none" w:pos="1308" w:val="left"/>
        </w:tabs>
        <w:numPr>
          <w:ilvl w:val="1"/>
          <w:numId w:val="107"/>
        </w:numPr>
        <w:rPr>
          <w:rFonts w:ascii="Arial" w:cs="Arial" w:eastAsia="Arial" w:hAnsi="Arial"/>
          <w:sz w:val="14"/>
          <w:szCs w:val="14"/>
          <w:color w:val="auto"/>
        </w:rPr>
      </w:pPr>
      <w:r>
        <w:rPr>
          <w:rFonts w:ascii="Arial" w:cs="Arial" w:eastAsia="Arial" w:hAnsi="Arial"/>
          <w:sz w:val="14"/>
          <w:szCs w:val="14"/>
          <w:color w:val="auto"/>
        </w:rPr>
        <w:t>the Reinsurance Premium determined in accordance with</w:t>
      </w:r>
    </w:p>
    <w:p>
      <w:pPr>
        <w:spacing w:after="0" w:line="15" w:lineRule="exact"/>
        <w:rPr>
          <w:rFonts w:ascii="Arial" w:cs="Arial" w:eastAsia="Arial" w:hAnsi="Arial"/>
          <w:sz w:val="14"/>
          <w:szCs w:val="14"/>
          <w:color w:val="auto"/>
        </w:rPr>
      </w:pPr>
    </w:p>
    <w:p>
      <w:pPr>
        <w:ind w:left="948"/>
        <w:spacing w:after="0"/>
        <w:rPr>
          <w:rFonts w:ascii="Arial" w:cs="Arial" w:eastAsia="Arial" w:hAnsi="Arial"/>
          <w:sz w:val="14"/>
          <w:szCs w:val="14"/>
          <w:color w:val="auto"/>
        </w:rPr>
      </w:pPr>
      <w:r>
        <w:rPr>
          <w:rFonts w:ascii="Arial" w:cs="Arial" w:eastAsia="Arial" w:hAnsi="Arial"/>
          <w:sz w:val="14"/>
          <w:szCs w:val="14"/>
          <w:color w:val="auto"/>
        </w:rPr>
        <w:t> Article II;</w:t>
      </w:r>
    </w:p>
    <w:p>
      <w:pPr>
        <w:spacing w:after="0" w:line="230" w:lineRule="exact"/>
        <w:rPr>
          <w:rFonts w:ascii="Arial" w:cs="Arial" w:eastAsia="Arial" w:hAnsi="Arial"/>
          <w:sz w:val="14"/>
          <w:szCs w:val="14"/>
          <w:color w:val="auto"/>
        </w:rPr>
      </w:pPr>
    </w:p>
    <w:p>
      <w:pPr>
        <w:ind w:left="1308" w:hanging="354"/>
        <w:spacing w:after="0"/>
        <w:tabs>
          <w:tab w:leader="none" w:pos="1308" w:val="left"/>
        </w:tabs>
        <w:numPr>
          <w:ilvl w:val="1"/>
          <w:numId w:val="107"/>
        </w:numPr>
        <w:rPr>
          <w:rFonts w:ascii="Arial" w:cs="Arial" w:eastAsia="Arial" w:hAnsi="Arial"/>
          <w:sz w:val="14"/>
          <w:szCs w:val="14"/>
          <w:color w:val="auto"/>
        </w:rPr>
      </w:pPr>
      <w:r>
        <w:rPr>
          <w:rFonts w:ascii="Arial" w:cs="Arial" w:eastAsia="Arial" w:hAnsi="Arial"/>
          <w:sz w:val="14"/>
          <w:szCs w:val="14"/>
          <w:color w:val="auto"/>
        </w:rPr>
        <w:t>any Modco Reserve Adjustment payable to the Reinsurer</w:t>
      </w:r>
    </w:p>
    <w:p>
      <w:pPr>
        <w:spacing w:after="0" w:line="15" w:lineRule="exact"/>
        <w:rPr>
          <w:rFonts w:ascii="Arial" w:cs="Arial" w:eastAsia="Arial" w:hAnsi="Arial"/>
          <w:sz w:val="14"/>
          <w:szCs w:val="14"/>
          <w:color w:val="auto"/>
        </w:rPr>
      </w:pPr>
    </w:p>
    <w:p>
      <w:pPr>
        <w:ind w:left="948"/>
        <w:spacing w:after="0"/>
        <w:rPr>
          <w:rFonts w:ascii="Arial" w:cs="Arial" w:eastAsia="Arial" w:hAnsi="Arial"/>
          <w:sz w:val="14"/>
          <w:szCs w:val="14"/>
          <w:color w:val="auto"/>
        </w:rPr>
      </w:pPr>
      <w:r>
        <w:rPr>
          <w:rFonts w:ascii="Arial" w:cs="Arial" w:eastAsia="Arial" w:hAnsi="Arial"/>
          <w:sz w:val="14"/>
          <w:szCs w:val="14"/>
          <w:color w:val="auto"/>
        </w:rPr>
        <w:t> determined in accordance with Article IV; and</w:t>
      </w:r>
    </w:p>
    <w:p>
      <w:pPr>
        <w:spacing w:after="0" w:line="230" w:lineRule="exact"/>
        <w:rPr>
          <w:rFonts w:ascii="Arial" w:cs="Arial" w:eastAsia="Arial" w:hAnsi="Arial"/>
          <w:sz w:val="14"/>
          <w:szCs w:val="14"/>
          <w:color w:val="auto"/>
        </w:rPr>
      </w:pPr>
    </w:p>
    <w:p>
      <w:pPr>
        <w:ind w:left="1308" w:hanging="354"/>
        <w:spacing w:after="0"/>
        <w:tabs>
          <w:tab w:leader="none" w:pos="1308" w:val="left"/>
        </w:tabs>
        <w:numPr>
          <w:ilvl w:val="1"/>
          <w:numId w:val="107"/>
        </w:numPr>
        <w:rPr>
          <w:rFonts w:ascii="Arial" w:cs="Arial" w:eastAsia="Arial" w:hAnsi="Arial"/>
          <w:sz w:val="14"/>
          <w:szCs w:val="14"/>
          <w:color w:val="auto"/>
        </w:rPr>
      </w:pPr>
      <w:r>
        <w:rPr>
          <w:rFonts w:ascii="Arial" w:cs="Arial" w:eastAsia="Arial" w:hAnsi="Arial"/>
          <w:sz w:val="14"/>
          <w:szCs w:val="14"/>
          <w:color w:val="auto"/>
        </w:rPr>
        <w:t>for the initial Accounting Period only, the Initial Reinsurance</w:t>
      </w:r>
    </w:p>
    <w:p>
      <w:pPr>
        <w:spacing w:after="0" w:line="15" w:lineRule="exact"/>
        <w:rPr>
          <w:rFonts w:ascii="Arial" w:cs="Arial" w:eastAsia="Arial" w:hAnsi="Arial"/>
          <w:sz w:val="14"/>
          <w:szCs w:val="14"/>
          <w:color w:val="auto"/>
        </w:rPr>
      </w:pPr>
    </w:p>
    <w:p>
      <w:pPr>
        <w:ind w:left="948"/>
        <w:spacing w:after="0"/>
        <w:rPr>
          <w:rFonts w:ascii="Arial" w:cs="Arial" w:eastAsia="Arial" w:hAnsi="Arial"/>
          <w:sz w:val="14"/>
          <w:szCs w:val="14"/>
          <w:color w:val="auto"/>
        </w:rPr>
      </w:pPr>
      <w:r>
        <w:rPr>
          <w:rFonts w:ascii="Arial" w:cs="Arial" w:eastAsia="Arial" w:hAnsi="Arial"/>
          <w:sz w:val="14"/>
          <w:szCs w:val="14"/>
          <w:color w:val="auto"/>
        </w:rPr>
        <w:t> Premium.</w:t>
      </w:r>
    </w:p>
    <w:p>
      <w:pPr>
        <w:spacing w:after="0" w:line="149" w:lineRule="exact"/>
        <w:rPr>
          <w:rFonts w:ascii="Arial" w:cs="Arial" w:eastAsia="Arial" w:hAnsi="Arial"/>
          <w:sz w:val="14"/>
          <w:szCs w:val="14"/>
          <w:color w:val="auto"/>
        </w:rPr>
      </w:pPr>
    </w:p>
    <w:p>
      <w:pPr>
        <w:ind w:left="368" w:right="5119" w:hanging="8"/>
        <w:spacing w:after="0" w:line="285" w:lineRule="auto"/>
        <w:tabs>
          <w:tab w:leader="none" w:pos="584" w:val="left"/>
        </w:tabs>
        <w:numPr>
          <w:ilvl w:val="0"/>
          <w:numId w:val="107"/>
        </w:numPr>
        <w:rPr>
          <w:rFonts w:ascii="Arial" w:cs="Arial" w:eastAsia="Arial" w:hAnsi="Arial"/>
          <w:sz w:val="14"/>
          <w:szCs w:val="14"/>
          <w:color w:val="auto"/>
        </w:rPr>
      </w:pPr>
      <w:r>
        <w:rPr>
          <w:rFonts w:ascii="Arial" w:cs="Arial" w:eastAsia="Arial" w:hAnsi="Arial"/>
          <w:sz w:val="14"/>
          <w:szCs w:val="14"/>
          <w:color w:val="auto"/>
        </w:rPr>
        <w:t>Simultaneously, the Reinsurer shall pay the Ceding Company the sum   of:</w:t>
      </w:r>
    </w:p>
    <w:p>
      <w:pPr>
        <w:spacing w:after="0" w:line="184" w:lineRule="exact"/>
        <w:rPr>
          <w:rFonts w:ascii="Arial" w:cs="Arial" w:eastAsia="Arial" w:hAnsi="Arial"/>
          <w:sz w:val="14"/>
          <w:szCs w:val="14"/>
          <w:color w:val="auto"/>
        </w:rPr>
      </w:pPr>
    </w:p>
    <w:p>
      <w:pPr>
        <w:ind w:left="1308" w:hanging="354"/>
        <w:spacing w:after="0"/>
        <w:tabs>
          <w:tab w:leader="none" w:pos="1308" w:val="left"/>
        </w:tabs>
        <w:numPr>
          <w:ilvl w:val="1"/>
          <w:numId w:val="107"/>
        </w:numPr>
        <w:rPr>
          <w:rFonts w:ascii="Arial" w:cs="Arial" w:eastAsia="Arial" w:hAnsi="Arial"/>
          <w:sz w:val="14"/>
          <w:szCs w:val="14"/>
          <w:color w:val="auto"/>
        </w:rPr>
      </w:pPr>
      <w:r>
        <w:rPr>
          <w:rFonts w:ascii="Arial" w:cs="Arial" w:eastAsia="Arial" w:hAnsi="Arial"/>
          <w:sz w:val="14"/>
          <w:szCs w:val="14"/>
          <w:color w:val="auto"/>
        </w:rPr>
        <w:t>the Net Benefit Payments, determined in accordance with</w:t>
      </w:r>
    </w:p>
    <w:p>
      <w:pPr>
        <w:spacing w:after="0" w:line="15" w:lineRule="exact"/>
        <w:rPr>
          <w:sz w:val="20"/>
          <w:szCs w:val="20"/>
          <w:color w:val="auto"/>
        </w:rPr>
      </w:pPr>
    </w:p>
    <w:p>
      <w:pPr>
        <w:ind w:left="1308" w:hanging="354"/>
        <w:spacing w:after="0"/>
        <w:tabs>
          <w:tab w:leader="none" w:pos="1308"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Article V;</w:t>
      </w:r>
    </w:p>
    <w:p>
      <w:pPr>
        <w:spacing w:after="0" w:line="149" w:lineRule="exact"/>
        <w:rPr>
          <w:sz w:val="20"/>
          <w:szCs w:val="20"/>
          <w:color w:val="auto"/>
        </w:rPr>
      </w:pPr>
    </w:p>
    <w:p>
      <w:pPr>
        <w:ind w:left="3588" w:right="5319" w:hanging="2634"/>
        <w:spacing w:after="0" w:line="432" w:lineRule="auto"/>
        <w:tabs>
          <w:tab w:leader="none" w:pos="131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Allowance determined in accordance with Article III; 10</w:t>
      </w:r>
    </w:p>
    <w:p>
      <w:pPr>
        <w:sectPr>
          <w:pgSz w:w="11900" w:h="16838" w:orient="portrait"/>
          <w:cols w:equalWidth="0" w:num="1">
            <w:col w:w="10167"/>
          </w:cols>
          <w:pgMar w:left="292" w:top="224" w:right="1440" w:bottom="1440" w:gutter="0" w:footer="0" w:header="0"/>
          <w:type w:val="continuous"/>
        </w:sectPr>
      </w:pPr>
    </w:p>
    <w:bookmarkStart w:id="134" w:name="page135"/>
    <w:bookmarkEnd w:id="134"/>
    <w:p>
      <w:pPr>
        <w:ind w:left="1308" w:hanging="354"/>
        <w:spacing w:after="0"/>
        <w:tabs>
          <w:tab w:leader="none" w:pos="1308" w:val="left"/>
        </w:tabs>
        <w:numPr>
          <w:ilvl w:val="1"/>
          <w:numId w:val="11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any Modco Reserve Adjustment payable to the Ceding</w:t>
      </w:r>
    </w:p>
    <w:p>
      <w:pPr>
        <w:spacing w:after="0" w:line="15" w:lineRule="exact"/>
        <w:rPr>
          <w:rFonts w:ascii="Arial" w:cs="Arial" w:eastAsia="Arial" w:hAnsi="Arial"/>
          <w:sz w:val="14"/>
          <w:szCs w:val="14"/>
          <w:color w:val="auto"/>
        </w:rPr>
      </w:pPr>
    </w:p>
    <w:p>
      <w:pPr>
        <w:ind w:left="948"/>
        <w:spacing w:after="0"/>
        <w:rPr>
          <w:rFonts w:ascii="Arial" w:cs="Arial" w:eastAsia="Arial" w:hAnsi="Arial"/>
          <w:sz w:val="14"/>
          <w:szCs w:val="14"/>
          <w:color w:val="auto"/>
        </w:rPr>
      </w:pPr>
      <w:r>
        <w:rPr>
          <w:rFonts w:ascii="Arial" w:cs="Arial" w:eastAsia="Arial" w:hAnsi="Arial"/>
          <w:sz w:val="14"/>
          <w:szCs w:val="14"/>
          <w:color w:val="auto"/>
        </w:rPr>
        <w:t> Company determined in accordance with Article IV;</w:t>
      </w:r>
    </w:p>
    <w:p>
      <w:pPr>
        <w:spacing w:after="0" w:line="149" w:lineRule="exact"/>
        <w:rPr>
          <w:rFonts w:ascii="Arial" w:cs="Arial" w:eastAsia="Arial" w:hAnsi="Arial"/>
          <w:sz w:val="14"/>
          <w:szCs w:val="14"/>
          <w:color w:val="auto"/>
        </w:rPr>
      </w:pPr>
    </w:p>
    <w:p>
      <w:pPr>
        <w:ind w:left="1308" w:hanging="354"/>
        <w:spacing w:after="0"/>
        <w:tabs>
          <w:tab w:leader="none" w:pos="1308" w:val="left"/>
        </w:tabs>
        <w:numPr>
          <w:ilvl w:val="1"/>
          <w:numId w:val="110"/>
        </w:numPr>
        <w:rPr>
          <w:rFonts w:ascii="Arial" w:cs="Arial" w:eastAsia="Arial" w:hAnsi="Arial"/>
          <w:sz w:val="14"/>
          <w:szCs w:val="14"/>
          <w:color w:val="auto"/>
        </w:rPr>
      </w:pPr>
      <w:r>
        <w:rPr>
          <w:rFonts w:ascii="Arial" w:cs="Arial" w:eastAsia="Arial" w:hAnsi="Arial"/>
          <w:sz w:val="14"/>
          <w:szCs w:val="14"/>
          <w:color w:val="auto"/>
        </w:rPr>
        <w:t>for the initial Accounting Period only, the Initial Ceding</w:t>
      </w:r>
    </w:p>
    <w:p>
      <w:pPr>
        <w:spacing w:after="0" w:line="15" w:lineRule="exact"/>
        <w:rPr>
          <w:rFonts w:ascii="Arial" w:cs="Arial" w:eastAsia="Arial" w:hAnsi="Arial"/>
          <w:sz w:val="14"/>
          <w:szCs w:val="14"/>
          <w:color w:val="auto"/>
        </w:rPr>
      </w:pPr>
    </w:p>
    <w:p>
      <w:pPr>
        <w:ind w:left="948"/>
        <w:spacing w:after="0"/>
        <w:rPr>
          <w:rFonts w:ascii="Arial" w:cs="Arial" w:eastAsia="Arial" w:hAnsi="Arial"/>
          <w:sz w:val="14"/>
          <w:szCs w:val="14"/>
          <w:color w:val="auto"/>
        </w:rPr>
      </w:pPr>
      <w:r>
        <w:rPr>
          <w:rFonts w:ascii="Arial" w:cs="Arial" w:eastAsia="Arial" w:hAnsi="Arial"/>
          <w:sz w:val="14"/>
          <w:szCs w:val="14"/>
          <w:color w:val="auto"/>
        </w:rPr>
        <w:t> Commission; and</w:t>
      </w:r>
    </w:p>
    <w:p>
      <w:pPr>
        <w:spacing w:after="0" w:line="149" w:lineRule="exact"/>
        <w:rPr>
          <w:rFonts w:ascii="Arial" w:cs="Arial" w:eastAsia="Arial" w:hAnsi="Arial"/>
          <w:sz w:val="14"/>
          <w:szCs w:val="14"/>
          <w:color w:val="auto"/>
        </w:rPr>
      </w:pPr>
    </w:p>
    <w:p>
      <w:pPr>
        <w:ind w:left="1308" w:hanging="354"/>
        <w:spacing w:after="0"/>
        <w:tabs>
          <w:tab w:leader="none" w:pos="1308" w:val="left"/>
        </w:tabs>
        <w:numPr>
          <w:ilvl w:val="1"/>
          <w:numId w:val="110"/>
        </w:numPr>
        <w:rPr>
          <w:rFonts w:ascii="Arial" w:cs="Arial" w:eastAsia="Arial" w:hAnsi="Arial"/>
          <w:sz w:val="14"/>
          <w:szCs w:val="14"/>
          <w:color w:val="auto"/>
        </w:rPr>
      </w:pPr>
      <w:r>
        <w:rPr>
          <w:rFonts w:ascii="Arial" w:cs="Arial" w:eastAsia="Arial" w:hAnsi="Arial"/>
          <w:sz w:val="14"/>
          <w:szCs w:val="14"/>
          <w:color w:val="auto"/>
        </w:rPr>
        <w:t>for the initial Accounting Period only, the Initial Modco</w:t>
      </w:r>
    </w:p>
    <w:p>
      <w:pPr>
        <w:spacing w:after="0" w:line="15" w:lineRule="exact"/>
        <w:rPr>
          <w:rFonts w:ascii="Arial" w:cs="Arial" w:eastAsia="Arial" w:hAnsi="Arial"/>
          <w:sz w:val="14"/>
          <w:szCs w:val="14"/>
          <w:color w:val="auto"/>
        </w:rPr>
      </w:pPr>
    </w:p>
    <w:p>
      <w:pPr>
        <w:ind w:left="948"/>
        <w:spacing w:after="0"/>
        <w:rPr>
          <w:rFonts w:ascii="Arial" w:cs="Arial" w:eastAsia="Arial" w:hAnsi="Arial"/>
          <w:sz w:val="14"/>
          <w:szCs w:val="14"/>
          <w:color w:val="auto"/>
        </w:rPr>
      </w:pPr>
      <w:r>
        <w:rPr>
          <w:rFonts w:ascii="Arial" w:cs="Arial" w:eastAsia="Arial" w:hAnsi="Arial"/>
          <w:sz w:val="14"/>
          <w:szCs w:val="14"/>
          <w:color w:val="auto"/>
        </w:rPr>
        <w:t> Reserve Adjustment.</w:t>
      </w:r>
    </w:p>
    <w:p>
      <w:pPr>
        <w:spacing w:after="0" w:line="149" w:lineRule="exact"/>
        <w:rPr>
          <w:rFonts w:ascii="Arial" w:cs="Arial" w:eastAsia="Arial" w:hAnsi="Arial"/>
          <w:sz w:val="14"/>
          <w:szCs w:val="14"/>
          <w:color w:val="auto"/>
        </w:rPr>
      </w:pPr>
    </w:p>
    <w:p>
      <w:pPr>
        <w:ind w:left="368" w:right="5119" w:hanging="368"/>
        <w:spacing w:after="0" w:line="245" w:lineRule="auto"/>
        <w:tabs>
          <w:tab w:leader="none" w:pos="361"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Amounts Due Quarterly</w:t>
      </w:r>
      <w:r>
        <w:rPr>
          <w:rFonts w:ascii="Arial" w:cs="Arial" w:eastAsia="Arial" w:hAnsi="Arial"/>
          <w:sz w:val="14"/>
          <w:szCs w:val="14"/>
          <w:color w:val="auto"/>
        </w:rPr>
        <w:t>. Except as otherwise specifically provided in this Agreement, all amounts due to either the Ceding Company or the Reinsurer under this Agreement shall be determined on a net basis at the end of each Accounting Period. Net amounts due the Reinsurer shall be payable in cash and/or assets (on a market value basis) within sixty (60) days after the end of each Accounting Period. Net amounts due the Ceding Company shall be payable in cash and/or assets (on a market value basis) within thirty (30) days after the receipt of the quarterly accounting report with respect to such Accounting Period. Funds removed from the Separate Account to reimburse the Ceding Company for the payment of claims and the reimbursement of expenses, and for settlement with the Reinsurer, shall be in cash.</w:t>
      </w:r>
    </w:p>
    <w:p>
      <w:pPr>
        <w:spacing w:after="0" w:line="133" w:lineRule="exact"/>
        <w:rPr>
          <w:rFonts w:ascii="Arial" w:cs="Arial" w:eastAsia="Arial" w:hAnsi="Arial"/>
          <w:sz w:val="14"/>
          <w:szCs w:val="14"/>
          <w:color w:val="auto"/>
        </w:rPr>
      </w:pPr>
    </w:p>
    <w:p>
      <w:pPr>
        <w:ind w:left="368" w:right="5139" w:hanging="368"/>
        <w:spacing w:after="0" w:line="248" w:lineRule="auto"/>
        <w:tabs>
          <w:tab w:leader="none" w:pos="361"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Estimations</w:t>
      </w:r>
      <w:r>
        <w:rPr>
          <w:rFonts w:ascii="Arial" w:cs="Arial" w:eastAsia="Arial" w:hAnsi="Arial"/>
          <w:sz w:val="14"/>
          <w:szCs w:val="14"/>
          <w:color w:val="auto"/>
        </w:rPr>
        <w:t>. If the actual amounts required in Paragraph 2 above cannot be determined in sufficient time to prepare the applicable quarterly accounting report within the timeframe such report is due pursuant to Paragraph 2 above, such amounts shall be estimated in accordance with reasonable actuarial methods that shall approximate the actual amounts. Adjustments to payments based upon such estimates shall then be made to reflect actual amounts within one year.</w:t>
      </w:r>
    </w:p>
    <w:p>
      <w:pPr>
        <w:spacing w:after="0" w:line="131" w:lineRule="exact"/>
        <w:rPr>
          <w:rFonts w:ascii="Arial" w:cs="Arial" w:eastAsia="Arial" w:hAnsi="Arial"/>
          <w:sz w:val="14"/>
          <w:szCs w:val="14"/>
          <w:color w:val="auto"/>
        </w:rPr>
      </w:pPr>
    </w:p>
    <w:p>
      <w:pPr>
        <w:ind w:left="368" w:right="5099" w:hanging="368"/>
        <w:spacing w:after="0" w:line="246" w:lineRule="auto"/>
        <w:tabs>
          <w:tab w:leader="none" w:pos="361"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Delayed Payments</w:t>
      </w:r>
      <w:r>
        <w:rPr>
          <w:rFonts w:ascii="Arial" w:cs="Arial" w:eastAsia="Arial" w:hAnsi="Arial"/>
          <w:sz w:val="14"/>
          <w:szCs w:val="14"/>
          <w:color w:val="auto"/>
        </w:rPr>
        <w:t>. For purposes of Paragraph 4 above, if there is a delayed settlement of a payment due, interest shall be payable for the number of days from the due date through the date paid, at an annualized rate equal to the sum of (i) the daily Secured Overnight Financing Rate (SOFR) as reported on the applicable Bloomberg screen page (or other commercially available source providing quotations of SOFR) on the last day of current Accounting Period plus (ii) 130 basis points. Any interest due will be capitalized and the interest rate above will be recalculated at the end of each Accounting Period.</w:t>
      </w:r>
    </w:p>
    <w:p>
      <w:pPr>
        <w:spacing w:after="0" w:line="134" w:lineRule="exact"/>
        <w:rPr>
          <w:rFonts w:ascii="Arial" w:cs="Arial" w:eastAsia="Arial" w:hAnsi="Arial"/>
          <w:sz w:val="14"/>
          <w:szCs w:val="14"/>
          <w:color w:val="auto"/>
        </w:rPr>
      </w:pPr>
    </w:p>
    <w:p>
      <w:pPr>
        <w:ind w:left="368" w:right="5139" w:hanging="368"/>
        <w:spacing w:after="0" w:line="252" w:lineRule="auto"/>
        <w:tabs>
          <w:tab w:leader="none" w:pos="361"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Offset of Payments</w:t>
      </w:r>
      <w:r>
        <w:rPr>
          <w:rFonts w:ascii="Arial" w:cs="Arial" w:eastAsia="Arial" w:hAnsi="Arial"/>
          <w:sz w:val="14"/>
          <w:szCs w:val="14"/>
          <w:color w:val="auto"/>
        </w:rPr>
        <w:t>. All monies due either the Ceding Company or the Reinsurer under this Agreement shall be offset against each other, dollar for dollar; provided, however, in the event of an insolvency of either party, offset will be allowed to the extent permitted under applicable insolvency law governing the insolvency process.</w:t>
      </w:r>
    </w:p>
    <w:p>
      <w:pPr>
        <w:spacing w:after="0" w:line="126" w:lineRule="exact"/>
        <w:rPr>
          <w:rFonts w:ascii="Arial" w:cs="Arial" w:eastAsia="Arial" w:hAnsi="Arial"/>
          <w:sz w:val="14"/>
          <w:szCs w:val="14"/>
          <w:color w:val="auto"/>
        </w:rPr>
      </w:pPr>
    </w:p>
    <w:p>
      <w:pPr>
        <w:ind w:left="368" w:hanging="368"/>
        <w:spacing w:after="0"/>
        <w:tabs>
          <w:tab w:leader="none" w:pos="368"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DAC Tax</w:t>
      </w:r>
      <w:r>
        <w:rPr>
          <w:rFonts w:ascii="Arial" w:cs="Arial" w:eastAsia="Arial" w:hAnsi="Arial"/>
          <w:sz w:val="14"/>
          <w:szCs w:val="14"/>
          <w:color w:val="auto"/>
        </w:rPr>
        <w:t>.</w:t>
      </w:r>
    </w:p>
    <w:p>
      <w:pPr>
        <w:spacing w:after="0" w:line="100"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167"/>
          </w:cols>
          <w:pgMar w:left="292" w:top="220" w:right="1440" w:bottom="1440" w:gutter="0" w:footer="0" w:header="0"/>
        </w:sectPr>
      </w:pPr>
    </w:p>
    <w:bookmarkStart w:id="135" w:name="page136"/>
    <w:bookmarkEnd w:id="135"/>
    <w:p>
      <w:pPr>
        <w:ind w:left="428" w:hanging="428"/>
        <w:spacing w:after="0"/>
        <w:tabs>
          <w:tab w:leader="none" w:pos="428" w:val="left"/>
        </w:tabs>
        <w:numPr>
          <w:ilvl w:val="0"/>
          <w:numId w:val="11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Parties are making a joint election under Treas. Reg. §1.848-</w:t>
      </w:r>
    </w:p>
    <w:p>
      <w:pPr>
        <w:spacing w:after="0" w:line="15" w:lineRule="exact"/>
        <w:rPr>
          <w:rFonts w:ascii="Arial" w:cs="Arial" w:eastAsia="Arial" w:hAnsi="Arial"/>
          <w:sz w:val="14"/>
          <w:szCs w:val="14"/>
          <w:color w:val="auto"/>
        </w:rPr>
      </w:pPr>
    </w:p>
    <w:p>
      <w:pPr>
        <w:ind w:left="448"/>
        <w:spacing w:after="0"/>
        <w:rPr>
          <w:rFonts w:ascii="Arial" w:cs="Arial" w:eastAsia="Arial" w:hAnsi="Arial"/>
          <w:sz w:val="14"/>
          <w:szCs w:val="14"/>
          <w:color w:val="auto"/>
        </w:rPr>
      </w:pPr>
      <w:r>
        <w:rPr>
          <w:rFonts w:ascii="Arial" w:cs="Arial" w:eastAsia="Arial" w:hAnsi="Arial"/>
          <w:sz w:val="14"/>
          <w:szCs w:val="14"/>
          <w:color w:val="auto"/>
        </w:rPr>
        <w:t>2(g)(8) under which:</w:t>
      </w:r>
    </w:p>
    <w:p>
      <w:pPr>
        <w:spacing w:after="0" w:line="149" w:lineRule="exact"/>
        <w:rPr>
          <w:rFonts w:ascii="Arial" w:cs="Arial" w:eastAsia="Arial" w:hAnsi="Arial"/>
          <w:sz w:val="14"/>
          <w:szCs w:val="14"/>
          <w:color w:val="auto"/>
        </w:rPr>
      </w:pPr>
    </w:p>
    <w:p>
      <w:pPr>
        <w:ind w:left="808" w:right="5139" w:hanging="367"/>
        <w:spacing w:after="0" w:line="252" w:lineRule="auto"/>
        <w:tabs>
          <w:tab w:leader="none" w:pos="794" w:val="left"/>
        </w:tabs>
        <w:numPr>
          <w:ilvl w:val="1"/>
          <w:numId w:val="112"/>
        </w:numPr>
        <w:rPr>
          <w:rFonts w:ascii="Arial" w:cs="Arial" w:eastAsia="Arial" w:hAnsi="Arial"/>
          <w:sz w:val="14"/>
          <w:szCs w:val="14"/>
          <w:color w:val="auto"/>
        </w:rPr>
      </w:pPr>
      <w:r>
        <w:rPr>
          <w:rFonts w:ascii="Arial" w:cs="Arial" w:eastAsia="Arial" w:hAnsi="Arial"/>
          <w:sz w:val="14"/>
          <w:szCs w:val="14"/>
          <w:color w:val="auto"/>
        </w:rPr>
        <w:t>The Party with the net positive consideration under this Agreement is required to capitalize specified policy acquisition expenses with respect to such Agreement without regard to the general deductions limitation of Section 848(c)(1) of the Internal Revenue Code.</w:t>
      </w:r>
    </w:p>
    <w:p>
      <w:pPr>
        <w:spacing w:after="0" w:line="126" w:lineRule="exact"/>
        <w:rPr>
          <w:rFonts w:ascii="Arial" w:cs="Arial" w:eastAsia="Arial" w:hAnsi="Arial"/>
          <w:sz w:val="14"/>
          <w:szCs w:val="14"/>
          <w:color w:val="auto"/>
        </w:rPr>
      </w:pPr>
    </w:p>
    <w:p>
      <w:pPr>
        <w:ind w:left="808" w:right="5239" w:hanging="367"/>
        <w:spacing w:after="0" w:line="285" w:lineRule="auto"/>
        <w:tabs>
          <w:tab w:leader="none" w:pos="794" w:val="left"/>
        </w:tabs>
        <w:numPr>
          <w:ilvl w:val="1"/>
          <w:numId w:val="112"/>
        </w:numPr>
        <w:rPr>
          <w:rFonts w:ascii="Arial" w:cs="Arial" w:eastAsia="Arial" w:hAnsi="Arial"/>
          <w:sz w:val="14"/>
          <w:szCs w:val="14"/>
          <w:color w:val="auto"/>
        </w:rPr>
      </w:pPr>
      <w:r>
        <w:rPr>
          <w:rFonts w:ascii="Arial" w:cs="Arial" w:eastAsia="Arial" w:hAnsi="Arial"/>
          <w:sz w:val="14"/>
          <w:szCs w:val="14"/>
          <w:color w:val="auto"/>
        </w:rPr>
        <w:t>This election shall be effective with the effective date of this Agreement.</w:t>
      </w:r>
    </w:p>
    <w:p>
      <w:pPr>
        <w:spacing w:after="0" w:line="103" w:lineRule="exact"/>
        <w:rPr>
          <w:rFonts w:ascii="Arial" w:cs="Arial" w:eastAsia="Arial" w:hAnsi="Arial"/>
          <w:sz w:val="14"/>
          <w:szCs w:val="14"/>
          <w:color w:val="auto"/>
        </w:rPr>
      </w:pPr>
    </w:p>
    <w:p>
      <w:pPr>
        <w:ind w:left="808" w:right="5139" w:hanging="367"/>
        <w:spacing w:after="0" w:line="252" w:lineRule="auto"/>
        <w:tabs>
          <w:tab w:leader="none" w:pos="794" w:val="left"/>
        </w:tabs>
        <w:numPr>
          <w:ilvl w:val="1"/>
          <w:numId w:val="112"/>
        </w:numPr>
        <w:rPr>
          <w:rFonts w:ascii="Arial" w:cs="Arial" w:eastAsia="Arial" w:hAnsi="Arial"/>
          <w:sz w:val="14"/>
          <w:szCs w:val="14"/>
          <w:color w:val="auto"/>
        </w:rPr>
      </w:pPr>
      <w:r>
        <w:rPr>
          <w:rFonts w:ascii="Arial" w:cs="Arial" w:eastAsia="Arial" w:hAnsi="Arial"/>
          <w:sz w:val="14"/>
          <w:szCs w:val="14"/>
          <w:color w:val="auto"/>
        </w:rPr>
        <w:t>Each party shall attach a schedule to its federal income tax return for its first taxable year ending after the election becomes effective which identifies the Agreement for which this joint election under Treas. Reg. §1.848-2(g)(8) has been made.</w:t>
      </w:r>
    </w:p>
    <w:p>
      <w:pPr>
        <w:spacing w:after="0" w:line="126" w:lineRule="exact"/>
        <w:rPr>
          <w:rFonts w:ascii="Arial" w:cs="Arial" w:eastAsia="Arial" w:hAnsi="Arial"/>
          <w:sz w:val="14"/>
          <w:szCs w:val="14"/>
          <w:color w:val="auto"/>
        </w:rPr>
      </w:pPr>
    </w:p>
    <w:p>
      <w:pPr>
        <w:ind w:left="448" w:right="5059" w:hanging="448"/>
        <w:spacing w:after="0" w:line="256" w:lineRule="auto"/>
        <w:tabs>
          <w:tab w:leader="none" w:pos="432"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Parties agree to exchange information pertaining to the amount of net consideration as determined under Treas. Reg. §1.848-2(f) for this Agreement to ensure consistency as to amount and timing or as is otherwise required by the Internal Revenue Service.</w:t>
      </w:r>
    </w:p>
    <w:p>
      <w:pPr>
        <w:spacing w:after="0" w:line="123" w:lineRule="exact"/>
        <w:rPr>
          <w:rFonts w:ascii="Arial" w:cs="Arial" w:eastAsia="Arial" w:hAnsi="Arial"/>
          <w:sz w:val="14"/>
          <w:szCs w:val="14"/>
          <w:color w:val="auto"/>
        </w:rPr>
      </w:pPr>
    </w:p>
    <w:p>
      <w:pPr>
        <w:ind w:left="448" w:right="5339" w:hanging="448"/>
        <w:spacing w:after="0" w:line="285" w:lineRule="auto"/>
        <w:tabs>
          <w:tab w:leader="none" w:pos="432"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exchange of information described in section B above shall follow the procedures set forth below:</w:t>
      </w:r>
    </w:p>
    <w:p>
      <w:pPr>
        <w:spacing w:after="0" w:line="103" w:lineRule="exact"/>
        <w:rPr>
          <w:rFonts w:ascii="Arial" w:cs="Arial" w:eastAsia="Arial" w:hAnsi="Arial"/>
          <w:sz w:val="14"/>
          <w:szCs w:val="14"/>
          <w:color w:val="auto"/>
        </w:rPr>
      </w:pPr>
    </w:p>
    <w:p>
      <w:pPr>
        <w:ind w:left="808" w:right="5119" w:hanging="367"/>
        <w:spacing w:after="0" w:line="256" w:lineRule="auto"/>
        <w:tabs>
          <w:tab w:leader="none" w:pos="794" w:val="left"/>
        </w:tabs>
        <w:numPr>
          <w:ilvl w:val="1"/>
          <w:numId w:val="112"/>
        </w:numPr>
        <w:rPr>
          <w:rFonts w:ascii="Arial" w:cs="Arial" w:eastAsia="Arial" w:hAnsi="Arial"/>
          <w:sz w:val="14"/>
          <w:szCs w:val="14"/>
          <w:color w:val="auto"/>
        </w:rPr>
      </w:pPr>
      <w:r>
        <w:rPr>
          <w:rFonts w:ascii="Arial" w:cs="Arial" w:eastAsia="Arial" w:hAnsi="Arial"/>
          <w:sz w:val="14"/>
          <w:szCs w:val="14"/>
          <w:color w:val="auto"/>
        </w:rPr>
        <w:t>the Ceding Company shall submit its calculation of the “net consideration” as defined under the above referenced regulation to the Reinsurer not later than April 1 for each and every tax year for which this Agreement is in effect;</w:t>
      </w:r>
    </w:p>
    <w:p>
      <w:pPr>
        <w:spacing w:after="0" w:line="123" w:lineRule="exact"/>
        <w:rPr>
          <w:rFonts w:ascii="Arial" w:cs="Arial" w:eastAsia="Arial" w:hAnsi="Arial"/>
          <w:sz w:val="14"/>
          <w:szCs w:val="14"/>
          <w:color w:val="auto"/>
        </w:rPr>
      </w:pPr>
    </w:p>
    <w:p>
      <w:pPr>
        <w:ind w:left="808" w:hanging="367"/>
        <w:spacing w:after="0"/>
        <w:tabs>
          <w:tab w:leader="none" w:pos="808" w:val="left"/>
        </w:tabs>
        <w:numPr>
          <w:ilvl w:val="1"/>
          <w:numId w:val="112"/>
        </w:numPr>
        <w:rPr>
          <w:rFonts w:ascii="Arial" w:cs="Arial" w:eastAsia="Arial" w:hAnsi="Arial"/>
          <w:sz w:val="14"/>
          <w:szCs w:val="14"/>
          <w:color w:val="auto"/>
        </w:rPr>
      </w:pPr>
      <w:r>
        <w:rPr>
          <w:rFonts w:ascii="Arial" w:cs="Arial" w:eastAsia="Arial" w:hAnsi="Arial"/>
          <w:sz w:val="14"/>
          <w:szCs w:val="14"/>
          <w:color w:val="auto"/>
        </w:rPr>
        <w:t>the Reinsurer may challenge such calculation within thirty</w:t>
      </w:r>
    </w:p>
    <w:p>
      <w:pPr>
        <w:spacing w:after="0" w:line="15" w:lineRule="exact"/>
        <w:rPr>
          <w:rFonts w:ascii="Arial" w:cs="Arial" w:eastAsia="Arial" w:hAnsi="Arial"/>
          <w:sz w:val="14"/>
          <w:szCs w:val="14"/>
          <w:color w:val="auto"/>
        </w:rPr>
      </w:pPr>
    </w:p>
    <w:p>
      <w:pPr>
        <w:ind w:left="808" w:right="5519" w:firstLine="7"/>
        <w:spacing w:after="0" w:line="264" w:lineRule="auto"/>
        <w:tabs>
          <w:tab w:leader="none" w:pos="1104" w:val="left"/>
        </w:tabs>
        <w:numPr>
          <w:ilvl w:val="2"/>
          <w:numId w:val="112"/>
        </w:numPr>
        <w:rPr>
          <w:rFonts w:ascii="Arial" w:cs="Arial" w:eastAsia="Arial" w:hAnsi="Arial"/>
          <w:sz w:val="14"/>
          <w:szCs w:val="14"/>
          <w:color w:val="auto"/>
        </w:rPr>
      </w:pPr>
      <w:r>
        <w:rPr>
          <w:rFonts w:ascii="Arial" w:cs="Arial" w:eastAsia="Arial" w:hAnsi="Arial"/>
          <w:sz w:val="14"/>
          <w:szCs w:val="14"/>
          <w:color w:val="auto"/>
        </w:rPr>
        <w:t>calendar days of receipt of the Ceding Company’s calculation; and</w:t>
      </w:r>
    </w:p>
    <w:p>
      <w:pPr>
        <w:spacing w:after="0" w:line="117" w:lineRule="exact"/>
        <w:rPr>
          <w:rFonts w:ascii="Arial" w:cs="Arial" w:eastAsia="Arial" w:hAnsi="Arial"/>
          <w:sz w:val="14"/>
          <w:szCs w:val="14"/>
          <w:color w:val="auto"/>
        </w:rPr>
      </w:pPr>
    </w:p>
    <w:p>
      <w:pPr>
        <w:jc w:val="both"/>
        <w:ind w:left="808" w:right="5199" w:hanging="367"/>
        <w:spacing w:after="0" w:line="248" w:lineRule="auto"/>
        <w:tabs>
          <w:tab w:leader="none" w:pos="794" w:val="left"/>
        </w:tabs>
        <w:numPr>
          <w:ilvl w:val="1"/>
          <w:numId w:val="112"/>
        </w:numPr>
        <w:rPr>
          <w:rFonts w:ascii="Arial" w:cs="Arial" w:eastAsia="Arial" w:hAnsi="Arial"/>
          <w:sz w:val="14"/>
          <w:szCs w:val="14"/>
          <w:color w:val="auto"/>
        </w:rPr>
      </w:pPr>
      <w:r>
        <w:rPr>
          <w:rFonts w:ascii="Arial" w:cs="Arial" w:eastAsia="Arial" w:hAnsi="Arial"/>
          <w:sz w:val="14"/>
          <w:szCs w:val="14"/>
          <w:color w:val="auto"/>
        </w:rPr>
        <w:t>if the Reinsurer contests the Ceding Company’s calculation of the net consideration, the parties shall act in good faith to reach an agreement as to the correct amount within thirty</w:t>
      </w:r>
    </w:p>
    <w:p>
      <w:pPr>
        <w:ind w:left="808" w:right="5139" w:firstLine="7"/>
        <w:spacing w:after="0" w:line="247" w:lineRule="auto"/>
        <w:tabs>
          <w:tab w:leader="none" w:pos="1104" w:val="left"/>
        </w:tabs>
        <w:numPr>
          <w:ilvl w:val="2"/>
          <w:numId w:val="112"/>
        </w:numPr>
        <w:rPr>
          <w:rFonts w:ascii="Arial" w:cs="Arial" w:eastAsia="Arial" w:hAnsi="Arial"/>
          <w:sz w:val="14"/>
          <w:szCs w:val="14"/>
          <w:color w:val="auto"/>
        </w:rPr>
      </w:pPr>
      <w:r>
        <w:rPr>
          <w:rFonts w:ascii="Arial" w:cs="Arial" w:eastAsia="Arial" w:hAnsi="Arial"/>
          <w:sz w:val="14"/>
          <w:szCs w:val="14"/>
          <w:color w:val="auto"/>
        </w:rPr>
        <w:t>days of the date the Reinsurer submits its alternative calculation. If the Ceding Company and the Reinsurer reach an agreement on an amount of net consideration, each party shall report the agreed upon amount in their respective tax returns for the preceding taxable year.</w:t>
      </w:r>
    </w:p>
    <w:p>
      <w:pPr>
        <w:spacing w:after="0" w:line="129" w:lineRule="exact"/>
        <w:rPr>
          <w:rFonts w:ascii="Arial" w:cs="Arial" w:eastAsia="Arial" w:hAnsi="Arial"/>
          <w:sz w:val="14"/>
          <w:szCs w:val="14"/>
          <w:color w:val="auto"/>
        </w:rPr>
      </w:pPr>
    </w:p>
    <w:p>
      <w:pPr>
        <w:ind w:left="448" w:right="5179" w:hanging="448"/>
        <w:spacing w:after="0" w:line="285" w:lineRule="auto"/>
        <w:tabs>
          <w:tab w:leader="none" w:pos="432"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Parties represent and warrant that they are subject to U.S. taxation under Subchapter L of Chapter 1 of the Internal Revenue</w:t>
      </w:r>
    </w:p>
    <w:p>
      <w:pPr>
        <w:spacing w:after="0" w:line="41" w:lineRule="exact"/>
        <w:rPr>
          <w:sz w:val="20"/>
          <w:szCs w:val="20"/>
          <w:color w:val="auto"/>
        </w:rPr>
      </w:pPr>
    </w:p>
    <w:p>
      <w:pPr>
        <w:ind w:left="3228"/>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807"/>
          </w:cols>
          <w:pgMar w:left="652" w:top="220" w:right="1440"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Code or Subpart F of Part III of Subchapter N of chapter 1 of the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Internal Revenue Code.</w:t>
      </w:r>
    </w:p>
    <w:p>
      <w:pPr>
        <w:spacing w:after="0" w:line="86" w:lineRule="exact"/>
        <w:rPr>
          <w:sz w:val="20"/>
          <w:szCs w:val="20"/>
          <w:color w:val="auto"/>
        </w:rPr>
      </w:pPr>
    </w:p>
    <w:p>
      <w:pPr>
        <w:ind w:left="278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359"/>
          </w:cols>
          <w:pgMar w:left="1100" w:top="220" w:right="1440" w:bottom="1440" w:gutter="0" w:footer="0" w:header="0"/>
        </w:sectPr>
      </w:pPr>
    </w:p>
    <w:bookmarkStart w:id="137" w:name="page138"/>
    <w:bookmarkEnd w:id="137"/>
    <w:p>
      <w:pPr>
        <w:ind w:left="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VII. DURATION, RECAPTURE AND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4663440" cy="114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4" w:right="1440" w:bottom="1440" w:gutter="0" w:footer="0" w:header="0"/>
        </w:sectPr>
      </w:pPr>
    </w:p>
    <w:p>
      <w:pPr>
        <w:spacing w:after="0" w:line="245" w:lineRule="exact"/>
        <w:rPr>
          <w:sz w:val="20"/>
          <w:szCs w:val="20"/>
          <w:color w:val="auto"/>
        </w:rPr>
      </w:pPr>
    </w:p>
    <w:p>
      <w:pPr>
        <w:ind w:left="368" w:right="5679" w:hanging="368"/>
        <w:spacing w:after="0" w:line="285" w:lineRule="auto"/>
        <w:tabs>
          <w:tab w:leader="none" w:pos="361"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Duration</w:t>
      </w:r>
      <w:r>
        <w:rPr>
          <w:rFonts w:ascii="Arial" w:cs="Arial" w:eastAsia="Arial" w:hAnsi="Arial"/>
          <w:sz w:val="14"/>
          <w:szCs w:val="14"/>
          <w:color w:val="auto"/>
        </w:rPr>
        <w:t>. Except as otherwise provided herein, this Agreement is unlimited in duration.</w:t>
      </w:r>
    </w:p>
    <w:p>
      <w:pPr>
        <w:spacing w:after="0" w:line="103" w:lineRule="exact"/>
        <w:rPr>
          <w:rFonts w:ascii="Arial" w:cs="Arial" w:eastAsia="Arial" w:hAnsi="Arial"/>
          <w:sz w:val="14"/>
          <w:szCs w:val="14"/>
          <w:color w:val="auto"/>
        </w:rPr>
      </w:pPr>
    </w:p>
    <w:p>
      <w:pPr>
        <w:ind w:left="368" w:right="5099" w:hanging="368"/>
        <w:spacing w:after="0" w:line="247" w:lineRule="auto"/>
        <w:tabs>
          <w:tab w:leader="none" w:pos="361"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Automatic Acceptance of Reinsurance</w:t>
      </w:r>
      <w:r>
        <w:rPr>
          <w:rFonts w:ascii="Arial" w:cs="Arial" w:eastAsia="Arial" w:hAnsi="Arial"/>
          <w:sz w:val="14"/>
          <w:szCs w:val="14"/>
          <w:color w:val="auto"/>
        </w:rPr>
        <w:t>. The Reinsurer shall automatically reinsure hereunder every Policy described in Schedule A, including Policies issued on or after the Effective Date unless and until this Agreement is terminated for newly issued Policies. The Reinsurer can, at its sole option, discontinue reinsurance of newly issued Policies subject to ninety (90) days prior written notice to the Ceding Company. The Ceding Company can, at its sole option, discontinue reinsurance of newly issued Policies subject to thirty (30) days prior written notice to the Reinsurer.</w:t>
      </w:r>
    </w:p>
    <w:p>
      <w:pPr>
        <w:spacing w:after="0" w:line="132" w:lineRule="exact"/>
        <w:rPr>
          <w:rFonts w:ascii="Arial" w:cs="Arial" w:eastAsia="Arial" w:hAnsi="Arial"/>
          <w:sz w:val="14"/>
          <w:szCs w:val="14"/>
          <w:color w:val="auto"/>
        </w:rPr>
      </w:pPr>
    </w:p>
    <w:p>
      <w:pPr>
        <w:ind w:left="368" w:right="5119" w:hanging="368"/>
        <w:spacing w:after="0" w:line="246" w:lineRule="auto"/>
        <w:tabs>
          <w:tab w:leader="none" w:pos="361"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Reinsurer’s Liability</w:t>
      </w:r>
      <w:r>
        <w:rPr>
          <w:rFonts w:ascii="Arial" w:cs="Arial" w:eastAsia="Arial" w:hAnsi="Arial"/>
          <w:sz w:val="14"/>
          <w:szCs w:val="14"/>
          <w:color w:val="auto"/>
        </w:rPr>
        <w:t>. The liability of the Reinsurer with respect to any Policy reinsured hereunder shall begin simultaneously with that of the Ceding Company, but not earlier than the Effective Date of this Agreement. The Reinsurer’s liability with respect to any Policy reinsured hereunder shall terminate on the earliest of (i) the date such Policy is recaptured; (ii) the date the Ceding Company’s liability on such Policy is terminated; or (iii) the date this Agreement is terminated for all Policies. In no event shall this Paragraph be construed as providing a unilateral right of the Reinsurer to terminate this Agreement.</w:t>
      </w:r>
    </w:p>
    <w:p>
      <w:pPr>
        <w:spacing w:after="0" w:line="134" w:lineRule="exact"/>
        <w:rPr>
          <w:rFonts w:ascii="Arial" w:cs="Arial" w:eastAsia="Arial" w:hAnsi="Arial"/>
          <w:sz w:val="14"/>
          <w:szCs w:val="14"/>
          <w:color w:val="auto"/>
        </w:rPr>
      </w:pPr>
    </w:p>
    <w:p>
      <w:pPr>
        <w:ind w:left="368" w:right="5119" w:hanging="368"/>
        <w:spacing w:after="0" w:line="248" w:lineRule="auto"/>
        <w:tabs>
          <w:tab w:leader="none" w:pos="361"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Recapture</w:t>
      </w:r>
      <w:r>
        <w:rPr>
          <w:rFonts w:ascii="Arial" w:cs="Arial" w:eastAsia="Arial" w:hAnsi="Arial"/>
          <w:sz w:val="14"/>
          <w:szCs w:val="14"/>
          <w:color w:val="auto"/>
        </w:rPr>
        <w:t>. Reinsurance ceded to the Reinsurer hereunder may be recaptured with respect to all, a portion or a percentage of the Policies at the Ceding Company’s option at any time following the first anniversary of this Effective Date. The Ceding Company shall provide thirty (30) days advance notice prior to the effective date of recapture. Such recapture shall be subject to the payment of a Terminal Accounting and Settlement as described in Article VIII.</w:t>
      </w:r>
    </w:p>
    <w:p>
      <w:pPr>
        <w:spacing w:after="0" w:line="131" w:lineRule="exact"/>
        <w:rPr>
          <w:rFonts w:ascii="Arial" w:cs="Arial" w:eastAsia="Arial" w:hAnsi="Arial"/>
          <w:sz w:val="14"/>
          <w:szCs w:val="14"/>
          <w:color w:val="auto"/>
        </w:rPr>
      </w:pPr>
    </w:p>
    <w:p>
      <w:pPr>
        <w:ind w:left="368" w:right="5119" w:hanging="368"/>
        <w:spacing w:after="0" w:line="245" w:lineRule="auto"/>
        <w:tabs>
          <w:tab w:leader="none" w:pos="361"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Internal Replacements</w:t>
      </w:r>
      <w:r>
        <w:rPr>
          <w:rFonts w:ascii="Arial" w:cs="Arial" w:eastAsia="Arial" w:hAnsi="Arial"/>
          <w:sz w:val="14"/>
          <w:szCs w:val="14"/>
          <w:color w:val="auto"/>
        </w:rPr>
        <w:t>. Should the Ceding Company, its affiliates, successors or assigns, initiate a “Program of Internal Replacement” that includes any of the Policies reinsured hereunder, the Ceding Company shall immediately notify the Reinsurer. All Policies that were internally replaced shall be treated as recaptured rather than surrendered. Such recapture shall be subject to the payment of a Terminal Accounting and Settlement by the Ceding Company to the Reinsurer as described in Article VIII. For purposes of this Agreement, the term “Program of Internal Replacement” means any effort by the Ceding Company, its affiliates, successors or assigns generally to solicit replacements of Policies by which a Policy or any portion of the cash value of a Policy is exchanged for another policy or contract that is not reinsured under this Agreement; provided, however, that providing unsolicited replacements at the request</w:t>
      </w:r>
    </w:p>
    <w:p>
      <w:pPr>
        <w:spacing w:after="0" w:line="68"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167"/>
          </w:cols>
          <w:pgMar w:left="292" w:top="224" w:right="1440" w:bottom="1440" w:gutter="0" w:footer="0" w:header="0"/>
          <w:type w:val="continuous"/>
        </w:sectPr>
      </w:pPr>
    </w:p>
    <w:bookmarkStart w:id="138" w:name="page139"/>
    <w:bookmarkEnd w:id="138"/>
    <w:p>
      <w:pPr>
        <w:ind w:left="368"/>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of a Policy owner shall not be considered a Program of Internal</w:t>
      </w:r>
    </w:p>
    <w:p>
      <w:pPr>
        <w:spacing w:after="0" w:line="15" w:lineRule="exact"/>
        <w:rPr>
          <w:sz w:val="20"/>
          <w:szCs w:val="20"/>
          <w:color w:val="auto"/>
        </w:rPr>
      </w:pPr>
    </w:p>
    <w:p>
      <w:pPr>
        <w:ind w:left="368"/>
        <w:spacing w:after="0"/>
        <w:rPr>
          <w:sz w:val="20"/>
          <w:szCs w:val="20"/>
          <w:color w:val="auto"/>
        </w:rPr>
      </w:pPr>
      <w:r>
        <w:rPr>
          <w:rFonts w:ascii="Arial" w:cs="Arial" w:eastAsia="Arial" w:hAnsi="Arial"/>
          <w:sz w:val="14"/>
          <w:szCs w:val="14"/>
          <w:color w:val="auto"/>
        </w:rPr>
        <w:t>Replacement.</w:t>
      </w:r>
    </w:p>
    <w:p>
      <w:pPr>
        <w:spacing w:after="0" w:line="149" w:lineRule="exact"/>
        <w:rPr>
          <w:sz w:val="20"/>
          <w:szCs w:val="20"/>
          <w:color w:val="auto"/>
        </w:rPr>
      </w:pPr>
    </w:p>
    <w:p>
      <w:pPr>
        <w:ind w:left="368" w:right="5079" w:hanging="368"/>
        <w:spacing w:after="0" w:line="245" w:lineRule="auto"/>
        <w:tabs>
          <w:tab w:leader="none" w:pos="361"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Termination for Nonpayment of Amounts Due</w:t>
      </w:r>
      <w:r>
        <w:rPr>
          <w:rFonts w:ascii="Arial" w:cs="Arial" w:eastAsia="Arial" w:hAnsi="Arial"/>
          <w:sz w:val="14"/>
          <w:szCs w:val="14"/>
          <w:color w:val="auto"/>
        </w:rPr>
        <w:t>. If the Ceding Company fails to pay the Reinsurance Premiums or any other amounts due to the Reinsurer pursuant to this Agreement within ninety (90) days after the end of any Accounting Period, the Reinsurer may terminate this Agreement for all Policies, subject to thirty (30) days prior written notice to the Ceding Company. If the Reinsurer fails to pay the Net Benefit Payments or any other amounts due to the Ceding Company pursuant to this Agreement within sixty (60) days after the receipt of the Quarterly Accounting Report, the Ceding Company may terminate this Agreement for all Policies, subject to thirty (30) days prior written notice to the Reinsurer. Such termination shall be subject to the payment of a Terminal Accounting and Settlement as described in Article VIII Paragraph 3.</w:t>
      </w:r>
    </w:p>
    <w:p>
      <w:pPr>
        <w:spacing w:after="0" w:line="71"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167"/>
          </w:cols>
          <w:pgMar w:left="292" w:top="220" w:right="1440" w:bottom="1440" w:gutter="0" w:footer="0" w:header="0"/>
        </w:sectPr>
      </w:pPr>
    </w:p>
    <w:bookmarkStart w:id="139" w:name="page140"/>
    <w:bookmarkEnd w:id="139"/>
    <w:p>
      <w:pPr>
        <w:ind w:left="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VIII.     TERMINAL ACCOUNTING AND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663440" cy="11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4" w:right="1440" w:bottom="1440" w:gutter="0" w:footer="0" w:header="0"/>
        </w:sectPr>
      </w:pPr>
    </w:p>
    <w:p>
      <w:pPr>
        <w:spacing w:after="0" w:line="218" w:lineRule="exact"/>
        <w:rPr>
          <w:sz w:val="20"/>
          <w:szCs w:val="20"/>
          <w:color w:val="auto"/>
        </w:rPr>
      </w:pPr>
    </w:p>
    <w:p>
      <w:pPr>
        <w:ind w:left="368" w:right="5059" w:hanging="368"/>
        <w:spacing w:after="0" w:line="247" w:lineRule="auto"/>
        <w:tabs>
          <w:tab w:leader="none" w:pos="361"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Terminal Accounting</w:t>
      </w:r>
      <w:r>
        <w:rPr>
          <w:rFonts w:ascii="Arial" w:cs="Arial" w:eastAsia="Arial" w:hAnsi="Arial"/>
          <w:sz w:val="14"/>
          <w:szCs w:val="14"/>
          <w:color w:val="auto"/>
        </w:rPr>
        <w:t>. A Terminal Accounting and Settlement shall take place if: (1) all of the Policies are recaptured in accordance with Article XII Paragraph E (Insolvency of Reinsurer); (2) all, a portion or a percentage of the Policies are recaptured in accordance with Article VII, Paragraph 4 (Ceding Company election); (3) some of the Policies are recaptured in accordance with Article VII, Paragraph 5 (Program of Internal Replacement); or (4) this Agreement is terminated for all Policies under Article VII Paragraph 6 (Nonpayment) or upon the mutual agreement of the parties.</w:t>
      </w:r>
    </w:p>
    <w:p>
      <w:pPr>
        <w:spacing w:after="0" w:line="294" w:lineRule="exact"/>
        <w:rPr>
          <w:rFonts w:ascii="Arial" w:cs="Arial" w:eastAsia="Arial" w:hAnsi="Arial"/>
          <w:sz w:val="14"/>
          <w:szCs w:val="14"/>
          <w:color w:val="auto"/>
        </w:rPr>
      </w:pPr>
    </w:p>
    <w:p>
      <w:pPr>
        <w:ind w:left="368" w:right="5059" w:hanging="368"/>
        <w:spacing w:after="0" w:line="250" w:lineRule="auto"/>
        <w:tabs>
          <w:tab w:leader="none" w:pos="361"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Terminal Accounting Date</w:t>
      </w:r>
      <w:r>
        <w:rPr>
          <w:rFonts w:ascii="Arial" w:cs="Arial" w:eastAsia="Arial" w:hAnsi="Arial"/>
          <w:sz w:val="14"/>
          <w:szCs w:val="14"/>
          <w:color w:val="auto"/>
        </w:rPr>
        <w:t>. A “Terminal Accounting Date” shall be the earliest of: (1) the effective date of recapture pursuant to any notice of recapture given under this Agreement; (2) the effective date of termination pursuant to any notice of termination given under this Agreement; (3) the date of the Reinsurer’s insolvency (in the event of Article XII Paragraph E); or (4) such other date mutually agreed by the parties in writing.</w:t>
      </w:r>
    </w:p>
    <w:p>
      <w:pPr>
        <w:spacing w:after="0" w:line="127" w:lineRule="exact"/>
        <w:rPr>
          <w:rFonts w:ascii="Arial" w:cs="Arial" w:eastAsia="Arial" w:hAnsi="Arial"/>
          <w:sz w:val="14"/>
          <w:szCs w:val="14"/>
          <w:color w:val="auto"/>
        </w:rPr>
      </w:pPr>
    </w:p>
    <w:p>
      <w:pPr>
        <w:ind w:left="368" w:right="5319" w:hanging="368"/>
        <w:spacing w:after="0" w:line="285" w:lineRule="auto"/>
        <w:tabs>
          <w:tab w:leader="none" w:pos="361"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Settlement</w:t>
      </w:r>
      <w:r>
        <w:rPr>
          <w:rFonts w:ascii="Arial" w:cs="Arial" w:eastAsia="Arial" w:hAnsi="Arial"/>
          <w:sz w:val="14"/>
          <w:szCs w:val="14"/>
          <w:color w:val="auto"/>
        </w:rPr>
        <w:t>. The Terminal Accounting and Settlement payment shall be negotiated at time of recapture.</w:t>
      </w:r>
    </w:p>
    <w:p>
      <w:pPr>
        <w:spacing w:after="0" w:line="85" w:lineRule="exact"/>
        <w:rPr>
          <w:rFonts w:ascii="Arial" w:cs="Arial" w:eastAsia="Arial" w:hAnsi="Arial"/>
          <w:sz w:val="14"/>
          <w:szCs w:val="14"/>
          <w:color w:val="auto"/>
        </w:rPr>
      </w:pPr>
    </w:p>
    <w:p>
      <w:pPr>
        <w:ind w:left="368" w:right="5279"/>
        <w:spacing w:after="0" w:line="256" w:lineRule="auto"/>
        <w:rPr>
          <w:rFonts w:ascii="Arial" w:cs="Arial" w:eastAsia="Arial" w:hAnsi="Arial"/>
          <w:sz w:val="14"/>
          <w:szCs w:val="14"/>
          <w:color w:val="auto"/>
        </w:rPr>
      </w:pPr>
      <w:r>
        <w:rPr>
          <w:rFonts w:ascii="Arial" w:cs="Arial" w:eastAsia="Arial" w:hAnsi="Arial"/>
          <w:sz w:val="14"/>
          <w:szCs w:val="14"/>
          <w:color w:val="auto"/>
        </w:rPr>
        <w:t>If only a portion or a percentage of the Policies is recaptured, then the Terminal Accounting and Settlement payment described above shall be made only with respect to the portion or percentage of such Policies recaptured.</w:t>
      </w:r>
    </w:p>
    <w:p>
      <w:pPr>
        <w:spacing w:after="0" w:line="123" w:lineRule="exact"/>
        <w:rPr>
          <w:rFonts w:ascii="Arial" w:cs="Arial" w:eastAsia="Arial" w:hAnsi="Arial"/>
          <w:sz w:val="14"/>
          <w:szCs w:val="14"/>
          <w:color w:val="auto"/>
        </w:rPr>
      </w:pPr>
    </w:p>
    <w:p>
      <w:pPr>
        <w:ind w:left="368" w:right="5139" w:hanging="368"/>
        <w:spacing w:after="0" w:line="248" w:lineRule="auto"/>
        <w:tabs>
          <w:tab w:leader="none" w:pos="361"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Supplementary Accounting and Settlement</w:t>
      </w:r>
      <w:r>
        <w:rPr>
          <w:rFonts w:ascii="Arial" w:cs="Arial" w:eastAsia="Arial" w:hAnsi="Arial"/>
          <w:sz w:val="14"/>
          <w:szCs w:val="14"/>
          <w:color w:val="auto"/>
        </w:rPr>
        <w:t>. In the event that, subsequent to the Terminal Accounting and Settlement as provided above, an inadvertent error or omission is discovered with respect to the amounts paid hereunder, a supplementary accounting shall take place pursuant to Paragraph 3 above. Any amount owed to the Ceding Company or to the Reinsurer by reason of such supplementary accounting shall be paid within fifteen (15) days following the completion thereof.</w:t>
      </w:r>
    </w:p>
    <w:p>
      <w:pPr>
        <w:spacing w:after="0" w:line="68"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167"/>
          </w:cols>
          <w:pgMar w:left="292" w:top="224" w:right="1440" w:bottom="1440" w:gutter="0" w:footer="0" w:header="0"/>
          <w:type w:val="continuous"/>
        </w:sectPr>
      </w:pPr>
    </w:p>
    <w:bookmarkStart w:id="140" w:name="page141"/>
    <w:bookmarkEnd w:id="140"/>
    <w:p>
      <w:pPr>
        <w:ind w:left="8"/>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IX. THE CEDING COMPANY REPRESENTATIONS AND</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4663440" cy="114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pacing w:after="0" w:line="138" w:lineRule="exact"/>
        <w:rPr>
          <w:sz w:val="20"/>
          <w:szCs w:val="20"/>
          <w:color w:val="auto"/>
        </w:rPr>
      </w:pPr>
    </w:p>
    <w:p>
      <w:pPr>
        <w:ind w:left="8" w:right="5059"/>
        <w:spacing w:after="0" w:line="285" w:lineRule="auto"/>
        <w:rPr>
          <w:sz w:val="20"/>
          <w:szCs w:val="20"/>
          <w:color w:val="auto"/>
        </w:rPr>
      </w:pPr>
      <w:r>
        <w:rPr>
          <w:rFonts w:ascii="Arial" w:cs="Arial" w:eastAsia="Arial" w:hAnsi="Arial"/>
          <w:sz w:val="14"/>
          <w:szCs w:val="14"/>
          <w:color w:val="auto"/>
        </w:rPr>
        <w:t>The Ceding Company represents and warrants, to the best of its knowledge, the following:</w:t>
      </w:r>
    </w:p>
    <w:p>
      <w:pPr>
        <w:spacing w:after="0" w:line="104" w:lineRule="exact"/>
        <w:rPr>
          <w:sz w:val="20"/>
          <w:szCs w:val="20"/>
          <w:color w:val="auto"/>
        </w:rPr>
      </w:pPr>
    </w:p>
    <w:p>
      <w:pPr>
        <w:ind w:left="368" w:right="5079" w:hanging="368"/>
        <w:spacing w:after="0" w:line="256" w:lineRule="auto"/>
        <w:tabs>
          <w:tab w:leader="none" w:pos="361" w:val="left"/>
        </w:tabs>
        <w:numPr>
          <w:ilvl w:val="0"/>
          <w:numId w:val="116"/>
        </w:numPr>
        <w:rPr>
          <w:rFonts w:ascii="Arial" w:cs="Arial" w:eastAsia="Arial" w:hAnsi="Arial"/>
          <w:sz w:val="14"/>
          <w:szCs w:val="14"/>
          <w:color w:val="auto"/>
        </w:rPr>
      </w:pPr>
      <w:r>
        <w:rPr>
          <w:rFonts w:ascii="Arial" w:cs="Arial" w:eastAsia="Arial" w:hAnsi="Arial"/>
          <w:sz w:val="14"/>
          <w:szCs w:val="14"/>
          <w:u w:val="single" w:color="auto"/>
          <w:color w:val="auto"/>
        </w:rPr>
        <w:t>Corporate Status</w:t>
      </w:r>
      <w:r>
        <w:rPr>
          <w:rFonts w:ascii="Arial" w:cs="Arial" w:eastAsia="Arial" w:hAnsi="Arial"/>
          <w:sz w:val="14"/>
          <w:szCs w:val="14"/>
          <w:color w:val="auto"/>
        </w:rPr>
        <w:t>. The Ceding Company is duly licensed, qualified or admitted to do business and is in good standing in all jurisdictions in which it is required to be so qualified, licensed or admitted to do business by the laws thereof.</w:t>
      </w:r>
    </w:p>
    <w:p>
      <w:pPr>
        <w:spacing w:after="0" w:line="123" w:lineRule="exact"/>
        <w:rPr>
          <w:rFonts w:ascii="Arial" w:cs="Arial" w:eastAsia="Arial" w:hAnsi="Arial"/>
          <w:sz w:val="14"/>
          <w:szCs w:val="14"/>
          <w:color w:val="auto"/>
        </w:rPr>
      </w:pPr>
    </w:p>
    <w:p>
      <w:pPr>
        <w:ind w:left="368" w:right="5059" w:hanging="368"/>
        <w:spacing w:after="0" w:line="248" w:lineRule="auto"/>
        <w:tabs>
          <w:tab w:leader="none" w:pos="361" w:val="left"/>
        </w:tabs>
        <w:numPr>
          <w:ilvl w:val="0"/>
          <w:numId w:val="116"/>
        </w:numPr>
        <w:rPr>
          <w:rFonts w:ascii="Arial" w:cs="Arial" w:eastAsia="Arial" w:hAnsi="Arial"/>
          <w:sz w:val="14"/>
          <w:szCs w:val="14"/>
          <w:color w:val="auto"/>
        </w:rPr>
      </w:pPr>
      <w:r>
        <w:rPr>
          <w:rFonts w:ascii="Arial" w:cs="Arial" w:eastAsia="Arial" w:hAnsi="Arial"/>
          <w:sz w:val="14"/>
          <w:szCs w:val="14"/>
          <w:u w:val="single" w:color="auto"/>
          <w:color w:val="auto"/>
        </w:rPr>
        <w:t>Authority</w:t>
      </w:r>
      <w:r>
        <w:rPr>
          <w:rFonts w:ascii="Arial" w:cs="Arial" w:eastAsia="Arial" w:hAnsi="Arial"/>
          <w:sz w:val="14"/>
          <w:szCs w:val="14"/>
          <w:color w:val="auto"/>
        </w:rPr>
        <w:t>. The Ceding Company has the full corporate power and authority to carry out and perform its undertakings and obligations under this Agreement. This Agreement has been duly and validly signed and delivered by the Ceding Company. The Ceding Company shall at all times maintain in force all such legal and regulatory authorizations as may be reasonably necessary or appropriate for the performance of its obligations under this Agreement.</w:t>
      </w:r>
    </w:p>
    <w:p>
      <w:pPr>
        <w:spacing w:after="0" w:line="68"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167"/>
          </w:cols>
          <w:pgMar w:left="292" w:top="224" w:right="1440" w:bottom="1440" w:gutter="0" w:footer="0" w:header="0"/>
        </w:sectPr>
      </w:pPr>
    </w:p>
    <w:bookmarkStart w:id="141" w:name="page142"/>
    <w:bookmarkEnd w:id="141"/>
    <w:p>
      <w:pPr>
        <w:ind w:left="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X.  REINSURER 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663440" cy="114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pacing w:after="0" w:line="162"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Reinsurer represents and warrants, to the best of its knowledge, the</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4"/>
          <w:szCs w:val="14"/>
          <w:color w:val="auto"/>
        </w:rPr>
        <w:t>following:</w:t>
      </w:r>
    </w:p>
    <w:p>
      <w:pPr>
        <w:spacing w:after="0" w:line="149" w:lineRule="exact"/>
        <w:rPr>
          <w:sz w:val="20"/>
          <w:szCs w:val="20"/>
          <w:color w:val="auto"/>
        </w:rPr>
      </w:pPr>
    </w:p>
    <w:p>
      <w:pPr>
        <w:ind w:left="368" w:right="5179" w:hanging="368"/>
        <w:spacing w:after="0" w:line="256" w:lineRule="auto"/>
        <w:tabs>
          <w:tab w:leader="none" w:pos="361" w:val="left"/>
        </w:tabs>
        <w:numPr>
          <w:ilvl w:val="0"/>
          <w:numId w:val="117"/>
        </w:numPr>
        <w:rPr>
          <w:rFonts w:ascii="Arial" w:cs="Arial" w:eastAsia="Arial" w:hAnsi="Arial"/>
          <w:sz w:val="14"/>
          <w:szCs w:val="14"/>
          <w:color w:val="auto"/>
        </w:rPr>
      </w:pPr>
      <w:r>
        <w:rPr>
          <w:rFonts w:ascii="Arial" w:cs="Arial" w:eastAsia="Arial" w:hAnsi="Arial"/>
          <w:sz w:val="14"/>
          <w:szCs w:val="14"/>
          <w:u w:val="single" w:color="auto"/>
          <w:color w:val="auto"/>
        </w:rPr>
        <w:t>Corporate Status</w:t>
      </w:r>
      <w:r>
        <w:rPr>
          <w:rFonts w:ascii="Arial" w:cs="Arial" w:eastAsia="Arial" w:hAnsi="Arial"/>
          <w:sz w:val="14"/>
          <w:szCs w:val="14"/>
          <w:color w:val="auto"/>
        </w:rPr>
        <w:t>. The Reinsurer is duly licensed, qualified or admitted to do business and is in good standing in all jurisdictions in which it is required to be so qualified, licensed or admitted to do business by the laws thereof.</w:t>
      </w:r>
    </w:p>
    <w:p>
      <w:pPr>
        <w:spacing w:after="0" w:line="123" w:lineRule="exact"/>
        <w:rPr>
          <w:rFonts w:ascii="Arial" w:cs="Arial" w:eastAsia="Arial" w:hAnsi="Arial"/>
          <w:sz w:val="14"/>
          <w:szCs w:val="14"/>
          <w:color w:val="auto"/>
        </w:rPr>
      </w:pPr>
    </w:p>
    <w:p>
      <w:pPr>
        <w:ind w:left="368" w:right="5159" w:hanging="368"/>
        <w:spacing w:after="0" w:line="249" w:lineRule="auto"/>
        <w:tabs>
          <w:tab w:leader="none" w:pos="361" w:val="left"/>
        </w:tabs>
        <w:numPr>
          <w:ilvl w:val="0"/>
          <w:numId w:val="117"/>
        </w:numPr>
        <w:rPr>
          <w:rFonts w:ascii="Arial" w:cs="Arial" w:eastAsia="Arial" w:hAnsi="Arial"/>
          <w:sz w:val="14"/>
          <w:szCs w:val="14"/>
          <w:color w:val="auto"/>
        </w:rPr>
      </w:pPr>
      <w:r>
        <w:rPr>
          <w:rFonts w:ascii="Arial" w:cs="Arial" w:eastAsia="Arial" w:hAnsi="Arial"/>
          <w:sz w:val="14"/>
          <w:szCs w:val="14"/>
          <w:u w:val="single" w:color="auto"/>
          <w:color w:val="auto"/>
        </w:rPr>
        <w:t>Authority</w:t>
      </w:r>
      <w:r>
        <w:rPr>
          <w:rFonts w:ascii="Arial" w:cs="Arial" w:eastAsia="Arial" w:hAnsi="Arial"/>
          <w:sz w:val="14"/>
          <w:szCs w:val="14"/>
          <w:color w:val="auto"/>
        </w:rPr>
        <w:t>. The Reinsurer has the full corporate power and authority to carry out and perform its undertakings and obligations under this Agreement. This Agreement has been duly and validly signed and delivered by the Reinsurer. The Reinsurer shall at all times maintain in force all such legal and regulatory authorizations as may be reasonably necessary or appropriate for the performance of its obligations under this Agreement.</w:t>
      </w:r>
    </w:p>
    <w:p>
      <w:pPr>
        <w:spacing w:after="0" w:line="231"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167"/>
          </w:cols>
          <w:pgMar w:left="292" w:top="224" w:right="1440" w:bottom="1440" w:gutter="0" w:footer="0" w:header="0"/>
        </w:sectPr>
      </w:pPr>
    </w:p>
    <w:bookmarkStart w:id="142" w:name="page143"/>
    <w:bookmarkEnd w:id="142"/>
    <w:p>
      <w:pPr>
        <w:ind w:left="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XI. ARBITRATION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663440" cy="114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4" w:right="1440" w:bottom="1440" w:gutter="0" w:footer="0" w:header="0"/>
        </w:sectPr>
      </w:pPr>
    </w:p>
    <w:p>
      <w:pPr>
        <w:spacing w:after="0" w:line="218" w:lineRule="exact"/>
        <w:rPr>
          <w:sz w:val="20"/>
          <w:szCs w:val="20"/>
          <w:color w:val="auto"/>
        </w:rPr>
      </w:pPr>
    </w:p>
    <w:p>
      <w:pPr>
        <w:ind w:left="368" w:right="5099" w:hanging="368"/>
        <w:spacing w:after="0" w:line="252" w:lineRule="auto"/>
        <w:tabs>
          <w:tab w:leader="none" w:pos="361"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All disputes and differences arising from or related to this Agreement between the Ceding Company and the Reinsurer shall be decided by arbitration, regardless of the insolvency of either party, unless the liquidator, receiver or statutory successor is specifically exempted from an arbitration proceeding by applicable law.</w:t>
      </w:r>
    </w:p>
    <w:p>
      <w:pPr>
        <w:spacing w:after="0" w:line="126" w:lineRule="exact"/>
        <w:rPr>
          <w:rFonts w:ascii="Arial" w:cs="Arial" w:eastAsia="Arial" w:hAnsi="Arial"/>
          <w:sz w:val="14"/>
          <w:szCs w:val="14"/>
          <w:color w:val="auto"/>
        </w:rPr>
      </w:pPr>
    </w:p>
    <w:p>
      <w:pPr>
        <w:ind w:left="368" w:right="5059" w:hanging="368"/>
        <w:spacing w:after="0" w:line="250" w:lineRule="auto"/>
        <w:tabs>
          <w:tab w:leader="none" w:pos="361"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 party may only initiate an arbitration by providing written notification to the other party that shall expressly set forth (a) a brief statement of the issue(s) in dispute; (b) the failure of the parties to reach agreement; (c) the date of the demand for arbitration and (d) the specific dollar value of the claim asserted, exclusive of (i) interest, (ii) consequential, special or punitive damages, and (iii) attorney’s fees.</w:t>
      </w:r>
    </w:p>
    <w:p>
      <w:pPr>
        <w:spacing w:after="0" w:line="127" w:lineRule="exact"/>
        <w:rPr>
          <w:rFonts w:ascii="Arial" w:cs="Arial" w:eastAsia="Arial" w:hAnsi="Arial"/>
          <w:sz w:val="14"/>
          <w:szCs w:val="14"/>
          <w:color w:val="auto"/>
        </w:rPr>
      </w:pPr>
    </w:p>
    <w:p>
      <w:pPr>
        <w:ind w:left="368" w:right="5099" w:hanging="368"/>
        <w:spacing w:after="0" w:line="245" w:lineRule="auto"/>
        <w:tabs>
          <w:tab w:leader="none" w:pos="361" w:val="left"/>
        </w:tabs>
        <w:numPr>
          <w:ilvl w:val="0"/>
          <w:numId w:val="118"/>
        </w:numPr>
        <w:rPr>
          <w:rFonts w:ascii="Arial" w:cs="Arial" w:eastAsia="Arial" w:hAnsi="Arial"/>
          <w:sz w:val="14"/>
          <w:szCs w:val="14"/>
          <w:color w:val="auto"/>
        </w:rPr>
      </w:pPr>
      <w:r>
        <w:rPr>
          <w:rFonts w:ascii="Arial" w:cs="Arial" w:eastAsia="Arial" w:hAnsi="Arial"/>
          <w:sz w:val="14"/>
          <w:szCs w:val="14"/>
          <w:color w:val="auto"/>
        </w:rPr>
        <w:t>Where the dollar amount claimed in the notice of arbitration is equal to or less than $500,000, the arbitration panel shall consist of a single disinterested arbitrator who must, at that time, be accredited as an umpire by ARIAS-US. The Umpire Selection Procedures of ARIAS-US, as in force at that time, shall be used to select the arbitrator. The arbitration shall be conducted in accordance with this Article subject to the following exceptions: (i) There shall be no discovery permitted in cases heard by a single arbitrator, unless by mutual agreement of the parties; (ii) the arbitrator’s decision shall be based on the submission of briefs, affidavits and documents, and there shall be no hearing permitted unless requested by all parties; and (iii) there shall be no ex parte communication with the arbitrator. In an arbitration presented to a single arbitrator, the arbitrator shall render his decision within 120 days of his or her appointment.</w:t>
      </w:r>
    </w:p>
    <w:p>
      <w:pPr>
        <w:spacing w:after="0" w:line="113" w:lineRule="exact"/>
        <w:rPr>
          <w:rFonts w:ascii="Arial" w:cs="Arial" w:eastAsia="Arial" w:hAnsi="Arial"/>
          <w:sz w:val="14"/>
          <w:szCs w:val="14"/>
          <w:color w:val="auto"/>
        </w:rPr>
      </w:pPr>
    </w:p>
    <w:p>
      <w:pPr>
        <w:ind w:left="368" w:right="5079"/>
        <w:spacing w:after="0" w:line="247" w:lineRule="auto"/>
        <w:rPr>
          <w:rFonts w:ascii="Arial" w:cs="Arial" w:eastAsia="Arial" w:hAnsi="Arial"/>
          <w:sz w:val="14"/>
          <w:szCs w:val="14"/>
          <w:color w:val="auto"/>
        </w:rPr>
      </w:pPr>
      <w:r>
        <w:rPr>
          <w:rFonts w:ascii="Arial" w:cs="Arial" w:eastAsia="Arial" w:hAnsi="Arial"/>
          <w:sz w:val="14"/>
          <w:szCs w:val="14"/>
          <w:color w:val="auto"/>
        </w:rPr>
        <w:t>Where the dollar amount claimed in the notice of arbitration is in excess of $500,000, the arbitration panel shall consist of three arbitrators who must be disinterested and each of whom must, at that time, either be accredited as an arbitrator by ARIAS-US, attorneys who are neither current nor former employees of either party to this Agreement or any entity affiliated with either party to this Agreement, or be an active or former officer of a life insurance or life reinsurance company other than the parties or their affiliates.</w:t>
      </w:r>
    </w:p>
    <w:p>
      <w:pPr>
        <w:spacing w:after="0" w:line="132" w:lineRule="exact"/>
        <w:rPr>
          <w:rFonts w:ascii="Arial" w:cs="Arial" w:eastAsia="Arial" w:hAnsi="Arial"/>
          <w:sz w:val="14"/>
          <w:szCs w:val="14"/>
          <w:color w:val="auto"/>
        </w:rPr>
      </w:pPr>
    </w:p>
    <w:p>
      <w:pPr>
        <w:ind w:left="368" w:right="5079" w:hanging="368"/>
        <w:spacing w:after="0" w:line="247" w:lineRule="auto"/>
        <w:tabs>
          <w:tab w:leader="none" w:pos="361"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 arbitrations requiring three arbitrators, each party shall select an arbitrator within thirty (30) days from the date of the demand. If either party refuses or fails to appoint an arbitrator within the time allowed, the party that has appointed an arbitrator may notify the other party that, if it has not appointed its arbitrator within the following ten (10) days, the arbitrator shall appoint an arbitrator on its behalf. Within thirty (30) days of the appointment of the second arbitrator the two (2) arbitrators shall select the third arbitrator, who must be, at that time, accredited by ARIAS-US as</w:t>
      </w:r>
    </w:p>
    <w:p>
      <w:pPr>
        <w:spacing w:after="0" w:line="69"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167"/>
          </w:cols>
          <w:pgMar w:left="292" w:top="224" w:right="1440" w:bottom="1440" w:gutter="0" w:footer="0" w:header="0"/>
          <w:type w:val="continuous"/>
        </w:sectPr>
      </w:pPr>
    </w:p>
    <w:bookmarkStart w:id="143" w:name="page144"/>
    <w:bookmarkEnd w:id="143"/>
    <w:p>
      <w:pPr>
        <w:ind w:left="368"/>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 umpire. If the two arbitrators fail to agree on the selection of the third</w:t>
      </w:r>
    </w:p>
    <w:p>
      <w:pPr>
        <w:spacing w:after="0" w:line="15" w:lineRule="exact"/>
        <w:rPr>
          <w:sz w:val="20"/>
          <w:szCs w:val="20"/>
          <w:color w:val="auto"/>
        </w:rPr>
      </w:pPr>
    </w:p>
    <w:p>
      <w:pPr>
        <w:ind w:left="368"/>
        <w:spacing w:after="0"/>
        <w:rPr>
          <w:sz w:val="20"/>
          <w:szCs w:val="20"/>
          <w:color w:val="auto"/>
        </w:rPr>
      </w:pPr>
      <w:r>
        <w:rPr>
          <w:rFonts w:ascii="Arial" w:cs="Arial" w:eastAsia="Arial" w:hAnsi="Arial"/>
          <w:sz w:val="14"/>
          <w:szCs w:val="14"/>
          <w:color w:val="auto"/>
        </w:rPr>
        <w:t>arbitrator within the time allowed, the Umpire Selection Procedures of</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ARIAS-US, as in force at that time, shall be used to select the third</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arbitrator. The arbitration panel shall hold an organizational meeting</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within thirty (30) days of the selection of the last member of the panel. At</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the panel’s sole discretion, all meetings and hearings before the</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arbitrators may be conducted telephonically. There shall be no ex parte</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communication with the third arbitrator.</w:t>
      </w:r>
    </w:p>
    <w:p>
      <w:pPr>
        <w:spacing w:after="0" w:line="149" w:lineRule="exact"/>
        <w:rPr>
          <w:sz w:val="20"/>
          <w:szCs w:val="20"/>
          <w:color w:val="auto"/>
        </w:rPr>
      </w:pPr>
    </w:p>
    <w:p>
      <w:pPr>
        <w:ind w:left="368" w:right="5119" w:hanging="368"/>
        <w:spacing w:after="0" w:line="246" w:lineRule="auto"/>
        <w:tabs>
          <w:tab w:leader="none" w:pos="361"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arbitrator(s) shall interpret this Agreement as both an honorable engagement and a legal obligation and, in the absence of controlling language in this Agreement, shall consider equitable principles as well as industry custom and practice regarding the applicable insurance and reinsurance business. The arbitrator(s) are released from judicial formalities and shall not be bound by strict rules of procedure and evidence, provided, however, that the arbitrator(s) will abide by applicable laws and precedents concerning evidentiary privileges or doctrines that restrict a party’s obligation to produce evidence, including, but not limited to, the attorney-client privilege and attorney work product doctrine.</w:t>
      </w:r>
    </w:p>
    <w:p>
      <w:pPr>
        <w:spacing w:after="0" w:line="131" w:lineRule="exact"/>
        <w:rPr>
          <w:rFonts w:ascii="Arial" w:cs="Arial" w:eastAsia="Arial" w:hAnsi="Arial"/>
          <w:sz w:val="14"/>
          <w:szCs w:val="14"/>
          <w:color w:val="auto"/>
        </w:rPr>
      </w:pPr>
    </w:p>
    <w:p>
      <w:pPr>
        <w:ind w:left="368" w:right="5099" w:hanging="368"/>
        <w:spacing w:after="0" w:line="246" w:lineRule="auto"/>
        <w:tabs>
          <w:tab w:leader="none" w:pos="361"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After a notice demanding arbitration is received and the arbitrators appointed, each party to the arbitration shall be required to disclose within thirty days to the other party all documents in its control and not protected by the attorney client privilege or otherwise protected from disclosure by applicable law pertaining to any of the disputes, controversies or claims contained in the notice demanding arbitration or as directed by any two of the arbitrators, provided, however, that nothing herein shall prohibit any party from seeking relief from the arbitrators with respect to any discovery obligation or request that imposes an undue burden on a party</w:t>
      </w:r>
    </w:p>
    <w:p>
      <w:pPr>
        <w:spacing w:after="0" w:line="116" w:lineRule="exact"/>
        <w:rPr>
          <w:rFonts w:ascii="Arial" w:cs="Arial" w:eastAsia="Arial" w:hAnsi="Arial"/>
          <w:sz w:val="14"/>
          <w:szCs w:val="14"/>
          <w:color w:val="auto"/>
        </w:rPr>
      </w:pPr>
    </w:p>
    <w:p>
      <w:pPr>
        <w:ind w:left="368" w:right="5119"/>
        <w:spacing w:after="0" w:line="246" w:lineRule="auto"/>
        <w:rPr>
          <w:rFonts w:ascii="Arial" w:cs="Arial" w:eastAsia="Arial" w:hAnsi="Arial"/>
          <w:sz w:val="14"/>
          <w:szCs w:val="14"/>
          <w:color w:val="auto"/>
        </w:rPr>
      </w:pPr>
      <w:r>
        <w:rPr>
          <w:rFonts w:ascii="Arial" w:cs="Arial" w:eastAsia="Arial" w:hAnsi="Arial"/>
          <w:sz w:val="14"/>
          <w:szCs w:val="14"/>
          <w:color w:val="auto"/>
        </w:rPr>
        <w:t>Any two of the arbitrators shall be empowered at any time to: (i) compel disclosure of documents or submissions of interrogatories or depositions and (ii) determine the relevance or pertinence of any document or person to the dispute, controversy, or claim submitted for arbitration. The arbitrators shall have the discretion to decide all disputed issues following the submissions of briefs and/or affidavits without a formal hearing. If the arbitrators deem it an appropriate case, the arbitrators shall have the authority to decide all or any of the issues in dispute on a motion for summary judgment without need for a formal hearing.</w:t>
      </w:r>
    </w:p>
    <w:p>
      <w:pPr>
        <w:spacing w:after="0" w:line="116" w:lineRule="exact"/>
        <w:rPr>
          <w:rFonts w:ascii="Arial" w:cs="Arial" w:eastAsia="Arial" w:hAnsi="Arial"/>
          <w:sz w:val="14"/>
          <w:szCs w:val="14"/>
          <w:color w:val="auto"/>
        </w:rPr>
      </w:pPr>
    </w:p>
    <w:p>
      <w:pPr>
        <w:ind w:left="368" w:right="5059"/>
        <w:spacing w:after="0" w:line="248" w:lineRule="auto"/>
        <w:rPr>
          <w:rFonts w:ascii="Arial" w:cs="Arial" w:eastAsia="Arial" w:hAnsi="Arial"/>
          <w:sz w:val="14"/>
          <w:szCs w:val="14"/>
          <w:color w:val="auto"/>
        </w:rPr>
      </w:pPr>
      <w:r>
        <w:rPr>
          <w:rFonts w:ascii="Arial" w:cs="Arial" w:eastAsia="Arial" w:hAnsi="Arial"/>
          <w:sz w:val="14"/>
          <w:szCs w:val="14"/>
          <w:color w:val="auto"/>
        </w:rPr>
        <w:t>The arbitrators shall adhere to, and require compliance, with the following timetable: (i) the length of time from the formation of the panel to the final award rendered by the arbitrators shall be no longer than eight months; (ii) no longer than ninety days shall transpire for purposes of document disclosure and, if permitted by the arbitrators, production of witness interrogatories and depositions; and, if a hearing is required, (iii) no longer than five days shall transpire for presentation of the case to the arbitrators,</w:t>
      </w:r>
    </w:p>
    <w:p>
      <w:pPr>
        <w:spacing w:after="0" w:line="68"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167"/>
          </w:cols>
          <w:pgMar w:left="292" w:top="220" w:right="1440" w:bottom="1440" w:gutter="0" w:footer="0" w:header="0"/>
        </w:sectPr>
      </w:pPr>
    </w:p>
    <w:bookmarkStart w:id="144" w:name="page145"/>
    <w:bookmarkEnd w:id="144"/>
    <w:p>
      <w:pPr>
        <w:ind w:left="368"/>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and the arbitrators shall be directed to use their best efforts to reach their</w:t>
      </w:r>
    </w:p>
    <w:p>
      <w:pPr>
        <w:spacing w:after="0" w:line="15" w:lineRule="exact"/>
        <w:rPr>
          <w:sz w:val="20"/>
          <w:szCs w:val="20"/>
          <w:color w:val="auto"/>
        </w:rPr>
      </w:pPr>
    </w:p>
    <w:p>
      <w:pPr>
        <w:ind w:left="368"/>
        <w:spacing w:after="0"/>
        <w:rPr>
          <w:sz w:val="20"/>
          <w:szCs w:val="20"/>
          <w:color w:val="auto"/>
        </w:rPr>
      </w:pPr>
      <w:r>
        <w:rPr>
          <w:rFonts w:ascii="Arial" w:cs="Arial" w:eastAsia="Arial" w:hAnsi="Arial"/>
          <w:sz w:val="14"/>
          <w:szCs w:val="14"/>
          <w:color w:val="auto"/>
        </w:rPr>
        <w:t>decision and render an award no longer than thirty days thereafter.</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Notwithstanding anything to the contrary set forth above, any award</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rendered shall not be invalidated or otherwise rendered ineffective solely</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as a result of any failure to comply with any component of the above</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timetable.</w:t>
      </w:r>
    </w:p>
    <w:p>
      <w:pPr>
        <w:spacing w:after="0" w:line="13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Organizational and other meetings shall be conducted in English and,</w:t>
      </w:r>
    </w:p>
    <w:p>
      <w:pPr>
        <w:spacing w:after="0" w:line="15" w:lineRule="exact"/>
        <w:rPr>
          <w:sz w:val="20"/>
          <w:szCs w:val="20"/>
          <w:color w:val="auto"/>
        </w:rPr>
      </w:pPr>
    </w:p>
    <w:p>
      <w:pPr>
        <w:ind w:left="368"/>
        <w:spacing w:after="0"/>
        <w:rPr>
          <w:sz w:val="20"/>
          <w:szCs w:val="20"/>
          <w:color w:val="auto"/>
        </w:rPr>
      </w:pPr>
      <w:r>
        <w:rPr>
          <w:rFonts w:ascii="Arial" w:cs="Arial" w:eastAsia="Arial" w:hAnsi="Arial"/>
          <w:sz w:val="14"/>
          <w:szCs w:val="14"/>
          <w:color w:val="auto"/>
        </w:rPr>
        <w:t>unless conducted telephonically, be held in New York, New York.</w:t>
      </w:r>
    </w:p>
    <w:p>
      <w:pPr>
        <w:spacing w:after="0" w:line="149" w:lineRule="exact"/>
        <w:rPr>
          <w:sz w:val="20"/>
          <w:szCs w:val="20"/>
          <w:color w:val="auto"/>
        </w:rPr>
      </w:pPr>
    </w:p>
    <w:p>
      <w:pPr>
        <w:ind w:left="368" w:right="5079" w:hanging="368"/>
        <w:spacing w:after="0" w:line="246" w:lineRule="auto"/>
        <w:tabs>
          <w:tab w:leader="none" w:pos="361"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arbitrators shall decide all matters by majority vote. The decisions of the arbitrator(s) shall be issued in the form of written reasoned opinion expressly stating the panel’s (or the arbitrator’s, as the case may be) specific findings of fact and conclusions of law, and shall be final and binding on both parties. The arbitrators may, in their discretion, award costs and expenses, as they deem appropriate, including but not limited to legal fees and interest. Judgment may be entered upon the final decisions of the arbitrator(s) in any court of competent jurisdiction. The arbitrator(s) may not award any exemplary, punitive damages, indirect or consequential damages.</w:t>
      </w:r>
    </w:p>
    <w:p>
      <w:pPr>
        <w:spacing w:after="0" w:line="131" w:lineRule="exact"/>
        <w:rPr>
          <w:rFonts w:ascii="Arial" w:cs="Arial" w:eastAsia="Arial" w:hAnsi="Arial"/>
          <w:sz w:val="14"/>
          <w:szCs w:val="14"/>
          <w:color w:val="auto"/>
        </w:rPr>
      </w:pPr>
    </w:p>
    <w:p>
      <w:pPr>
        <w:ind w:left="368" w:right="5079" w:hanging="368"/>
        <w:spacing w:after="0" w:line="252" w:lineRule="auto"/>
        <w:tabs>
          <w:tab w:leader="none" w:pos="361" w:val="left"/>
        </w:tabs>
        <w:numPr>
          <w:ilvl w:val="0"/>
          <w:numId w:val="120"/>
        </w:numPr>
        <w:rPr>
          <w:rFonts w:ascii="Arial" w:cs="Arial" w:eastAsia="Arial" w:hAnsi="Arial"/>
          <w:sz w:val="14"/>
          <w:szCs w:val="14"/>
          <w:color w:val="auto"/>
        </w:rPr>
      </w:pPr>
      <w:r>
        <w:rPr>
          <w:rFonts w:ascii="Arial" w:cs="Arial" w:eastAsia="Arial" w:hAnsi="Arial"/>
          <w:sz w:val="14"/>
          <w:szCs w:val="14"/>
          <w:color w:val="auto"/>
        </w:rPr>
        <w:t>Unless the arbitrators provide otherwise, each party shall be responsible for (a) all fees and expenses charged by its respective counsel, accountants, actuaries and other representatives in connection with the arbitration and (b) one-half of the expenses of the arbitration, including the fees of the arbitrators.</w:t>
      </w:r>
    </w:p>
    <w:p>
      <w:pPr>
        <w:spacing w:after="0" w:line="64"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167"/>
          </w:cols>
          <w:pgMar w:left="292" w:top="220" w:right="1440" w:bottom="1440" w:gutter="0" w:footer="0" w:header="0"/>
        </w:sectPr>
      </w:pPr>
    </w:p>
    <w:bookmarkStart w:id="145" w:name="page146"/>
    <w:bookmarkEnd w:id="145"/>
    <w:p>
      <w:pPr>
        <w:ind w:left="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XII. INSOLVENCY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663440" cy="11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3" w:right="1440" w:bottom="1440" w:gutter="0" w:footer="0" w:header="0"/>
        </w:sectPr>
      </w:pPr>
    </w:p>
    <w:p>
      <w:pPr>
        <w:spacing w:after="0" w:line="218" w:lineRule="exact"/>
        <w:rPr>
          <w:sz w:val="20"/>
          <w:szCs w:val="20"/>
          <w:color w:val="auto"/>
        </w:rPr>
      </w:pPr>
    </w:p>
    <w:p>
      <w:pPr>
        <w:ind w:left="368" w:hanging="368"/>
        <w:spacing w:after="0"/>
        <w:tabs>
          <w:tab w:leader="none" w:pos="368"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 party to this Agreement will be deemed insolvent when it:</w:t>
      </w:r>
    </w:p>
    <w:p>
      <w:pPr>
        <w:spacing w:after="0" w:line="163" w:lineRule="exact"/>
        <w:rPr>
          <w:rFonts w:ascii="Arial" w:cs="Arial" w:eastAsia="Arial" w:hAnsi="Arial"/>
          <w:sz w:val="14"/>
          <w:szCs w:val="14"/>
          <w:color w:val="auto"/>
        </w:rPr>
      </w:pPr>
    </w:p>
    <w:p>
      <w:pPr>
        <w:ind w:left="808" w:right="4999" w:hanging="448"/>
        <w:spacing w:after="0" w:line="263" w:lineRule="auto"/>
        <w:tabs>
          <w:tab w:leader="none" w:pos="792" w:val="left"/>
        </w:tabs>
        <w:numPr>
          <w:ilvl w:val="1"/>
          <w:numId w:val="121"/>
        </w:numPr>
        <w:rPr>
          <w:rFonts w:ascii="Arial" w:cs="Arial" w:eastAsia="Arial" w:hAnsi="Arial"/>
          <w:sz w:val="14"/>
          <w:szCs w:val="14"/>
          <w:color w:val="auto"/>
        </w:rPr>
      </w:pPr>
      <w:r>
        <w:rPr>
          <w:rFonts w:ascii="Arial" w:cs="Arial" w:eastAsia="Arial" w:hAnsi="Arial"/>
          <w:sz w:val="14"/>
          <w:szCs w:val="14"/>
          <w:color w:val="auto"/>
        </w:rPr>
        <w:t>applies for or consents to the appointment of a receiver, rehabilitator, conservator, liquidator or statutory successor of its properties or assets;</w:t>
      </w:r>
    </w:p>
    <w:p>
      <w:pPr>
        <w:spacing w:after="0" w:line="118" w:lineRule="exact"/>
        <w:rPr>
          <w:rFonts w:ascii="Arial" w:cs="Arial" w:eastAsia="Arial" w:hAnsi="Arial"/>
          <w:sz w:val="14"/>
          <w:szCs w:val="14"/>
          <w:color w:val="auto"/>
        </w:rPr>
      </w:pPr>
    </w:p>
    <w:p>
      <w:pPr>
        <w:ind w:left="788" w:hanging="428"/>
        <w:spacing w:after="0"/>
        <w:tabs>
          <w:tab w:leader="none" w:pos="788" w:val="left"/>
        </w:tabs>
        <w:numPr>
          <w:ilvl w:val="1"/>
          <w:numId w:val="121"/>
        </w:numPr>
        <w:rPr>
          <w:rFonts w:ascii="Arial" w:cs="Arial" w:eastAsia="Arial" w:hAnsi="Arial"/>
          <w:sz w:val="14"/>
          <w:szCs w:val="14"/>
          <w:color w:val="auto"/>
        </w:rPr>
      </w:pPr>
      <w:r>
        <w:rPr>
          <w:rFonts w:ascii="Arial" w:cs="Arial" w:eastAsia="Arial" w:hAnsi="Arial"/>
          <w:sz w:val="14"/>
          <w:szCs w:val="14"/>
          <w:color w:val="auto"/>
        </w:rPr>
        <w:t>is adjudicated as bankrupt or insolvent;</w:t>
      </w:r>
    </w:p>
    <w:p>
      <w:pPr>
        <w:spacing w:after="0" w:line="163" w:lineRule="exact"/>
        <w:rPr>
          <w:rFonts w:ascii="Arial" w:cs="Arial" w:eastAsia="Arial" w:hAnsi="Arial"/>
          <w:sz w:val="14"/>
          <w:szCs w:val="14"/>
          <w:color w:val="auto"/>
        </w:rPr>
      </w:pPr>
    </w:p>
    <w:p>
      <w:pPr>
        <w:ind w:left="808" w:right="4919" w:hanging="448"/>
        <w:spacing w:after="0" w:line="263" w:lineRule="auto"/>
        <w:tabs>
          <w:tab w:leader="none" w:pos="792" w:val="left"/>
        </w:tabs>
        <w:numPr>
          <w:ilvl w:val="1"/>
          <w:numId w:val="121"/>
        </w:numPr>
        <w:rPr>
          <w:rFonts w:ascii="Arial" w:cs="Arial" w:eastAsia="Arial" w:hAnsi="Arial"/>
          <w:sz w:val="14"/>
          <w:szCs w:val="14"/>
          <w:color w:val="auto"/>
        </w:rPr>
      </w:pPr>
      <w:r>
        <w:rPr>
          <w:rFonts w:ascii="Arial" w:cs="Arial" w:eastAsia="Arial" w:hAnsi="Arial"/>
          <w:sz w:val="14"/>
          <w:szCs w:val="14"/>
          <w:color w:val="auto"/>
        </w:rPr>
        <w:t>files or consents to the filings of a petition in bankruptcy, seeks reorganization to avoid insolvency or makes formal application for any bankruptcy, dissolution, liquidation or similar law or statute; or</w:t>
      </w:r>
    </w:p>
    <w:p>
      <w:pPr>
        <w:spacing w:after="0" w:line="118" w:lineRule="exact"/>
        <w:rPr>
          <w:rFonts w:ascii="Arial" w:cs="Arial" w:eastAsia="Arial" w:hAnsi="Arial"/>
          <w:sz w:val="14"/>
          <w:szCs w:val="14"/>
          <w:color w:val="auto"/>
        </w:rPr>
      </w:pPr>
    </w:p>
    <w:p>
      <w:pPr>
        <w:ind w:left="808" w:right="4939" w:hanging="448"/>
        <w:spacing w:after="0" w:line="263" w:lineRule="auto"/>
        <w:tabs>
          <w:tab w:leader="none" w:pos="792" w:val="left"/>
        </w:tabs>
        <w:numPr>
          <w:ilvl w:val="1"/>
          <w:numId w:val="121"/>
        </w:numPr>
        <w:rPr>
          <w:rFonts w:ascii="Arial" w:cs="Arial" w:eastAsia="Arial" w:hAnsi="Arial"/>
          <w:sz w:val="14"/>
          <w:szCs w:val="14"/>
          <w:color w:val="auto"/>
        </w:rPr>
      </w:pPr>
      <w:r>
        <w:rPr>
          <w:rFonts w:ascii="Arial" w:cs="Arial" w:eastAsia="Arial" w:hAnsi="Arial"/>
          <w:sz w:val="14"/>
          <w:szCs w:val="14"/>
          <w:color w:val="auto"/>
        </w:rPr>
        <w:t>becomes the subject of an order to rehabilitate or an order to liquidate as defined by the insurance code of the jurisdiction of the party’s domicile.</w:t>
      </w:r>
    </w:p>
    <w:p>
      <w:pPr>
        <w:spacing w:after="0" w:line="118" w:lineRule="exact"/>
        <w:rPr>
          <w:rFonts w:ascii="Arial" w:cs="Arial" w:eastAsia="Arial" w:hAnsi="Arial"/>
          <w:sz w:val="14"/>
          <w:szCs w:val="14"/>
          <w:color w:val="auto"/>
        </w:rPr>
      </w:pPr>
    </w:p>
    <w:p>
      <w:pPr>
        <w:ind w:left="368" w:right="5059" w:hanging="368"/>
        <w:spacing w:after="0" w:line="250" w:lineRule="auto"/>
        <w:tabs>
          <w:tab w:leader="none" w:pos="361"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In the event of the insolvency of the Ceding Company, all reinsurance benefits shall be payable by the Reinsurer directly to the Ceding Company or to the liquidator, receiver or statutory successor of the Ceding Company on the basis of the liability of the Ceding Company under the policies reinsured without diminution because of the insolvency of the Ceding Company.</w:t>
      </w:r>
    </w:p>
    <w:p>
      <w:pPr>
        <w:spacing w:after="0" w:line="127" w:lineRule="exact"/>
        <w:rPr>
          <w:rFonts w:ascii="Arial" w:cs="Arial" w:eastAsia="Arial" w:hAnsi="Arial"/>
          <w:sz w:val="14"/>
          <w:szCs w:val="14"/>
          <w:color w:val="auto"/>
        </w:rPr>
      </w:pPr>
    </w:p>
    <w:p>
      <w:pPr>
        <w:ind w:left="368" w:right="5159" w:hanging="368"/>
        <w:spacing w:after="0" w:line="246" w:lineRule="auto"/>
        <w:tabs>
          <w:tab w:leader="none" w:pos="361"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In the event of the insolvency of the Ceding Company, the liquidator, receiver, or statutory successor shall give the Reinsurer written notice of the pendency of a claim on a reinsured Policy within a reasonable time after such claim is filed in the insolvency proceeding. During the pendency of any such claim, the Reinsurer may investigate such claim and interpose in the name of the Ceding Company (or its liquidator, receiver, or statutory successor) in the proceeding where such claim is to be adjudicated, any defense or defenses that the Reinsurer may deem available to the Ceding Company or its liquidator, receiver, or statutory successor.</w:t>
      </w:r>
    </w:p>
    <w:p>
      <w:pPr>
        <w:spacing w:after="0" w:line="296" w:lineRule="exact"/>
        <w:rPr>
          <w:rFonts w:ascii="Arial" w:cs="Arial" w:eastAsia="Arial" w:hAnsi="Arial"/>
          <w:sz w:val="14"/>
          <w:szCs w:val="14"/>
          <w:color w:val="auto"/>
        </w:rPr>
      </w:pPr>
    </w:p>
    <w:p>
      <w:pPr>
        <w:ind w:left="368" w:right="5119" w:hanging="368"/>
        <w:spacing w:after="0" w:line="246" w:lineRule="auto"/>
        <w:tabs>
          <w:tab w:leader="none" w:pos="361"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expense thus incurred by the Reinsurer shall be chargeable, subject to court approval, against the Ceding Company as part of the expense of liquidation to the extent of a proportionate share of the benefit which may accrue to the Ceding Company solely as a result of the defense undertaken by the Reinsurer. Where two or more reinsurers are participating in the same claim and a majority in interest elect to interpose a defense or defenses to any such claim, the expense shall be apportioned in accordance with the terms of this Agreement as though such expense had been incurred by the Ceding Company.</w:t>
      </w:r>
    </w:p>
    <w:p>
      <w:pPr>
        <w:spacing w:after="0" w:line="72"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167"/>
          </w:cols>
          <w:pgMar w:left="292" w:top="223" w:right="1440" w:bottom="1440" w:gutter="0" w:footer="0" w:header="0"/>
          <w:type w:val="continuous"/>
        </w:sectPr>
      </w:pPr>
    </w:p>
    <w:bookmarkStart w:id="146" w:name="page147"/>
    <w:bookmarkEnd w:id="146"/>
    <w:p>
      <w:pPr>
        <w:ind w:left="368" w:right="5139" w:hanging="368"/>
        <w:spacing w:after="0" w:line="252" w:lineRule="auto"/>
        <w:tabs>
          <w:tab w:leader="none" w:pos="361" w:val="left"/>
        </w:tabs>
        <w:numPr>
          <w:ilvl w:val="0"/>
          <w:numId w:val="12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the event of the insolvency of the Reinsurer, the Ceding Company may recapture all of the business reinsured by the Reinsurer under this Agreement. Such recapture shall be effective as of the date of the insolvency. Such recapture shall be subject to the payment of a Terminal Accounting and Settlement as described in Article VIII.</w:t>
      </w:r>
    </w:p>
    <w:p>
      <w:pPr>
        <w:spacing w:after="0" w:line="126" w:lineRule="exact"/>
        <w:rPr>
          <w:rFonts w:ascii="Arial" w:cs="Arial" w:eastAsia="Arial" w:hAnsi="Arial"/>
          <w:sz w:val="14"/>
          <w:szCs w:val="14"/>
          <w:color w:val="auto"/>
        </w:rPr>
      </w:pPr>
    </w:p>
    <w:p>
      <w:pPr>
        <w:ind w:left="368" w:right="5439" w:hanging="368"/>
        <w:spacing w:after="0" w:line="285" w:lineRule="auto"/>
        <w:tabs>
          <w:tab w:leader="none" w:pos="361" w:val="left"/>
        </w:tabs>
        <w:numPr>
          <w:ilvl w:val="0"/>
          <w:numId w:val="122"/>
        </w:numPr>
        <w:rPr>
          <w:rFonts w:ascii="Arial" w:cs="Arial" w:eastAsia="Arial" w:hAnsi="Arial"/>
          <w:sz w:val="14"/>
          <w:szCs w:val="14"/>
          <w:color w:val="auto"/>
        </w:rPr>
      </w:pPr>
      <w:r>
        <w:rPr>
          <w:rFonts w:ascii="Arial" w:cs="Arial" w:eastAsia="Arial" w:hAnsi="Arial"/>
          <w:sz w:val="14"/>
          <w:szCs w:val="14"/>
          <w:color w:val="auto"/>
        </w:rPr>
        <w:t>In the event of the insolvency of either party, the insolvent party must notify the other party of its insolvency within thirty (30) days.</w:t>
      </w:r>
    </w:p>
    <w:p>
      <w:pPr>
        <w:spacing w:after="0" w:line="103" w:lineRule="exact"/>
        <w:rPr>
          <w:rFonts w:ascii="Arial" w:cs="Arial" w:eastAsia="Arial" w:hAnsi="Arial"/>
          <w:sz w:val="14"/>
          <w:szCs w:val="14"/>
          <w:color w:val="auto"/>
        </w:rPr>
      </w:pPr>
    </w:p>
    <w:p>
      <w:pPr>
        <w:ind w:left="368" w:right="5099" w:hanging="368"/>
        <w:spacing w:after="0" w:line="252" w:lineRule="auto"/>
        <w:tabs>
          <w:tab w:leader="none" w:pos="361" w:val="left"/>
        </w:tabs>
        <w:numPr>
          <w:ilvl w:val="0"/>
          <w:numId w:val="122"/>
        </w:numPr>
        <w:rPr>
          <w:rFonts w:ascii="Arial" w:cs="Arial" w:eastAsia="Arial" w:hAnsi="Arial"/>
          <w:sz w:val="14"/>
          <w:szCs w:val="14"/>
          <w:color w:val="auto"/>
        </w:rPr>
      </w:pPr>
      <w:r>
        <w:rPr>
          <w:rFonts w:ascii="Arial" w:cs="Arial" w:eastAsia="Arial" w:hAnsi="Arial"/>
          <w:sz w:val="14"/>
          <w:szCs w:val="14"/>
          <w:color w:val="auto"/>
        </w:rPr>
        <w:t>In the event of the insolvency of the Reinsurer, the Ceding Company must notify the Reinsurer (or its liquidator, receiver, or statutory successor) whether or not it is going to recapture the business pursuant to Article XII Paragraph E above within sixty (60) days after being notified of the Reinsurer’s insolvency.</w:t>
      </w:r>
    </w:p>
    <w:p>
      <w:pPr>
        <w:spacing w:after="0" w:line="64"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167"/>
          </w:cols>
          <w:pgMar w:left="292" w:top="220" w:right="1440" w:bottom="1440" w:gutter="0" w:footer="0" w:header="0"/>
        </w:sectPr>
      </w:pPr>
    </w:p>
    <w:bookmarkStart w:id="147" w:name="page148"/>
    <w:bookmarkEnd w:id="147"/>
    <w:p>
      <w:pPr>
        <w:ind w:left="8"/>
        <w:spacing w:after="0"/>
        <w:tabs>
          <w:tab w:leader="none" w:pos="1228"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Article XIII.   </w:t>
      </w:r>
      <w:r>
        <w:rPr>
          <w:sz w:val="20"/>
          <w:szCs w:val="20"/>
          <w:color w:val="auto"/>
        </w:rPr>
        <w:tab/>
      </w:r>
      <w:r>
        <w:rPr>
          <w:rFonts w:ascii="Arial" w:cs="Arial" w:eastAsia="Arial" w:hAnsi="Arial"/>
          <w:sz w:val="16"/>
          <w:szCs w:val="16"/>
          <w:b w:val="1"/>
          <w:bCs w:val="1"/>
          <w:color w:val="auto"/>
        </w:rPr>
        <w:t>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663440" cy="11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3" w:right="1440" w:bottom="1440" w:gutter="0" w:footer="0" w:header="0"/>
        </w:sectPr>
      </w:pPr>
    </w:p>
    <w:p>
      <w:pPr>
        <w:spacing w:after="0" w:line="125" w:lineRule="exact"/>
        <w:rPr>
          <w:sz w:val="20"/>
          <w:szCs w:val="20"/>
          <w:color w:val="auto"/>
        </w:rPr>
      </w:pPr>
    </w:p>
    <w:p>
      <w:pPr>
        <w:ind w:left="368" w:right="5119" w:hanging="368"/>
        <w:spacing w:after="0" w:line="256" w:lineRule="auto"/>
        <w:tabs>
          <w:tab w:leader="none" w:pos="361" w:val="left"/>
        </w:tabs>
        <w:numPr>
          <w:ilvl w:val="0"/>
          <w:numId w:val="123"/>
        </w:numPr>
        <w:rPr>
          <w:rFonts w:ascii="Arial" w:cs="Arial" w:eastAsia="Arial" w:hAnsi="Arial"/>
          <w:sz w:val="14"/>
          <w:szCs w:val="14"/>
          <w:color w:val="auto"/>
        </w:rPr>
      </w:pPr>
      <w:r>
        <w:rPr>
          <w:rFonts w:ascii="Arial" w:cs="Arial" w:eastAsia="Arial" w:hAnsi="Arial"/>
          <w:sz w:val="14"/>
          <w:szCs w:val="14"/>
          <w:u w:val="single" w:color="auto"/>
          <w:color w:val="auto"/>
        </w:rPr>
        <w:t>Policy Administration</w:t>
      </w:r>
      <w:r>
        <w:rPr>
          <w:rFonts w:ascii="Arial" w:cs="Arial" w:eastAsia="Arial" w:hAnsi="Arial"/>
          <w:sz w:val="14"/>
          <w:szCs w:val="14"/>
          <w:color w:val="auto"/>
        </w:rPr>
        <w:t>. The Ceding Company shall administer the Policies and shall perform all accounting for such Policies. Claim settlements made by the Ceding Company in good faith, including compromises, shall be unconditionally binding on the Reinsurer.</w:t>
      </w:r>
    </w:p>
    <w:p>
      <w:pPr>
        <w:spacing w:after="0" w:line="123" w:lineRule="exact"/>
        <w:rPr>
          <w:rFonts w:ascii="Arial" w:cs="Arial" w:eastAsia="Arial" w:hAnsi="Arial"/>
          <w:sz w:val="14"/>
          <w:szCs w:val="14"/>
          <w:color w:val="auto"/>
        </w:rPr>
      </w:pPr>
    </w:p>
    <w:p>
      <w:pPr>
        <w:ind w:left="368" w:right="5139" w:hanging="368"/>
        <w:spacing w:after="0" w:line="246" w:lineRule="auto"/>
        <w:tabs>
          <w:tab w:leader="none" w:pos="361" w:val="left"/>
        </w:tabs>
        <w:numPr>
          <w:ilvl w:val="0"/>
          <w:numId w:val="123"/>
        </w:numPr>
        <w:rPr>
          <w:rFonts w:ascii="Arial" w:cs="Arial" w:eastAsia="Arial" w:hAnsi="Arial"/>
          <w:sz w:val="14"/>
          <w:szCs w:val="14"/>
          <w:color w:val="auto"/>
        </w:rPr>
      </w:pPr>
      <w:r>
        <w:rPr>
          <w:rFonts w:ascii="Arial" w:cs="Arial" w:eastAsia="Arial" w:hAnsi="Arial"/>
          <w:sz w:val="14"/>
          <w:szCs w:val="14"/>
          <w:u w:val="single" w:color="auto"/>
          <w:color w:val="auto"/>
        </w:rPr>
        <w:t>Audit</w:t>
      </w:r>
      <w:r>
        <w:rPr>
          <w:rFonts w:ascii="Arial" w:cs="Arial" w:eastAsia="Arial" w:hAnsi="Arial"/>
          <w:sz w:val="14"/>
          <w:szCs w:val="14"/>
          <w:color w:val="auto"/>
        </w:rPr>
        <w:t>. Upon reasonable advance notice, the Reinsurer may, at a reasonable location or locations to be designated by the Ceding Company, audit any and all books, records, statements, correspondence, reports and other documentation that relate to the Policies. The Ceding Company shall provide a reasonable workspace during normal business hours for such audit and shall cooperate with and disclose and produce any and all documentation reasonably requested by the auditors. The Reinsurer shall keep all information disclosed or produced for audit, including all audit reports and analyses, confidential as provided herein.</w:t>
      </w:r>
    </w:p>
    <w:p>
      <w:pPr>
        <w:spacing w:after="0" w:line="116" w:lineRule="exact"/>
        <w:rPr>
          <w:rFonts w:ascii="Arial" w:cs="Arial" w:eastAsia="Arial" w:hAnsi="Arial"/>
          <w:sz w:val="14"/>
          <w:szCs w:val="14"/>
          <w:color w:val="auto"/>
        </w:rPr>
      </w:pPr>
    </w:p>
    <w:p>
      <w:pPr>
        <w:ind w:left="368" w:right="5099"/>
        <w:spacing w:after="0" w:line="245" w:lineRule="auto"/>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Statutory Statement</w:t>
      </w:r>
      <w:r>
        <w:rPr>
          <w:rFonts w:ascii="Arial" w:cs="Arial" w:eastAsia="Arial" w:hAnsi="Arial"/>
          <w:sz w:val="14"/>
          <w:szCs w:val="14"/>
          <w:color w:val="auto"/>
        </w:rPr>
        <w:t>” means the quarterly or annual statement of the Ceding Company prepared in accordance with the rules of the National Association of Insurance Commissioners and filed with the Ceding Company’s domiciliary state. If the Statutory Statement blank is changed or modified, such that any item described herein does not appear on the pages, exhibits, columns and lines referred to herein, or if it should be eliminated or combined with other amounts or if the basis set out in the Statutory Statement blank for calculation of any item herein should be modified so that the calculation is not consistent with the calculation of the such item described herein, then such item shall be determined in accordance with a method proposed by the Ceding Company with the consent of the Reinsurer, which consent shall not be unreasonably withheld.</w:t>
      </w:r>
    </w:p>
    <w:p>
      <w:pPr>
        <w:spacing w:after="0" w:line="131" w:lineRule="exact"/>
        <w:rPr>
          <w:rFonts w:ascii="Arial" w:cs="Arial" w:eastAsia="Arial" w:hAnsi="Arial"/>
          <w:sz w:val="14"/>
          <w:szCs w:val="14"/>
          <w:color w:val="auto"/>
        </w:rPr>
      </w:pPr>
    </w:p>
    <w:p>
      <w:pPr>
        <w:ind w:left="368" w:right="5199" w:hanging="368"/>
        <w:spacing w:after="0" w:line="250" w:lineRule="auto"/>
        <w:tabs>
          <w:tab w:leader="none" w:pos="361" w:val="left"/>
        </w:tabs>
        <w:numPr>
          <w:ilvl w:val="0"/>
          <w:numId w:val="123"/>
        </w:numPr>
        <w:rPr>
          <w:rFonts w:ascii="Arial" w:cs="Arial" w:eastAsia="Arial" w:hAnsi="Arial"/>
          <w:sz w:val="14"/>
          <w:szCs w:val="14"/>
          <w:color w:val="auto"/>
        </w:rPr>
      </w:pPr>
      <w:r>
        <w:rPr>
          <w:rFonts w:ascii="Arial" w:cs="Arial" w:eastAsia="Arial" w:hAnsi="Arial"/>
          <w:sz w:val="14"/>
          <w:szCs w:val="14"/>
          <w:u w:val="single" w:color="auto"/>
          <w:color w:val="auto"/>
        </w:rPr>
        <w:t>Errors and Omissions</w:t>
      </w:r>
      <w:r>
        <w:rPr>
          <w:rFonts w:ascii="Arial" w:cs="Arial" w:eastAsia="Arial" w:hAnsi="Arial"/>
          <w:sz w:val="14"/>
          <w:szCs w:val="14"/>
          <w:color w:val="auto"/>
        </w:rPr>
        <w:t>. Any inadvertent errors or omissions on the part of one party occurring in connection with this Agreement or any transaction hereunder shall not relieve the other party from any liability to the first party that would have otherwise attached had such error or omission not occurred, provided that such error or omission is rectified as soon as practicable after discovery.</w:t>
      </w:r>
    </w:p>
    <w:p>
      <w:pPr>
        <w:spacing w:after="0" w:line="127" w:lineRule="exact"/>
        <w:rPr>
          <w:rFonts w:ascii="Arial" w:cs="Arial" w:eastAsia="Arial" w:hAnsi="Arial"/>
          <w:sz w:val="14"/>
          <w:szCs w:val="14"/>
          <w:color w:val="auto"/>
        </w:rPr>
      </w:pPr>
    </w:p>
    <w:p>
      <w:pPr>
        <w:ind w:left="368" w:right="5119" w:hanging="368"/>
        <w:spacing w:after="0" w:line="247" w:lineRule="auto"/>
        <w:tabs>
          <w:tab w:leader="none" w:pos="361" w:val="left"/>
        </w:tabs>
        <w:numPr>
          <w:ilvl w:val="0"/>
          <w:numId w:val="123"/>
        </w:numPr>
        <w:rPr>
          <w:rFonts w:ascii="Arial" w:cs="Arial" w:eastAsia="Arial" w:hAnsi="Arial"/>
          <w:sz w:val="14"/>
          <w:szCs w:val="14"/>
          <w:color w:val="auto"/>
        </w:rPr>
      </w:pPr>
      <w:r>
        <w:rPr>
          <w:rFonts w:ascii="Arial" w:cs="Arial" w:eastAsia="Arial" w:hAnsi="Arial"/>
          <w:sz w:val="14"/>
          <w:szCs w:val="14"/>
          <w:u w:val="single" w:color="auto"/>
          <w:color w:val="auto"/>
        </w:rPr>
        <w:t>Indemnification and Limitation of Liability</w:t>
      </w:r>
      <w:r>
        <w:rPr>
          <w:rFonts w:ascii="Arial" w:cs="Arial" w:eastAsia="Arial" w:hAnsi="Arial"/>
          <w:sz w:val="14"/>
          <w:szCs w:val="14"/>
          <w:color w:val="auto"/>
        </w:rPr>
        <w:t>. The Ceding Company and the Reinsurer shall indemnify and hold the other, its affiliates, directors, officers, employees and all other persons and entities acting on behalf of or under the control of any of them harmless from and against any and all claims, including reasonable legal expenses, that result from any negligent, dishonest, malicious, fraudulent or criminal act or omission or arising out of or related to any incorrect representation, warranty or obligation of this Agreement or any failure or breach of this Agreement by</w:t>
      </w:r>
    </w:p>
    <w:p>
      <w:pPr>
        <w:spacing w:after="0" w:line="69"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167"/>
          </w:cols>
          <w:pgMar w:left="292" w:top="223" w:right="1440" w:bottom="1440" w:gutter="0" w:footer="0" w:header="0"/>
          <w:type w:val="continuous"/>
        </w:sectPr>
      </w:pPr>
    </w:p>
    <w:bookmarkStart w:id="148" w:name="page149"/>
    <w:bookmarkEnd w:id="148"/>
    <w:p>
      <w:pPr>
        <w:ind w:left="368"/>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indemnifying party, its directors, officers, employees, other</w:t>
      </w:r>
    </w:p>
    <w:p>
      <w:pPr>
        <w:spacing w:after="0" w:line="15" w:lineRule="exact"/>
        <w:rPr>
          <w:sz w:val="20"/>
          <w:szCs w:val="20"/>
          <w:color w:val="auto"/>
        </w:rPr>
      </w:pPr>
    </w:p>
    <w:p>
      <w:pPr>
        <w:ind w:left="368"/>
        <w:spacing w:after="0"/>
        <w:rPr>
          <w:sz w:val="20"/>
          <w:szCs w:val="20"/>
          <w:color w:val="auto"/>
        </w:rPr>
      </w:pPr>
      <w:r>
        <w:rPr>
          <w:rFonts w:ascii="Arial" w:cs="Arial" w:eastAsia="Arial" w:hAnsi="Arial"/>
          <w:sz w:val="14"/>
          <w:szCs w:val="14"/>
          <w:color w:val="auto"/>
        </w:rPr>
        <w:t>representatives or any other person or entity acting on behalf of or under</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the control of any of them. In no event shall any party to this Agreement</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be liable to any other party for exemplary, punitive, indirect or</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consequential damages arising under this Agreement for any cause</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whatsoever, whether or not such party has been advised or could have</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foreseen the possibility of such damages.</w:t>
      </w:r>
    </w:p>
    <w:p>
      <w:pPr>
        <w:spacing w:after="0" w:line="149" w:lineRule="exact"/>
        <w:rPr>
          <w:sz w:val="20"/>
          <w:szCs w:val="20"/>
          <w:color w:val="auto"/>
        </w:rPr>
      </w:pPr>
    </w:p>
    <w:p>
      <w:pPr>
        <w:ind w:left="368" w:right="5079" w:hanging="368"/>
        <w:spacing w:after="0" w:line="245" w:lineRule="auto"/>
        <w:tabs>
          <w:tab w:leader="none" w:pos="361" w:val="left"/>
        </w:tabs>
        <w:numPr>
          <w:ilvl w:val="0"/>
          <w:numId w:val="124"/>
        </w:numPr>
        <w:rPr>
          <w:rFonts w:ascii="Arial" w:cs="Arial" w:eastAsia="Arial" w:hAnsi="Arial"/>
          <w:sz w:val="14"/>
          <w:szCs w:val="14"/>
          <w:color w:val="auto"/>
        </w:rPr>
      </w:pPr>
      <w:r>
        <w:rPr>
          <w:rFonts w:ascii="Arial" w:cs="Arial" w:eastAsia="Arial" w:hAnsi="Arial"/>
          <w:sz w:val="14"/>
          <w:szCs w:val="14"/>
          <w:u w:val="single" w:color="auto"/>
          <w:color w:val="auto"/>
        </w:rPr>
        <w:t>Amendment and Non Waiver</w:t>
      </w:r>
      <w:r>
        <w:rPr>
          <w:rFonts w:ascii="Arial" w:cs="Arial" w:eastAsia="Arial" w:hAnsi="Arial"/>
          <w:sz w:val="14"/>
          <w:szCs w:val="14"/>
          <w:color w:val="auto"/>
        </w:rPr>
        <w:t>. This Agreement may be amended only by written agreement of the parties. Any change or modification to this Agreement shall be null and void unless made by amendment to this Agreement and signed by both parties. No waiver by either party of any default by the other party shall be construed to be a waiver by such party of any other or subsequent default in performance of the same or any other promise, term or condition of this Agreement. No prior transactions or dealings between the parties shall be deemed to establish any custom or usage waiving or modifying any provision hereof. The failure of either party to enforce any part of this Agreement shall not constitute a waiver by such party of its right to do so, nor shall it be deemed to be an act of ratification or consent.</w:t>
      </w:r>
    </w:p>
    <w:p>
      <w:pPr>
        <w:spacing w:after="0" w:line="133" w:lineRule="exact"/>
        <w:rPr>
          <w:rFonts w:ascii="Arial" w:cs="Arial" w:eastAsia="Arial" w:hAnsi="Arial"/>
          <w:sz w:val="14"/>
          <w:szCs w:val="14"/>
          <w:color w:val="auto"/>
        </w:rPr>
      </w:pPr>
    </w:p>
    <w:p>
      <w:pPr>
        <w:ind w:left="368" w:right="5059" w:hanging="368"/>
        <w:spacing w:after="0" w:line="248" w:lineRule="auto"/>
        <w:tabs>
          <w:tab w:leader="none" w:pos="361" w:val="left"/>
        </w:tabs>
        <w:numPr>
          <w:ilvl w:val="0"/>
          <w:numId w:val="124"/>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In the event that any provision or term of this Agreement shall be held by any court to be invalid, illegal or unenforceable, all of the other terms and provisions shall remain in full force and effect to the extent that their continuance is practicable and consistent with the original intent of the parties. In addition, if provisions are held invalid, illegal or unenforceable, the parties shall attempt in good faith to renegotiate the Agreement to carry out its original intent.</w:t>
      </w:r>
    </w:p>
    <w:p>
      <w:pPr>
        <w:spacing w:after="0" w:line="131" w:lineRule="exact"/>
        <w:rPr>
          <w:rFonts w:ascii="Arial" w:cs="Arial" w:eastAsia="Arial" w:hAnsi="Arial"/>
          <w:sz w:val="14"/>
          <w:szCs w:val="14"/>
          <w:color w:val="auto"/>
        </w:rPr>
      </w:pPr>
    </w:p>
    <w:p>
      <w:pPr>
        <w:ind w:left="368" w:right="5219" w:hanging="368"/>
        <w:spacing w:after="0" w:line="256" w:lineRule="auto"/>
        <w:tabs>
          <w:tab w:leader="none" w:pos="361" w:val="left"/>
        </w:tabs>
        <w:numPr>
          <w:ilvl w:val="0"/>
          <w:numId w:val="124"/>
        </w:numPr>
        <w:rPr>
          <w:rFonts w:ascii="Arial" w:cs="Arial" w:eastAsia="Arial" w:hAnsi="Arial"/>
          <w:sz w:val="14"/>
          <w:szCs w:val="14"/>
          <w:color w:val="auto"/>
        </w:rPr>
      </w:pPr>
      <w:r>
        <w:rPr>
          <w:rFonts w:ascii="Arial" w:cs="Arial" w:eastAsia="Arial" w:hAnsi="Arial"/>
          <w:sz w:val="14"/>
          <w:szCs w:val="14"/>
          <w:u w:val="single" w:color="auto"/>
          <w:color w:val="auto"/>
        </w:rPr>
        <w:t>Survival</w:t>
      </w:r>
      <w:r>
        <w:rPr>
          <w:rFonts w:ascii="Arial" w:cs="Arial" w:eastAsia="Arial" w:hAnsi="Arial"/>
          <w:sz w:val="14"/>
          <w:szCs w:val="14"/>
          <w:color w:val="auto"/>
        </w:rPr>
        <w:t>. All of the provisions of this Agreement, to the extent necessary to carry out the purposes of this Agreement or to ascertain and enforce the parties’ rights hereunder, shall survive the termination of this Agreement.</w:t>
      </w:r>
    </w:p>
    <w:p>
      <w:pPr>
        <w:spacing w:after="0" w:line="123" w:lineRule="exact"/>
        <w:rPr>
          <w:rFonts w:ascii="Arial" w:cs="Arial" w:eastAsia="Arial" w:hAnsi="Arial"/>
          <w:sz w:val="14"/>
          <w:szCs w:val="14"/>
          <w:color w:val="auto"/>
        </w:rPr>
      </w:pPr>
    </w:p>
    <w:p>
      <w:pPr>
        <w:ind w:left="368" w:right="5099" w:hanging="368"/>
        <w:spacing w:after="0" w:line="247" w:lineRule="auto"/>
        <w:tabs>
          <w:tab w:leader="none" w:pos="361" w:val="left"/>
        </w:tabs>
        <w:numPr>
          <w:ilvl w:val="0"/>
          <w:numId w:val="124"/>
        </w:numPr>
        <w:rPr>
          <w:rFonts w:ascii="Arial" w:cs="Arial" w:eastAsia="Arial" w:hAnsi="Arial"/>
          <w:sz w:val="14"/>
          <w:szCs w:val="14"/>
          <w:color w:val="auto"/>
        </w:rPr>
      </w:pPr>
      <w:r>
        <w:rPr>
          <w:rFonts w:ascii="Arial" w:cs="Arial" w:eastAsia="Arial" w:hAnsi="Arial"/>
          <w:sz w:val="14"/>
          <w:szCs w:val="14"/>
          <w:u w:val="single" w:color="auto"/>
          <w:color w:val="auto"/>
        </w:rPr>
        <w:t>Choice of Law, Forum and Consent to Service</w:t>
      </w:r>
      <w:r>
        <w:rPr>
          <w:rFonts w:ascii="Arial" w:cs="Arial" w:eastAsia="Arial" w:hAnsi="Arial"/>
          <w:sz w:val="14"/>
          <w:szCs w:val="14"/>
          <w:color w:val="auto"/>
        </w:rPr>
        <w:t>. This Agreement is subject to and is to be interpreted in accordance with the laws of the State of New York without regard to the New York choice of law rules. While the parties contemplate that all disputes shall be decided through arbitration as provided herein, in the event of any legal proceedings, the parties shall submit to the exclusive jurisdiction of courts of the State of New York and the United States of America, in each case, located in New York, New York, and shall abide by the final decision of such courts.</w:t>
      </w:r>
    </w:p>
    <w:p>
      <w:pPr>
        <w:spacing w:after="0" w:line="132" w:lineRule="exact"/>
        <w:rPr>
          <w:rFonts w:ascii="Arial" w:cs="Arial" w:eastAsia="Arial" w:hAnsi="Arial"/>
          <w:sz w:val="14"/>
          <w:szCs w:val="14"/>
          <w:color w:val="auto"/>
        </w:rPr>
      </w:pPr>
    </w:p>
    <w:p>
      <w:pPr>
        <w:ind w:left="368" w:right="5399" w:hanging="368"/>
        <w:spacing w:after="0" w:line="263" w:lineRule="auto"/>
        <w:tabs>
          <w:tab w:leader="none" w:pos="361" w:val="left"/>
        </w:tabs>
        <w:numPr>
          <w:ilvl w:val="0"/>
          <w:numId w:val="124"/>
        </w:numPr>
        <w:rPr>
          <w:rFonts w:ascii="Arial" w:cs="Arial" w:eastAsia="Arial" w:hAnsi="Arial"/>
          <w:sz w:val="14"/>
          <w:szCs w:val="14"/>
          <w:color w:val="auto"/>
        </w:rPr>
      </w:pPr>
      <w:r>
        <w:rPr>
          <w:rFonts w:ascii="Arial" w:cs="Arial" w:eastAsia="Arial" w:hAnsi="Arial"/>
          <w:sz w:val="14"/>
          <w:szCs w:val="14"/>
          <w:u w:val="single" w:color="auto"/>
          <w:color w:val="auto"/>
        </w:rPr>
        <w:t>Settlements</w:t>
      </w:r>
      <w:r>
        <w:rPr>
          <w:rFonts w:ascii="Arial" w:cs="Arial" w:eastAsia="Arial" w:hAnsi="Arial"/>
          <w:sz w:val="14"/>
          <w:szCs w:val="14"/>
          <w:color w:val="auto"/>
        </w:rPr>
        <w:t>. All reinsurance settlements shall be effected through offsetting balances, electronic funds transfers or as the parties may otherwise agree in order to carry out the purposes of this Agreement.</w:t>
      </w:r>
    </w:p>
    <w:p>
      <w:pPr>
        <w:spacing w:after="0" w:line="56"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167"/>
          </w:cols>
          <w:pgMar w:left="292" w:top="220" w:right="1440" w:bottom="1440" w:gutter="0" w:footer="0" w:header="0"/>
        </w:sectPr>
      </w:pPr>
    </w:p>
    <w:bookmarkStart w:id="149" w:name="page150"/>
    <w:bookmarkEnd w:id="149"/>
    <w:p>
      <w:pPr>
        <w:ind w:left="368" w:hanging="368"/>
        <w:spacing w:after="0"/>
        <w:tabs>
          <w:tab w:leader="none" w:pos="368" w:val="left"/>
        </w:tabs>
        <w:numPr>
          <w:ilvl w:val="0"/>
          <w:numId w:val="125"/>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Notices</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668" w:right="5059" w:hanging="308"/>
        <w:spacing w:after="0" w:line="263" w:lineRule="auto"/>
        <w:tabs>
          <w:tab w:leader="none" w:pos="655" w:val="left"/>
        </w:tabs>
        <w:numPr>
          <w:ilvl w:val="1"/>
          <w:numId w:val="125"/>
        </w:numPr>
        <w:rPr>
          <w:rFonts w:ascii="Arial" w:cs="Arial" w:eastAsia="Arial" w:hAnsi="Arial"/>
          <w:sz w:val="14"/>
          <w:szCs w:val="14"/>
          <w:color w:val="auto"/>
        </w:rPr>
      </w:pPr>
      <w:r>
        <w:rPr>
          <w:rFonts w:ascii="Arial" w:cs="Arial" w:eastAsia="Arial" w:hAnsi="Arial"/>
          <w:sz w:val="14"/>
          <w:szCs w:val="14"/>
          <w:color w:val="auto"/>
        </w:rPr>
        <w:t>Written notices to the Ceding Company under this Agreement shall be effective when delivered to the Ceding Company at the following address:</w:t>
      </w:r>
    </w:p>
    <w:p>
      <w:pPr>
        <w:spacing w:after="0" w:line="100" w:lineRule="exact"/>
        <w:rPr>
          <w:rFonts w:ascii="Arial" w:cs="Arial" w:eastAsia="Arial" w:hAnsi="Arial"/>
          <w:sz w:val="14"/>
          <w:szCs w:val="14"/>
          <w:color w:val="auto"/>
        </w:rPr>
      </w:pPr>
    </w:p>
    <w:p>
      <w:pPr>
        <w:ind w:left="668"/>
        <w:spacing w:after="0"/>
        <w:rPr>
          <w:rFonts w:ascii="Arial" w:cs="Arial" w:eastAsia="Arial" w:hAnsi="Arial"/>
          <w:sz w:val="14"/>
          <w:szCs w:val="14"/>
          <w:color w:val="auto"/>
        </w:rPr>
      </w:pPr>
      <w:r>
        <w:rPr>
          <w:rFonts w:ascii="Arial" w:cs="Arial" w:eastAsia="Arial" w:hAnsi="Arial"/>
          <w:sz w:val="14"/>
          <w:szCs w:val="14"/>
          <w:color w:val="auto"/>
        </w:rPr>
        <w:t>Patrisha Cox</w:t>
      </w:r>
    </w:p>
    <w:p>
      <w:pPr>
        <w:spacing w:after="0" w:line="15" w:lineRule="exact"/>
        <w:rPr>
          <w:rFonts w:ascii="Arial" w:cs="Arial" w:eastAsia="Arial" w:hAnsi="Arial"/>
          <w:sz w:val="14"/>
          <w:szCs w:val="14"/>
          <w:color w:val="auto"/>
        </w:rPr>
      </w:pPr>
    </w:p>
    <w:p>
      <w:pPr>
        <w:ind w:left="668" w:right="6739"/>
        <w:spacing w:after="0" w:line="241" w:lineRule="auto"/>
        <w:rPr>
          <w:rFonts w:ascii="Arial" w:cs="Arial" w:eastAsia="Arial" w:hAnsi="Arial"/>
          <w:sz w:val="14"/>
          <w:szCs w:val="14"/>
          <w:color w:val="auto"/>
        </w:rPr>
      </w:pPr>
      <w:r>
        <w:rPr>
          <w:rFonts w:ascii="Arial" w:cs="Arial" w:eastAsia="Arial" w:hAnsi="Arial"/>
          <w:sz w:val="14"/>
          <w:szCs w:val="14"/>
          <w:color w:val="auto"/>
        </w:rPr>
        <w:t>Brighthouse Life Insurance Company of NY 285 Madison Avenue</w:t>
      </w:r>
    </w:p>
    <w:p>
      <w:pPr>
        <w:ind w:left="668"/>
        <w:spacing w:after="0"/>
        <w:rPr>
          <w:rFonts w:ascii="Arial" w:cs="Arial" w:eastAsia="Arial" w:hAnsi="Arial"/>
          <w:sz w:val="14"/>
          <w:szCs w:val="14"/>
          <w:color w:val="auto"/>
        </w:rPr>
      </w:pPr>
      <w:r>
        <w:rPr>
          <w:rFonts w:ascii="Arial" w:cs="Arial" w:eastAsia="Arial" w:hAnsi="Arial"/>
          <w:sz w:val="14"/>
          <w:szCs w:val="14"/>
          <w:color w:val="auto"/>
        </w:rPr>
        <w:t>New York City, NY 10017</w:t>
      </w:r>
    </w:p>
    <w:p>
      <w:pPr>
        <w:spacing w:after="0" w:line="1" w:lineRule="exact"/>
        <w:rPr>
          <w:rFonts w:ascii="Arial" w:cs="Arial" w:eastAsia="Arial" w:hAnsi="Arial"/>
          <w:sz w:val="14"/>
          <w:szCs w:val="14"/>
          <w:color w:val="auto"/>
        </w:rPr>
      </w:pPr>
    </w:p>
    <w:p>
      <w:pPr>
        <w:ind w:left="668"/>
        <w:spacing w:after="0"/>
        <w:rPr>
          <w:rFonts w:ascii="Arial" w:cs="Arial" w:eastAsia="Arial" w:hAnsi="Arial"/>
          <w:sz w:val="14"/>
          <w:szCs w:val="14"/>
          <w:color w:val="auto"/>
        </w:rPr>
      </w:pPr>
      <w:r>
        <w:rPr>
          <w:rFonts w:ascii="Arial" w:cs="Arial" w:eastAsia="Arial" w:hAnsi="Arial"/>
          <w:sz w:val="14"/>
          <w:szCs w:val="14"/>
          <w:color w:val="auto"/>
        </w:rPr>
        <w:t>Email: tcox1@brighthousefinancial.com</w:t>
      </w:r>
    </w:p>
    <w:p>
      <w:pPr>
        <w:spacing w:after="0" w:line="1" w:lineRule="exact"/>
        <w:rPr>
          <w:rFonts w:ascii="Arial" w:cs="Arial" w:eastAsia="Arial" w:hAnsi="Arial"/>
          <w:sz w:val="14"/>
          <w:szCs w:val="14"/>
          <w:color w:val="auto"/>
        </w:rPr>
      </w:pPr>
    </w:p>
    <w:p>
      <w:pPr>
        <w:ind w:left="668" w:right="5279"/>
        <w:spacing w:after="0" w:line="252" w:lineRule="auto"/>
        <w:rPr>
          <w:rFonts w:ascii="Arial" w:cs="Arial" w:eastAsia="Arial" w:hAnsi="Arial"/>
          <w:sz w:val="14"/>
          <w:szCs w:val="14"/>
          <w:color w:val="auto"/>
        </w:rPr>
      </w:pPr>
      <w:r>
        <w:rPr>
          <w:rFonts w:ascii="Arial" w:cs="Arial" w:eastAsia="Arial" w:hAnsi="Arial"/>
          <w:sz w:val="14"/>
          <w:szCs w:val="14"/>
          <w:color w:val="auto"/>
        </w:rPr>
        <w:t>or such other address as the Ceding Company may designate in writing as to its own address; provided, however, that any notice of change of address shall be effective only upon receipt.</w:t>
      </w:r>
    </w:p>
    <w:p>
      <w:pPr>
        <w:spacing w:after="0" w:line="126" w:lineRule="exact"/>
        <w:rPr>
          <w:rFonts w:ascii="Arial" w:cs="Arial" w:eastAsia="Arial" w:hAnsi="Arial"/>
          <w:sz w:val="14"/>
          <w:szCs w:val="14"/>
          <w:color w:val="auto"/>
        </w:rPr>
      </w:pPr>
    </w:p>
    <w:p>
      <w:pPr>
        <w:ind w:left="668" w:right="5299" w:hanging="308"/>
        <w:spacing w:after="0" w:line="285" w:lineRule="auto"/>
        <w:tabs>
          <w:tab w:leader="none" w:pos="655" w:val="left"/>
        </w:tabs>
        <w:numPr>
          <w:ilvl w:val="1"/>
          <w:numId w:val="125"/>
        </w:numPr>
        <w:rPr>
          <w:rFonts w:ascii="Arial" w:cs="Arial" w:eastAsia="Arial" w:hAnsi="Arial"/>
          <w:sz w:val="14"/>
          <w:szCs w:val="14"/>
          <w:color w:val="auto"/>
        </w:rPr>
      </w:pPr>
      <w:r>
        <w:rPr>
          <w:rFonts w:ascii="Arial" w:cs="Arial" w:eastAsia="Arial" w:hAnsi="Arial"/>
          <w:sz w:val="14"/>
          <w:szCs w:val="14"/>
          <w:color w:val="auto"/>
        </w:rPr>
        <w:t>Written notices to the Reinsurer under this Agreement shall be effective when delivered to the Reinsurer at the following address:</w:t>
      </w:r>
    </w:p>
    <w:p>
      <w:pPr>
        <w:spacing w:after="0" w:line="85" w:lineRule="exact"/>
        <w:rPr>
          <w:rFonts w:ascii="Arial" w:cs="Arial" w:eastAsia="Arial" w:hAnsi="Arial"/>
          <w:sz w:val="14"/>
          <w:szCs w:val="14"/>
          <w:color w:val="auto"/>
        </w:rPr>
      </w:pPr>
    </w:p>
    <w:p>
      <w:pPr>
        <w:ind w:left="668"/>
        <w:spacing w:after="0"/>
        <w:rPr>
          <w:rFonts w:ascii="Arial" w:cs="Arial" w:eastAsia="Arial" w:hAnsi="Arial"/>
          <w:sz w:val="14"/>
          <w:szCs w:val="14"/>
          <w:color w:val="auto"/>
        </w:rPr>
      </w:pPr>
      <w:r>
        <w:rPr>
          <w:rFonts w:ascii="Arial" w:cs="Arial" w:eastAsia="Arial" w:hAnsi="Arial"/>
          <w:sz w:val="14"/>
          <w:szCs w:val="14"/>
          <w:color w:val="auto"/>
        </w:rPr>
        <w:t>Patrisha Cox</w:t>
      </w:r>
    </w:p>
    <w:p>
      <w:pPr>
        <w:spacing w:after="0" w:line="15" w:lineRule="exact"/>
        <w:rPr>
          <w:rFonts w:ascii="Arial" w:cs="Arial" w:eastAsia="Arial" w:hAnsi="Arial"/>
          <w:sz w:val="14"/>
          <w:szCs w:val="14"/>
          <w:color w:val="auto"/>
        </w:rPr>
      </w:pPr>
    </w:p>
    <w:p>
      <w:pPr>
        <w:ind w:left="668"/>
        <w:spacing w:after="0"/>
        <w:rPr>
          <w:rFonts w:ascii="Arial" w:cs="Arial" w:eastAsia="Arial" w:hAnsi="Arial"/>
          <w:sz w:val="14"/>
          <w:szCs w:val="14"/>
          <w:color w:val="auto"/>
        </w:rPr>
      </w:pPr>
      <w:r>
        <w:rPr>
          <w:rFonts w:ascii="Arial" w:cs="Arial" w:eastAsia="Arial" w:hAnsi="Arial"/>
          <w:sz w:val="14"/>
          <w:szCs w:val="14"/>
          <w:color w:val="auto"/>
        </w:rPr>
        <w:t>Brighthouse Life Insurance Company</w:t>
      </w:r>
    </w:p>
    <w:p>
      <w:pPr>
        <w:spacing w:after="0" w:line="1" w:lineRule="exact"/>
        <w:rPr>
          <w:rFonts w:ascii="Arial" w:cs="Arial" w:eastAsia="Arial" w:hAnsi="Arial"/>
          <w:sz w:val="14"/>
          <w:szCs w:val="14"/>
          <w:color w:val="auto"/>
        </w:rPr>
      </w:pPr>
    </w:p>
    <w:p>
      <w:pPr>
        <w:ind w:left="668" w:right="7119"/>
        <w:spacing w:after="0" w:line="241" w:lineRule="auto"/>
        <w:rPr>
          <w:rFonts w:ascii="Arial" w:cs="Arial" w:eastAsia="Arial" w:hAnsi="Arial"/>
          <w:sz w:val="14"/>
          <w:szCs w:val="14"/>
          <w:color w:val="auto"/>
        </w:rPr>
      </w:pPr>
      <w:r>
        <w:rPr>
          <w:rFonts w:ascii="Arial" w:cs="Arial" w:eastAsia="Arial" w:hAnsi="Arial"/>
          <w:sz w:val="14"/>
          <w:szCs w:val="14"/>
          <w:color w:val="auto"/>
        </w:rPr>
        <w:t>11225 North Community House Road Charlotte, NC 28277</w:t>
      </w:r>
    </w:p>
    <w:p>
      <w:pPr>
        <w:ind w:left="668"/>
        <w:spacing w:after="0"/>
        <w:rPr>
          <w:rFonts w:ascii="Arial" w:cs="Arial" w:eastAsia="Arial" w:hAnsi="Arial"/>
          <w:sz w:val="14"/>
          <w:szCs w:val="14"/>
          <w:color w:val="auto"/>
        </w:rPr>
      </w:pPr>
      <w:r>
        <w:rPr>
          <w:rFonts w:ascii="Arial" w:cs="Arial" w:eastAsia="Arial" w:hAnsi="Arial"/>
          <w:sz w:val="14"/>
          <w:szCs w:val="14"/>
          <w:color w:val="auto"/>
        </w:rPr>
        <w:t>Email: tcox1@brighthousefinancial.com</w:t>
      </w:r>
    </w:p>
    <w:p>
      <w:pPr>
        <w:spacing w:after="0" w:line="1" w:lineRule="exact"/>
        <w:rPr>
          <w:rFonts w:ascii="Arial" w:cs="Arial" w:eastAsia="Arial" w:hAnsi="Arial"/>
          <w:sz w:val="14"/>
          <w:szCs w:val="14"/>
          <w:color w:val="auto"/>
        </w:rPr>
      </w:pPr>
    </w:p>
    <w:p>
      <w:pPr>
        <w:ind w:left="668" w:right="5079"/>
        <w:spacing w:after="0" w:line="252" w:lineRule="auto"/>
        <w:rPr>
          <w:rFonts w:ascii="Arial" w:cs="Arial" w:eastAsia="Arial" w:hAnsi="Arial"/>
          <w:sz w:val="14"/>
          <w:szCs w:val="14"/>
          <w:color w:val="auto"/>
        </w:rPr>
      </w:pPr>
      <w:r>
        <w:rPr>
          <w:rFonts w:ascii="Arial" w:cs="Arial" w:eastAsia="Arial" w:hAnsi="Arial"/>
          <w:sz w:val="14"/>
          <w:szCs w:val="14"/>
          <w:color w:val="auto"/>
        </w:rPr>
        <w:t>or such other address as the Reinsurer may designate in writing as to its own address, provided, however, that any notice of change of address shall be effective only upon receipt.</w:t>
      </w:r>
    </w:p>
    <w:p>
      <w:pPr>
        <w:spacing w:after="0" w:line="126" w:lineRule="exact"/>
        <w:rPr>
          <w:rFonts w:ascii="Arial" w:cs="Arial" w:eastAsia="Arial" w:hAnsi="Arial"/>
          <w:sz w:val="14"/>
          <w:szCs w:val="14"/>
          <w:color w:val="auto"/>
        </w:rPr>
      </w:pPr>
    </w:p>
    <w:p>
      <w:pPr>
        <w:ind w:left="368" w:right="5059" w:hanging="368"/>
        <w:spacing w:after="0" w:line="244" w:lineRule="auto"/>
        <w:tabs>
          <w:tab w:leader="none" w:pos="361" w:val="left"/>
        </w:tabs>
        <w:numPr>
          <w:ilvl w:val="0"/>
          <w:numId w:val="125"/>
        </w:numPr>
        <w:rPr>
          <w:rFonts w:ascii="Arial" w:cs="Arial" w:eastAsia="Arial" w:hAnsi="Arial"/>
          <w:sz w:val="14"/>
          <w:szCs w:val="14"/>
          <w:color w:val="auto"/>
        </w:rPr>
      </w:pPr>
      <w:r>
        <w:rPr>
          <w:rFonts w:ascii="Arial" w:cs="Arial" w:eastAsia="Arial" w:hAnsi="Arial"/>
          <w:sz w:val="14"/>
          <w:szCs w:val="14"/>
          <w:u w:val="single" w:color="auto"/>
          <w:color w:val="auto"/>
        </w:rPr>
        <w:t>Confidentiality</w:t>
      </w:r>
      <w:r>
        <w:rPr>
          <w:rFonts w:ascii="Arial" w:cs="Arial" w:eastAsia="Arial" w:hAnsi="Arial"/>
          <w:sz w:val="14"/>
          <w:szCs w:val="14"/>
          <w:color w:val="auto"/>
        </w:rPr>
        <w:t>. Each party shall maintain the confidentiality of all confidential information, including individually identifiable information regarding customers, insureds and other persons, with respect to the Policies (“Confidential Information”), that is provided to it by the other party in connection with this Agreement in accordance with applicable laws and the terms of this Agreement. This obligation shall include the implementation of physical, administrative and electronic safeguards designed to ensure the confidentiality, security and integrity of such Confidential Information. For these purposes, Confidential Information does not include information that is (a) generally available in the public domain and is derived or received from such public sources; (b) received, obtained, developed or created independently from the performance of obligations under this Agreement; or (c) disclosed by or received from a third party, provided such disclosure was made without any violation of an independent obligation of confidentiality or applicable law.</w:t>
      </w:r>
    </w:p>
    <w:p>
      <w:pPr>
        <w:spacing w:after="0" w:line="118" w:lineRule="exact"/>
        <w:rPr>
          <w:rFonts w:ascii="Arial" w:cs="Arial" w:eastAsia="Arial" w:hAnsi="Arial"/>
          <w:sz w:val="14"/>
          <w:szCs w:val="14"/>
          <w:color w:val="auto"/>
        </w:rPr>
      </w:pPr>
    </w:p>
    <w:p>
      <w:pPr>
        <w:ind w:left="368" w:right="5339"/>
        <w:spacing w:after="0" w:line="256" w:lineRule="auto"/>
        <w:rPr>
          <w:rFonts w:ascii="Arial" w:cs="Arial" w:eastAsia="Arial" w:hAnsi="Arial"/>
          <w:sz w:val="14"/>
          <w:szCs w:val="14"/>
          <w:color w:val="auto"/>
        </w:rPr>
      </w:pPr>
      <w:r>
        <w:rPr>
          <w:rFonts w:ascii="Arial" w:cs="Arial" w:eastAsia="Arial" w:hAnsi="Arial"/>
          <w:sz w:val="14"/>
          <w:szCs w:val="14"/>
          <w:color w:val="auto"/>
        </w:rPr>
        <w:t>This obligation of confidentiality shall not apply if and to the extent that disclosure is required by applicable law or any court, governmental agency or regulatory authority or by subpoena or discovery request in pending litigation. In the event that either party becomes legally</w:t>
      </w:r>
    </w:p>
    <w:p>
      <w:pPr>
        <w:spacing w:after="0" w:line="60"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167"/>
          </w:cols>
          <w:pgMar w:left="292" w:top="220" w:right="1440" w:bottom="1440" w:gutter="0" w:footer="0" w:header="0"/>
        </w:sectPr>
      </w:pPr>
    </w:p>
    <w:bookmarkStart w:id="150" w:name="page151"/>
    <w:bookmarkEnd w:id="150"/>
    <w:p>
      <w:pPr>
        <w:ind w:left="368"/>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compelled to disclose any Confidential Information of the other party, such</w:t>
      </w:r>
    </w:p>
    <w:p>
      <w:pPr>
        <w:spacing w:after="0" w:line="15" w:lineRule="exact"/>
        <w:rPr>
          <w:sz w:val="20"/>
          <w:szCs w:val="20"/>
          <w:color w:val="auto"/>
        </w:rPr>
      </w:pPr>
    </w:p>
    <w:p>
      <w:pPr>
        <w:ind w:left="368"/>
        <w:spacing w:after="0"/>
        <w:rPr>
          <w:sz w:val="20"/>
          <w:szCs w:val="20"/>
          <w:color w:val="auto"/>
        </w:rPr>
      </w:pPr>
      <w:r>
        <w:rPr>
          <w:rFonts w:ascii="Arial" w:cs="Arial" w:eastAsia="Arial" w:hAnsi="Arial"/>
          <w:sz w:val="14"/>
          <w:szCs w:val="14"/>
          <w:color w:val="auto"/>
        </w:rPr>
        <w:t>party shall give prompt written notice of that fact to the other party so that</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such other party may seek an appropriate remedy to prevent such</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disclosure. This provision does not prohibit the sharing of information with</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retrocessionaires or other parties engaged to provide services in</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connection with this Agreement, to the extent necessary to provide such</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services, provided that such retrocessionaires and parties shall have</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agreed to maintain the confidentiality of such information in accordance</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with the terms of this Agreement.</w:t>
      </w:r>
    </w:p>
    <w:p>
      <w:pPr>
        <w:spacing w:after="0" w:line="13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In the event that the Reinsurer becomes aware of the unauthorized</w:t>
      </w:r>
    </w:p>
    <w:p>
      <w:pPr>
        <w:spacing w:after="0" w:line="15" w:lineRule="exact"/>
        <w:rPr>
          <w:sz w:val="20"/>
          <w:szCs w:val="20"/>
          <w:color w:val="auto"/>
        </w:rPr>
      </w:pPr>
    </w:p>
    <w:p>
      <w:pPr>
        <w:ind w:left="368"/>
        <w:spacing w:after="0"/>
        <w:rPr>
          <w:sz w:val="20"/>
          <w:szCs w:val="20"/>
          <w:color w:val="auto"/>
        </w:rPr>
      </w:pPr>
      <w:r>
        <w:rPr>
          <w:rFonts w:ascii="Arial" w:cs="Arial" w:eastAsia="Arial" w:hAnsi="Arial"/>
          <w:sz w:val="14"/>
          <w:szCs w:val="14"/>
          <w:color w:val="auto"/>
        </w:rPr>
        <w:t>access to or disclosure of Customer Information to a third party, it shall</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give prompt written notice of that fact to the Ceding Company and shall</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take reasonable steps prevent further unauthorized access or disclosure</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and mitigate damages and will cooperate with the Ceding Company to</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satisfy, at the Reinsurer’s expense, all legal requirements including any</w:t>
      </w:r>
    </w:p>
    <w:p>
      <w:pPr>
        <w:spacing w:after="0" w:line="1" w:lineRule="exact"/>
        <w:rPr>
          <w:sz w:val="20"/>
          <w:szCs w:val="20"/>
          <w:color w:val="auto"/>
        </w:rPr>
      </w:pPr>
    </w:p>
    <w:p>
      <w:pPr>
        <w:ind w:left="368"/>
        <w:spacing w:after="0"/>
        <w:rPr>
          <w:sz w:val="20"/>
          <w:szCs w:val="20"/>
          <w:color w:val="auto"/>
        </w:rPr>
      </w:pPr>
      <w:r>
        <w:rPr>
          <w:rFonts w:ascii="Arial" w:cs="Arial" w:eastAsia="Arial" w:hAnsi="Arial"/>
          <w:sz w:val="14"/>
          <w:szCs w:val="14"/>
          <w:color w:val="auto"/>
        </w:rPr>
        <w:t>required notification to affected individuals.</w:t>
      </w:r>
    </w:p>
    <w:p>
      <w:pPr>
        <w:spacing w:after="0" w:line="149" w:lineRule="exact"/>
        <w:rPr>
          <w:sz w:val="20"/>
          <w:szCs w:val="20"/>
          <w:color w:val="auto"/>
        </w:rPr>
      </w:pPr>
    </w:p>
    <w:p>
      <w:pPr>
        <w:ind w:left="368" w:right="5079" w:hanging="368"/>
        <w:spacing w:after="0" w:line="245" w:lineRule="auto"/>
        <w:tabs>
          <w:tab w:leader="none" w:pos="361" w:val="left"/>
        </w:tabs>
        <w:numPr>
          <w:ilvl w:val="0"/>
          <w:numId w:val="126"/>
        </w:numPr>
        <w:rPr>
          <w:rFonts w:ascii="Arial" w:cs="Arial" w:eastAsia="Arial" w:hAnsi="Arial"/>
          <w:sz w:val="14"/>
          <w:szCs w:val="14"/>
          <w:color w:val="auto"/>
        </w:rPr>
      </w:pPr>
      <w:r>
        <w:rPr>
          <w:rFonts w:ascii="Arial" w:cs="Arial" w:eastAsia="Arial" w:hAnsi="Arial"/>
          <w:sz w:val="14"/>
          <w:szCs w:val="14"/>
          <w:u w:val="single" w:color="auto"/>
          <w:color w:val="auto"/>
        </w:rPr>
        <w:t>Agents, Intermediaries and Representatives</w:t>
      </w:r>
      <w:r>
        <w:rPr>
          <w:rFonts w:ascii="Arial" w:cs="Arial" w:eastAsia="Arial" w:hAnsi="Arial"/>
          <w:sz w:val="14"/>
          <w:szCs w:val="14"/>
          <w:color w:val="auto"/>
        </w:rPr>
        <w:t>. All negotiations relative to this Agreement and the transactions contemplated hereby, including all communications and payments, have been and shall be carried out by the Ceding Company and the Reinsurer and designated agents thereof directly and without the intervention of any person in such manner as to give rise to any valid claim by any other person against the Ceding Company for a finder’s fee, brokerage, commission or similar payment. Any communication or payment delivered by the Ceding Company to a designated agent, intermediary or representative of the Reinsurer shall be deemed delivered to the Reinsurer and no delivery of a communication or payment by the Reinsurer to its agent, intermediary or representative shall be deemed delivered to the Ceding Company until actual receipt by the Ceding Company.</w:t>
      </w:r>
    </w:p>
    <w:p>
      <w:pPr>
        <w:spacing w:after="0" w:line="131" w:lineRule="exact"/>
        <w:rPr>
          <w:rFonts w:ascii="Arial" w:cs="Arial" w:eastAsia="Arial" w:hAnsi="Arial"/>
          <w:sz w:val="14"/>
          <w:szCs w:val="14"/>
          <w:color w:val="auto"/>
        </w:rPr>
      </w:pPr>
    </w:p>
    <w:p>
      <w:pPr>
        <w:ind w:left="368" w:right="5179" w:hanging="368"/>
        <w:spacing w:after="0" w:line="252" w:lineRule="auto"/>
        <w:tabs>
          <w:tab w:leader="none" w:pos="361" w:val="left"/>
        </w:tabs>
        <w:numPr>
          <w:ilvl w:val="0"/>
          <w:numId w:val="126"/>
        </w:numPr>
        <w:rPr>
          <w:rFonts w:ascii="Arial" w:cs="Arial" w:eastAsia="Arial" w:hAnsi="Arial"/>
          <w:sz w:val="14"/>
          <w:szCs w:val="14"/>
          <w:color w:val="auto"/>
        </w:rPr>
      </w:pPr>
      <w:r>
        <w:rPr>
          <w:rFonts w:ascii="Arial" w:cs="Arial" w:eastAsia="Arial" w:hAnsi="Arial"/>
          <w:sz w:val="14"/>
          <w:szCs w:val="14"/>
          <w:u w:val="single" w:color="auto"/>
          <w:color w:val="auto"/>
        </w:rPr>
        <w:t>Independent Contractor</w:t>
      </w:r>
      <w:r>
        <w:rPr>
          <w:rFonts w:ascii="Arial" w:cs="Arial" w:eastAsia="Arial" w:hAnsi="Arial"/>
          <w:sz w:val="14"/>
          <w:szCs w:val="14"/>
          <w:color w:val="auto"/>
        </w:rPr>
        <w:t>. The parties shall be deemed to be independent contractors, each with full control over its respective business affairs and operations. The Agreement shall not be construed as a partnership or joint venture and neither party hereto shall be liable for any obligations incurred by the other party except as expressly provided herein.</w:t>
      </w:r>
    </w:p>
    <w:p>
      <w:pPr>
        <w:spacing w:after="0" w:line="126" w:lineRule="exact"/>
        <w:rPr>
          <w:rFonts w:ascii="Arial" w:cs="Arial" w:eastAsia="Arial" w:hAnsi="Arial"/>
          <w:sz w:val="14"/>
          <w:szCs w:val="14"/>
          <w:color w:val="auto"/>
        </w:rPr>
      </w:pPr>
    </w:p>
    <w:p>
      <w:pPr>
        <w:ind w:left="368" w:right="5239" w:hanging="368"/>
        <w:spacing w:after="0" w:line="263" w:lineRule="auto"/>
        <w:tabs>
          <w:tab w:leader="none" w:pos="361" w:val="left"/>
        </w:tabs>
        <w:numPr>
          <w:ilvl w:val="0"/>
          <w:numId w:val="126"/>
        </w:numPr>
        <w:rPr>
          <w:rFonts w:ascii="Arial" w:cs="Arial" w:eastAsia="Arial" w:hAnsi="Arial"/>
          <w:sz w:val="14"/>
          <w:szCs w:val="14"/>
          <w:color w:val="auto"/>
        </w:rPr>
      </w:pPr>
      <w:r>
        <w:rPr>
          <w:rFonts w:ascii="Arial" w:cs="Arial" w:eastAsia="Arial" w:hAnsi="Arial"/>
          <w:sz w:val="14"/>
          <w:szCs w:val="14"/>
          <w:u w:val="single" w:color="auto"/>
          <w:color w:val="auto"/>
        </w:rPr>
        <w:t>Schedules and Captions</w:t>
      </w:r>
      <w:r>
        <w:rPr>
          <w:rFonts w:ascii="Arial" w:cs="Arial" w:eastAsia="Arial" w:hAnsi="Arial"/>
          <w:sz w:val="14"/>
          <w:szCs w:val="14"/>
          <w:color w:val="auto"/>
        </w:rPr>
        <w:t>. Schedules attached hereto are made a part of this Agreement. Captions are provided for reference only and are not made a part of this Agreement.</w:t>
      </w:r>
    </w:p>
    <w:p>
      <w:pPr>
        <w:spacing w:after="0" w:line="118" w:lineRule="exact"/>
        <w:rPr>
          <w:rFonts w:ascii="Arial" w:cs="Arial" w:eastAsia="Arial" w:hAnsi="Arial"/>
          <w:sz w:val="14"/>
          <w:szCs w:val="14"/>
          <w:color w:val="auto"/>
        </w:rPr>
      </w:pPr>
    </w:p>
    <w:p>
      <w:pPr>
        <w:ind w:left="368" w:right="5239" w:hanging="368"/>
        <w:spacing w:after="0" w:line="256" w:lineRule="auto"/>
        <w:tabs>
          <w:tab w:leader="none" w:pos="361" w:val="left"/>
        </w:tabs>
        <w:numPr>
          <w:ilvl w:val="0"/>
          <w:numId w:val="126"/>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signed simultaneously in any number of counterparts, each of which shall be deemed an original, and all of which shall constitute one and the same instrument as to the respective signatories.</w:t>
      </w:r>
    </w:p>
    <w:p>
      <w:pPr>
        <w:spacing w:after="0" w:line="60"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167"/>
          </w:cols>
          <w:pgMar w:left="292" w:top="220" w:right="1440" w:bottom="1440" w:gutter="0" w:footer="0" w:header="0"/>
        </w:sectPr>
      </w:pPr>
    </w:p>
    <w:bookmarkStart w:id="151" w:name="page152"/>
    <w:bookmarkEnd w:id="151"/>
    <w:p>
      <w:pPr>
        <w:ind w:left="368" w:right="5239" w:hanging="368"/>
        <w:spacing w:after="0" w:line="250" w:lineRule="auto"/>
        <w:tabs>
          <w:tab w:leader="none" w:pos="361" w:val="left"/>
        </w:tabs>
        <w:numPr>
          <w:ilvl w:val="0"/>
          <w:numId w:val="127"/>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Entire Agreement</w:t>
      </w:r>
      <w:r>
        <w:rPr>
          <w:rFonts w:ascii="Arial" w:cs="Arial" w:eastAsia="Arial" w:hAnsi="Arial"/>
          <w:sz w:val="14"/>
          <w:szCs w:val="14"/>
          <w:color w:val="auto"/>
        </w:rPr>
        <w:t>. This Agreement, including the Schedules attached hereto, supersede all prior discussions and agreements between the Ceding Company and the Reinsurer, and constitute their sole and entire agreement with respect to, the reinsurance of the Policies and there are no understandings between the parties other than as expressed in this Agreement.</w:t>
      </w:r>
    </w:p>
    <w:p>
      <w:pPr>
        <w:spacing w:after="0" w:line="65"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167"/>
          </w:cols>
          <w:pgMar w:left="292" w:top="220" w:right="1440" w:bottom="1440" w:gutter="0" w:footer="0" w:header="0"/>
        </w:sectPr>
      </w:pPr>
    </w:p>
    <w:bookmarkStart w:id="152" w:name="page153"/>
    <w:bookmarkEnd w:id="152"/>
    <w:p>
      <w:pPr>
        <w:ind w:left="8"/>
        <w:spacing w:after="0"/>
        <w:tabs>
          <w:tab w:leader="none" w:pos="1228"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Article XIV.   </w:t>
      </w:r>
      <w:r>
        <w:rPr>
          <w:sz w:val="20"/>
          <w:szCs w:val="20"/>
          <w:color w:val="auto"/>
        </w:rPr>
        <w:tab/>
      </w:r>
      <w:r>
        <w:rPr>
          <w:rFonts w:ascii="Arial" w:cs="Arial" w:eastAsia="Arial" w:hAnsi="Arial"/>
          <w:sz w:val="16"/>
          <w:szCs w:val="16"/>
          <w:b w:val="1"/>
          <w:bCs w:val="1"/>
          <w:color w:val="auto"/>
        </w:rPr>
        <w:t>NON-ADMITTED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663440" cy="114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4" w:right="1440" w:bottom="1440" w:gutter="0" w:footer="0" w:header="0"/>
        </w:sectPr>
      </w:pPr>
    </w:p>
    <w:p>
      <w:pPr>
        <w:spacing w:after="0" w:line="206" w:lineRule="exact"/>
        <w:rPr>
          <w:sz w:val="20"/>
          <w:szCs w:val="20"/>
          <w:color w:val="auto"/>
        </w:rPr>
      </w:pPr>
    </w:p>
    <w:p>
      <w:pPr>
        <w:ind w:left="228" w:right="5139" w:hanging="228"/>
        <w:spacing w:after="0" w:line="246" w:lineRule="auto"/>
        <w:tabs>
          <w:tab w:leader="none" w:pos="224" w:val="left"/>
        </w:tabs>
        <w:numPr>
          <w:ilvl w:val="0"/>
          <w:numId w:val="128"/>
        </w:numPr>
        <w:rPr>
          <w:rFonts w:ascii="Arial" w:cs="Arial" w:eastAsia="Arial" w:hAnsi="Arial"/>
          <w:sz w:val="14"/>
          <w:szCs w:val="14"/>
          <w:color w:val="auto"/>
        </w:rPr>
      </w:pPr>
      <w:r>
        <w:rPr>
          <w:rFonts w:ascii="Arial" w:cs="Arial" w:eastAsia="Arial" w:hAnsi="Arial"/>
          <w:sz w:val="14"/>
          <w:szCs w:val="14"/>
          <w:u w:val="single" w:color="auto"/>
          <w:color w:val="auto"/>
        </w:rPr>
        <w:t>Security Requirement</w:t>
      </w:r>
      <w:r>
        <w:rPr>
          <w:rFonts w:ascii="Arial" w:cs="Arial" w:eastAsia="Arial" w:hAnsi="Arial"/>
          <w:sz w:val="14"/>
          <w:szCs w:val="14"/>
          <w:color w:val="auto"/>
        </w:rPr>
        <w:t>. In the event that the Ceding Company shall, at any time, notify the Reinsurer of its determination that security for reinsurance recoverables hereunder is or may be necessary for the Ceding Company to obtain any associated regulatory statement credit for reinsurance ceded pursuant to this Agreement on account of the Reinsurer being neither licensed or accredited as a reinsurer in the domiciliary state of the Ceding Company, the Reinsurer shall establish a trust (”the Trust”) in accordance with Section B of this Article or the Reinsurer shall provide a letter of credit (an “LOC”) in accordance with Section C of this Article.</w:t>
      </w:r>
    </w:p>
    <w:p>
      <w:pPr>
        <w:spacing w:after="0" w:line="134" w:lineRule="exact"/>
        <w:rPr>
          <w:rFonts w:ascii="Arial" w:cs="Arial" w:eastAsia="Arial" w:hAnsi="Arial"/>
          <w:sz w:val="14"/>
          <w:szCs w:val="14"/>
          <w:color w:val="auto"/>
        </w:rPr>
      </w:pPr>
    </w:p>
    <w:p>
      <w:pPr>
        <w:ind w:left="208" w:hanging="208"/>
        <w:spacing w:after="0"/>
        <w:tabs>
          <w:tab w:leader="none" w:pos="208" w:val="left"/>
        </w:tabs>
        <w:numPr>
          <w:ilvl w:val="0"/>
          <w:numId w:val="128"/>
        </w:numPr>
        <w:rPr>
          <w:rFonts w:ascii="Arial" w:cs="Arial" w:eastAsia="Arial" w:hAnsi="Arial"/>
          <w:sz w:val="14"/>
          <w:szCs w:val="14"/>
          <w:color w:val="auto"/>
        </w:rPr>
      </w:pPr>
      <w:r>
        <w:rPr>
          <w:rFonts w:ascii="Arial" w:cs="Arial" w:eastAsia="Arial" w:hAnsi="Arial"/>
          <w:sz w:val="14"/>
          <w:szCs w:val="14"/>
          <w:u w:val="single" w:color="auto"/>
          <w:color w:val="auto"/>
        </w:rPr>
        <w:t>Trust Agreement</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448" w:right="5059" w:hanging="232"/>
        <w:spacing w:after="0" w:line="246" w:lineRule="auto"/>
        <w:tabs>
          <w:tab w:leader="none" w:pos="439" w:val="left"/>
        </w:tabs>
        <w:numPr>
          <w:ilvl w:val="1"/>
          <w:numId w:val="128"/>
        </w:numPr>
        <w:rPr>
          <w:rFonts w:ascii="Arial" w:cs="Arial" w:eastAsia="Arial" w:hAnsi="Arial"/>
          <w:sz w:val="14"/>
          <w:szCs w:val="14"/>
          <w:color w:val="auto"/>
        </w:rPr>
      </w:pPr>
      <w:r>
        <w:rPr>
          <w:rFonts w:ascii="Arial" w:cs="Arial" w:eastAsia="Arial" w:hAnsi="Arial"/>
          <w:sz w:val="14"/>
          <w:szCs w:val="14"/>
          <w:color w:val="auto"/>
        </w:rPr>
        <w:t>Except as may be provided in Section C of this Article, the Ceding Company and the Reinsurer shall enter into a Trust Agreement that complies with the requirements of New York Regulation 114, establishing a Trust Account for the benefit of the Ceding Company to cover the recoverables and/or Statutory Reserves attributable to the Policies. The Trustee shall be a bank, acceptable to each party, that is organized in the United States; that is regulated, supervised and examined by federal or state banking regulatory authorities; and that meets any other applicable regulatory financial condition standards. The bank shall not be a parent, subsidiary or affiliate of the Ceding Company or Reinsurer.</w:t>
      </w:r>
    </w:p>
    <w:p>
      <w:pPr>
        <w:spacing w:after="0" w:line="131" w:lineRule="exact"/>
        <w:rPr>
          <w:rFonts w:ascii="Arial" w:cs="Arial" w:eastAsia="Arial" w:hAnsi="Arial"/>
          <w:sz w:val="14"/>
          <w:szCs w:val="14"/>
          <w:color w:val="auto"/>
        </w:rPr>
      </w:pPr>
    </w:p>
    <w:p>
      <w:pPr>
        <w:ind w:left="448" w:right="5079" w:hanging="232"/>
        <w:spacing w:after="0" w:line="258" w:lineRule="auto"/>
        <w:tabs>
          <w:tab w:leader="none" w:pos="439" w:val="left"/>
        </w:tabs>
        <w:numPr>
          <w:ilvl w:val="1"/>
          <w:numId w:val="128"/>
        </w:numPr>
        <w:rPr>
          <w:rFonts w:ascii="Arial" w:cs="Arial" w:eastAsia="Arial" w:hAnsi="Arial"/>
          <w:sz w:val="14"/>
          <w:szCs w:val="14"/>
          <w:color w:val="auto"/>
        </w:rPr>
      </w:pPr>
      <w:r>
        <w:rPr>
          <w:rFonts w:ascii="Arial" w:cs="Arial" w:eastAsia="Arial" w:hAnsi="Arial"/>
          <w:sz w:val="14"/>
          <w:szCs w:val="14"/>
          <w:color w:val="auto"/>
        </w:rPr>
        <w:t>This Trust Agreement is intended to secure Statutory Statement credit for reinsurance ceded by the Ceding Company to the Reinsurer in accordance with regulations of the domiciliary state of the Ceding Company.</w:t>
      </w:r>
    </w:p>
    <w:p>
      <w:pPr>
        <w:spacing w:after="0" w:line="290" w:lineRule="exact"/>
        <w:rPr>
          <w:rFonts w:ascii="Arial" w:cs="Arial" w:eastAsia="Arial" w:hAnsi="Arial"/>
          <w:sz w:val="14"/>
          <w:szCs w:val="14"/>
          <w:color w:val="auto"/>
        </w:rPr>
      </w:pPr>
    </w:p>
    <w:p>
      <w:pPr>
        <w:ind w:left="448" w:right="5039" w:hanging="232"/>
        <w:spacing w:after="0" w:line="244" w:lineRule="auto"/>
        <w:tabs>
          <w:tab w:leader="none" w:pos="439" w:val="left"/>
        </w:tabs>
        <w:numPr>
          <w:ilvl w:val="1"/>
          <w:numId w:val="128"/>
        </w:numPr>
        <w:rPr>
          <w:rFonts w:ascii="Arial" w:cs="Arial" w:eastAsia="Arial" w:hAnsi="Arial"/>
          <w:sz w:val="14"/>
          <w:szCs w:val="14"/>
          <w:color w:val="auto"/>
        </w:rPr>
      </w:pPr>
      <w:r>
        <w:rPr>
          <w:rFonts w:ascii="Arial" w:cs="Arial" w:eastAsia="Arial" w:hAnsi="Arial"/>
          <w:sz w:val="14"/>
          <w:szCs w:val="14"/>
          <w:color w:val="auto"/>
        </w:rPr>
        <w:t>Assets having a value at least equal to 100% of the Required Amount attributable to the Policies shall be deposited into the Trust Account and maintained at all times until its dissolution. Assets deposited in the Trust Account shall be valued according to their current fair market value, as determined under the statutory accounting rules of the domiciliary state of the Ceding Company, and shall consist only of cash (United States legal tender) and investments of the types specified in paragraphs (1), (2), (3),</w:t>
      </w:r>
    </w:p>
    <w:p>
      <w:pPr>
        <w:spacing w:after="0" w:line="2" w:lineRule="exact"/>
        <w:rPr>
          <w:rFonts w:ascii="Arial" w:cs="Arial" w:eastAsia="Arial" w:hAnsi="Arial"/>
          <w:sz w:val="14"/>
          <w:szCs w:val="14"/>
          <w:color w:val="auto"/>
        </w:rPr>
      </w:pPr>
    </w:p>
    <w:p>
      <w:pPr>
        <w:ind w:left="448" w:right="5019"/>
        <w:spacing w:after="0" w:line="246" w:lineRule="auto"/>
        <w:rPr>
          <w:rFonts w:ascii="Arial" w:cs="Arial" w:eastAsia="Arial" w:hAnsi="Arial"/>
          <w:sz w:val="14"/>
          <w:szCs w:val="14"/>
          <w:color w:val="auto"/>
        </w:rPr>
      </w:pPr>
      <w:r>
        <w:rPr>
          <w:rFonts w:ascii="Arial" w:cs="Arial" w:eastAsia="Arial" w:hAnsi="Arial"/>
          <w:sz w:val="14"/>
          <w:szCs w:val="14"/>
          <w:color w:val="auto"/>
        </w:rPr>
        <w:t>(8) and (10) of subsection (a) of Section 1404 of the New York Insurance Law that are not issued by a parent, subsidiary or affiliate of either party. “Required Amount” means the amount required to be held as security for the benefit of the Ceding Company as necessary for the Ceding Company to obtain full regulatory statement credit for the reinsurance ceded pursuant to this Agreement.</w:t>
      </w:r>
    </w:p>
    <w:p>
      <w:pPr>
        <w:spacing w:after="0" w:line="129" w:lineRule="exact"/>
        <w:rPr>
          <w:rFonts w:ascii="Arial" w:cs="Arial" w:eastAsia="Arial" w:hAnsi="Arial"/>
          <w:sz w:val="14"/>
          <w:szCs w:val="14"/>
          <w:color w:val="auto"/>
        </w:rPr>
      </w:pPr>
    </w:p>
    <w:p>
      <w:pPr>
        <w:ind w:left="448" w:right="4999" w:hanging="232"/>
        <w:spacing w:after="0" w:line="285" w:lineRule="auto"/>
        <w:tabs>
          <w:tab w:leader="none" w:pos="439" w:val="left"/>
        </w:tabs>
        <w:numPr>
          <w:ilvl w:val="1"/>
          <w:numId w:val="128"/>
        </w:numPr>
        <w:rPr>
          <w:rFonts w:ascii="Arial" w:cs="Arial" w:eastAsia="Arial" w:hAnsi="Arial"/>
          <w:sz w:val="14"/>
          <w:szCs w:val="14"/>
          <w:color w:val="auto"/>
        </w:rPr>
      </w:pPr>
      <w:r>
        <w:rPr>
          <w:rFonts w:ascii="Arial" w:cs="Arial" w:eastAsia="Arial" w:hAnsi="Arial"/>
          <w:sz w:val="14"/>
          <w:szCs w:val="14"/>
          <w:color w:val="auto"/>
        </w:rPr>
        <w:t>Prior to depositing assets with the Trustee, the Reinsurer shall execute assignments, endorsements in blank or transfer legal title to the Trustee of</w:t>
      </w:r>
    </w:p>
    <w:p>
      <w:pPr>
        <w:spacing w:after="0" w:line="41"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167"/>
          </w:cols>
          <w:pgMar w:left="292" w:top="224" w:right="1440" w:bottom="1440" w:gutter="0" w:footer="0" w:header="0"/>
          <w:type w:val="continuous"/>
        </w:sectPr>
      </w:pPr>
    </w:p>
    <w:bookmarkStart w:id="153" w:name="page154"/>
    <w:bookmarkEnd w:id="153"/>
    <w:p>
      <w:pPr>
        <w:ind w:left="232"/>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all shares, obligations or any other assets requiring assignment in order</w:t>
      </w:r>
    </w:p>
    <w:p>
      <w:pPr>
        <w:spacing w:after="0" w:line="15" w:lineRule="exact"/>
        <w:rPr>
          <w:sz w:val="20"/>
          <w:szCs w:val="20"/>
          <w:color w:val="auto"/>
        </w:rPr>
      </w:pPr>
    </w:p>
    <w:p>
      <w:pPr>
        <w:ind w:left="232"/>
        <w:spacing w:after="0"/>
        <w:rPr>
          <w:sz w:val="20"/>
          <w:szCs w:val="20"/>
          <w:color w:val="auto"/>
        </w:rPr>
      </w:pPr>
      <w:r>
        <w:rPr>
          <w:rFonts w:ascii="Arial" w:cs="Arial" w:eastAsia="Arial" w:hAnsi="Arial"/>
          <w:sz w:val="14"/>
          <w:szCs w:val="14"/>
          <w:color w:val="auto"/>
        </w:rPr>
        <w:t>that the Ceding Company or the Trustee, upon direction of the Ceding</w:t>
      </w:r>
    </w:p>
    <w:p>
      <w:pPr>
        <w:spacing w:after="0" w:line="1" w:lineRule="exact"/>
        <w:rPr>
          <w:sz w:val="20"/>
          <w:szCs w:val="20"/>
          <w:color w:val="auto"/>
        </w:rPr>
      </w:pPr>
    </w:p>
    <w:p>
      <w:pPr>
        <w:ind w:left="232"/>
        <w:spacing w:after="0"/>
        <w:rPr>
          <w:sz w:val="20"/>
          <w:szCs w:val="20"/>
          <w:color w:val="auto"/>
        </w:rPr>
      </w:pPr>
      <w:r>
        <w:rPr>
          <w:rFonts w:ascii="Arial" w:cs="Arial" w:eastAsia="Arial" w:hAnsi="Arial"/>
          <w:sz w:val="14"/>
          <w:szCs w:val="14"/>
          <w:color w:val="auto"/>
        </w:rPr>
        <w:t>Company, may, whenever, necessary, negotiate any such assets without</w:t>
      </w:r>
    </w:p>
    <w:p>
      <w:pPr>
        <w:spacing w:after="0" w:line="1" w:lineRule="exact"/>
        <w:rPr>
          <w:sz w:val="20"/>
          <w:szCs w:val="20"/>
          <w:color w:val="auto"/>
        </w:rPr>
      </w:pPr>
    </w:p>
    <w:p>
      <w:pPr>
        <w:ind w:left="232"/>
        <w:spacing w:after="0"/>
        <w:rPr>
          <w:sz w:val="20"/>
          <w:szCs w:val="20"/>
          <w:color w:val="auto"/>
        </w:rPr>
      </w:pPr>
      <w:r>
        <w:rPr>
          <w:rFonts w:ascii="Arial" w:cs="Arial" w:eastAsia="Arial" w:hAnsi="Arial"/>
          <w:sz w:val="14"/>
          <w:szCs w:val="14"/>
          <w:color w:val="auto"/>
        </w:rPr>
        <w:t>consent or signature from the Reinsurer of an other person or entity, other</w:t>
      </w:r>
    </w:p>
    <w:p>
      <w:pPr>
        <w:spacing w:after="0" w:line="1" w:lineRule="exact"/>
        <w:rPr>
          <w:sz w:val="20"/>
          <w:szCs w:val="20"/>
          <w:color w:val="auto"/>
        </w:rPr>
      </w:pPr>
    </w:p>
    <w:p>
      <w:pPr>
        <w:ind w:left="232"/>
        <w:spacing w:after="0"/>
        <w:rPr>
          <w:sz w:val="20"/>
          <w:szCs w:val="20"/>
          <w:color w:val="auto"/>
        </w:rPr>
      </w:pPr>
      <w:r>
        <w:rPr>
          <w:rFonts w:ascii="Arial" w:cs="Arial" w:eastAsia="Arial" w:hAnsi="Arial"/>
          <w:sz w:val="14"/>
          <w:szCs w:val="14"/>
          <w:color w:val="auto"/>
        </w:rPr>
        <w:t>than the Trustee, in accordance with the terms of the Trust Agreement.</w:t>
      </w:r>
    </w:p>
    <w:p>
      <w:pPr>
        <w:spacing w:after="0" w:line="149" w:lineRule="exact"/>
        <w:rPr>
          <w:sz w:val="20"/>
          <w:szCs w:val="20"/>
          <w:color w:val="auto"/>
        </w:rPr>
      </w:pPr>
    </w:p>
    <w:p>
      <w:pPr>
        <w:ind w:left="232" w:right="4999" w:hanging="232"/>
        <w:spacing w:after="0" w:line="248" w:lineRule="auto"/>
        <w:tabs>
          <w:tab w:leader="none" w:pos="223" w:val="left"/>
        </w:tabs>
        <w:numPr>
          <w:ilvl w:val="0"/>
          <w:numId w:val="129"/>
        </w:numPr>
        <w:rPr>
          <w:rFonts w:ascii="Arial" w:cs="Arial" w:eastAsia="Arial" w:hAnsi="Arial"/>
          <w:sz w:val="14"/>
          <w:szCs w:val="14"/>
          <w:color w:val="auto"/>
        </w:rPr>
      </w:pPr>
      <w:r>
        <w:rPr>
          <w:rFonts w:ascii="Arial" w:cs="Arial" w:eastAsia="Arial" w:hAnsi="Arial"/>
          <w:sz w:val="14"/>
          <w:szCs w:val="14"/>
          <w:color w:val="auto"/>
        </w:rPr>
        <w:t>Assets in the Trust Account, established hereunder, may be withdrawn by the Ceding Company at any time, notwithstanding any other provisions of this Agreement, and shall be utilized and applied by the Ceding Company or any successor of the Ceding Company by operation of law, including without limitation any liquidator, rehabilitator, receiver or conservator of the Ceding Company, without diminution because of insolvency on the part of the Ceding Company or the Reinsurer, only for the following purposes:</w:t>
      </w:r>
    </w:p>
    <w:p>
      <w:pPr>
        <w:spacing w:after="0" w:line="131" w:lineRule="exact"/>
        <w:rPr>
          <w:rFonts w:ascii="Arial" w:cs="Arial" w:eastAsia="Arial" w:hAnsi="Arial"/>
          <w:sz w:val="14"/>
          <w:szCs w:val="14"/>
          <w:color w:val="auto"/>
        </w:rPr>
      </w:pPr>
    </w:p>
    <w:p>
      <w:pPr>
        <w:jc w:val="both"/>
        <w:ind w:left="512" w:right="5479" w:hanging="296"/>
        <w:spacing w:after="0" w:line="263" w:lineRule="auto"/>
        <w:tabs>
          <w:tab w:leader="none" w:pos="498" w:val="left"/>
        </w:tabs>
        <w:numPr>
          <w:ilvl w:val="1"/>
          <w:numId w:val="129"/>
        </w:numPr>
        <w:rPr>
          <w:rFonts w:ascii="Arial" w:cs="Arial" w:eastAsia="Arial" w:hAnsi="Arial"/>
          <w:sz w:val="14"/>
          <w:szCs w:val="14"/>
          <w:color w:val="auto"/>
        </w:rPr>
      </w:pPr>
      <w:r>
        <w:rPr>
          <w:rFonts w:ascii="Arial" w:cs="Arial" w:eastAsia="Arial" w:hAnsi="Arial"/>
          <w:sz w:val="14"/>
          <w:szCs w:val="14"/>
          <w:color w:val="auto"/>
        </w:rPr>
        <w:t>to reimburse the Ceding Company for the Reinsurer’s share of premiums returned to the owners of the Policies on account of cancellations of such Policies;</w:t>
      </w:r>
    </w:p>
    <w:p>
      <w:pPr>
        <w:spacing w:after="0" w:line="118" w:lineRule="exact"/>
        <w:rPr>
          <w:rFonts w:ascii="Arial" w:cs="Arial" w:eastAsia="Arial" w:hAnsi="Arial"/>
          <w:sz w:val="14"/>
          <w:szCs w:val="14"/>
          <w:color w:val="auto"/>
        </w:rPr>
      </w:pPr>
    </w:p>
    <w:p>
      <w:pPr>
        <w:ind w:left="512" w:right="5399" w:hanging="296"/>
        <w:spacing w:after="0" w:line="256" w:lineRule="auto"/>
        <w:tabs>
          <w:tab w:leader="none" w:pos="498" w:val="left"/>
        </w:tabs>
        <w:numPr>
          <w:ilvl w:val="1"/>
          <w:numId w:val="129"/>
        </w:numPr>
        <w:rPr>
          <w:rFonts w:ascii="Arial" w:cs="Arial" w:eastAsia="Arial" w:hAnsi="Arial"/>
          <w:sz w:val="14"/>
          <w:szCs w:val="14"/>
          <w:color w:val="auto"/>
        </w:rPr>
      </w:pPr>
      <w:r>
        <w:rPr>
          <w:rFonts w:ascii="Arial" w:cs="Arial" w:eastAsia="Arial" w:hAnsi="Arial"/>
          <w:sz w:val="14"/>
          <w:szCs w:val="14"/>
          <w:color w:val="auto"/>
        </w:rPr>
        <w:t>to reimburse the Ceding Company for the Reinsurer’s share of surrenders and benefits or losses paid by the Ceding Company pursuant to the provisions of the Policies reinsured under this Agreement;</w:t>
      </w:r>
    </w:p>
    <w:p>
      <w:pPr>
        <w:spacing w:after="0" w:line="123" w:lineRule="exact"/>
        <w:rPr>
          <w:rFonts w:ascii="Arial" w:cs="Arial" w:eastAsia="Arial" w:hAnsi="Arial"/>
          <w:sz w:val="14"/>
          <w:szCs w:val="14"/>
          <w:color w:val="auto"/>
        </w:rPr>
      </w:pPr>
    </w:p>
    <w:p>
      <w:pPr>
        <w:ind w:left="512" w:right="5139" w:hanging="296"/>
        <w:spacing w:after="0" w:line="248" w:lineRule="auto"/>
        <w:tabs>
          <w:tab w:leader="none" w:pos="498" w:val="left"/>
        </w:tabs>
        <w:numPr>
          <w:ilvl w:val="1"/>
          <w:numId w:val="129"/>
        </w:numPr>
        <w:rPr>
          <w:rFonts w:ascii="Arial" w:cs="Arial" w:eastAsia="Arial" w:hAnsi="Arial"/>
          <w:sz w:val="14"/>
          <w:szCs w:val="14"/>
          <w:color w:val="auto"/>
        </w:rPr>
      </w:pPr>
      <w:r>
        <w:rPr>
          <w:rFonts w:ascii="Arial" w:cs="Arial" w:eastAsia="Arial" w:hAnsi="Arial"/>
          <w:sz w:val="14"/>
          <w:szCs w:val="14"/>
          <w:color w:val="auto"/>
        </w:rPr>
        <w:t>to fund an account with the Ceding Company in an amount at least equal to the deduction, for reinsurance ceded, from the Ceding Company’s liabilities for Policies ceded under this Agreement. Such amount shall include, but not be limited to, amounts for policy reserves, reserves for claims and losses incurred (including losses incurred but not reported), loss adjustment expenses and unearned premiums; and</w:t>
      </w:r>
    </w:p>
    <w:p>
      <w:pPr>
        <w:spacing w:after="0" w:line="131" w:lineRule="exact"/>
        <w:rPr>
          <w:rFonts w:ascii="Arial" w:cs="Arial" w:eastAsia="Arial" w:hAnsi="Arial"/>
          <w:sz w:val="14"/>
          <w:szCs w:val="14"/>
          <w:color w:val="auto"/>
        </w:rPr>
      </w:pPr>
    </w:p>
    <w:p>
      <w:pPr>
        <w:ind w:left="512" w:right="5339" w:hanging="296"/>
        <w:spacing w:after="0" w:line="285" w:lineRule="auto"/>
        <w:tabs>
          <w:tab w:leader="none" w:pos="498" w:val="left"/>
        </w:tabs>
        <w:numPr>
          <w:ilvl w:val="1"/>
          <w:numId w:val="129"/>
        </w:numPr>
        <w:rPr>
          <w:rFonts w:ascii="Arial" w:cs="Arial" w:eastAsia="Arial" w:hAnsi="Arial"/>
          <w:sz w:val="14"/>
          <w:szCs w:val="14"/>
          <w:color w:val="auto"/>
        </w:rPr>
      </w:pPr>
      <w:r>
        <w:rPr>
          <w:rFonts w:ascii="Arial" w:cs="Arial" w:eastAsia="Arial" w:hAnsi="Arial"/>
          <w:sz w:val="14"/>
          <w:szCs w:val="14"/>
          <w:color w:val="auto"/>
        </w:rPr>
        <w:t>to pay any other amounts that the Ceding Company claims to be due hereunder.</w:t>
      </w:r>
    </w:p>
    <w:p>
      <w:pPr>
        <w:spacing w:after="0" w:line="103" w:lineRule="exact"/>
        <w:rPr>
          <w:rFonts w:ascii="Arial" w:cs="Arial" w:eastAsia="Arial" w:hAnsi="Arial"/>
          <w:sz w:val="14"/>
          <w:szCs w:val="14"/>
          <w:color w:val="auto"/>
        </w:rPr>
      </w:pPr>
    </w:p>
    <w:p>
      <w:pPr>
        <w:ind w:left="232" w:right="5079" w:hanging="232"/>
        <w:spacing w:after="0" w:line="263" w:lineRule="auto"/>
        <w:tabs>
          <w:tab w:leader="none" w:pos="223" w:val="left"/>
        </w:tabs>
        <w:numPr>
          <w:ilvl w:val="0"/>
          <w:numId w:val="129"/>
        </w:numPr>
        <w:rPr>
          <w:rFonts w:ascii="Arial" w:cs="Arial" w:eastAsia="Arial" w:hAnsi="Arial"/>
          <w:sz w:val="14"/>
          <w:szCs w:val="14"/>
          <w:color w:val="auto"/>
        </w:rPr>
      </w:pPr>
      <w:r>
        <w:rPr>
          <w:rFonts w:ascii="Arial" w:cs="Arial" w:eastAsia="Arial" w:hAnsi="Arial"/>
          <w:sz w:val="14"/>
          <w:szCs w:val="14"/>
          <w:color w:val="auto"/>
        </w:rPr>
        <w:t>With the approval of the Ceding Company, the Reinsurer may withdraw from the Trust Account all or any part of the assets contained therein and transfer such assets to the Reinsurer; provided</w:t>
      </w:r>
    </w:p>
    <w:p>
      <w:pPr>
        <w:spacing w:after="0" w:line="118" w:lineRule="exact"/>
        <w:rPr>
          <w:rFonts w:ascii="Arial" w:cs="Arial" w:eastAsia="Arial" w:hAnsi="Arial"/>
          <w:sz w:val="14"/>
          <w:szCs w:val="14"/>
          <w:color w:val="auto"/>
        </w:rPr>
      </w:pPr>
    </w:p>
    <w:p>
      <w:pPr>
        <w:ind w:left="512" w:right="5139" w:hanging="296"/>
        <w:spacing w:after="0" w:line="256" w:lineRule="auto"/>
        <w:tabs>
          <w:tab w:leader="none" w:pos="498" w:val="left"/>
        </w:tabs>
        <w:numPr>
          <w:ilvl w:val="1"/>
          <w:numId w:val="129"/>
        </w:numPr>
        <w:rPr>
          <w:rFonts w:ascii="Arial" w:cs="Arial" w:eastAsia="Arial" w:hAnsi="Arial"/>
          <w:sz w:val="14"/>
          <w:szCs w:val="14"/>
          <w:color w:val="auto"/>
        </w:rPr>
      </w:pPr>
      <w:r>
        <w:rPr>
          <w:rFonts w:ascii="Arial" w:cs="Arial" w:eastAsia="Arial" w:hAnsi="Arial"/>
          <w:sz w:val="14"/>
          <w:szCs w:val="14"/>
          <w:color w:val="auto"/>
        </w:rPr>
        <w:t>the Reinsurer shall, at the time of such withdrawal, replace the withdrawn assets with other qualified assets having a market value equal to the market value of the assets withdrawn so as to maintain the Trust Account at the Required Amount at all times; or</w:t>
      </w:r>
    </w:p>
    <w:p>
      <w:pPr>
        <w:spacing w:after="0" w:line="123" w:lineRule="exact"/>
        <w:rPr>
          <w:rFonts w:ascii="Arial" w:cs="Arial" w:eastAsia="Arial" w:hAnsi="Arial"/>
          <w:sz w:val="14"/>
          <w:szCs w:val="14"/>
          <w:color w:val="auto"/>
        </w:rPr>
      </w:pPr>
    </w:p>
    <w:p>
      <w:pPr>
        <w:ind w:left="512" w:right="5239" w:hanging="296"/>
        <w:spacing w:after="0" w:line="285" w:lineRule="auto"/>
        <w:tabs>
          <w:tab w:leader="none" w:pos="498" w:val="left"/>
        </w:tabs>
        <w:numPr>
          <w:ilvl w:val="1"/>
          <w:numId w:val="129"/>
        </w:numPr>
        <w:rPr>
          <w:rFonts w:ascii="Arial" w:cs="Arial" w:eastAsia="Arial" w:hAnsi="Arial"/>
          <w:sz w:val="14"/>
          <w:szCs w:val="14"/>
          <w:color w:val="auto"/>
        </w:rPr>
      </w:pPr>
      <w:r>
        <w:rPr>
          <w:rFonts w:ascii="Arial" w:cs="Arial" w:eastAsia="Arial" w:hAnsi="Arial"/>
          <w:sz w:val="14"/>
          <w:szCs w:val="14"/>
          <w:color w:val="auto"/>
        </w:rPr>
        <w:t>after such withdrawals and transfers, the market value of the Trust Account is not less than 102% of the Required Amount.</w:t>
      </w:r>
    </w:p>
    <w:p>
      <w:pPr>
        <w:spacing w:after="0" w:line="86" w:lineRule="exact"/>
        <w:rPr>
          <w:sz w:val="20"/>
          <w:szCs w:val="20"/>
          <w:color w:val="auto"/>
        </w:rPr>
      </w:pPr>
    </w:p>
    <w:p>
      <w:pPr>
        <w:ind w:left="232"/>
        <w:spacing w:after="0"/>
        <w:rPr>
          <w:sz w:val="20"/>
          <w:szCs w:val="20"/>
          <w:color w:val="auto"/>
        </w:rPr>
      </w:pPr>
      <w:r>
        <w:rPr>
          <w:rFonts w:ascii="Arial" w:cs="Arial" w:eastAsia="Arial" w:hAnsi="Arial"/>
          <w:sz w:val="14"/>
          <w:szCs w:val="14"/>
          <w:color w:val="auto"/>
        </w:rPr>
        <w:t>The Ceding Company shall be the sole judge as to the application of this</w:t>
      </w:r>
    </w:p>
    <w:p>
      <w:pPr>
        <w:spacing w:after="0" w:line="15" w:lineRule="exact"/>
        <w:rPr>
          <w:sz w:val="20"/>
          <w:szCs w:val="20"/>
          <w:color w:val="auto"/>
        </w:rPr>
      </w:pPr>
    </w:p>
    <w:p>
      <w:pPr>
        <w:ind w:left="232"/>
        <w:spacing w:after="0"/>
        <w:rPr>
          <w:sz w:val="20"/>
          <w:szCs w:val="20"/>
          <w:color w:val="auto"/>
        </w:rPr>
      </w:pPr>
      <w:r>
        <w:rPr>
          <w:rFonts w:ascii="Arial" w:cs="Arial" w:eastAsia="Arial" w:hAnsi="Arial"/>
          <w:sz w:val="14"/>
          <w:szCs w:val="14"/>
          <w:color w:val="auto"/>
        </w:rPr>
        <w:t>provision, but shall not unreasonably or arbitrarily withhold its approval.</w:t>
      </w:r>
    </w:p>
    <w:p>
      <w:pPr>
        <w:spacing w:after="0" w:line="86" w:lineRule="exact"/>
        <w:rPr>
          <w:sz w:val="20"/>
          <w:szCs w:val="20"/>
          <w:color w:val="auto"/>
        </w:rPr>
      </w:pPr>
    </w:p>
    <w:p>
      <w:pPr>
        <w:ind w:left="3372"/>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9951"/>
          </w:cols>
          <w:pgMar w:left="508" w:top="220" w:right="1440" w:bottom="1440" w:gutter="0" w:footer="0" w:header="0"/>
        </w:sectPr>
      </w:pPr>
    </w:p>
    <w:bookmarkStart w:id="154" w:name="page155"/>
    <w:bookmarkEnd w:id="154"/>
    <w:p>
      <w:pPr>
        <w:ind w:left="448" w:right="4999" w:hanging="232"/>
        <w:spacing w:after="0" w:line="246" w:lineRule="auto"/>
        <w:tabs>
          <w:tab w:leader="none" w:pos="439" w:val="left"/>
        </w:tabs>
        <w:numPr>
          <w:ilvl w:val="1"/>
          <w:numId w:val="13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Ceding Company will return any amounts withdrawn from the Trust in excess of the actual amounts required for subparagraphs (i), (ii) and (iii) of paragraph 5 or, in the case of subparagraph (iv) of paragraph 5, any amounts that are subsequently determined not to be due. The Ceding Company will pay interest on amounts held pursuant to subparagraph (iii) of paragraph 5 at a rate equal to the “Prime Rate” published in The Wall Street Journal (currently the base rate on corporate loans posted by at least 75% of the nation’s 30 largest banks), which rate shall be adjusted on the last day of each month; and</w:t>
      </w:r>
    </w:p>
    <w:p>
      <w:pPr>
        <w:spacing w:after="0" w:line="134" w:lineRule="exact"/>
        <w:rPr>
          <w:rFonts w:ascii="Arial" w:cs="Arial" w:eastAsia="Arial" w:hAnsi="Arial"/>
          <w:sz w:val="14"/>
          <w:szCs w:val="14"/>
          <w:color w:val="auto"/>
        </w:rPr>
      </w:pPr>
    </w:p>
    <w:p>
      <w:pPr>
        <w:ind w:left="448" w:right="5539" w:hanging="232"/>
        <w:spacing w:after="0" w:line="285" w:lineRule="auto"/>
        <w:tabs>
          <w:tab w:leader="none" w:pos="439" w:val="left"/>
        </w:tabs>
        <w:numPr>
          <w:ilvl w:val="1"/>
          <w:numId w:val="130"/>
        </w:numPr>
        <w:rPr>
          <w:rFonts w:ascii="Arial" w:cs="Arial" w:eastAsia="Arial" w:hAnsi="Arial"/>
          <w:sz w:val="14"/>
          <w:szCs w:val="14"/>
          <w:color w:val="auto"/>
        </w:rPr>
      </w:pPr>
      <w:r>
        <w:rPr>
          <w:rFonts w:ascii="Arial" w:cs="Arial" w:eastAsia="Arial" w:hAnsi="Arial"/>
          <w:sz w:val="14"/>
          <w:szCs w:val="14"/>
          <w:color w:val="auto"/>
        </w:rPr>
        <w:t>All of the foregoing provisions are to be applied without diminution because of insolvency on the part of either party.</w:t>
      </w:r>
    </w:p>
    <w:p>
      <w:pPr>
        <w:spacing w:after="0" w:line="103" w:lineRule="exact"/>
        <w:rPr>
          <w:rFonts w:ascii="Arial" w:cs="Arial" w:eastAsia="Arial" w:hAnsi="Arial"/>
          <w:sz w:val="14"/>
          <w:szCs w:val="14"/>
          <w:color w:val="auto"/>
        </w:rPr>
      </w:pPr>
    </w:p>
    <w:p>
      <w:pPr>
        <w:ind w:left="208" w:hanging="208"/>
        <w:spacing w:after="0"/>
        <w:tabs>
          <w:tab w:leader="none" w:pos="208"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Letters of Credit</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448" w:right="5159" w:hanging="232"/>
        <w:spacing w:after="0" w:line="263" w:lineRule="auto"/>
        <w:tabs>
          <w:tab w:leader="none" w:pos="439" w:val="left"/>
        </w:tabs>
        <w:numPr>
          <w:ilvl w:val="1"/>
          <w:numId w:val="131"/>
        </w:numPr>
        <w:rPr>
          <w:rFonts w:ascii="Arial" w:cs="Arial" w:eastAsia="Arial" w:hAnsi="Arial"/>
          <w:sz w:val="14"/>
          <w:szCs w:val="14"/>
          <w:color w:val="auto"/>
        </w:rPr>
      </w:pPr>
      <w:r>
        <w:rPr>
          <w:rFonts w:ascii="Arial" w:cs="Arial" w:eastAsia="Arial" w:hAnsi="Arial"/>
          <w:sz w:val="14"/>
          <w:szCs w:val="14"/>
          <w:color w:val="auto"/>
        </w:rPr>
        <w:t>The Reinsurer will provide and maintain an LOC that complies with New York Regulation 133 in an amount no less than 100% of the Required Amount.</w:t>
      </w:r>
    </w:p>
    <w:p>
      <w:pPr>
        <w:spacing w:after="0" w:line="118" w:lineRule="exact"/>
        <w:rPr>
          <w:rFonts w:ascii="Arial" w:cs="Arial" w:eastAsia="Arial" w:hAnsi="Arial"/>
          <w:sz w:val="14"/>
          <w:szCs w:val="14"/>
          <w:color w:val="auto"/>
        </w:rPr>
      </w:pPr>
    </w:p>
    <w:p>
      <w:pPr>
        <w:ind w:left="448" w:right="4979" w:hanging="232"/>
        <w:spacing w:after="0" w:line="247" w:lineRule="auto"/>
        <w:tabs>
          <w:tab w:leader="none" w:pos="439" w:val="left"/>
        </w:tabs>
        <w:numPr>
          <w:ilvl w:val="1"/>
          <w:numId w:val="131"/>
        </w:numPr>
        <w:rPr>
          <w:rFonts w:ascii="Arial" w:cs="Arial" w:eastAsia="Arial" w:hAnsi="Arial"/>
          <w:sz w:val="14"/>
          <w:szCs w:val="14"/>
          <w:color w:val="auto"/>
        </w:rPr>
      </w:pPr>
      <w:r>
        <w:rPr>
          <w:rFonts w:ascii="Arial" w:cs="Arial" w:eastAsia="Arial" w:hAnsi="Arial"/>
          <w:sz w:val="14"/>
          <w:szCs w:val="14"/>
          <w:color w:val="auto"/>
        </w:rPr>
        <w:t>The Reinsurer shall be the LOC applicant. The Trustee shall be a bank, acceptable to each party, that is organized in the United States; that is regulated, supervised and examined by federal or state banking regulatory authorities; that meets National Association of Insurance Commissioners-Securities Valuation Office standards for acceptable LOC issuance and that is not a foreign branch office of a bank or trust company organized and existing in the United States. The bank shall not be a parent, subsidiary or affiliate of the Ceding Company or Reinsurer.</w:t>
      </w:r>
    </w:p>
    <w:p>
      <w:pPr>
        <w:spacing w:after="0" w:line="132" w:lineRule="exact"/>
        <w:rPr>
          <w:rFonts w:ascii="Arial" w:cs="Arial" w:eastAsia="Arial" w:hAnsi="Arial"/>
          <w:sz w:val="14"/>
          <w:szCs w:val="14"/>
          <w:color w:val="auto"/>
        </w:rPr>
      </w:pPr>
    </w:p>
    <w:p>
      <w:pPr>
        <w:ind w:left="448" w:right="5019" w:hanging="232"/>
        <w:spacing w:after="0" w:line="252" w:lineRule="auto"/>
        <w:tabs>
          <w:tab w:leader="none" w:pos="439" w:val="left"/>
        </w:tabs>
        <w:numPr>
          <w:ilvl w:val="1"/>
          <w:numId w:val="131"/>
        </w:numPr>
        <w:rPr>
          <w:rFonts w:ascii="Arial" w:cs="Arial" w:eastAsia="Arial" w:hAnsi="Arial"/>
          <w:sz w:val="14"/>
          <w:szCs w:val="14"/>
          <w:color w:val="auto"/>
        </w:rPr>
      </w:pPr>
      <w:r>
        <w:rPr>
          <w:rFonts w:ascii="Arial" w:cs="Arial" w:eastAsia="Arial" w:hAnsi="Arial"/>
          <w:sz w:val="14"/>
          <w:szCs w:val="14"/>
          <w:color w:val="auto"/>
        </w:rPr>
        <w:t>The LOC may be drawn at any time, notwithstanding any other provisions herein and may be utilized by the Ceding Company or any successor by operation of law of the Ceding Company, including without limitation any liquidator, rehabilitator, receiver or conservator of the Ceding Company for the following purposes:</w:t>
      </w:r>
    </w:p>
    <w:p>
      <w:pPr>
        <w:spacing w:after="0" w:line="126" w:lineRule="exact"/>
        <w:rPr>
          <w:rFonts w:ascii="Arial" w:cs="Arial" w:eastAsia="Arial" w:hAnsi="Arial"/>
          <w:sz w:val="14"/>
          <w:szCs w:val="14"/>
          <w:color w:val="auto"/>
        </w:rPr>
      </w:pPr>
    </w:p>
    <w:p>
      <w:pPr>
        <w:ind w:left="728" w:right="5479" w:hanging="296"/>
        <w:spacing w:after="0" w:line="285" w:lineRule="auto"/>
        <w:tabs>
          <w:tab w:leader="none" w:pos="714" w:val="left"/>
        </w:tabs>
        <w:numPr>
          <w:ilvl w:val="2"/>
          <w:numId w:val="131"/>
        </w:numPr>
        <w:rPr>
          <w:rFonts w:ascii="Arial" w:cs="Arial" w:eastAsia="Arial" w:hAnsi="Arial"/>
          <w:sz w:val="14"/>
          <w:szCs w:val="14"/>
          <w:color w:val="auto"/>
        </w:rPr>
      </w:pPr>
      <w:r>
        <w:rPr>
          <w:rFonts w:ascii="Arial" w:cs="Arial" w:eastAsia="Arial" w:hAnsi="Arial"/>
          <w:sz w:val="14"/>
          <w:szCs w:val="14"/>
          <w:color w:val="auto"/>
        </w:rPr>
        <w:t>to reimburse the Ceding Company for the Reinsurer’s share of Policy premiums returned on account of cancellations;</w:t>
      </w:r>
    </w:p>
    <w:p>
      <w:pPr>
        <w:spacing w:after="0" w:line="103" w:lineRule="exact"/>
        <w:rPr>
          <w:rFonts w:ascii="Arial" w:cs="Arial" w:eastAsia="Arial" w:hAnsi="Arial"/>
          <w:sz w:val="14"/>
          <w:szCs w:val="14"/>
          <w:color w:val="auto"/>
        </w:rPr>
      </w:pPr>
    </w:p>
    <w:p>
      <w:pPr>
        <w:ind w:left="728" w:right="5119" w:hanging="296"/>
        <w:spacing w:after="0" w:line="256" w:lineRule="auto"/>
        <w:tabs>
          <w:tab w:leader="none" w:pos="714" w:val="left"/>
        </w:tabs>
        <w:numPr>
          <w:ilvl w:val="2"/>
          <w:numId w:val="131"/>
        </w:numPr>
        <w:rPr>
          <w:rFonts w:ascii="Arial" w:cs="Arial" w:eastAsia="Arial" w:hAnsi="Arial"/>
          <w:sz w:val="14"/>
          <w:szCs w:val="14"/>
          <w:color w:val="auto"/>
        </w:rPr>
      </w:pPr>
      <w:r>
        <w:rPr>
          <w:rFonts w:ascii="Arial" w:cs="Arial" w:eastAsia="Arial" w:hAnsi="Arial"/>
          <w:sz w:val="14"/>
          <w:szCs w:val="14"/>
          <w:color w:val="auto"/>
        </w:rPr>
        <w:t>to reimburse the Ceding Company for the Reinsurer’s share of surrenders and benefits or losses paid by the Ceding Company pursuant to the terms and provisions of the Policies reinsured under this Agreement;</w:t>
      </w:r>
    </w:p>
    <w:p>
      <w:pPr>
        <w:spacing w:after="0" w:line="123" w:lineRule="exact"/>
        <w:rPr>
          <w:rFonts w:ascii="Arial" w:cs="Arial" w:eastAsia="Arial" w:hAnsi="Arial"/>
          <w:sz w:val="14"/>
          <w:szCs w:val="14"/>
          <w:color w:val="auto"/>
        </w:rPr>
      </w:pPr>
    </w:p>
    <w:p>
      <w:pPr>
        <w:ind w:left="728" w:right="5159" w:hanging="296"/>
        <w:spacing w:after="0" w:line="252" w:lineRule="auto"/>
        <w:tabs>
          <w:tab w:leader="none" w:pos="714" w:val="left"/>
        </w:tabs>
        <w:numPr>
          <w:ilvl w:val="2"/>
          <w:numId w:val="131"/>
        </w:numPr>
        <w:rPr>
          <w:rFonts w:ascii="Arial" w:cs="Arial" w:eastAsia="Arial" w:hAnsi="Arial"/>
          <w:sz w:val="14"/>
          <w:szCs w:val="14"/>
          <w:color w:val="auto"/>
        </w:rPr>
      </w:pPr>
      <w:r>
        <w:rPr>
          <w:rFonts w:ascii="Arial" w:cs="Arial" w:eastAsia="Arial" w:hAnsi="Arial"/>
          <w:sz w:val="14"/>
          <w:szCs w:val="14"/>
          <w:color w:val="auto"/>
        </w:rPr>
        <w:t>to fund an account with the Ceding Company in an amount at least equal to the deduction, for reinsurance ceded, from the Ceding Company’s liabilities for the Policies ceded under this Agreement. Such amount shall include, but not be limited to, amounts for policy reserves, reserves for claims and losses incurred (including losses</w:t>
      </w:r>
    </w:p>
    <w:p>
      <w:pPr>
        <w:spacing w:after="0" w:line="64"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167"/>
          </w:cols>
          <w:pgMar w:left="292" w:top="220" w:right="1440" w:bottom="1440" w:gutter="0" w:footer="0" w:header="0"/>
        </w:sectPr>
      </w:pPr>
    </w:p>
    <w:bookmarkStart w:id="155" w:name="page156"/>
    <w:bookmarkEnd w:id="155"/>
    <w:p>
      <w:pPr>
        <w:ind w:left="728"/>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incurred but not reported), loss adjustment expenses, and</w:t>
      </w:r>
    </w:p>
    <w:p>
      <w:pPr>
        <w:spacing w:after="0" w:line="15" w:lineRule="exact"/>
        <w:rPr>
          <w:sz w:val="20"/>
          <w:szCs w:val="20"/>
          <w:color w:val="auto"/>
        </w:rPr>
      </w:pPr>
    </w:p>
    <w:p>
      <w:pPr>
        <w:ind w:left="728"/>
        <w:spacing w:after="0"/>
        <w:rPr>
          <w:sz w:val="20"/>
          <w:szCs w:val="20"/>
          <w:color w:val="auto"/>
        </w:rPr>
      </w:pPr>
      <w:r>
        <w:rPr>
          <w:rFonts w:ascii="Arial" w:cs="Arial" w:eastAsia="Arial" w:hAnsi="Arial"/>
          <w:sz w:val="14"/>
          <w:szCs w:val="14"/>
          <w:color w:val="auto"/>
        </w:rPr>
        <w:t>unearned premiums; and</w:t>
      </w:r>
    </w:p>
    <w:p>
      <w:pPr>
        <w:spacing w:after="0" w:line="149" w:lineRule="exact"/>
        <w:rPr>
          <w:sz w:val="20"/>
          <w:szCs w:val="20"/>
          <w:color w:val="auto"/>
        </w:rPr>
      </w:pPr>
    </w:p>
    <w:p>
      <w:pPr>
        <w:ind w:left="728" w:right="5339" w:hanging="296"/>
        <w:spacing w:after="0" w:line="285" w:lineRule="auto"/>
        <w:tabs>
          <w:tab w:leader="none" w:pos="714" w:val="left"/>
        </w:tabs>
        <w:numPr>
          <w:ilvl w:val="2"/>
          <w:numId w:val="132"/>
        </w:numPr>
        <w:rPr>
          <w:rFonts w:ascii="Arial" w:cs="Arial" w:eastAsia="Arial" w:hAnsi="Arial"/>
          <w:sz w:val="14"/>
          <w:szCs w:val="14"/>
          <w:color w:val="auto"/>
        </w:rPr>
      </w:pPr>
      <w:r>
        <w:rPr>
          <w:rFonts w:ascii="Arial" w:cs="Arial" w:eastAsia="Arial" w:hAnsi="Arial"/>
          <w:sz w:val="14"/>
          <w:szCs w:val="14"/>
          <w:color w:val="auto"/>
        </w:rPr>
        <w:t>to pay any other amounts that the Ceding Company claims to be due hereunder.</w:t>
      </w:r>
    </w:p>
    <w:p>
      <w:pPr>
        <w:spacing w:after="0" w:line="103" w:lineRule="exact"/>
        <w:rPr>
          <w:rFonts w:ascii="Arial" w:cs="Arial" w:eastAsia="Arial" w:hAnsi="Arial"/>
          <w:sz w:val="14"/>
          <w:szCs w:val="14"/>
          <w:color w:val="auto"/>
        </w:rPr>
      </w:pPr>
    </w:p>
    <w:p>
      <w:pPr>
        <w:ind w:left="448" w:right="4999" w:hanging="232"/>
        <w:spacing w:after="0" w:line="246" w:lineRule="auto"/>
        <w:tabs>
          <w:tab w:leader="none" w:pos="439" w:val="left"/>
        </w:tabs>
        <w:numPr>
          <w:ilvl w:val="1"/>
          <w:numId w:val="133"/>
        </w:numPr>
        <w:rPr>
          <w:rFonts w:ascii="Arial" w:cs="Arial" w:eastAsia="Arial" w:hAnsi="Arial"/>
          <w:sz w:val="14"/>
          <w:szCs w:val="14"/>
          <w:color w:val="auto"/>
        </w:rPr>
      </w:pPr>
      <w:r>
        <w:rPr>
          <w:rFonts w:ascii="Arial" w:cs="Arial" w:eastAsia="Arial" w:hAnsi="Arial"/>
          <w:sz w:val="14"/>
          <w:szCs w:val="14"/>
          <w:color w:val="auto"/>
        </w:rPr>
        <w:t>The Ceding Company will return any amounts drawn on the LOC in excess of the actual amounts required for subparagraphs (i), (ii) and (iii) of paragraph 3 or, in the case of subparagraph (iv) of paragraph 3, any amounts that are subsequently determined not to be due. The Ceding Company will pay interest on amounts held pursuant to subparagraph (iii) of paragraph 3 at a rate equal to the “Prime Rate” published in The Wall Street Journal (currently the base rate on corporate loans posted by at least 75% of the nation’s 30 largest banks), which rate shall be adjusted on the last day of each month; and</w:t>
      </w:r>
    </w:p>
    <w:p>
      <w:pPr>
        <w:spacing w:after="0" w:line="134" w:lineRule="exact"/>
        <w:rPr>
          <w:rFonts w:ascii="Arial" w:cs="Arial" w:eastAsia="Arial" w:hAnsi="Arial"/>
          <w:sz w:val="14"/>
          <w:szCs w:val="14"/>
          <w:color w:val="auto"/>
        </w:rPr>
      </w:pPr>
    </w:p>
    <w:p>
      <w:pPr>
        <w:ind w:left="228" w:right="5459" w:hanging="228"/>
        <w:spacing w:after="0" w:line="285" w:lineRule="auto"/>
        <w:tabs>
          <w:tab w:leader="none" w:pos="224" w:val="left"/>
        </w:tabs>
        <w:numPr>
          <w:ilvl w:val="0"/>
          <w:numId w:val="134"/>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 All of the foregoing provisions are to be applied without diminution because of insolvency on the part of either party.</w:t>
      </w:r>
    </w:p>
    <w:p>
      <w:pPr>
        <w:spacing w:after="0" w:line="41"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167"/>
          </w:cols>
          <w:pgMar w:left="292" w:top="220" w:right="1440"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Arial" w:cs="Arial" w:eastAsia="Arial" w:hAnsi="Arial"/>
          <w:sz w:val="14"/>
          <w:szCs w:val="14"/>
          <w:color w:val="auto"/>
        </w:rPr>
        <w:t>, the parties have caused this Agreement to be signed</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as of the date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BRIGHTHOUSE LIFE INSURANCE COMPANY OF NY</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By: /s/ Patrisha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12065</wp:posOffset>
            </wp:positionV>
            <wp:extent cx="167449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1674495" cy="5715"/>
                    </a:xfrm>
                    <a:prstGeom prst="rect">
                      <a:avLst/>
                    </a:prstGeom>
                    <a:noFill/>
                  </pic:spPr>
                </pic:pic>
              </a:graphicData>
            </a:graphic>
          </wp:anchor>
        </w:drawing>
      </w:r>
    </w:p>
    <w:p>
      <w:pPr>
        <w:spacing w:after="0" w:line="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Name: Patrisha Cox</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Title:    Vice President</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BRIGHTHOUSE LIFE INSURANCE COMPANY</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By: /s/ Patrisha Cox 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-4445</wp:posOffset>
            </wp:positionV>
            <wp:extent cx="12852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1285240" cy="571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color w:val="auto"/>
        </w:rPr>
        <w:t>Name: Patrisha Cox</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Title:    Vice President</w:t>
      </w:r>
    </w:p>
    <w:p>
      <w:pPr>
        <w:spacing w:after="0" w:line="248" w:lineRule="exact"/>
        <w:rPr>
          <w:sz w:val="20"/>
          <w:szCs w:val="20"/>
          <w:color w:val="auto"/>
        </w:rPr>
      </w:pPr>
    </w:p>
    <w:p>
      <w:pPr>
        <w:jc w:val="center"/>
        <w:ind w:right="2819"/>
        <w:spacing w:after="0"/>
        <w:rPr>
          <w:sz w:val="20"/>
          <w:szCs w:val="20"/>
          <w:color w:val="auto"/>
        </w:rPr>
      </w:pPr>
      <w:r>
        <w:rPr>
          <w:rFonts w:ascii="Arial" w:cs="Arial" w:eastAsia="Arial" w:hAnsi="Arial"/>
          <w:sz w:val="14"/>
          <w:szCs w:val="14"/>
          <w:color w:val="auto"/>
        </w:rPr>
        <w:t>33</w:t>
      </w:r>
    </w:p>
    <w:p>
      <w:pPr>
        <w:spacing w:after="0" w:line="73" w:lineRule="exact"/>
        <w:rPr>
          <w:sz w:val="20"/>
          <w:szCs w:val="20"/>
          <w:color w:val="auto"/>
        </w:rPr>
      </w:pPr>
    </w:p>
    <w:p>
      <w:pPr>
        <w:jc w:val="center"/>
        <w:ind w:right="2819"/>
        <w:spacing w:after="0"/>
        <w:rPr>
          <w:sz w:val="20"/>
          <w:szCs w:val="20"/>
          <w:color w:val="auto"/>
        </w:rPr>
      </w:pPr>
      <w:r>
        <w:rPr>
          <w:rFonts w:ascii="Arial" w:cs="Arial" w:eastAsia="Arial" w:hAnsi="Arial"/>
          <w:sz w:val="14"/>
          <w:szCs w:val="14"/>
          <w:color w:val="auto"/>
        </w:rPr>
        <w:t>SIGNATURE PAGE – BLICNY/BLIC REINSURANCE AGREEMENT</w:t>
      </w:r>
    </w:p>
    <w:p>
      <w:pPr>
        <w:sectPr>
          <w:pgSz w:w="11900" w:h="16838" w:orient="portrait"/>
          <w:cols w:equalWidth="0" w:num="1">
            <w:col w:w="10159"/>
          </w:cols>
          <w:pgMar w:left="300" w:top="220" w:right="1440" w:bottom="1440" w:gutter="0" w:footer="0" w:header="0"/>
        </w:sectPr>
      </w:pPr>
    </w:p>
    <w:bookmarkStart w:id="157" w:name="page158"/>
    <w:bookmarkEnd w:id="157"/>
    <w:p>
      <w:pPr>
        <w:ind w:left="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A    POLICIES AND RISKS REINSURED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663440" cy="114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4" w:right="1440" w:bottom="1440" w:gutter="0" w:footer="0" w:header="0"/>
        </w:sectPr>
      </w:pPr>
    </w:p>
    <w:p>
      <w:pPr>
        <w:spacing w:after="0" w:line="218" w:lineRule="exact"/>
        <w:rPr>
          <w:sz w:val="20"/>
          <w:szCs w:val="20"/>
          <w:color w:val="auto"/>
        </w:rPr>
      </w:pPr>
    </w:p>
    <w:p>
      <w:pPr>
        <w:ind w:left="368" w:right="5159" w:hanging="368"/>
        <w:spacing w:after="0" w:line="247" w:lineRule="auto"/>
        <w:tabs>
          <w:tab w:leader="none" w:pos="361" w:val="left"/>
        </w:tabs>
        <w:numPr>
          <w:ilvl w:val="0"/>
          <w:numId w:val="135"/>
        </w:numPr>
        <w:rPr>
          <w:rFonts w:ascii="Arial" w:cs="Arial" w:eastAsia="Arial" w:hAnsi="Arial"/>
          <w:sz w:val="14"/>
          <w:szCs w:val="14"/>
          <w:color w:val="auto"/>
        </w:rPr>
      </w:pPr>
      <w:r>
        <w:rPr>
          <w:rFonts w:ascii="Arial" w:cs="Arial" w:eastAsia="Arial" w:hAnsi="Arial"/>
          <w:sz w:val="14"/>
          <w:szCs w:val="14"/>
          <w:u w:val="single" w:color="auto"/>
          <w:color w:val="auto"/>
        </w:rPr>
        <w:t>Policies and Risks Reinsured</w:t>
      </w:r>
      <w:r>
        <w:rPr>
          <w:rFonts w:ascii="Arial" w:cs="Arial" w:eastAsia="Arial" w:hAnsi="Arial"/>
          <w:sz w:val="14"/>
          <w:szCs w:val="14"/>
          <w:color w:val="auto"/>
        </w:rPr>
        <w:t>. [***] of all individual single purchase payment deferred annuity contracts with index-linked account options (and/or marketed as the “Brighthouse Shield Level”, “Brighthouse Shield” or “Shield” product) issued by the Ceding Company prior to and in-force as of the Effective Date (or reinstated thereafter in accordance with the terms of the Policies) and [***] of all such individual single purchase payment deferred annuity contracts with index-linked account options issued by the Ceding Company on and after the Effective Date.</w:t>
      </w:r>
    </w:p>
    <w:p>
      <w:pPr>
        <w:spacing w:after="0" w:line="132" w:lineRule="exact"/>
        <w:rPr>
          <w:rFonts w:ascii="Arial" w:cs="Arial" w:eastAsia="Arial" w:hAnsi="Arial"/>
          <w:sz w:val="14"/>
          <w:szCs w:val="14"/>
          <w:color w:val="auto"/>
        </w:rPr>
      </w:pPr>
    </w:p>
    <w:p>
      <w:pPr>
        <w:ind w:left="368" w:hanging="368"/>
        <w:spacing w:after="0"/>
        <w:tabs>
          <w:tab w:leader="none" w:pos="368" w:val="left"/>
        </w:tabs>
        <w:numPr>
          <w:ilvl w:val="0"/>
          <w:numId w:val="135"/>
        </w:numPr>
        <w:rPr>
          <w:rFonts w:ascii="Arial" w:cs="Arial" w:eastAsia="Arial" w:hAnsi="Arial"/>
          <w:sz w:val="14"/>
          <w:szCs w:val="14"/>
          <w:color w:val="auto"/>
        </w:rPr>
      </w:pPr>
      <w:r>
        <w:rPr>
          <w:rFonts w:ascii="Arial" w:cs="Arial" w:eastAsia="Arial" w:hAnsi="Arial"/>
          <w:sz w:val="14"/>
          <w:szCs w:val="14"/>
          <w:u w:val="single" w:color="auto"/>
          <w:color w:val="auto"/>
        </w:rPr>
        <w:t>Effective Date</w:t>
      </w:r>
      <w:r>
        <w:rPr>
          <w:rFonts w:ascii="Arial" w:cs="Arial" w:eastAsia="Arial" w:hAnsi="Arial"/>
          <w:sz w:val="14"/>
          <w:szCs w:val="14"/>
          <w:color w:val="auto"/>
        </w:rPr>
        <w:t>. October 1, 2023</w:t>
      </w:r>
    </w:p>
    <w:p>
      <w:pPr>
        <w:spacing w:after="0" w:line="100"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0167"/>
          </w:cols>
          <w:pgMar w:left="292" w:top="224" w:right="1440" w:bottom="1440" w:gutter="0" w:footer="0" w:header="0"/>
          <w:type w:val="continuous"/>
        </w:sectPr>
      </w:pPr>
    </w:p>
    <w:bookmarkStart w:id="158" w:name="page159"/>
    <w:bookmarkEnd w:id="158"/>
    <w:p>
      <w:pPr>
        <w:ind w:left="8"/>
        <w:spacing w:after="0"/>
        <w:tabs>
          <w:tab w:leader="none" w:pos="1108"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B </w:t>
      </w:r>
      <w:r>
        <w:rPr>
          <w:sz w:val="20"/>
          <w:szCs w:val="20"/>
          <w:color w:val="auto"/>
        </w:rPr>
        <w:tab/>
      </w:r>
      <w:r>
        <w:rPr>
          <w:rFonts w:ascii="Arial" w:cs="Arial" w:eastAsia="Arial" w:hAnsi="Arial"/>
          <w:sz w:val="16"/>
          <w:szCs w:val="16"/>
          <w:b w:val="1"/>
          <w:bCs w:val="1"/>
          <w:color w:val="auto"/>
        </w:rPr>
        <w:t>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663440" cy="114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4" w:right="1440" w:bottom="1440" w:gutter="0" w:footer="0" w:header="0"/>
        </w:sectPr>
      </w:pPr>
    </w:p>
    <w:p>
      <w:pPr>
        <w:spacing w:after="0" w:line="206" w:lineRule="exact"/>
        <w:rPr>
          <w:sz w:val="20"/>
          <w:szCs w:val="20"/>
          <w:color w:val="auto"/>
        </w:rPr>
      </w:pPr>
    </w:p>
    <w:p>
      <w:pPr>
        <w:ind w:left="368" w:right="5179" w:hanging="368"/>
        <w:spacing w:after="0" w:line="250" w:lineRule="auto"/>
        <w:tabs>
          <w:tab w:leader="none" w:pos="361" w:val="left"/>
        </w:tabs>
        <w:numPr>
          <w:ilvl w:val="0"/>
          <w:numId w:val="13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Modco Reserves</w:t>
      </w:r>
      <w:r>
        <w:rPr>
          <w:rFonts w:ascii="Arial" w:cs="Arial" w:eastAsia="Arial" w:hAnsi="Arial"/>
          <w:sz w:val="14"/>
          <w:szCs w:val="14"/>
          <w:color w:val="auto"/>
        </w:rPr>
        <w:t>” means an amount equal to the Quota Share of the separate account liabilities as would be shown on Exhibit 3 of the Separate Account Statutory Statements filed with the Ceding Company’s domiciliary state with respect to the Policies; provided, however, that Modco Reserves shall be net of the Ceded Reinsurance Agreements, if any.</w:t>
      </w:r>
    </w:p>
    <w:p>
      <w:pPr>
        <w:spacing w:after="0" w:line="127" w:lineRule="exact"/>
        <w:rPr>
          <w:rFonts w:ascii="Arial" w:cs="Arial" w:eastAsia="Arial" w:hAnsi="Arial"/>
          <w:sz w:val="14"/>
          <w:szCs w:val="14"/>
          <w:color w:val="auto"/>
        </w:rPr>
      </w:pPr>
    </w:p>
    <w:p>
      <w:pPr>
        <w:ind w:left="368" w:right="5139" w:hanging="368"/>
        <w:spacing w:after="0" w:line="252" w:lineRule="auto"/>
        <w:tabs>
          <w:tab w:leader="none" w:pos="361" w:val="left"/>
        </w:tabs>
        <w:numPr>
          <w:ilvl w:val="0"/>
          <w:numId w:val="13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Statutory Reserves</w:t>
      </w:r>
      <w:r>
        <w:rPr>
          <w:rFonts w:ascii="Arial" w:cs="Arial" w:eastAsia="Arial" w:hAnsi="Arial"/>
          <w:sz w:val="14"/>
          <w:szCs w:val="14"/>
          <w:color w:val="auto"/>
        </w:rPr>
        <w:t>” means the Quota Share of the statutory reserves as would be reported by the Ceding Company on its Statutory Statements filed with the Ceding Company’s domiciliary state with respect to the Policies; provided, however, that Statutory Reserves shall be net of the Ceded Reinsurance Agreements, if any.</w:t>
      </w:r>
    </w:p>
    <w:p>
      <w:pPr>
        <w:spacing w:after="0" w:line="64"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0167"/>
          </w:cols>
          <w:pgMar w:left="292" w:top="224" w:right="1440" w:bottom="1440" w:gutter="0" w:footer="0" w:header="0"/>
          <w:type w:val="continuous"/>
        </w:sectPr>
      </w:pPr>
    </w:p>
    <w:bookmarkStart w:id="159" w:name="page160"/>
    <w:bookmarkEnd w:id="159"/>
    <w:p>
      <w:pPr>
        <w:ind w:left="8"/>
        <w:spacing w:after="0"/>
        <w:tabs>
          <w:tab w:leader="none" w:pos="1108"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C </w:t>
      </w:r>
      <w:r>
        <w:rPr>
          <w:sz w:val="20"/>
          <w:szCs w:val="20"/>
          <w:color w:val="auto"/>
        </w:rPr>
        <w:tab/>
      </w:r>
      <w:r>
        <w:rPr>
          <w:rFonts w:ascii="Arial" w:cs="Arial" w:eastAsia="Arial" w:hAnsi="Arial"/>
          <w:sz w:val="16"/>
          <w:szCs w:val="16"/>
          <w:b w:val="1"/>
          <w:bCs w:val="1"/>
          <w:color w:val="auto"/>
        </w:rPr>
        <w:t>MODCO INVESTMENT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663440" cy="114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4" w:right="1440" w:bottom="1440" w:gutter="0" w:footer="0" w:header="0"/>
        </w:sectPr>
      </w:pPr>
    </w:p>
    <w:p>
      <w:pPr>
        <w:spacing w:after="0" w:line="206" w:lineRule="exact"/>
        <w:rPr>
          <w:sz w:val="20"/>
          <w:szCs w:val="20"/>
          <w:color w:val="auto"/>
        </w:rPr>
      </w:pPr>
    </w:p>
    <w:p>
      <w:pPr>
        <w:ind w:left="368" w:right="5099" w:hanging="368"/>
        <w:spacing w:after="0" w:line="248" w:lineRule="auto"/>
        <w:tabs>
          <w:tab w:leader="none" w:pos="361" w:val="left"/>
        </w:tabs>
        <w:numPr>
          <w:ilvl w:val="0"/>
          <w:numId w:val="137"/>
        </w:numPr>
        <w:rPr>
          <w:rFonts w:ascii="Arial" w:cs="Arial" w:eastAsia="Arial" w:hAnsi="Arial"/>
          <w:sz w:val="14"/>
          <w:szCs w:val="14"/>
          <w:color w:val="auto"/>
        </w:rPr>
      </w:pPr>
      <w:r>
        <w:rPr>
          <w:rFonts w:ascii="Arial" w:cs="Arial" w:eastAsia="Arial" w:hAnsi="Arial"/>
          <w:sz w:val="14"/>
          <w:szCs w:val="14"/>
          <w:u w:val="single" w:color="auto"/>
          <w:color w:val="auto"/>
        </w:rPr>
        <w:t>Modco Investment Credit</w:t>
      </w:r>
      <w:r>
        <w:rPr>
          <w:rFonts w:ascii="Arial" w:cs="Arial" w:eastAsia="Arial" w:hAnsi="Arial"/>
          <w:sz w:val="14"/>
          <w:szCs w:val="14"/>
          <w:color w:val="auto"/>
        </w:rPr>
        <w:t>. The Modco Investment Credit for any Accounting Period shall be equal to the sum of all earned investment income, realized and unrealized capital gains and losses, on the Separate Accounts of the Ceding Company, which have been credited to, or deducted from, the Policies during the Accounting Period. The Modco Investment Credit is net of fees deducted and not shared back to the Ceding Company in respect of the Policies.</w:t>
      </w:r>
    </w:p>
    <w:p>
      <w:pPr>
        <w:spacing w:after="0" w:line="68"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0167"/>
          </w:cols>
          <w:pgMar w:left="292" w:top="224" w:right="1440" w:bottom="1440" w:gutter="0" w:footer="0" w:header="0"/>
          <w:type w:val="continuous"/>
        </w:sectPr>
      </w:pPr>
    </w:p>
    <w:bookmarkStart w:id="160" w:name="page161"/>
    <w:bookmarkEnd w:id="160"/>
    <w:p>
      <w:pPr>
        <w:ind w:left="8"/>
        <w:spacing w:after="0"/>
        <w:tabs>
          <w:tab w:leader="none" w:pos="1108"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D </w:t>
      </w:r>
      <w:r>
        <w:rPr>
          <w:sz w:val="20"/>
          <w:szCs w:val="20"/>
          <w:color w:val="auto"/>
        </w:rPr>
        <w:tab/>
      </w:r>
      <w:r>
        <w:rPr>
          <w:rFonts w:ascii="Arial" w:cs="Arial" w:eastAsia="Arial" w:hAnsi="Arial"/>
          <w:sz w:val="16"/>
          <w:szCs w:val="16"/>
          <w:b w:val="1"/>
          <w:bCs w:val="1"/>
          <w:color w:val="auto"/>
        </w:rPr>
        <w:t>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663440" cy="114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4" w:right="1440" w:bottom="1440" w:gutter="0" w:footer="0" w:header="0"/>
        </w:sectPr>
      </w:pPr>
    </w:p>
    <w:p>
      <w:pPr>
        <w:spacing w:after="0" w:line="206" w:lineRule="exact"/>
        <w:rPr>
          <w:sz w:val="20"/>
          <w:szCs w:val="20"/>
          <w:color w:val="auto"/>
        </w:rPr>
      </w:pPr>
    </w:p>
    <w:p>
      <w:pPr>
        <w:jc w:val="both"/>
        <w:ind w:left="368" w:right="5139" w:hanging="368"/>
        <w:spacing w:after="0" w:line="263" w:lineRule="auto"/>
        <w:tabs>
          <w:tab w:leader="none" w:pos="361" w:val="left"/>
        </w:tabs>
        <w:numPr>
          <w:ilvl w:val="0"/>
          <w:numId w:val="138"/>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Commission Allowance</w:t>
      </w:r>
      <w:r>
        <w:rPr>
          <w:rFonts w:ascii="Arial" w:cs="Arial" w:eastAsia="Arial" w:hAnsi="Arial"/>
          <w:sz w:val="14"/>
          <w:szCs w:val="14"/>
          <w:color w:val="auto"/>
        </w:rPr>
        <w:t>. Each Accounting Period, the Reinsurer shall pay the Ceding Company a Commission Allowance equal to the Quota Share of (a) + (b), where:</w:t>
      </w:r>
    </w:p>
    <w:p>
      <w:pPr>
        <w:spacing w:after="0" w:line="118" w:lineRule="exact"/>
        <w:rPr>
          <w:rFonts w:ascii="Arial" w:cs="Arial" w:eastAsia="Arial" w:hAnsi="Arial"/>
          <w:sz w:val="14"/>
          <w:szCs w:val="14"/>
          <w:u w:val="single" w:color="auto"/>
          <w:color w:val="auto"/>
        </w:rPr>
      </w:pPr>
    </w:p>
    <w:p>
      <w:pPr>
        <w:ind w:left="1168" w:right="5239" w:hanging="367"/>
        <w:spacing w:after="0" w:line="263" w:lineRule="auto"/>
        <w:tabs>
          <w:tab w:leader="none" w:pos="1154" w:val="left"/>
        </w:tabs>
        <w:numPr>
          <w:ilvl w:val="1"/>
          <w:numId w:val="138"/>
        </w:numPr>
        <w:rPr>
          <w:rFonts w:ascii="Arial" w:cs="Arial" w:eastAsia="Arial" w:hAnsi="Arial"/>
          <w:sz w:val="14"/>
          <w:szCs w:val="14"/>
          <w:color w:val="auto"/>
        </w:rPr>
      </w:pPr>
      <w:r>
        <w:rPr>
          <w:rFonts w:ascii="Arial" w:cs="Arial" w:eastAsia="Arial" w:hAnsi="Arial"/>
          <w:sz w:val="14"/>
          <w:szCs w:val="14"/>
          <w:color w:val="auto"/>
        </w:rPr>
        <w:t>equals [***] of the gross Policy premiums and deposits collected at issue with respect to the Policies issued during such Accounting Period (“New Issue Premium”), and</w:t>
      </w:r>
    </w:p>
    <w:p>
      <w:pPr>
        <w:spacing w:after="0" w:line="118" w:lineRule="exact"/>
        <w:rPr>
          <w:rFonts w:ascii="Arial" w:cs="Arial" w:eastAsia="Arial" w:hAnsi="Arial"/>
          <w:sz w:val="14"/>
          <w:szCs w:val="14"/>
          <w:color w:val="auto"/>
        </w:rPr>
      </w:pPr>
    </w:p>
    <w:p>
      <w:pPr>
        <w:ind w:left="1168" w:right="5419" w:hanging="367"/>
        <w:spacing w:after="0" w:line="285" w:lineRule="auto"/>
        <w:tabs>
          <w:tab w:leader="none" w:pos="1154" w:val="left"/>
        </w:tabs>
        <w:numPr>
          <w:ilvl w:val="1"/>
          <w:numId w:val="138"/>
        </w:numPr>
        <w:rPr>
          <w:rFonts w:ascii="Arial" w:cs="Arial" w:eastAsia="Arial" w:hAnsi="Arial"/>
          <w:sz w:val="14"/>
          <w:szCs w:val="14"/>
          <w:color w:val="auto"/>
        </w:rPr>
      </w:pPr>
      <w:r>
        <w:rPr>
          <w:rFonts w:ascii="Arial" w:cs="Arial" w:eastAsia="Arial" w:hAnsi="Arial"/>
          <w:sz w:val="14"/>
          <w:szCs w:val="14"/>
          <w:color w:val="auto"/>
        </w:rPr>
        <w:t>equals [***] per Policy with respect to the Policies issued during such Account Period.</w:t>
      </w:r>
    </w:p>
    <w:p>
      <w:pPr>
        <w:spacing w:after="0" w:line="104" w:lineRule="exact"/>
        <w:rPr>
          <w:sz w:val="20"/>
          <w:szCs w:val="20"/>
          <w:color w:val="auto"/>
        </w:rPr>
      </w:pPr>
    </w:p>
    <w:p>
      <w:pPr>
        <w:ind w:left="368" w:right="5159" w:hanging="368"/>
        <w:spacing w:after="0" w:line="250" w:lineRule="auto"/>
        <w:tabs>
          <w:tab w:leader="none" w:pos="361" w:val="left"/>
        </w:tabs>
        <w:numPr>
          <w:ilvl w:val="0"/>
          <w:numId w:val="139"/>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Maintenance Expense Allowance</w:t>
      </w:r>
      <w:r>
        <w:rPr>
          <w:rFonts w:ascii="Arial" w:cs="Arial" w:eastAsia="Arial" w:hAnsi="Arial"/>
          <w:sz w:val="14"/>
          <w:szCs w:val="14"/>
          <w:color w:val="auto"/>
        </w:rPr>
        <w:t>. The Reinsurer shall indemnify the Ceding Company for expenses incurred in connection with ongoing maintenance and administration of the Policies. Each Accounting Period, the expenses incurred in connection with ongoing maintenance and administration of the Policies shall be equal to the Quota Share of (a) + (b), where:</w:t>
      </w:r>
    </w:p>
    <w:p>
      <w:pPr>
        <w:spacing w:after="0" w:line="127" w:lineRule="exact"/>
        <w:rPr>
          <w:rFonts w:ascii="Arial" w:cs="Arial" w:eastAsia="Arial" w:hAnsi="Arial"/>
          <w:sz w:val="14"/>
          <w:szCs w:val="14"/>
          <w:u w:val="single" w:color="auto"/>
          <w:color w:val="auto"/>
        </w:rPr>
      </w:pPr>
    </w:p>
    <w:p>
      <w:pPr>
        <w:ind w:left="1168" w:right="5119" w:hanging="367"/>
        <w:spacing w:after="0" w:line="263" w:lineRule="auto"/>
        <w:tabs>
          <w:tab w:leader="none" w:pos="1154" w:val="left"/>
        </w:tabs>
        <w:numPr>
          <w:ilvl w:val="1"/>
          <w:numId w:val="139"/>
        </w:numPr>
        <w:rPr>
          <w:rFonts w:ascii="Arial" w:cs="Arial" w:eastAsia="Arial" w:hAnsi="Arial"/>
          <w:sz w:val="14"/>
          <w:szCs w:val="14"/>
          <w:color w:val="auto"/>
        </w:rPr>
      </w:pPr>
      <w:r>
        <w:rPr>
          <w:rFonts w:ascii="Arial" w:cs="Arial" w:eastAsia="Arial" w:hAnsi="Arial"/>
          <w:sz w:val="14"/>
          <w:szCs w:val="14"/>
          <w:color w:val="auto"/>
        </w:rPr>
        <w:t>equals [***] multiplied by the aggregate account value of the Policies at the beginning of the Accounting Period (increased by [***] per annum); and</w:t>
      </w:r>
    </w:p>
    <w:p>
      <w:pPr>
        <w:spacing w:after="0" w:line="118" w:lineRule="exact"/>
        <w:rPr>
          <w:rFonts w:ascii="Arial" w:cs="Arial" w:eastAsia="Arial" w:hAnsi="Arial"/>
          <w:sz w:val="14"/>
          <w:szCs w:val="14"/>
          <w:color w:val="auto"/>
        </w:rPr>
      </w:pPr>
    </w:p>
    <w:p>
      <w:pPr>
        <w:ind w:left="1168" w:right="5439" w:hanging="367"/>
        <w:spacing w:after="0" w:line="285" w:lineRule="auto"/>
        <w:tabs>
          <w:tab w:leader="none" w:pos="1154" w:val="left"/>
        </w:tabs>
        <w:numPr>
          <w:ilvl w:val="1"/>
          <w:numId w:val="139"/>
        </w:numPr>
        <w:rPr>
          <w:rFonts w:ascii="Arial" w:cs="Arial" w:eastAsia="Arial" w:hAnsi="Arial"/>
          <w:sz w:val="14"/>
          <w:szCs w:val="14"/>
          <w:color w:val="auto"/>
        </w:rPr>
      </w:pPr>
      <w:r>
        <w:rPr>
          <w:rFonts w:ascii="Arial" w:cs="Arial" w:eastAsia="Arial" w:hAnsi="Arial"/>
          <w:sz w:val="14"/>
          <w:szCs w:val="14"/>
          <w:color w:val="auto"/>
        </w:rPr>
        <w:t>equals [***] per Policy in-force as of the beginning of the Accounting Period (increased by [***] per annum).</w:t>
      </w:r>
    </w:p>
    <w:p>
      <w:pPr>
        <w:spacing w:after="0" w:line="104" w:lineRule="exact"/>
        <w:rPr>
          <w:sz w:val="20"/>
          <w:szCs w:val="20"/>
          <w:color w:val="auto"/>
        </w:rPr>
      </w:pPr>
    </w:p>
    <w:p>
      <w:pPr>
        <w:ind w:left="368" w:right="5139" w:hanging="368"/>
        <w:spacing w:after="0" w:line="263" w:lineRule="auto"/>
        <w:tabs>
          <w:tab w:leader="none" w:pos="361" w:val="left"/>
        </w:tabs>
        <w:numPr>
          <w:ilvl w:val="0"/>
          <w:numId w:val="140"/>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Premium Tax Allowance</w:t>
      </w:r>
      <w:r>
        <w:rPr>
          <w:rFonts w:ascii="Arial" w:cs="Arial" w:eastAsia="Arial" w:hAnsi="Arial"/>
          <w:sz w:val="14"/>
          <w:szCs w:val="14"/>
          <w:color w:val="auto"/>
        </w:rPr>
        <w:t>. For each Accounting Period, the Reinsurer shall pay the Ceding Company a Premium Tax Allowance equal to the Quota Share of [***] of gross Policy premiums.</w:t>
      </w:r>
    </w:p>
    <w:p>
      <w:pPr>
        <w:spacing w:after="0" w:line="56" w:lineRule="exact"/>
        <w:rPr>
          <w:sz w:val="20"/>
          <w:szCs w:val="20"/>
          <w:color w:val="auto"/>
        </w:rPr>
      </w:pPr>
    </w:p>
    <w:p>
      <w:pPr>
        <w:ind w:left="3588"/>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0167"/>
          </w:cols>
          <w:pgMar w:left="292" w:top="224" w:right="1440"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E QUARTERLY REPORT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4663440" cy="114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200" w:type="dxa"/>
            <w:vAlign w:val="bottom"/>
            <w:tcBorders>
              <w:top w:val="single" w:sz="8" w:color="auto"/>
              <w:left w:val="single" w:sz="8" w:color="auto"/>
            </w:tcBorders>
          </w:tcPr>
          <w:p>
            <w:pPr>
              <w:spacing w:after="0"/>
              <w:rPr>
                <w:sz w:val="10"/>
                <w:szCs w:val="10"/>
                <w:color w:val="auto"/>
              </w:rPr>
            </w:pPr>
          </w:p>
        </w:tc>
        <w:tc>
          <w:tcPr>
            <w:tcW w:w="488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1"/>
                <w:szCs w:val="11"/>
                <w:b w:val="1"/>
                <w:bCs w:val="1"/>
                <w:color w:val="auto"/>
              </w:rPr>
              <w:t>Sample Quarterly Statement of Activity</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Statutory</w:t>
            </w:r>
          </w:p>
        </w:tc>
        <w:tc>
          <w:tcPr>
            <w:tcW w:w="640" w:type="dxa"/>
            <w:vAlign w:val="bottom"/>
            <w:tcBorders>
              <w:top w:val="single" w:sz="8" w:color="auto"/>
              <w:right w:val="single" w:sz="8" w:color="auto"/>
            </w:tcBorders>
          </w:tcPr>
          <w:p>
            <w:pPr>
              <w:jc w:val="right"/>
              <w:ind w:right="106"/>
              <w:spacing w:after="0"/>
              <w:rPr>
                <w:sz w:val="20"/>
                <w:szCs w:val="20"/>
                <w:color w:val="auto"/>
              </w:rPr>
            </w:pPr>
            <w:r>
              <w:rPr>
                <w:rFonts w:ascii="Arial" w:cs="Arial" w:eastAsia="Arial" w:hAnsi="Arial"/>
                <w:sz w:val="11"/>
                <w:szCs w:val="11"/>
                <w:color w:val="auto"/>
              </w:rPr>
              <w:t>100%</w:t>
            </w: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Reinsurer’s</w:t>
            </w:r>
          </w:p>
        </w:tc>
      </w:tr>
      <w:tr>
        <w:trPr>
          <w:trHeight w:val="126"/>
        </w:trPr>
        <w:tc>
          <w:tcPr>
            <w:tcW w:w="200" w:type="dxa"/>
            <w:vAlign w:val="bottom"/>
            <w:tcBorders>
              <w:left w:val="single" w:sz="8" w:color="auto"/>
            </w:tcBorders>
          </w:tcPr>
          <w:p>
            <w:pPr>
              <w:spacing w:after="0"/>
              <w:rPr>
                <w:sz w:val="10"/>
                <w:szCs w:val="10"/>
                <w:color w:val="auto"/>
              </w:rPr>
            </w:pPr>
          </w:p>
        </w:tc>
        <w:tc>
          <w:tcPr>
            <w:tcW w:w="488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9"/>
              </w:rPr>
              <w:t>Statement</w:t>
            </w:r>
          </w:p>
        </w:tc>
        <w:tc>
          <w:tcPr>
            <w:tcW w:w="6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9"/>
              </w:rPr>
              <w:t>Quota Share</w:t>
            </w:r>
          </w:p>
        </w:tc>
      </w:tr>
      <w:tr>
        <w:trPr>
          <w:trHeight w:val="143"/>
        </w:trPr>
        <w:tc>
          <w:tcPr>
            <w:tcW w:w="200" w:type="dxa"/>
            <w:vAlign w:val="bottom"/>
            <w:tcBorders>
              <w:left w:val="single" w:sz="8" w:color="auto"/>
              <w:bottom w:val="single" w:sz="8" w:color="auto"/>
            </w:tcBorders>
          </w:tcPr>
          <w:p>
            <w:pPr>
              <w:spacing w:after="0"/>
              <w:rPr>
                <w:sz w:val="12"/>
                <w:szCs w:val="12"/>
                <w:color w:val="auto"/>
              </w:rPr>
            </w:pPr>
          </w:p>
        </w:tc>
        <w:tc>
          <w:tcPr>
            <w:tcW w:w="488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 xml:space="preserve">  Reference   </w:t>
            </w: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37"/>
        </w:trPr>
        <w:tc>
          <w:tcPr>
            <w:tcW w:w="5080" w:type="dxa"/>
            <w:vAlign w:val="bottom"/>
            <w:tcBorders>
              <w:left w:val="single" w:sz="8" w:color="auto"/>
              <w:bottom w:val="single" w:sz="8" w:color="auto"/>
            </w:tcBorders>
            <w:gridSpan w:val="2"/>
          </w:tcPr>
          <w:p>
            <w:pPr>
              <w:ind w:left="100"/>
              <w:spacing w:after="0"/>
              <w:rPr>
                <w:sz w:val="20"/>
                <w:szCs w:val="20"/>
                <w:color w:val="auto"/>
              </w:rPr>
            </w:pPr>
            <w:r>
              <w:rPr>
                <w:rFonts w:ascii="Arial" w:cs="Arial" w:eastAsia="Arial" w:hAnsi="Arial"/>
                <w:sz w:val="11"/>
                <w:szCs w:val="11"/>
                <w:color w:val="auto"/>
              </w:rPr>
              <w:t>Quota Share</w:t>
            </w:r>
          </w:p>
        </w:tc>
        <w:tc>
          <w:tcPr>
            <w:tcW w:w="88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4"/>
              </w:rPr>
              <w:t>[***]</w:t>
            </w:r>
          </w:p>
        </w:tc>
      </w:tr>
      <w:tr>
        <w:trPr>
          <w:trHeight w:val="142"/>
        </w:trPr>
        <w:tc>
          <w:tcPr>
            <w:tcW w:w="2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1"/>
                <w:szCs w:val="11"/>
                <w:color w:val="auto"/>
                <w:w w:val="86"/>
              </w:rPr>
              <w:t>1.</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Reinsurance Premiums</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1"/>
                <w:szCs w:val="11"/>
                <w:color w:val="auto"/>
                <w:w w:val="86"/>
              </w:rPr>
              <w:t>2.</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Net Benefit Payments</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spacing w:after="0"/>
              <w:rPr>
                <w:sz w:val="12"/>
                <w:szCs w:val="12"/>
                <w:color w:val="auto"/>
              </w:rPr>
            </w:pPr>
          </w:p>
        </w:tc>
        <w:tc>
          <w:tcPr>
            <w:tcW w:w="488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1"/>
                <w:szCs w:val="11"/>
                <w:color w:val="auto"/>
              </w:rPr>
              <w:t>a. Death benefits</w:t>
            </w:r>
          </w:p>
        </w:tc>
        <w:tc>
          <w:tcPr>
            <w:tcW w:w="8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spacing w:after="0"/>
              <w:rPr>
                <w:sz w:val="12"/>
                <w:szCs w:val="12"/>
                <w:color w:val="auto"/>
              </w:rPr>
            </w:pPr>
          </w:p>
        </w:tc>
        <w:tc>
          <w:tcPr>
            <w:tcW w:w="488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1"/>
                <w:szCs w:val="11"/>
                <w:color w:val="auto"/>
              </w:rPr>
              <w:t>b. Surrender benefits</w:t>
            </w:r>
          </w:p>
        </w:tc>
        <w:tc>
          <w:tcPr>
            <w:tcW w:w="8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spacing w:after="0"/>
              <w:rPr>
                <w:sz w:val="12"/>
                <w:szCs w:val="12"/>
                <w:color w:val="auto"/>
              </w:rPr>
            </w:pPr>
          </w:p>
        </w:tc>
        <w:tc>
          <w:tcPr>
            <w:tcW w:w="488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1"/>
                <w:szCs w:val="11"/>
                <w:color w:val="auto"/>
              </w:rPr>
              <w:t>c. Withdrawals</w:t>
            </w:r>
          </w:p>
        </w:tc>
        <w:tc>
          <w:tcPr>
            <w:tcW w:w="8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spacing w:after="0"/>
              <w:rPr>
                <w:sz w:val="12"/>
                <w:szCs w:val="12"/>
                <w:color w:val="auto"/>
              </w:rPr>
            </w:pPr>
          </w:p>
        </w:tc>
        <w:tc>
          <w:tcPr>
            <w:tcW w:w="488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1"/>
                <w:szCs w:val="11"/>
                <w:color w:val="auto"/>
              </w:rPr>
              <w:t>d. Annuity Benefits</w:t>
            </w:r>
          </w:p>
        </w:tc>
        <w:tc>
          <w:tcPr>
            <w:tcW w:w="8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spacing w:after="0"/>
              <w:rPr>
                <w:sz w:val="12"/>
                <w:szCs w:val="12"/>
                <w:color w:val="auto"/>
              </w:rPr>
            </w:pPr>
          </w:p>
        </w:tc>
        <w:tc>
          <w:tcPr>
            <w:tcW w:w="488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auto"/>
              </w:rPr>
              <w:t>e. Total benefit payments = a + b + c + d</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1"/>
                <w:szCs w:val="11"/>
                <w:color w:val="auto"/>
                <w:w w:val="86"/>
              </w:rPr>
              <w:t>3.</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Allowances</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spacing w:after="0"/>
              <w:rPr>
                <w:sz w:val="12"/>
                <w:szCs w:val="12"/>
                <w:color w:val="auto"/>
              </w:rPr>
            </w:pPr>
          </w:p>
        </w:tc>
        <w:tc>
          <w:tcPr>
            <w:tcW w:w="488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auto"/>
              </w:rPr>
              <w:t>a. Commission Allowance</w:t>
            </w:r>
          </w:p>
        </w:tc>
        <w:tc>
          <w:tcPr>
            <w:tcW w:w="8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spacing w:after="0"/>
              <w:rPr>
                <w:sz w:val="12"/>
                <w:szCs w:val="12"/>
                <w:color w:val="auto"/>
              </w:rPr>
            </w:pPr>
          </w:p>
        </w:tc>
        <w:tc>
          <w:tcPr>
            <w:tcW w:w="488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auto"/>
              </w:rPr>
              <w:t>b. Maintenance Expense Allowance</w:t>
            </w:r>
          </w:p>
        </w:tc>
        <w:tc>
          <w:tcPr>
            <w:tcW w:w="8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spacing w:after="0"/>
              <w:rPr>
                <w:sz w:val="12"/>
                <w:szCs w:val="12"/>
                <w:color w:val="auto"/>
              </w:rPr>
            </w:pPr>
          </w:p>
        </w:tc>
        <w:tc>
          <w:tcPr>
            <w:tcW w:w="488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auto"/>
              </w:rPr>
              <w:t>c. Premium Tax Allowance</w:t>
            </w:r>
          </w:p>
        </w:tc>
        <w:tc>
          <w:tcPr>
            <w:tcW w:w="8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spacing w:after="0"/>
              <w:rPr>
                <w:sz w:val="12"/>
                <w:szCs w:val="12"/>
                <w:color w:val="auto"/>
              </w:rPr>
            </w:pPr>
          </w:p>
        </w:tc>
        <w:tc>
          <w:tcPr>
            <w:tcW w:w="488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auto"/>
              </w:rPr>
              <w:t>d. Total Allowances = a + b + c</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1"/>
                <w:szCs w:val="11"/>
                <w:color w:val="auto"/>
                <w:w w:val="86"/>
              </w:rPr>
              <w:t>4.</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Modco reserve adjustment</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spacing w:after="0"/>
              <w:rPr>
                <w:sz w:val="12"/>
                <w:szCs w:val="12"/>
                <w:color w:val="auto"/>
              </w:rPr>
            </w:pPr>
          </w:p>
        </w:tc>
        <w:tc>
          <w:tcPr>
            <w:tcW w:w="488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auto"/>
              </w:rPr>
              <w:t>a. Modco Reserves at the end of the current accounting period</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spacing w:after="0"/>
              <w:rPr>
                <w:sz w:val="12"/>
                <w:szCs w:val="12"/>
                <w:color w:val="auto"/>
              </w:rPr>
            </w:pPr>
          </w:p>
        </w:tc>
        <w:tc>
          <w:tcPr>
            <w:tcW w:w="488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auto"/>
              </w:rPr>
              <w:t>b. Modco Reserves at the end of the prior accounting period</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spacing w:after="0"/>
              <w:rPr>
                <w:sz w:val="12"/>
                <w:szCs w:val="12"/>
                <w:color w:val="auto"/>
              </w:rPr>
            </w:pPr>
          </w:p>
        </w:tc>
        <w:tc>
          <w:tcPr>
            <w:tcW w:w="488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auto"/>
              </w:rPr>
              <w:t>c. Modco investment credit</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spacing w:after="0"/>
              <w:rPr>
                <w:sz w:val="12"/>
                <w:szCs w:val="12"/>
                <w:color w:val="auto"/>
              </w:rPr>
            </w:pPr>
          </w:p>
        </w:tc>
        <w:tc>
          <w:tcPr>
            <w:tcW w:w="4880" w:type="dxa"/>
            <w:vAlign w:val="bottom"/>
            <w:tcBorders>
              <w:bottom w:val="single" w:sz="8" w:color="auto"/>
            </w:tcBorders>
          </w:tcPr>
          <w:p>
            <w:pPr>
              <w:ind w:left="320"/>
              <w:spacing w:after="0"/>
              <w:rPr>
                <w:sz w:val="20"/>
                <w:szCs w:val="20"/>
                <w:color w:val="auto"/>
              </w:rPr>
            </w:pPr>
            <w:r>
              <w:rPr>
                <w:rFonts w:ascii="Arial" w:cs="Arial" w:eastAsia="Arial" w:hAnsi="Arial"/>
                <w:sz w:val="11"/>
                <w:szCs w:val="11"/>
                <w:color w:val="auto"/>
              </w:rPr>
              <w:t>d. Modco reserve adjustment = a – b – c</w:t>
            </w:r>
          </w:p>
        </w:tc>
        <w:tc>
          <w:tcPr>
            <w:tcW w:w="88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r>
        <w:trPr>
          <w:trHeight w:val="142"/>
        </w:trPr>
        <w:tc>
          <w:tcPr>
            <w:tcW w:w="20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1"/>
                <w:szCs w:val="11"/>
                <w:color w:val="auto"/>
                <w:w w:val="86"/>
              </w:rPr>
              <w:t>5.</w:t>
            </w:r>
          </w:p>
        </w:tc>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Quarterly cash settlement = 1 – 2e – 3d – 4d</w:t>
            </w:r>
          </w:p>
        </w:tc>
        <w:tc>
          <w:tcPr>
            <w:tcW w:w="88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r>
    </w:tbl>
    <w:p>
      <w:pPr>
        <w:spacing w:after="0" w:line="81" w:lineRule="exact"/>
        <w:rPr>
          <w:sz w:val="20"/>
          <w:szCs w:val="20"/>
          <w:color w:val="auto"/>
        </w:rPr>
      </w:pPr>
    </w:p>
    <w:p>
      <w:pPr>
        <w:ind w:left="3580"/>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0159"/>
          </w:cols>
          <w:pgMar w:left="300" w:top="224" w:right="1440" w:bottom="1440" w:gutter="0" w:footer="0" w:header="0"/>
        </w:sectPr>
      </w:pPr>
    </w:p>
    <w:bookmarkStart w:id="162" w:name="page163"/>
    <w:bookmarkEnd w:id="162"/>
    <w:p>
      <w:pPr>
        <w:ind w:left="8"/>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CERTAIN INFORMATION IN THIS EXHIBIT HAS BEEN REDACTED BECAUSE IT IS BOTH</w:t>
      </w:r>
    </w:p>
    <w:p>
      <w:pPr>
        <w:spacing w:after="0" w:line="5" w:lineRule="exact"/>
        <w:rPr>
          <w:sz w:val="20"/>
          <w:szCs w:val="20"/>
          <w:color w:val="auto"/>
        </w:rPr>
      </w:pPr>
    </w:p>
    <w:p>
      <w:pPr>
        <w:ind w:left="8" w:right="4459" w:hanging="8"/>
        <w:spacing w:after="0" w:line="264" w:lineRule="auto"/>
        <w:tabs>
          <w:tab w:leader="none" w:pos="224" w:val="left"/>
        </w:tabs>
        <w:numPr>
          <w:ilvl w:val="0"/>
          <w:numId w:val="141"/>
        </w:numPr>
        <w:rPr>
          <w:rFonts w:ascii="Arial" w:cs="Arial" w:eastAsia="Arial" w:hAnsi="Arial"/>
          <w:sz w:val="14"/>
          <w:szCs w:val="14"/>
          <w:color w:val="auto"/>
        </w:rPr>
      </w:pPr>
      <w:r>
        <w:rPr>
          <w:rFonts w:ascii="Arial" w:cs="Arial" w:eastAsia="Arial" w:hAnsi="Arial"/>
          <w:sz w:val="14"/>
          <w:szCs w:val="14"/>
          <w:color w:val="auto"/>
        </w:rPr>
        <w:t>NOT MATERIAL AND (2) IS TREATED AS CONFIDENTIAL BY BRIGHTHOUSE LIFE INSURANCE COMPANY OF 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811"/>
        <w:spacing w:after="0"/>
        <w:rPr>
          <w:sz w:val="20"/>
          <w:szCs w:val="20"/>
          <w:color w:val="auto"/>
        </w:rPr>
      </w:pPr>
      <w:r>
        <w:rPr>
          <w:rFonts w:ascii="Arial" w:cs="Arial" w:eastAsia="Arial" w:hAnsi="Arial"/>
          <w:sz w:val="19"/>
          <w:szCs w:val="19"/>
          <w:b w:val="1"/>
          <w:bCs w:val="1"/>
          <w:color w:val="auto"/>
        </w:rPr>
        <w:t>AMENDMENT NO. 1 TO</w:t>
      </w:r>
    </w:p>
    <w:p>
      <w:pPr>
        <w:spacing w:after="0" w:line="223" w:lineRule="exact"/>
        <w:rPr>
          <w:sz w:val="20"/>
          <w:szCs w:val="20"/>
          <w:color w:val="auto"/>
        </w:rPr>
      </w:pPr>
    </w:p>
    <w:p>
      <w:pPr>
        <w:jc w:val="center"/>
        <w:ind w:right="2811"/>
        <w:spacing w:after="0"/>
        <w:rPr>
          <w:sz w:val="20"/>
          <w:szCs w:val="20"/>
          <w:color w:val="auto"/>
        </w:rPr>
      </w:pPr>
      <w:r>
        <w:rPr>
          <w:rFonts w:ascii="Arial" w:cs="Arial" w:eastAsia="Arial" w:hAnsi="Arial"/>
          <w:sz w:val="19"/>
          <w:szCs w:val="19"/>
          <w:b w:val="1"/>
          <w:bCs w:val="1"/>
          <w:color w:val="auto"/>
        </w:rPr>
        <w:t>REINSURANCE AGREEMENT</w:t>
      </w:r>
    </w:p>
    <w:p>
      <w:pPr>
        <w:spacing w:after="0" w:line="223" w:lineRule="exact"/>
        <w:rPr>
          <w:sz w:val="20"/>
          <w:szCs w:val="20"/>
          <w:color w:val="auto"/>
        </w:rPr>
      </w:pPr>
    </w:p>
    <w:p>
      <w:pPr>
        <w:jc w:val="center"/>
        <w:ind w:right="2811"/>
        <w:spacing w:after="0"/>
        <w:rPr>
          <w:sz w:val="20"/>
          <w:szCs w:val="20"/>
          <w:color w:val="auto"/>
        </w:rPr>
      </w:pPr>
      <w:r>
        <w:rPr>
          <w:rFonts w:ascii="Arial" w:cs="Arial" w:eastAsia="Arial" w:hAnsi="Arial"/>
          <w:sz w:val="19"/>
          <w:szCs w:val="19"/>
          <w:b w:val="1"/>
          <w:bCs w:val="1"/>
          <w:color w:val="auto"/>
        </w:rPr>
        <w:t>BETWEEN</w:t>
      </w:r>
    </w:p>
    <w:p>
      <w:pPr>
        <w:spacing w:after="0" w:line="223" w:lineRule="exact"/>
        <w:rPr>
          <w:sz w:val="20"/>
          <w:szCs w:val="20"/>
          <w:color w:val="auto"/>
        </w:rPr>
      </w:pPr>
    </w:p>
    <w:p>
      <w:pPr>
        <w:jc w:val="center"/>
        <w:ind w:right="2811"/>
        <w:spacing w:after="0"/>
        <w:rPr>
          <w:sz w:val="20"/>
          <w:szCs w:val="20"/>
          <w:color w:val="auto"/>
        </w:rPr>
      </w:pPr>
      <w:r>
        <w:rPr>
          <w:rFonts w:ascii="Arial" w:cs="Arial" w:eastAsia="Arial" w:hAnsi="Arial"/>
          <w:sz w:val="19"/>
          <w:szCs w:val="19"/>
          <w:b w:val="1"/>
          <w:bCs w:val="1"/>
          <w:color w:val="auto"/>
        </w:rPr>
        <w:t>BRIGHTHOUSE LIFE INSURANCE COMPANY OF NY</w:t>
      </w:r>
    </w:p>
    <w:p>
      <w:pPr>
        <w:spacing w:after="0" w:line="223" w:lineRule="exact"/>
        <w:rPr>
          <w:sz w:val="20"/>
          <w:szCs w:val="20"/>
          <w:color w:val="auto"/>
        </w:rPr>
      </w:pPr>
    </w:p>
    <w:p>
      <w:pPr>
        <w:jc w:val="center"/>
        <w:ind w:right="2811"/>
        <w:spacing w:after="0"/>
        <w:rPr>
          <w:sz w:val="20"/>
          <w:szCs w:val="20"/>
          <w:color w:val="auto"/>
        </w:rPr>
      </w:pPr>
      <w:r>
        <w:rPr>
          <w:rFonts w:ascii="Arial" w:cs="Arial" w:eastAsia="Arial" w:hAnsi="Arial"/>
          <w:sz w:val="19"/>
          <w:szCs w:val="19"/>
          <w:b w:val="1"/>
          <w:bCs w:val="1"/>
          <w:color w:val="auto"/>
        </w:rPr>
        <w:t>AND</w:t>
      </w:r>
    </w:p>
    <w:p>
      <w:pPr>
        <w:spacing w:after="0" w:line="223" w:lineRule="exact"/>
        <w:rPr>
          <w:sz w:val="20"/>
          <w:szCs w:val="20"/>
          <w:color w:val="auto"/>
        </w:rPr>
      </w:pPr>
    </w:p>
    <w:p>
      <w:pPr>
        <w:ind w:left="1628"/>
        <w:spacing w:after="0"/>
        <w:rPr>
          <w:sz w:val="20"/>
          <w:szCs w:val="20"/>
          <w:color w:val="auto"/>
        </w:rPr>
      </w:pPr>
      <w:r>
        <w:rPr>
          <w:rFonts w:ascii="Arial" w:cs="Arial" w:eastAsia="Arial" w:hAnsi="Arial"/>
          <w:sz w:val="19"/>
          <w:szCs w:val="19"/>
          <w:b w:val="1"/>
          <w:bCs w:val="1"/>
          <w:color w:val="auto"/>
        </w:rPr>
        <w:t>BRIGHTHOUSE LIFE INSURANCE COMPANY</w:t>
      </w:r>
    </w:p>
    <w:p>
      <w:pPr>
        <w:sectPr>
          <w:pgSz w:w="11900" w:h="16838" w:orient="portrait"/>
          <w:cols w:equalWidth="0" w:num="1">
            <w:col w:w="10167"/>
          </w:cols>
          <w:pgMar w:left="292" w:top="224" w:right="1440" w:bottom="1440" w:gutter="0" w:footer="0" w:header="0"/>
        </w:sectPr>
      </w:pPr>
    </w:p>
    <w:bookmarkStart w:id="163" w:name="page164"/>
    <w:bookmarkEnd w:id="16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4663440" cy="114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59"/>
          </w:cols>
          <w:pgMar w:left="300" w:top="224" w:right="1440" w:bottom="1440" w:gutter="0" w:footer="0" w:header="0"/>
        </w:sectPr>
      </w:pPr>
    </w:p>
    <w:p>
      <w:pPr>
        <w:spacing w:after="0" w:line="182" w:lineRule="exact"/>
        <w:rPr>
          <w:sz w:val="20"/>
          <w:szCs w:val="20"/>
          <w:color w:val="auto"/>
        </w:rPr>
      </w:pPr>
    </w:p>
    <w:p>
      <w:pPr>
        <w:ind w:right="4959"/>
        <w:spacing w:after="0" w:line="252" w:lineRule="auto"/>
        <w:rPr>
          <w:sz w:val="20"/>
          <w:szCs w:val="20"/>
          <w:color w:val="auto"/>
        </w:rPr>
      </w:pPr>
      <w:r>
        <w:rPr>
          <w:rFonts w:ascii="Arial" w:cs="Arial" w:eastAsia="Arial" w:hAnsi="Arial"/>
          <w:sz w:val="14"/>
          <w:szCs w:val="14"/>
          <w:b w:val="1"/>
          <w:bCs w:val="1"/>
          <w:color w:val="auto"/>
        </w:rPr>
        <w:t xml:space="preserve">THIS AMENDMENT NO. 1 TO REINSURANCE AGREEMENT </w:t>
      </w:r>
      <w:r>
        <w:rPr>
          <w:rFonts w:ascii="Arial" w:cs="Arial" w:eastAsia="Arial" w:hAnsi="Arial"/>
          <w:sz w:val="14"/>
          <w:szCs w:val="14"/>
          <w:color w:val="auto"/>
        </w:rPr>
        <w:t>(this</w:t>
      </w:r>
      <w:r>
        <w:rPr>
          <w:rFonts w:ascii="Arial" w:cs="Arial" w:eastAsia="Arial" w:hAnsi="Arial"/>
          <w:sz w:val="14"/>
          <w:szCs w:val="14"/>
          <w:b w:val="1"/>
          <w:bCs w:val="1"/>
          <w:color w:val="auto"/>
        </w:rPr>
        <w:t xml:space="preserve"> </w:t>
      </w:r>
      <w:r>
        <w:rPr>
          <w:rFonts w:ascii="Arial" w:cs="Arial" w:eastAsia="Arial" w:hAnsi="Arial"/>
          <w:sz w:val="14"/>
          <w:szCs w:val="14"/>
          <w:color w:val="auto"/>
        </w:rPr>
        <w:t>“Amendment”) is made and entered into as of June 30, 2025, by and between Brighthouse Life Insurance Company of NY, a life insurance corporation domiciled in New York (the “Ceding Company”), and Brighthouse Life Insurance Company, a life insurance corporation domiciled in Delaware (the “Reinsurer”).</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the Ceding Company and the Reinsurer entered into that certain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Reinsurance Agreement effective as of October 1, 2023 (the “Agreement”), and</w:t>
      </w:r>
    </w:p>
    <w:p>
      <w:pPr>
        <w:spacing w:after="0" w:line="131" w:lineRule="exact"/>
        <w:rPr>
          <w:sz w:val="20"/>
          <w:szCs w:val="20"/>
          <w:color w:val="auto"/>
        </w:rPr>
      </w:pPr>
    </w:p>
    <w:p>
      <w:pPr>
        <w:ind w:right="4879"/>
        <w:spacing w:after="0" w:line="263"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the Ceding Company and the Reinsurer desire to amend the</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to correct Schedule D (Allowances) for certain recently discovered errors and omissions in the drafting thereof and to reflect the parties’ original intent.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mutual promises and undertakings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set forth herein, the parties agree as follows:</w:t>
      </w:r>
    </w:p>
    <w:p>
      <w:pPr>
        <w:spacing w:after="0" w:line="86"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159"/>
          </w:cols>
          <w:pgMar w:left="300" w:top="224" w:right="1440" w:bottom="1440" w:gutter="0" w:footer="0" w:header="0"/>
          <w:type w:val="continuous"/>
        </w:sectPr>
      </w:pPr>
    </w:p>
    <w:bookmarkStart w:id="164" w:name="page165"/>
    <w:bookmarkEnd w:id="164"/>
    <w:p>
      <w:pPr>
        <w:ind w:left="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I.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4663440" cy="114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ectPr>
          <w:pgSz w:w="11900" w:h="16838" w:orient="portrait"/>
          <w:cols w:equalWidth="0" w:num="1">
            <w:col w:w="10167"/>
          </w:cols>
          <w:pgMar w:left="292" w:top="224" w:right="1440" w:bottom="1440" w:gutter="0" w:footer="0" w:header="0"/>
        </w:sectPr>
      </w:pPr>
    </w:p>
    <w:p>
      <w:pPr>
        <w:spacing w:after="0" w:line="218" w:lineRule="exact"/>
        <w:rPr>
          <w:sz w:val="20"/>
          <w:szCs w:val="20"/>
          <w:color w:val="auto"/>
        </w:rPr>
      </w:pPr>
    </w:p>
    <w:p>
      <w:pPr>
        <w:ind w:left="368" w:hanging="368"/>
        <w:spacing w:after="0"/>
        <w:tabs>
          <w:tab w:leader="none" w:pos="368" w:val="left"/>
        </w:tabs>
        <w:numPr>
          <w:ilvl w:val="0"/>
          <w:numId w:val="142"/>
        </w:numPr>
        <w:rPr>
          <w:rFonts w:ascii="Arial" w:cs="Arial" w:eastAsia="Arial" w:hAnsi="Arial"/>
          <w:sz w:val="14"/>
          <w:szCs w:val="14"/>
          <w:color w:val="auto"/>
        </w:rPr>
      </w:pPr>
      <w:r>
        <w:rPr>
          <w:rFonts w:ascii="Arial" w:cs="Arial" w:eastAsia="Arial" w:hAnsi="Arial"/>
          <w:sz w:val="14"/>
          <w:szCs w:val="14"/>
          <w:u w:val="single" w:color="auto"/>
          <w:color w:val="auto"/>
        </w:rPr>
        <w:t>Amendments</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left="368" w:right="5239"/>
        <w:spacing w:after="0" w:line="285" w:lineRule="auto"/>
        <w:rPr>
          <w:rFonts w:ascii="Arial" w:cs="Arial" w:eastAsia="Arial" w:hAnsi="Arial"/>
          <w:sz w:val="14"/>
          <w:szCs w:val="14"/>
          <w:color w:val="auto"/>
        </w:rPr>
      </w:pPr>
      <w:r>
        <w:rPr>
          <w:rFonts w:ascii="Arial" w:cs="Arial" w:eastAsia="Arial" w:hAnsi="Arial"/>
          <w:sz w:val="14"/>
          <w:szCs w:val="14"/>
          <w:color w:val="auto"/>
        </w:rPr>
        <w:t>Schedule D (Allowances) is hereby amended and restated in its entirety as set forth on Exhibit 1 hereto.</w:t>
      </w:r>
    </w:p>
    <w:p>
      <w:pPr>
        <w:spacing w:after="0" w:line="103" w:lineRule="exact"/>
        <w:rPr>
          <w:rFonts w:ascii="Arial" w:cs="Arial" w:eastAsia="Arial" w:hAnsi="Arial"/>
          <w:sz w:val="14"/>
          <w:szCs w:val="14"/>
          <w:color w:val="auto"/>
        </w:rPr>
      </w:pPr>
    </w:p>
    <w:p>
      <w:pPr>
        <w:ind w:left="368" w:hanging="368"/>
        <w:spacing w:after="0"/>
        <w:tabs>
          <w:tab w:leader="none" w:pos="368" w:val="left"/>
        </w:tabs>
        <w:numPr>
          <w:ilvl w:val="0"/>
          <w:numId w:val="142"/>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145" w:lineRule="exact"/>
        <w:rPr>
          <w:rFonts w:ascii="Arial" w:cs="Arial" w:eastAsia="Arial" w:hAnsi="Arial"/>
          <w:sz w:val="14"/>
          <w:szCs w:val="14"/>
          <w:color w:val="auto"/>
        </w:rPr>
      </w:pPr>
    </w:p>
    <w:p>
      <w:pPr>
        <w:ind w:left="368" w:right="5199" w:hanging="1"/>
        <w:spacing w:after="0" w:line="285" w:lineRule="auto"/>
        <w:tabs>
          <w:tab w:leader="none" w:pos="584" w:val="left"/>
        </w:tabs>
        <w:numPr>
          <w:ilvl w:val="1"/>
          <w:numId w:val="142"/>
        </w:numPr>
        <w:rPr>
          <w:rFonts w:ascii="Arial" w:cs="Arial" w:eastAsia="Arial" w:hAnsi="Arial"/>
          <w:sz w:val="14"/>
          <w:szCs w:val="14"/>
          <w:color w:val="auto"/>
        </w:rPr>
      </w:pPr>
      <w:r>
        <w:rPr>
          <w:rFonts w:ascii="Arial" w:cs="Arial" w:eastAsia="Arial" w:hAnsi="Arial"/>
          <w:sz w:val="14"/>
          <w:szCs w:val="14"/>
          <w:color w:val="auto"/>
        </w:rPr>
        <w:t>This Amendment shall not be amended or modified except by written agreement, signed by duly authorized officers of the parties hereto.</w:t>
      </w:r>
    </w:p>
    <w:p>
      <w:pPr>
        <w:spacing w:after="0" w:line="85" w:lineRule="exact"/>
        <w:rPr>
          <w:rFonts w:ascii="Arial" w:cs="Arial" w:eastAsia="Arial" w:hAnsi="Arial"/>
          <w:sz w:val="14"/>
          <w:szCs w:val="14"/>
          <w:color w:val="auto"/>
        </w:rPr>
      </w:pPr>
    </w:p>
    <w:p>
      <w:pPr>
        <w:ind w:left="368" w:right="5179" w:hanging="1"/>
        <w:spacing w:after="0" w:line="256" w:lineRule="auto"/>
        <w:tabs>
          <w:tab w:leader="none" w:pos="584" w:val="left"/>
        </w:tabs>
        <w:numPr>
          <w:ilvl w:val="1"/>
          <w:numId w:val="142"/>
        </w:numPr>
        <w:rPr>
          <w:rFonts w:ascii="Arial" w:cs="Arial" w:eastAsia="Arial" w:hAnsi="Arial"/>
          <w:sz w:val="14"/>
          <w:szCs w:val="14"/>
          <w:color w:val="auto"/>
        </w:rPr>
      </w:pPr>
      <w:r>
        <w:rPr>
          <w:rFonts w:ascii="Arial" w:cs="Arial" w:eastAsia="Arial" w:hAnsi="Arial"/>
          <w:sz w:val="14"/>
          <w:szCs w:val="14"/>
          <w:color w:val="auto"/>
        </w:rPr>
        <w:t>The terms expressed herein constitute the entire agreement between the parties with respect to the subject matter hereof. There are no understandings between the parties with respect to the subject matter hereof other than as expressed in this Amendment.</w:t>
      </w:r>
    </w:p>
    <w:p>
      <w:pPr>
        <w:spacing w:after="0" w:line="105" w:lineRule="exact"/>
        <w:rPr>
          <w:rFonts w:ascii="Arial" w:cs="Arial" w:eastAsia="Arial" w:hAnsi="Arial"/>
          <w:sz w:val="14"/>
          <w:szCs w:val="14"/>
          <w:color w:val="auto"/>
        </w:rPr>
      </w:pPr>
    </w:p>
    <w:p>
      <w:pPr>
        <w:ind w:left="368" w:right="5039" w:hanging="1"/>
        <w:spacing w:after="0" w:line="263" w:lineRule="auto"/>
        <w:tabs>
          <w:tab w:leader="none" w:pos="576" w:val="left"/>
        </w:tabs>
        <w:numPr>
          <w:ilvl w:val="1"/>
          <w:numId w:val="142"/>
        </w:numPr>
        <w:rPr>
          <w:rFonts w:ascii="Arial" w:cs="Arial" w:eastAsia="Arial" w:hAnsi="Arial"/>
          <w:sz w:val="14"/>
          <w:szCs w:val="14"/>
          <w:color w:val="auto"/>
        </w:rPr>
      </w:pPr>
      <w:r>
        <w:rPr>
          <w:rFonts w:ascii="Arial" w:cs="Arial" w:eastAsia="Arial" w:hAnsi="Arial"/>
          <w:sz w:val="14"/>
          <w:szCs w:val="14"/>
          <w:color w:val="auto"/>
        </w:rPr>
        <w:t>This Amendment shall inure to the benefit of and bind the parties to this Amendment and their respective successors, permitted assigns and legal representatives.</w:t>
      </w:r>
    </w:p>
    <w:p>
      <w:pPr>
        <w:spacing w:after="0" w:line="100" w:lineRule="exact"/>
        <w:rPr>
          <w:rFonts w:ascii="Arial" w:cs="Arial" w:eastAsia="Arial" w:hAnsi="Arial"/>
          <w:sz w:val="14"/>
          <w:szCs w:val="14"/>
          <w:color w:val="auto"/>
        </w:rPr>
      </w:pPr>
    </w:p>
    <w:p>
      <w:pPr>
        <w:jc w:val="both"/>
        <w:ind w:left="368" w:right="5199" w:hanging="1"/>
        <w:spacing w:after="0" w:line="263" w:lineRule="auto"/>
        <w:tabs>
          <w:tab w:leader="none" w:pos="584" w:val="left"/>
        </w:tabs>
        <w:numPr>
          <w:ilvl w:val="1"/>
          <w:numId w:val="142"/>
        </w:numPr>
        <w:rPr>
          <w:rFonts w:ascii="Arial" w:cs="Arial" w:eastAsia="Arial" w:hAnsi="Arial"/>
          <w:sz w:val="14"/>
          <w:szCs w:val="14"/>
          <w:color w:val="auto"/>
        </w:rPr>
      </w:pPr>
      <w:r>
        <w:rPr>
          <w:rFonts w:ascii="Arial" w:cs="Arial" w:eastAsia="Arial" w:hAnsi="Arial"/>
          <w:sz w:val="14"/>
          <w:szCs w:val="14"/>
          <w:color w:val="auto"/>
        </w:rPr>
        <w:t>This Amendment may be executed simultaneously in any number of counterparts, each of which shall be deemed an original, but all of which shall constitute one and the same agreement.</w:t>
      </w:r>
    </w:p>
    <w:p>
      <w:pPr>
        <w:spacing w:after="0" w:line="100" w:lineRule="exact"/>
        <w:rPr>
          <w:rFonts w:ascii="Arial" w:cs="Arial" w:eastAsia="Arial" w:hAnsi="Arial"/>
          <w:sz w:val="14"/>
          <w:szCs w:val="14"/>
          <w:color w:val="auto"/>
        </w:rPr>
      </w:pPr>
    </w:p>
    <w:p>
      <w:pPr>
        <w:ind w:left="368" w:right="4979" w:hanging="1"/>
        <w:spacing w:after="0" w:line="285" w:lineRule="auto"/>
        <w:tabs>
          <w:tab w:leader="none" w:pos="584" w:val="left"/>
        </w:tabs>
        <w:numPr>
          <w:ilvl w:val="1"/>
          <w:numId w:val="142"/>
        </w:numPr>
        <w:rPr>
          <w:rFonts w:ascii="Arial" w:cs="Arial" w:eastAsia="Arial" w:hAnsi="Arial"/>
          <w:sz w:val="14"/>
          <w:szCs w:val="14"/>
          <w:color w:val="auto"/>
        </w:rPr>
      </w:pPr>
      <w:r>
        <w:rPr>
          <w:rFonts w:ascii="Arial" w:cs="Arial" w:eastAsia="Arial" w:hAnsi="Arial"/>
          <w:sz w:val="14"/>
          <w:szCs w:val="14"/>
          <w:color w:val="auto"/>
        </w:rPr>
        <w:t>This Amendment shall be governed by the laws of the State of New York without regard for its conflicts of laws principles.</w:t>
      </w:r>
    </w:p>
    <w:p>
      <w:pPr>
        <w:spacing w:after="0" w:line="85" w:lineRule="exact"/>
        <w:rPr>
          <w:rFonts w:ascii="Arial" w:cs="Arial" w:eastAsia="Arial" w:hAnsi="Arial"/>
          <w:sz w:val="14"/>
          <w:szCs w:val="14"/>
          <w:color w:val="auto"/>
        </w:rPr>
      </w:pPr>
    </w:p>
    <w:p>
      <w:pPr>
        <w:ind w:left="368" w:right="5359" w:hanging="1"/>
        <w:spacing w:after="0" w:line="285" w:lineRule="auto"/>
        <w:tabs>
          <w:tab w:leader="none" w:pos="544" w:val="left"/>
        </w:tabs>
        <w:numPr>
          <w:ilvl w:val="1"/>
          <w:numId w:val="142"/>
        </w:numPr>
        <w:rPr>
          <w:rFonts w:ascii="Arial" w:cs="Arial" w:eastAsia="Arial" w:hAnsi="Arial"/>
          <w:sz w:val="14"/>
          <w:szCs w:val="14"/>
          <w:color w:val="auto"/>
        </w:rPr>
      </w:pPr>
      <w:r>
        <w:rPr>
          <w:rFonts w:ascii="Arial" w:cs="Arial" w:eastAsia="Arial" w:hAnsi="Arial"/>
          <w:sz w:val="14"/>
          <w:szCs w:val="14"/>
          <w:color w:val="auto"/>
        </w:rPr>
        <w:t>All terms, provisions, and conditions of the Agreement will continue unchanged except as specifically revised in this Amendment.</w:t>
      </w:r>
    </w:p>
    <w:p>
      <w:pPr>
        <w:spacing w:after="0" w:line="41" w:lineRule="exact"/>
        <w:rPr>
          <w:sz w:val="20"/>
          <w:szCs w:val="20"/>
          <w:color w:val="auto"/>
        </w:rPr>
      </w:pPr>
    </w:p>
    <w:p>
      <w:pPr>
        <w:ind w:left="3628"/>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167"/>
          </w:cols>
          <w:pgMar w:left="292" w:top="224" w:right="1440" w:bottom="1440" w:gutter="0" w:footer="0" w:header="0"/>
          <w:type w:val="continuous"/>
        </w:sectPr>
      </w:pPr>
    </w:p>
    <w:bookmarkStart w:id="165" w:name="page166"/>
    <w:bookmarkEnd w:id="165"/>
    <w:p>
      <w:pPr>
        <w:ind w:right="5039"/>
        <w:spacing w:after="0" w:line="285"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Arial" w:cs="Arial" w:eastAsia="Arial" w:hAnsi="Arial"/>
          <w:sz w:val="14"/>
          <w:szCs w:val="14"/>
          <w:color w:val="auto"/>
        </w:rPr>
        <w:t>, the parties have caused this Amendment to be signed</w:t>
      </w:r>
      <w:r>
        <w:rPr>
          <w:rFonts w:ascii="Arial" w:cs="Arial" w:eastAsia="Arial" w:hAnsi="Arial"/>
          <w:sz w:val="14"/>
          <w:szCs w:val="14"/>
          <w:b w:val="1"/>
          <w:bCs w:val="1"/>
          <w:color w:val="auto"/>
        </w:rPr>
        <w:t xml:space="preserve"> </w:t>
      </w:r>
      <w:r>
        <w:rPr>
          <w:rFonts w:ascii="Arial" w:cs="Arial" w:eastAsia="Arial" w:hAnsi="Arial"/>
          <w:sz w:val="14"/>
          <w:szCs w:val="14"/>
          <w:color w:val="auto"/>
        </w:rPr>
        <w:t>as of the date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BRIGHTHOUSE LIFE INSURANCE COMPANY OF NY</w:t>
      </w:r>
    </w:p>
    <w:p>
      <w:pPr>
        <w:spacing w:after="0" w:line="293" w:lineRule="exact"/>
        <w:rPr>
          <w:sz w:val="20"/>
          <w:szCs w:val="20"/>
          <w:color w:val="auto"/>
        </w:rPr>
      </w:pPr>
    </w:p>
    <w:p>
      <w:pPr>
        <w:spacing w:after="0"/>
        <w:tabs>
          <w:tab w:leader="none" w:pos="340" w:val="left"/>
        </w:tabs>
        <w:rPr>
          <w:sz w:val="20"/>
          <w:szCs w:val="20"/>
          <w:color w:val="auto"/>
        </w:rPr>
      </w:pPr>
      <w:r>
        <w:rPr>
          <w:rFonts w:ascii="Arial" w:cs="Arial" w:eastAsia="Arial" w:hAnsi="Arial"/>
          <w:sz w:val="13"/>
          <w:szCs w:val="13"/>
          <w:color w:val="auto"/>
        </w:rPr>
        <w:t>By: </w:t>
        <w:tab/>
        <w:t xml:space="preserve">/s/ Patrisha Cox 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-5080</wp:posOffset>
            </wp:positionV>
            <wp:extent cx="142875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1428750" cy="571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Name: Patrisha Cox</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Title:    Vice President</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BRIGHTHOUSE LIFE INSURANCE COMPANY</w:t>
      </w:r>
    </w:p>
    <w:p>
      <w:pPr>
        <w:spacing w:after="0" w:line="293" w:lineRule="exact"/>
        <w:rPr>
          <w:sz w:val="20"/>
          <w:szCs w:val="20"/>
          <w:color w:val="auto"/>
        </w:rPr>
      </w:pPr>
    </w:p>
    <w:p>
      <w:pPr>
        <w:spacing w:after="0"/>
        <w:tabs>
          <w:tab w:leader="none" w:pos="340" w:val="left"/>
        </w:tabs>
        <w:rPr>
          <w:sz w:val="20"/>
          <w:szCs w:val="20"/>
          <w:color w:val="auto"/>
        </w:rPr>
      </w:pPr>
      <w:r>
        <w:rPr>
          <w:rFonts w:ascii="Arial" w:cs="Arial" w:eastAsia="Arial" w:hAnsi="Arial"/>
          <w:sz w:val="13"/>
          <w:szCs w:val="13"/>
          <w:color w:val="auto"/>
        </w:rPr>
        <w:t>By:</w:t>
        <w:tab/>
        <w:t xml:space="preserve">/s/ Patrisha Cox 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-5080</wp:posOffset>
            </wp:positionV>
            <wp:extent cx="138684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1386840" cy="571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Name: Patrisha Cox</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Title:    Vice President</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159"/>
          </w:cols>
          <w:pgMar w:left="300" w:top="220" w:right="1440" w:bottom="1440" w:gutter="0" w:footer="0" w:header="0"/>
        </w:sectPr>
      </w:pPr>
    </w:p>
    <w:bookmarkStart w:id="166" w:name="page167"/>
    <w:bookmarkEnd w:id="166"/>
    <w:p>
      <w:pPr>
        <w:jc w:val="right"/>
        <w:ind w:right="281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1</w:t>
      </w:r>
    </w:p>
    <w:p>
      <w:pPr>
        <w:spacing w:after="0" w:line="29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Schedule D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663440" cy="114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4663440" cy="11430"/>
                    </a:xfrm>
                    <a:prstGeom prst="rect">
                      <a:avLst/>
                    </a:prstGeom>
                    <a:noFill/>
                  </pic:spPr>
                </pic:pic>
              </a:graphicData>
            </a:graphic>
          </wp:anchor>
        </w:drawing>
      </w:r>
    </w:p>
    <w:p>
      <w:pPr>
        <w:spacing w:after="0" w:line="150" w:lineRule="exact"/>
        <w:rPr>
          <w:sz w:val="20"/>
          <w:szCs w:val="20"/>
          <w:color w:val="auto"/>
        </w:rPr>
      </w:pPr>
    </w:p>
    <w:p>
      <w:pPr>
        <w:ind w:left="8"/>
        <w:spacing w:after="0"/>
        <w:rPr>
          <w:sz w:val="20"/>
          <w:szCs w:val="20"/>
          <w:color w:val="auto"/>
        </w:rPr>
      </w:pPr>
      <w:r>
        <w:rPr>
          <w:rFonts w:ascii="Arial" w:cs="Arial" w:eastAsia="Arial" w:hAnsi="Arial"/>
          <w:sz w:val="14"/>
          <w:szCs w:val="14"/>
          <w:color w:val="auto"/>
        </w:rPr>
        <w:t>Other than for the Shield Level II product (set forth below), the allowances are:</w:t>
      </w:r>
    </w:p>
    <w:p>
      <w:pPr>
        <w:spacing w:after="0" w:line="163" w:lineRule="exact"/>
        <w:rPr>
          <w:sz w:val="20"/>
          <w:szCs w:val="20"/>
          <w:color w:val="auto"/>
        </w:rPr>
      </w:pPr>
    </w:p>
    <w:p>
      <w:pPr>
        <w:ind w:left="368" w:right="4999" w:hanging="368"/>
        <w:spacing w:after="0" w:line="251" w:lineRule="auto"/>
        <w:tabs>
          <w:tab w:leader="none" w:pos="361" w:val="left"/>
        </w:tabs>
        <w:numPr>
          <w:ilvl w:val="0"/>
          <w:numId w:val="143"/>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Commission Allowance</w:t>
      </w:r>
      <w:r>
        <w:rPr>
          <w:rFonts w:ascii="Arial" w:cs="Arial" w:eastAsia="Arial" w:hAnsi="Arial"/>
          <w:sz w:val="14"/>
          <w:szCs w:val="14"/>
          <w:color w:val="auto"/>
        </w:rPr>
        <w:t>. Each Accounting Period, the Reinsurer shall pay the Ceding Company a Commission Allowance equal to the Quota Share of</w:t>
      </w:r>
    </w:p>
    <w:p>
      <w:pPr>
        <w:spacing w:after="0" w:line="1" w:lineRule="exact"/>
        <w:rPr>
          <w:rFonts w:ascii="Arial" w:cs="Arial" w:eastAsia="Arial" w:hAnsi="Arial"/>
          <w:sz w:val="14"/>
          <w:szCs w:val="14"/>
          <w:u w:val="single" w:color="auto"/>
          <w:color w:val="auto"/>
        </w:rPr>
      </w:pPr>
    </w:p>
    <w:p>
      <w:pPr>
        <w:ind w:left="588" w:hanging="221"/>
        <w:spacing w:after="0"/>
        <w:tabs>
          <w:tab w:leader="none" w:pos="588" w:val="left"/>
        </w:tabs>
        <w:numPr>
          <w:ilvl w:val="1"/>
          <w:numId w:val="143"/>
        </w:numPr>
        <w:rPr>
          <w:rFonts w:ascii="Arial" w:cs="Arial" w:eastAsia="Arial" w:hAnsi="Arial"/>
          <w:sz w:val="14"/>
          <w:szCs w:val="14"/>
          <w:color w:val="auto"/>
        </w:rPr>
      </w:pPr>
      <w:r>
        <w:rPr>
          <w:rFonts w:ascii="Arial" w:cs="Arial" w:eastAsia="Arial" w:hAnsi="Arial"/>
          <w:sz w:val="14"/>
          <w:szCs w:val="14"/>
          <w:color w:val="auto"/>
        </w:rPr>
        <w:t>+ (b) + (c), where:</w:t>
      </w:r>
    </w:p>
    <w:p>
      <w:pPr>
        <w:spacing w:after="0" w:line="149" w:lineRule="exact"/>
        <w:rPr>
          <w:rFonts w:ascii="Arial" w:cs="Arial" w:eastAsia="Arial" w:hAnsi="Arial"/>
          <w:sz w:val="14"/>
          <w:szCs w:val="14"/>
          <w:color w:val="auto"/>
        </w:rPr>
      </w:pPr>
    </w:p>
    <w:p>
      <w:pPr>
        <w:ind w:left="1168" w:right="5239" w:hanging="295"/>
        <w:spacing w:after="0" w:line="263" w:lineRule="auto"/>
        <w:tabs>
          <w:tab w:leader="none" w:pos="1154" w:val="left"/>
        </w:tabs>
        <w:numPr>
          <w:ilvl w:val="2"/>
          <w:numId w:val="143"/>
        </w:numPr>
        <w:rPr>
          <w:rFonts w:ascii="Arial" w:cs="Arial" w:eastAsia="Arial" w:hAnsi="Arial"/>
          <w:sz w:val="14"/>
          <w:szCs w:val="14"/>
          <w:color w:val="auto"/>
        </w:rPr>
      </w:pPr>
      <w:r>
        <w:rPr>
          <w:rFonts w:ascii="Arial" w:cs="Arial" w:eastAsia="Arial" w:hAnsi="Arial"/>
          <w:sz w:val="14"/>
          <w:szCs w:val="14"/>
          <w:color w:val="auto"/>
        </w:rPr>
        <w:t>equals [***] of the gross Policy premiums and deposits collected at issue with respect to the Policies issued during such Accounting Period (“New Issue Premium”), and</w:t>
      </w:r>
    </w:p>
    <w:p>
      <w:pPr>
        <w:spacing w:after="0" w:line="118" w:lineRule="exact"/>
        <w:rPr>
          <w:rFonts w:ascii="Arial" w:cs="Arial" w:eastAsia="Arial" w:hAnsi="Arial"/>
          <w:sz w:val="14"/>
          <w:szCs w:val="14"/>
          <w:color w:val="auto"/>
        </w:rPr>
      </w:pPr>
    </w:p>
    <w:p>
      <w:pPr>
        <w:ind w:left="1168" w:right="5419" w:hanging="295"/>
        <w:spacing w:after="0" w:line="285" w:lineRule="auto"/>
        <w:tabs>
          <w:tab w:leader="none" w:pos="1154" w:val="left"/>
        </w:tabs>
        <w:numPr>
          <w:ilvl w:val="2"/>
          <w:numId w:val="143"/>
        </w:numPr>
        <w:rPr>
          <w:rFonts w:ascii="Arial" w:cs="Arial" w:eastAsia="Arial" w:hAnsi="Arial"/>
          <w:sz w:val="14"/>
          <w:szCs w:val="14"/>
          <w:color w:val="auto"/>
        </w:rPr>
      </w:pPr>
      <w:r>
        <w:rPr>
          <w:rFonts w:ascii="Arial" w:cs="Arial" w:eastAsia="Arial" w:hAnsi="Arial"/>
          <w:sz w:val="14"/>
          <w:szCs w:val="14"/>
          <w:color w:val="auto"/>
        </w:rPr>
        <w:t>equals [***] per Policy with respect to the Policies issued during such Account Period, and</w:t>
      </w:r>
    </w:p>
    <w:p>
      <w:pPr>
        <w:spacing w:after="0" w:line="103" w:lineRule="exact"/>
        <w:rPr>
          <w:rFonts w:ascii="Arial" w:cs="Arial" w:eastAsia="Arial" w:hAnsi="Arial"/>
          <w:sz w:val="14"/>
          <w:szCs w:val="14"/>
          <w:color w:val="auto"/>
        </w:rPr>
      </w:pPr>
    </w:p>
    <w:p>
      <w:pPr>
        <w:ind w:left="1168" w:right="5199" w:hanging="295"/>
        <w:spacing w:after="0" w:line="285" w:lineRule="auto"/>
        <w:tabs>
          <w:tab w:leader="none" w:pos="1154" w:val="left"/>
        </w:tabs>
        <w:numPr>
          <w:ilvl w:val="2"/>
          <w:numId w:val="143"/>
        </w:numPr>
        <w:rPr>
          <w:rFonts w:ascii="Arial" w:cs="Arial" w:eastAsia="Arial" w:hAnsi="Arial"/>
          <w:sz w:val="14"/>
          <w:szCs w:val="14"/>
          <w:color w:val="auto"/>
        </w:rPr>
      </w:pPr>
      <w:r>
        <w:rPr>
          <w:rFonts w:ascii="Arial" w:cs="Arial" w:eastAsia="Arial" w:hAnsi="Arial"/>
          <w:sz w:val="14"/>
          <w:szCs w:val="14"/>
          <w:color w:val="auto"/>
        </w:rPr>
        <w:t>equals [***] multiplied by the aggregate account value of the Policies at the beginning of the Accounting Period.</w:t>
      </w:r>
    </w:p>
    <w:p>
      <w:pPr>
        <w:spacing w:after="0" w:line="104" w:lineRule="exact"/>
        <w:rPr>
          <w:sz w:val="20"/>
          <w:szCs w:val="20"/>
          <w:color w:val="auto"/>
        </w:rPr>
      </w:pPr>
    </w:p>
    <w:p>
      <w:pPr>
        <w:ind w:left="368" w:right="5019" w:hanging="368"/>
        <w:spacing w:after="0" w:line="250" w:lineRule="auto"/>
        <w:tabs>
          <w:tab w:leader="none" w:pos="361" w:val="left"/>
        </w:tabs>
        <w:numPr>
          <w:ilvl w:val="0"/>
          <w:numId w:val="144"/>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Maintenance Expense Allowance</w:t>
      </w:r>
      <w:r>
        <w:rPr>
          <w:rFonts w:ascii="Arial" w:cs="Arial" w:eastAsia="Arial" w:hAnsi="Arial"/>
          <w:sz w:val="14"/>
          <w:szCs w:val="14"/>
          <w:color w:val="auto"/>
        </w:rPr>
        <w:t>. The Reinsurer shall indemnify the Ceding Company for expenses incurred in connection with ongoing maintenance and administration of the Policies. Each Accounting Period, the expenses incurred in connection with ongoing maintenance and administration of the Policies shall be equal to the Quota Share of (a) + (b), where:</w:t>
      </w:r>
    </w:p>
    <w:p>
      <w:pPr>
        <w:spacing w:after="0" w:line="295" w:lineRule="exact"/>
        <w:rPr>
          <w:rFonts w:ascii="Arial" w:cs="Arial" w:eastAsia="Arial" w:hAnsi="Arial"/>
          <w:sz w:val="14"/>
          <w:szCs w:val="14"/>
          <w:u w:val="single" w:color="auto"/>
          <w:color w:val="auto"/>
        </w:rPr>
      </w:pPr>
    </w:p>
    <w:p>
      <w:pPr>
        <w:ind w:left="1168" w:right="5119" w:hanging="295"/>
        <w:spacing w:after="0" w:line="263" w:lineRule="auto"/>
        <w:tabs>
          <w:tab w:leader="none" w:pos="1154" w:val="left"/>
        </w:tabs>
        <w:numPr>
          <w:ilvl w:val="1"/>
          <w:numId w:val="144"/>
        </w:numPr>
        <w:rPr>
          <w:rFonts w:ascii="Arial" w:cs="Arial" w:eastAsia="Arial" w:hAnsi="Arial"/>
          <w:sz w:val="14"/>
          <w:szCs w:val="14"/>
          <w:color w:val="auto"/>
        </w:rPr>
      </w:pPr>
      <w:r>
        <w:rPr>
          <w:rFonts w:ascii="Arial" w:cs="Arial" w:eastAsia="Arial" w:hAnsi="Arial"/>
          <w:sz w:val="14"/>
          <w:szCs w:val="14"/>
          <w:color w:val="auto"/>
        </w:rPr>
        <w:t>equals [***] multiplied by the aggregate account value of the Policies at the beginning of the Accounting Period (increased by [***] per annum); and</w:t>
      </w:r>
    </w:p>
    <w:p>
      <w:pPr>
        <w:spacing w:after="0" w:line="118" w:lineRule="exact"/>
        <w:rPr>
          <w:rFonts w:ascii="Arial" w:cs="Arial" w:eastAsia="Arial" w:hAnsi="Arial"/>
          <w:sz w:val="14"/>
          <w:szCs w:val="14"/>
          <w:color w:val="auto"/>
        </w:rPr>
      </w:pPr>
    </w:p>
    <w:p>
      <w:pPr>
        <w:ind w:left="1168" w:right="5439" w:hanging="295"/>
        <w:spacing w:after="0" w:line="285" w:lineRule="auto"/>
        <w:tabs>
          <w:tab w:leader="none" w:pos="1154" w:val="left"/>
        </w:tabs>
        <w:numPr>
          <w:ilvl w:val="1"/>
          <w:numId w:val="144"/>
        </w:numPr>
        <w:rPr>
          <w:rFonts w:ascii="Arial" w:cs="Arial" w:eastAsia="Arial" w:hAnsi="Arial"/>
          <w:sz w:val="14"/>
          <w:szCs w:val="14"/>
          <w:color w:val="auto"/>
        </w:rPr>
      </w:pPr>
      <w:r>
        <w:rPr>
          <w:rFonts w:ascii="Arial" w:cs="Arial" w:eastAsia="Arial" w:hAnsi="Arial"/>
          <w:sz w:val="14"/>
          <w:szCs w:val="14"/>
          <w:color w:val="auto"/>
        </w:rPr>
        <w:t>equals [***] per Policy in-force as of the beginning of the Accounting Period (increased by [***] per annum).</w:t>
      </w:r>
    </w:p>
    <w:p>
      <w:pPr>
        <w:spacing w:after="0" w:line="104" w:lineRule="exact"/>
        <w:rPr>
          <w:sz w:val="20"/>
          <w:szCs w:val="20"/>
          <w:color w:val="auto"/>
        </w:rPr>
      </w:pPr>
    </w:p>
    <w:p>
      <w:pPr>
        <w:ind w:left="368" w:right="5139" w:hanging="368"/>
        <w:spacing w:after="0" w:line="263" w:lineRule="auto"/>
        <w:tabs>
          <w:tab w:leader="none" w:pos="361" w:val="left"/>
        </w:tabs>
        <w:numPr>
          <w:ilvl w:val="0"/>
          <w:numId w:val="145"/>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Premium Tax Allowance</w:t>
      </w:r>
      <w:r>
        <w:rPr>
          <w:rFonts w:ascii="Arial" w:cs="Arial" w:eastAsia="Arial" w:hAnsi="Arial"/>
          <w:sz w:val="14"/>
          <w:szCs w:val="14"/>
          <w:color w:val="auto"/>
        </w:rPr>
        <w:t>. For each Accounting Period, the Reinsurer shall pay the Ceding Company a Premium Tax Allowance equal to the Quota Share of [***] of gross Policy premiums.</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4"/>
          <w:szCs w:val="14"/>
          <w:color w:val="auto"/>
        </w:rPr>
        <w:t>For the Shield Level II product, the allowances are:</w:t>
      </w:r>
    </w:p>
    <w:p>
      <w:pPr>
        <w:spacing w:after="0" w:line="163" w:lineRule="exact"/>
        <w:rPr>
          <w:sz w:val="20"/>
          <w:szCs w:val="20"/>
          <w:color w:val="auto"/>
        </w:rPr>
      </w:pPr>
    </w:p>
    <w:p>
      <w:pPr>
        <w:ind w:left="368" w:right="4999" w:hanging="368"/>
        <w:spacing w:after="0" w:line="251" w:lineRule="auto"/>
        <w:tabs>
          <w:tab w:leader="none" w:pos="361" w:val="left"/>
        </w:tabs>
        <w:numPr>
          <w:ilvl w:val="0"/>
          <w:numId w:val="146"/>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Commission Allowance</w:t>
      </w:r>
      <w:r>
        <w:rPr>
          <w:rFonts w:ascii="Arial" w:cs="Arial" w:eastAsia="Arial" w:hAnsi="Arial"/>
          <w:sz w:val="14"/>
          <w:szCs w:val="14"/>
          <w:color w:val="auto"/>
        </w:rPr>
        <w:t>. Each Accounting Period, the Reinsurer shall pay the Ceding Company a Commission Allowance equal to the Quota Share of</w:t>
      </w:r>
    </w:p>
    <w:p>
      <w:pPr>
        <w:spacing w:after="0" w:line="1" w:lineRule="exact"/>
        <w:rPr>
          <w:rFonts w:ascii="Arial" w:cs="Arial" w:eastAsia="Arial" w:hAnsi="Arial"/>
          <w:sz w:val="14"/>
          <w:szCs w:val="14"/>
          <w:u w:val="single" w:color="auto"/>
          <w:color w:val="auto"/>
        </w:rPr>
      </w:pPr>
    </w:p>
    <w:p>
      <w:pPr>
        <w:ind w:left="588" w:hanging="221"/>
        <w:spacing w:after="0"/>
        <w:tabs>
          <w:tab w:leader="none" w:pos="588" w:val="left"/>
        </w:tabs>
        <w:numPr>
          <w:ilvl w:val="1"/>
          <w:numId w:val="146"/>
        </w:numPr>
        <w:rPr>
          <w:rFonts w:ascii="Arial" w:cs="Arial" w:eastAsia="Arial" w:hAnsi="Arial"/>
          <w:sz w:val="14"/>
          <w:szCs w:val="14"/>
          <w:color w:val="auto"/>
        </w:rPr>
      </w:pPr>
      <w:r>
        <w:rPr>
          <w:rFonts w:ascii="Arial" w:cs="Arial" w:eastAsia="Arial" w:hAnsi="Arial"/>
          <w:sz w:val="14"/>
          <w:szCs w:val="14"/>
          <w:color w:val="auto"/>
        </w:rPr>
        <w:t>+ (b) + (c), where:</w:t>
      </w:r>
    </w:p>
    <w:p>
      <w:pPr>
        <w:spacing w:after="0" w:line="149" w:lineRule="exact"/>
        <w:rPr>
          <w:rFonts w:ascii="Arial" w:cs="Arial" w:eastAsia="Arial" w:hAnsi="Arial"/>
          <w:sz w:val="14"/>
          <w:szCs w:val="14"/>
          <w:color w:val="auto"/>
        </w:rPr>
      </w:pPr>
    </w:p>
    <w:p>
      <w:pPr>
        <w:ind w:left="1168" w:right="5239" w:hanging="295"/>
        <w:spacing w:after="0" w:line="263" w:lineRule="auto"/>
        <w:tabs>
          <w:tab w:leader="none" w:pos="1154" w:val="left"/>
        </w:tabs>
        <w:numPr>
          <w:ilvl w:val="2"/>
          <w:numId w:val="146"/>
        </w:numPr>
        <w:rPr>
          <w:rFonts w:ascii="Arial" w:cs="Arial" w:eastAsia="Arial" w:hAnsi="Arial"/>
          <w:sz w:val="14"/>
          <w:szCs w:val="14"/>
          <w:color w:val="auto"/>
        </w:rPr>
      </w:pPr>
      <w:r>
        <w:rPr>
          <w:rFonts w:ascii="Arial" w:cs="Arial" w:eastAsia="Arial" w:hAnsi="Arial"/>
          <w:sz w:val="14"/>
          <w:szCs w:val="14"/>
          <w:color w:val="auto"/>
        </w:rPr>
        <w:t>equals [***] of the gross Policy premiums and deposits collected at issue with respect to the Policies issued during such Accounting Period (“New Issue Premium”), and</w:t>
      </w:r>
    </w:p>
    <w:p>
      <w:pPr>
        <w:spacing w:after="0" w:line="56" w:lineRule="exact"/>
        <w:rPr>
          <w:sz w:val="20"/>
          <w:szCs w:val="20"/>
          <w:color w:val="auto"/>
        </w:rPr>
      </w:pPr>
    </w:p>
    <w:p>
      <w:pPr>
        <w:ind w:left="3628"/>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167"/>
          </w:cols>
          <w:pgMar w:left="292" w:top="220" w:right="1440" w:bottom="1440" w:gutter="0" w:footer="0" w:header="0"/>
        </w:sectPr>
      </w:pPr>
    </w:p>
    <w:bookmarkStart w:id="167" w:name="page168"/>
    <w:bookmarkEnd w:id="167"/>
    <w:p>
      <w:pPr>
        <w:jc w:val="right"/>
        <w:ind w:right="281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1</w:t>
      </w:r>
    </w:p>
    <w:p>
      <w:pPr>
        <w:spacing w:after="0" w:line="163" w:lineRule="exact"/>
        <w:rPr>
          <w:sz w:val="20"/>
          <w:szCs w:val="20"/>
          <w:color w:val="auto"/>
        </w:rPr>
      </w:pPr>
    </w:p>
    <w:p>
      <w:pPr>
        <w:ind w:left="1168" w:right="5419" w:hanging="295"/>
        <w:spacing w:after="0" w:line="285" w:lineRule="auto"/>
        <w:tabs>
          <w:tab w:leader="none" w:pos="1154" w:val="left"/>
        </w:tabs>
        <w:numPr>
          <w:ilvl w:val="0"/>
          <w:numId w:val="147"/>
        </w:numPr>
        <w:rPr>
          <w:rFonts w:ascii="Arial" w:cs="Arial" w:eastAsia="Arial" w:hAnsi="Arial"/>
          <w:sz w:val="14"/>
          <w:szCs w:val="14"/>
          <w:color w:val="auto"/>
        </w:rPr>
      </w:pPr>
      <w:r>
        <w:rPr>
          <w:rFonts w:ascii="Arial" w:cs="Arial" w:eastAsia="Arial" w:hAnsi="Arial"/>
          <w:sz w:val="14"/>
          <w:szCs w:val="14"/>
          <w:color w:val="auto"/>
        </w:rPr>
        <w:t>equals [***] per Policy with respect to the Policies issued during such Account Period, and</w:t>
      </w:r>
    </w:p>
    <w:p>
      <w:pPr>
        <w:spacing w:after="0" w:line="103" w:lineRule="exact"/>
        <w:rPr>
          <w:rFonts w:ascii="Arial" w:cs="Arial" w:eastAsia="Arial" w:hAnsi="Arial"/>
          <w:sz w:val="14"/>
          <w:szCs w:val="14"/>
          <w:color w:val="auto"/>
        </w:rPr>
      </w:pPr>
    </w:p>
    <w:p>
      <w:pPr>
        <w:ind w:left="1168" w:right="5439" w:hanging="295"/>
        <w:spacing w:after="0" w:line="285" w:lineRule="auto"/>
        <w:tabs>
          <w:tab w:leader="none" w:pos="1154" w:val="left"/>
        </w:tabs>
        <w:numPr>
          <w:ilvl w:val="0"/>
          <w:numId w:val="147"/>
        </w:numPr>
        <w:rPr>
          <w:rFonts w:ascii="Arial" w:cs="Arial" w:eastAsia="Arial" w:hAnsi="Arial"/>
          <w:sz w:val="14"/>
          <w:szCs w:val="14"/>
          <w:color w:val="auto"/>
        </w:rPr>
      </w:pPr>
      <w:r>
        <w:rPr>
          <w:rFonts w:ascii="Arial" w:cs="Arial" w:eastAsia="Arial" w:hAnsi="Arial"/>
          <w:sz w:val="14"/>
          <w:szCs w:val="14"/>
          <w:color w:val="auto"/>
        </w:rPr>
        <w:t>equals [***] multiplied by the aggregate account value of the Policies at the beginning of the Accounting Period.</w:t>
      </w:r>
    </w:p>
    <w:p>
      <w:pPr>
        <w:spacing w:after="0" w:line="104" w:lineRule="exact"/>
        <w:rPr>
          <w:sz w:val="20"/>
          <w:szCs w:val="20"/>
          <w:color w:val="auto"/>
        </w:rPr>
      </w:pPr>
    </w:p>
    <w:p>
      <w:pPr>
        <w:ind w:left="368" w:right="5019" w:hanging="368"/>
        <w:spacing w:after="0" w:line="250" w:lineRule="auto"/>
        <w:tabs>
          <w:tab w:leader="none" w:pos="361" w:val="left"/>
        </w:tabs>
        <w:numPr>
          <w:ilvl w:val="0"/>
          <w:numId w:val="148"/>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Maintenance Expense Allowance</w:t>
      </w:r>
      <w:r>
        <w:rPr>
          <w:rFonts w:ascii="Arial" w:cs="Arial" w:eastAsia="Arial" w:hAnsi="Arial"/>
          <w:sz w:val="14"/>
          <w:szCs w:val="14"/>
          <w:color w:val="auto"/>
        </w:rPr>
        <w:t>. The Reinsurer shall indemnify the Ceding Company for expenses incurred in connection with ongoing maintenance and administration of the Policies. Each Accounting Period, the expenses incurred in connection with ongoing maintenance and administration of the Policies shall be equal to the Quota Share of (a) + (b), where:</w:t>
      </w:r>
    </w:p>
    <w:p>
      <w:pPr>
        <w:spacing w:after="0" w:line="295" w:lineRule="exact"/>
        <w:rPr>
          <w:rFonts w:ascii="Arial" w:cs="Arial" w:eastAsia="Arial" w:hAnsi="Arial"/>
          <w:sz w:val="14"/>
          <w:szCs w:val="14"/>
          <w:u w:val="single" w:color="auto"/>
          <w:color w:val="auto"/>
        </w:rPr>
      </w:pPr>
    </w:p>
    <w:p>
      <w:pPr>
        <w:ind w:left="1168" w:right="5119" w:hanging="295"/>
        <w:spacing w:after="0" w:line="263" w:lineRule="auto"/>
        <w:tabs>
          <w:tab w:leader="none" w:pos="1154" w:val="left"/>
        </w:tabs>
        <w:numPr>
          <w:ilvl w:val="1"/>
          <w:numId w:val="148"/>
        </w:numPr>
        <w:rPr>
          <w:rFonts w:ascii="Arial" w:cs="Arial" w:eastAsia="Arial" w:hAnsi="Arial"/>
          <w:sz w:val="14"/>
          <w:szCs w:val="14"/>
          <w:color w:val="auto"/>
        </w:rPr>
      </w:pPr>
      <w:r>
        <w:rPr>
          <w:rFonts w:ascii="Arial" w:cs="Arial" w:eastAsia="Arial" w:hAnsi="Arial"/>
          <w:sz w:val="14"/>
          <w:szCs w:val="14"/>
          <w:color w:val="auto"/>
        </w:rPr>
        <w:t>equals [***] multiplied by the aggregate account value of the Policies at the beginning of the Accounting Period (increased by [***] per annum); and</w:t>
      </w:r>
    </w:p>
    <w:p>
      <w:pPr>
        <w:spacing w:after="0" w:line="118" w:lineRule="exact"/>
        <w:rPr>
          <w:rFonts w:ascii="Arial" w:cs="Arial" w:eastAsia="Arial" w:hAnsi="Arial"/>
          <w:sz w:val="14"/>
          <w:szCs w:val="14"/>
          <w:color w:val="auto"/>
        </w:rPr>
      </w:pPr>
    </w:p>
    <w:p>
      <w:pPr>
        <w:ind w:left="1168" w:right="5439" w:hanging="295"/>
        <w:spacing w:after="0" w:line="285" w:lineRule="auto"/>
        <w:tabs>
          <w:tab w:leader="none" w:pos="1154" w:val="left"/>
        </w:tabs>
        <w:numPr>
          <w:ilvl w:val="1"/>
          <w:numId w:val="148"/>
        </w:numPr>
        <w:rPr>
          <w:rFonts w:ascii="Arial" w:cs="Arial" w:eastAsia="Arial" w:hAnsi="Arial"/>
          <w:sz w:val="14"/>
          <w:szCs w:val="14"/>
          <w:color w:val="auto"/>
        </w:rPr>
      </w:pPr>
      <w:r>
        <w:rPr>
          <w:rFonts w:ascii="Arial" w:cs="Arial" w:eastAsia="Arial" w:hAnsi="Arial"/>
          <w:sz w:val="14"/>
          <w:szCs w:val="14"/>
          <w:color w:val="auto"/>
        </w:rPr>
        <w:t>equals [***] per Policy in-force as of the beginning of the Accounting Period (increased by [***] per annum).</w:t>
      </w:r>
    </w:p>
    <w:p>
      <w:pPr>
        <w:spacing w:after="0" w:line="104" w:lineRule="exact"/>
        <w:rPr>
          <w:sz w:val="20"/>
          <w:szCs w:val="20"/>
          <w:color w:val="auto"/>
        </w:rPr>
      </w:pPr>
    </w:p>
    <w:p>
      <w:pPr>
        <w:ind w:left="368" w:right="5139" w:hanging="368"/>
        <w:spacing w:after="0" w:line="263" w:lineRule="auto"/>
        <w:tabs>
          <w:tab w:leader="none" w:pos="361" w:val="left"/>
        </w:tabs>
        <w:numPr>
          <w:ilvl w:val="0"/>
          <w:numId w:val="149"/>
        </w:numPr>
        <w:rPr>
          <w:rFonts w:ascii="Arial" w:cs="Arial" w:eastAsia="Arial" w:hAnsi="Arial"/>
          <w:sz w:val="14"/>
          <w:szCs w:val="14"/>
          <w:u w:val="single" w:color="auto"/>
          <w:color w:val="auto"/>
        </w:rPr>
      </w:pPr>
      <w:r>
        <w:rPr>
          <w:rFonts w:ascii="Arial" w:cs="Arial" w:eastAsia="Arial" w:hAnsi="Arial"/>
          <w:sz w:val="14"/>
          <w:szCs w:val="14"/>
          <w:u w:val="single" w:color="auto"/>
          <w:color w:val="auto"/>
        </w:rPr>
        <w:t>Premium Tax Allowance</w:t>
      </w:r>
      <w:r>
        <w:rPr>
          <w:rFonts w:ascii="Arial" w:cs="Arial" w:eastAsia="Arial" w:hAnsi="Arial"/>
          <w:sz w:val="14"/>
          <w:szCs w:val="14"/>
          <w:color w:val="auto"/>
        </w:rPr>
        <w:t>. For each Accounting Period, the Reinsurer shall pay the Ceding Company a Premium Tax Allowance equal to the Quota Share of [***] of gross Policy premiums.</w:t>
      </w:r>
    </w:p>
    <w:p>
      <w:pPr>
        <w:spacing w:after="0" w:line="56" w:lineRule="exact"/>
        <w:rPr>
          <w:sz w:val="20"/>
          <w:szCs w:val="20"/>
          <w:color w:val="auto"/>
        </w:rPr>
      </w:pPr>
    </w:p>
    <w:p>
      <w:pPr>
        <w:ind w:left="3628"/>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167"/>
          </w:cols>
          <w:pgMar w:left="292" w:top="220"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2"/>
          <w:szCs w:val="12"/>
          <w:b w:val="1"/>
          <w:bCs w:val="1"/>
          <w:color w:val="auto"/>
        </w:rPr>
        <w:t>CONSENT OF INDEPENDENT AUDITOR</w:t>
      </w:r>
    </w:p>
    <w:p>
      <w:pPr>
        <w:spacing w:after="0" w:line="64" w:lineRule="exact"/>
        <w:rPr>
          <w:sz w:val="20"/>
          <w:szCs w:val="20"/>
          <w:color w:val="auto"/>
        </w:rPr>
      </w:pPr>
    </w:p>
    <w:p>
      <w:pPr>
        <w:ind w:right="3699"/>
        <w:spacing w:after="0" w:line="257" w:lineRule="auto"/>
        <w:rPr>
          <w:sz w:val="20"/>
          <w:szCs w:val="20"/>
          <w:color w:val="auto"/>
        </w:rPr>
      </w:pPr>
      <w:r>
        <w:rPr>
          <w:rFonts w:ascii="Times New Roman" w:cs="Times New Roman" w:eastAsia="Times New Roman" w:hAnsi="Times New Roman"/>
          <w:sz w:val="12"/>
          <w:szCs w:val="12"/>
          <w:color w:val="auto"/>
        </w:rPr>
        <w:t>We consent to the incorporation by reference in this Post-Effective Amendment to Registration Statement File No. 333-279315 on Form N-4 of our report dated April 6, 2026, relating to the statutory-basis financial statements of Brighthouse Life Insurance Company of NY, appearing in form N-VPFS of Brighthouse Life Insurance Company of NY for the year ended December 31, 2025. We also consent to the reference to us under the heading “Independent Auditor” in the Statement of Additional Information, which is part of such Registration Statement.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DELOITTE &amp; TOUCHE LLP</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Charlotte, North Carolina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4597400</wp:posOffset>
            </wp:positionV>
            <wp:extent cx="7203440" cy="368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959"/>
          </w:cols>
          <w:pgMar w:left="500" w:top="512" w:right="1440" w:bottom="1440" w:gutter="0" w:footer="0" w:header="0"/>
        </w:sectPr>
      </w:pPr>
    </w:p>
    <w:bookmarkStart w:id="169" w:name="page170"/>
    <w:bookmarkEnd w:id="169"/>
    <w:p>
      <w:pPr>
        <w:jc w:val="center"/>
        <w:ind w:right="-119"/>
        <w:spacing w:after="0"/>
        <w:rPr>
          <w:sz w:val="20"/>
          <w:szCs w:val="20"/>
          <w:color w:val="auto"/>
        </w:rPr>
      </w:pPr>
      <w:r>
        <w:rPr>
          <w:rFonts w:ascii="Arial" w:cs="Arial" w:eastAsia="Arial" w:hAnsi="Arial"/>
          <w:sz w:val="12"/>
          <w:szCs w:val="12"/>
          <w:color w:val="auto"/>
        </w:rPr>
        <w:t>Brighthouse Life Insurance Company of NY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POWER OF ATTORNEY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David A. Rosenbaum</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Chairman of the Board, President, Chief Executive Officer and a Director</w:t>
      </w:r>
    </w:p>
    <w:p>
      <w:pPr>
        <w:spacing w:after="0" w:line="129"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KNOW ALL MEN BY THESE PRESENTS, that I, David A. Rosenbaum, Chairman of the Board, President, Chief Executive Officer and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47" w:lineRule="exact"/>
        <w:rPr>
          <w:sz w:val="20"/>
          <w:szCs w:val="20"/>
          <w:color w:val="auto"/>
        </w:rPr>
      </w:pPr>
    </w:p>
    <w:p>
      <w:pPr>
        <w:ind w:left="660" w:hanging="335"/>
        <w:spacing w:after="0"/>
        <w:tabs>
          <w:tab w:leader="none" w:pos="660" w:val="left"/>
        </w:tabs>
        <w:numPr>
          <w:ilvl w:val="0"/>
          <w:numId w:val="150"/>
        </w:numPr>
        <w:rPr>
          <w:rFonts w:ascii="Times New Roman" w:cs="Times New Roman" w:eastAsia="Times New Roman" w:hAnsi="Times New Roman"/>
          <w:sz w:val="19"/>
          <w:szCs w:val="19"/>
          <w:color w:val="auto"/>
          <w:vertAlign w:val="superscript"/>
        </w:rPr>
      </w:pPr>
      <w:r>
        <w:rPr>
          <w:rFonts w:ascii="Arial" w:cs="Arial" w:eastAsia="Arial" w:hAnsi="Arial"/>
          <w:sz w:val="12"/>
          <w:szCs w:val="12"/>
          <w:color w:val="auto"/>
        </w:rPr>
        <w:t>  Brighthouse Variable Annuity Account B (811-08306)</w:t>
      </w:r>
    </w:p>
    <w:p>
      <w:pPr>
        <w:ind w:left="780"/>
        <w:spacing w:after="0" w:line="234" w:lineRule="auto"/>
        <w:rPr>
          <w:sz w:val="20"/>
          <w:szCs w:val="20"/>
          <w:color w:val="auto"/>
        </w:rPr>
      </w:pPr>
      <w:r>
        <w:rPr>
          <w:rFonts w:ascii="Arial" w:cs="Arial" w:eastAsia="Arial" w:hAnsi="Arial"/>
          <w:sz w:val="12"/>
          <w:szCs w:val="12"/>
          <w:color w:val="auto"/>
        </w:rPr>
        <w:t>File No. 033-74174 First COVA VA, Custom Select, Russell Select and Class VA, Class AA and Class B</w:t>
      </w:r>
    </w:p>
    <w:p>
      <w:pPr>
        <w:ind w:left="780"/>
        <w:spacing w:after="0" w:line="235" w:lineRule="auto"/>
        <w:rPr>
          <w:sz w:val="20"/>
          <w:szCs w:val="20"/>
          <w:color w:val="auto"/>
        </w:rPr>
      </w:pPr>
      <w:r>
        <w:rPr>
          <w:rFonts w:ascii="Arial" w:cs="Arial" w:eastAsia="Arial" w:hAnsi="Arial"/>
          <w:sz w:val="12"/>
          <w:szCs w:val="12"/>
          <w:color w:val="auto"/>
        </w:rPr>
        <w:t>File No. 333-96773 Class VA (offered between June 15, 2001 and October 7, 2011), Class AA, and Class B</w:t>
      </w:r>
    </w:p>
    <w:p>
      <w:pPr>
        <w:ind w:left="780"/>
        <w:spacing w:after="0" w:line="235" w:lineRule="auto"/>
        <w:rPr>
          <w:sz w:val="20"/>
          <w:szCs w:val="20"/>
          <w:color w:val="auto"/>
        </w:rPr>
      </w:pPr>
      <w:r>
        <w:rPr>
          <w:rFonts w:ascii="Arial" w:cs="Arial" w:eastAsia="Arial" w:hAnsi="Arial"/>
          <w:sz w:val="12"/>
          <w:szCs w:val="12"/>
          <w:color w:val="auto"/>
        </w:rPr>
        <w:t>File No. 333-96775 Class A</w:t>
      </w:r>
    </w:p>
    <w:p>
      <w:pPr>
        <w:ind w:left="780"/>
        <w:spacing w:after="0" w:line="235" w:lineRule="auto"/>
        <w:rPr>
          <w:sz w:val="20"/>
          <w:szCs w:val="20"/>
          <w:color w:val="auto"/>
        </w:rPr>
      </w:pPr>
      <w:r>
        <w:rPr>
          <w:rFonts w:ascii="Arial" w:cs="Arial" w:eastAsia="Arial" w:hAnsi="Arial"/>
          <w:sz w:val="12"/>
          <w:szCs w:val="12"/>
          <w:color w:val="auto"/>
        </w:rPr>
        <w:t>File No. 333-96777 Class XC</w:t>
      </w:r>
    </w:p>
    <w:p>
      <w:pPr>
        <w:ind w:left="780"/>
        <w:spacing w:after="0" w:line="234" w:lineRule="auto"/>
        <w:rPr>
          <w:sz w:val="20"/>
          <w:szCs w:val="20"/>
          <w:color w:val="auto"/>
        </w:rPr>
      </w:pPr>
      <w:r>
        <w:rPr>
          <w:rFonts w:ascii="Arial" w:cs="Arial" w:eastAsia="Arial" w:hAnsi="Arial"/>
          <w:sz w:val="12"/>
          <w:szCs w:val="12"/>
          <w:color w:val="auto"/>
        </w:rPr>
        <w:t>File No. 333-96785 Class L and Class L –4 Year (offered between November 22, 2004 and October 7, 2011)</w:t>
      </w:r>
    </w:p>
    <w:p>
      <w:pPr>
        <w:ind w:left="780"/>
        <w:spacing w:after="0" w:line="235" w:lineRule="auto"/>
        <w:rPr>
          <w:sz w:val="20"/>
          <w:szCs w:val="20"/>
          <w:color w:val="auto"/>
        </w:rPr>
      </w:pPr>
      <w:r>
        <w:rPr>
          <w:rFonts w:ascii="Arial" w:cs="Arial" w:eastAsia="Arial" w:hAnsi="Arial"/>
          <w:sz w:val="12"/>
          <w:szCs w:val="12"/>
          <w:color w:val="auto"/>
        </w:rPr>
        <w:t>File No. 333-96795 Class C (offered between September 4, 2001 and October 7, 2011)</w:t>
      </w:r>
    </w:p>
    <w:p>
      <w:pPr>
        <w:ind w:left="780"/>
        <w:spacing w:after="0" w:line="235" w:lineRule="auto"/>
        <w:rPr>
          <w:sz w:val="20"/>
          <w:szCs w:val="20"/>
          <w:color w:val="auto"/>
        </w:rPr>
      </w:pPr>
      <w:r>
        <w:rPr>
          <w:rFonts w:ascii="Arial" w:cs="Arial" w:eastAsia="Arial" w:hAnsi="Arial"/>
          <w:sz w:val="12"/>
          <w:szCs w:val="12"/>
          <w:color w:val="auto"/>
        </w:rPr>
        <w:t>File No. 333-125613 Vintage L and Vintage XC</w:t>
      </w:r>
    </w:p>
    <w:p>
      <w:pPr>
        <w:ind w:left="780"/>
        <w:spacing w:after="0" w:line="235" w:lineRule="auto"/>
        <w:rPr>
          <w:sz w:val="20"/>
          <w:szCs w:val="20"/>
          <w:color w:val="auto"/>
        </w:rPr>
      </w:pPr>
      <w:r>
        <w:rPr>
          <w:rFonts w:ascii="Arial" w:cs="Arial" w:eastAsia="Arial" w:hAnsi="Arial"/>
          <w:sz w:val="12"/>
          <w:szCs w:val="12"/>
          <w:color w:val="auto"/>
        </w:rPr>
        <w:t>File No. 333-125617 PrimElite III</w:t>
      </w:r>
    </w:p>
    <w:p>
      <w:pPr>
        <w:ind w:left="780"/>
        <w:spacing w:after="0" w:line="235" w:lineRule="auto"/>
        <w:rPr>
          <w:sz w:val="20"/>
          <w:szCs w:val="20"/>
          <w:color w:val="auto"/>
        </w:rPr>
      </w:pPr>
      <w:r>
        <w:rPr>
          <w:rFonts w:ascii="Arial" w:cs="Arial" w:eastAsia="Arial" w:hAnsi="Arial"/>
          <w:sz w:val="12"/>
          <w:szCs w:val="12"/>
          <w:color w:val="auto"/>
        </w:rPr>
        <w:t>File No. 333-125618 Marquis Portfolios (offered between November 7, 2005 and April 30, 2012)</w:t>
      </w:r>
    </w:p>
    <w:p>
      <w:pPr>
        <w:ind w:left="780"/>
        <w:spacing w:after="0" w:line="234" w:lineRule="auto"/>
        <w:rPr>
          <w:sz w:val="20"/>
          <w:szCs w:val="20"/>
          <w:color w:val="auto"/>
        </w:rPr>
      </w:pPr>
      <w:r>
        <w:rPr>
          <w:rFonts w:ascii="Arial" w:cs="Arial" w:eastAsia="Arial" w:hAnsi="Arial"/>
          <w:sz w:val="12"/>
          <w:szCs w:val="12"/>
          <w:color w:val="auto"/>
        </w:rPr>
        <w:t>File No. 333-125619 Protected Equity Portfolio</w:t>
      </w:r>
    </w:p>
    <w:p>
      <w:pPr>
        <w:ind w:left="780"/>
        <w:spacing w:after="0" w:line="235" w:lineRule="auto"/>
        <w:rPr>
          <w:sz w:val="20"/>
          <w:szCs w:val="20"/>
          <w:color w:val="auto"/>
        </w:rPr>
      </w:pPr>
      <w:r>
        <w:rPr>
          <w:rFonts w:ascii="Arial" w:cs="Arial" w:eastAsia="Arial" w:hAnsi="Arial"/>
          <w:sz w:val="12"/>
          <w:szCs w:val="12"/>
          <w:color w:val="auto"/>
        </w:rPr>
        <w:t>File No. 333-137370 Class S and Class S - L Share Option (offered between April 30, 2007 and October 7, 2011)</w:t>
      </w:r>
    </w:p>
    <w:p>
      <w:pPr>
        <w:ind w:left="780"/>
        <w:spacing w:after="0" w:line="235" w:lineRule="auto"/>
        <w:rPr>
          <w:sz w:val="20"/>
          <w:szCs w:val="20"/>
          <w:color w:val="auto"/>
        </w:rPr>
      </w:pPr>
      <w:r>
        <w:rPr>
          <w:rFonts w:ascii="Arial" w:cs="Arial" w:eastAsia="Arial" w:hAnsi="Arial"/>
          <w:sz w:val="12"/>
          <w:szCs w:val="12"/>
          <w:color w:val="auto"/>
        </w:rPr>
        <w:t>File No. 333-137969 PrimElite IV</w:t>
      </w:r>
    </w:p>
    <w:p>
      <w:pPr>
        <w:ind w:left="780"/>
        <w:spacing w:after="0" w:line="235" w:lineRule="auto"/>
        <w:rPr>
          <w:sz w:val="20"/>
          <w:szCs w:val="20"/>
          <w:color w:val="auto"/>
        </w:rPr>
      </w:pPr>
      <w:r>
        <w:rPr>
          <w:rFonts w:ascii="Arial" w:cs="Arial" w:eastAsia="Arial" w:hAnsi="Arial"/>
          <w:sz w:val="12"/>
          <w:szCs w:val="12"/>
          <w:color w:val="auto"/>
        </w:rPr>
        <w:t>File No. 333-148873 Pioneer PRISM</w:t>
      </w:r>
    </w:p>
    <w:p>
      <w:pPr>
        <w:ind w:left="780"/>
        <w:spacing w:after="0" w:line="235" w:lineRule="auto"/>
        <w:rPr>
          <w:sz w:val="20"/>
          <w:szCs w:val="20"/>
          <w:color w:val="auto"/>
        </w:rPr>
      </w:pPr>
      <w:r>
        <w:rPr>
          <w:rFonts w:ascii="Arial" w:cs="Arial" w:eastAsia="Arial" w:hAnsi="Arial"/>
          <w:sz w:val="12"/>
          <w:szCs w:val="12"/>
          <w:color w:val="auto"/>
        </w:rPr>
        <w:t>File No. 333-148874 Pioneer PRISM XC</w:t>
      </w:r>
    </w:p>
    <w:p>
      <w:pPr>
        <w:ind w:left="780"/>
        <w:spacing w:after="0" w:line="234" w:lineRule="auto"/>
        <w:rPr>
          <w:sz w:val="20"/>
          <w:szCs w:val="20"/>
          <w:color w:val="auto"/>
        </w:rPr>
      </w:pPr>
      <w:r>
        <w:rPr>
          <w:rFonts w:ascii="Arial" w:cs="Arial" w:eastAsia="Arial" w:hAnsi="Arial"/>
          <w:sz w:val="12"/>
          <w:szCs w:val="12"/>
          <w:color w:val="auto"/>
        </w:rPr>
        <w:t>File No. 333-148876 Pioneer PRISM L</w:t>
      </w:r>
    </w:p>
    <w:p>
      <w:pPr>
        <w:ind w:left="780"/>
        <w:spacing w:after="0" w:line="235" w:lineRule="auto"/>
        <w:rPr>
          <w:sz w:val="20"/>
          <w:szCs w:val="20"/>
          <w:color w:val="auto"/>
        </w:rPr>
      </w:pPr>
      <w:r>
        <w:rPr>
          <w:rFonts w:ascii="Arial" w:cs="Arial" w:eastAsia="Arial" w:hAnsi="Arial"/>
          <w:sz w:val="12"/>
          <w:szCs w:val="12"/>
          <w:color w:val="auto"/>
        </w:rPr>
        <w:t>File No. 333-152450 Class XTRA</w:t>
      </w:r>
    </w:p>
    <w:p>
      <w:pPr>
        <w:ind w:left="780"/>
        <w:spacing w:after="0" w:line="235" w:lineRule="auto"/>
        <w:rPr>
          <w:sz w:val="20"/>
          <w:szCs w:val="20"/>
          <w:color w:val="auto"/>
        </w:rPr>
      </w:pPr>
      <w:r>
        <w:rPr>
          <w:rFonts w:ascii="Arial" w:cs="Arial" w:eastAsia="Arial" w:hAnsi="Arial"/>
          <w:sz w:val="12"/>
          <w:szCs w:val="12"/>
          <w:color w:val="auto"/>
        </w:rPr>
        <w:t>File No. 333-156646 Class XTRA 6</w:t>
      </w:r>
    </w:p>
    <w:p>
      <w:pPr>
        <w:ind w:left="780"/>
        <w:spacing w:after="0" w:line="188" w:lineRule="auto"/>
        <w:rPr>
          <w:sz w:val="20"/>
          <w:szCs w:val="20"/>
          <w:color w:val="auto"/>
        </w:rPr>
      </w:pPr>
      <w:r>
        <w:rPr>
          <w:rFonts w:ascii="Arial" w:cs="Arial" w:eastAsia="Arial" w:hAnsi="Arial"/>
          <w:sz w:val="11"/>
          <w:szCs w:val="11"/>
          <w:color w:val="auto"/>
        </w:rPr>
        <w:t>File No. 333-158579 Brighthouse Simple Solutions</w:t>
      </w:r>
      <w:r>
        <w:rPr>
          <w:rFonts w:ascii="Arial" w:cs="Arial" w:eastAsia="Arial" w:hAnsi="Arial"/>
          <w:sz w:val="15"/>
          <w:szCs w:val="15"/>
          <w:color w:val="auto"/>
          <w:vertAlign w:val="superscript"/>
        </w:rPr>
        <w:t>SM</w:t>
      </w:r>
    </w:p>
    <w:p>
      <w:pPr>
        <w:ind w:left="780"/>
        <w:spacing w:after="0" w:line="235" w:lineRule="auto"/>
        <w:rPr>
          <w:sz w:val="20"/>
          <w:szCs w:val="20"/>
          <w:color w:val="auto"/>
        </w:rPr>
      </w:pPr>
      <w:r>
        <w:rPr>
          <w:rFonts w:ascii="Arial" w:cs="Arial" w:eastAsia="Arial" w:hAnsi="Arial"/>
          <w:sz w:val="12"/>
          <w:szCs w:val="12"/>
          <w:color w:val="auto"/>
        </w:rPr>
        <w:t>File No. 333-169687 Class VA- 4 (offered between May 1, 2011 and October 7, 2011)</w:t>
      </w:r>
    </w:p>
    <w:p>
      <w:pPr>
        <w:ind w:left="780"/>
        <w:spacing w:after="0" w:line="234" w:lineRule="auto"/>
        <w:rPr>
          <w:sz w:val="20"/>
          <w:szCs w:val="20"/>
          <w:color w:val="auto"/>
        </w:rPr>
      </w:pPr>
      <w:r>
        <w:rPr>
          <w:rFonts w:ascii="Arial" w:cs="Arial" w:eastAsia="Arial" w:hAnsi="Arial"/>
          <w:sz w:val="12"/>
          <w:szCs w:val="12"/>
          <w:color w:val="auto"/>
        </w:rPr>
        <w:t>File No. 333-176679 Class S (offered on and after October 7, 2011) and</w:t>
      </w:r>
    </w:p>
    <w:p>
      <w:pPr>
        <w:ind w:left="1000"/>
        <w:spacing w:after="0" w:line="235" w:lineRule="auto"/>
        <w:rPr>
          <w:sz w:val="20"/>
          <w:szCs w:val="20"/>
          <w:color w:val="auto"/>
        </w:rPr>
      </w:pPr>
      <w:r>
        <w:rPr>
          <w:rFonts w:ascii="Arial" w:cs="Arial" w:eastAsia="Arial" w:hAnsi="Arial"/>
          <w:sz w:val="12"/>
          <w:szCs w:val="12"/>
          <w:color w:val="auto"/>
        </w:rPr>
        <w:t>Class S- L Share Option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333-176680 Class VA- 4 (offered between October 7, 2011 and May 1, 2016)</w:t>
      </w:r>
    </w:p>
    <w:p>
      <w:pPr>
        <w:ind w:left="780"/>
        <w:spacing w:after="0" w:line="235" w:lineRule="auto"/>
        <w:rPr>
          <w:sz w:val="20"/>
          <w:szCs w:val="20"/>
          <w:color w:val="auto"/>
        </w:rPr>
      </w:pPr>
      <w:r>
        <w:rPr>
          <w:rFonts w:ascii="Arial" w:cs="Arial" w:eastAsia="Arial" w:hAnsi="Arial"/>
          <w:sz w:val="12"/>
          <w:szCs w:val="12"/>
          <w:color w:val="auto"/>
        </w:rPr>
        <w:t>File No. 333-176691 Class VA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333-176692 Class L- 4 Year (offered between October 7, 2011 and April 28, 2013)</w:t>
      </w:r>
    </w:p>
    <w:p>
      <w:pPr>
        <w:ind w:left="780"/>
        <w:spacing w:after="0" w:line="234" w:lineRule="auto"/>
        <w:rPr>
          <w:sz w:val="20"/>
          <w:szCs w:val="20"/>
          <w:color w:val="auto"/>
        </w:rPr>
      </w:pPr>
      <w:r>
        <w:rPr>
          <w:rFonts w:ascii="Arial" w:cs="Arial" w:eastAsia="Arial" w:hAnsi="Arial"/>
          <w:sz w:val="12"/>
          <w:szCs w:val="12"/>
          <w:color w:val="auto"/>
        </w:rPr>
        <w:t>File No. 333-176693 Class C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333-178515 Class O (offered between April 30, 2012 and September 20, 2015)</w:t>
      </w:r>
    </w:p>
    <w:p>
      <w:pPr>
        <w:ind w:left="780"/>
        <w:spacing w:after="0" w:line="235" w:lineRule="auto"/>
        <w:rPr>
          <w:sz w:val="20"/>
          <w:szCs w:val="20"/>
          <w:color w:val="auto"/>
        </w:rPr>
      </w:pPr>
      <w:r>
        <w:rPr>
          <w:rFonts w:ascii="Arial" w:cs="Arial" w:eastAsia="Arial" w:hAnsi="Arial"/>
          <w:sz w:val="12"/>
          <w:szCs w:val="12"/>
          <w:color w:val="auto"/>
        </w:rPr>
        <w:t>File No. 333-179240 Marquis Portfolios (offered on and after April 30, 2012)</w:t>
      </w:r>
    </w:p>
    <w:p>
      <w:pPr>
        <w:ind w:left="780"/>
        <w:spacing w:after="0" w:line="235" w:lineRule="auto"/>
        <w:rPr>
          <w:sz w:val="20"/>
          <w:szCs w:val="20"/>
          <w:color w:val="auto"/>
        </w:rPr>
      </w:pPr>
      <w:r>
        <w:rPr>
          <w:rFonts w:ascii="Arial" w:cs="Arial" w:eastAsia="Arial" w:hAnsi="Arial"/>
          <w:sz w:val="12"/>
          <w:szCs w:val="12"/>
          <w:color w:val="auto"/>
        </w:rPr>
        <w:t>File No. 333-186216 Class L- 4 Year (offered on and after April 29, 2013)</w:t>
      </w:r>
    </w:p>
    <w:p>
      <w:pPr>
        <w:ind w:left="780"/>
        <w:spacing w:after="0" w:line="235" w:lineRule="auto"/>
        <w:rPr>
          <w:sz w:val="20"/>
          <w:szCs w:val="20"/>
          <w:color w:val="auto"/>
        </w:rPr>
      </w:pPr>
      <w:r>
        <w:rPr>
          <w:rFonts w:ascii="Arial" w:cs="Arial" w:eastAsia="Arial" w:hAnsi="Arial"/>
          <w:sz w:val="12"/>
          <w:szCs w:val="12"/>
          <w:color w:val="auto"/>
        </w:rPr>
        <w:t>File No. 333-205137 Class O (offered on and after September 21, 2015)</w:t>
      </w:r>
    </w:p>
    <w:p>
      <w:pPr>
        <w:ind w:left="780"/>
        <w:spacing w:after="0" w:line="234" w:lineRule="auto"/>
        <w:rPr>
          <w:sz w:val="20"/>
          <w:szCs w:val="20"/>
          <w:color w:val="auto"/>
        </w:rPr>
      </w:pPr>
      <w:r>
        <w:rPr>
          <w:rFonts w:ascii="Arial" w:cs="Arial" w:eastAsia="Arial" w:hAnsi="Arial"/>
          <w:sz w:val="12"/>
          <w:szCs w:val="12"/>
          <w:color w:val="auto"/>
        </w:rPr>
        <w:t>File No. 333-209057 Class VA- 4 (offered on and after May 2, 2016)</w:t>
      </w:r>
    </w:p>
    <w:p>
      <w:pPr>
        <w:ind w:left="780"/>
        <w:spacing w:after="0" w:line="235" w:lineRule="auto"/>
        <w:rPr>
          <w:sz w:val="20"/>
          <w:szCs w:val="20"/>
          <w:color w:val="auto"/>
        </w:rPr>
      </w:pPr>
      <w:r>
        <w:rPr>
          <w:rFonts w:ascii="Arial" w:cs="Arial" w:eastAsia="Arial" w:hAnsi="Arial"/>
          <w:sz w:val="12"/>
          <w:szCs w:val="12"/>
          <w:color w:val="auto"/>
        </w:rPr>
        <w:t>File No. 333-209058 Class VA (offered on and after May 2, 2016)</w:t>
      </w:r>
    </w:p>
    <w:p>
      <w:pPr>
        <w:ind w:left="780"/>
        <w:spacing w:after="0" w:line="235" w:lineRule="auto"/>
        <w:rPr>
          <w:sz w:val="20"/>
          <w:szCs w:val="20"/>
          <w:color w:val="auto"/>
        </w:rPr>
      </w:pPr>
      <w:r>
        <w:rPr>
          <w:rFonts w:ascii="Arial" w:cs="Arial" w:eastAsia="Arial" w:hAnsi="Arial"/>
          <w:sz w:val="12"/>
          <w:szCs w:val="12"/>
          <w:color w:val="auto"/>
        </w:rPr>
        <w:t>File No. 333-209059 Class S (offered on and after May 2, 2016) and</w:t>
      </w:r>
    </w:p>
    <w:p>
      <w:pPr>
        <w:ind w:left="1000"/>
        <w:spacing w:after="0"/>
        <w:rPr>
          <w:sz w:val="20"/>
          <w:szCs w:val="20"/>
          <w:color w:val="auto"/>
        </w:rPr>
      </w:pPr>
      <w:r>
        <w:rPr>
          <w:rFonts w:ascii="Arial" w:cs="Arial" w:eastAsia="Arial" w:hAnsi="Arial"/>
          <w:sz w:val="12"/>
          <w:szCs w:val="12"/>
          <w:color w:val="auto"/>
        </w:rPr>
        <w:t>S- L Share Option (offered on and after May 2, 2016)</w:t>
      </w:r>
    </w:p>
    <w:p>
      <w:pPr>
        <w:sectPr>
          <w:pgSz w:w="11900" w:h="16838" w:orient="portrait"/>
          <w:cols w:equalWidth="0" w:num="1">
            <w:col w:w="11180"/>
          </w:cols>
          <w:pgMar w:left="300" w:top="128" w:right="419" w:bottom="1440" w:gutter="0" w:footer="0" w:header="0"/>
        </w:sectPr>
      </w:pPr>
    </w:p>
    <w:bookmarkStart w:id="170" w:name="page171"/>
    <w:bookmarkEnd w:id="170"/>
    <w:p>
      <w:pPr>
        <w:ind w:left="7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File No. 333-216454 Brighthouse Prime Options,</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And pertaining to:</w:t>
      </w:r>
    </w:p>
    <w:p>
      <w:pPr>
        <w:ind w:left="780"/>
        <w:spacing w:after="0" w:line="187" w:lineRule="auto"/>
        <w:rPr>
          <w:sz w:val="20"/>
          <w:szCs w:val="20"/>
          <w:color w:val="auto"/>
        </w:rPr>
      </w:pPr>
      <w:r>
        <w:rPr>
          <w:rFonts w:ascii="Arial" w:cs="Arial" w:eastAsia="Arial" w:hAnsi="Arial"/>
          <w:sz w:val="11"/>
          <w:szCs w:val="11"/>
          <w:color w:val="auto"/>
        </w:rPr>
        <w:t>File No. 333-216452 Brighthouse Shield Level Selector</w:t>
      </w:r>
      <w:r>
        <w:rPr>
          <w:rFonts w:ascii="Arial" w:cs="Arial" w:eastAsia="Arial" w:hAnsi="Arial"/>
          <w:sz w:val="16"/>
          <w:szCs w:val="16"/>
          <w:color w:val="auto"/>
          <w:vertAlign w:val="superscript"/>
        </w:rPr>
        <w:t>®</w:t>
      </w:r>
      <w:r>
        <w:rPr>
          <w:rFonts w:ascii="Arial" w:cs="Arial" w:eastAsia="Arial" w:hAnsi="Arial"/>
          <w:sz w:val="11"/>
          <w:szCs w:val="11"/>
          <w:color w:val="auto"/>
        </w:rPr>
        <w:t xml:space="preserve"> Annuity</w:t>
      </w:r>
    </w:p>
    <w:p>
      <w:pPr>
        <w:ind w:left="780"/>
        <w:spacing w:after="0" w:line="188" w:lineRule="auto"/>
        <w:rPr>
          <w:sz w:val="20"/>
          <w:szCs w:val="20"/>
          <w:color w:val="auto"/>
        </w:rPr>
      </w:pPr>
      <w:r>
        <w:rPr>
          <w:rFonts w:ascii="Arial" w:cs="Arial" w:eastAsia="Arial" w:hAnsi="Arial"/>
          <w:sz w:val="11"/>
          <w:szCs w:val="11"/>
          <w:color w:val="auto"/>
        </w:rPr>
        <w:t>File No. 333-216453 Brighthouse Shield Level Selector</w:t>
      </w:r>
      <w:r>
        <w:rPr>
          <w:rFonts w:ascii="Arial" w:cs="Arial" w:eastAsia="Arial" w:hAnsi="Arial"/>
          <w:sz w:val="15"/>
          <w:szCs w:val="15"/>
          <w:color w:val="auto"/>
          <w:vertAlign w:val="superscript"/>
        </w:rPr>
        <w:t>®</w:t>
      </w:r>
      <w:r>
        <w:rPr>
          <w:rFonts w:ascii="Arial" w:cs="Arial" w:eastAsia="Arial" w:hAnsi="Arial"/>
          <w:sz w:val="11"/>
          <w:szCs w:val="11"/>
          <w:color w:val="auto"/>
        </w:rPr>
        <w:t xml:space="preserve"> 3-Year Annuity</w:t>
      </w:r>
    </w:p>
    <w:p>
      <w:pPr>
        <w:ind w:left="780"/>
        <w:spacing w:after="0" w:line="188" w:lineRule="auto"/>
        <w:rPr>
          <w:sz w:val="20"/>
          <w:szCs w:val="20"/>
          <w:color w:val="auto"/>
        </w:rPr>
      </w:pPr>
      <w:r>
        <w:rPr>
          <w:rFonts w:ascii="Arial" w:cs="Arial" w:eastAsia="Arial" w:hAnsi="Arial"/>
          <w:sz w:val="11"/>
          <w:szCs w:val="11"/>
          <w:color w:val="auto"/>
        </w:rPr>
        <w:t>File No. 333-238214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10 Annuity</w:t>
      </w:r>
    </w:p>
    <w:p>
      <w:pPr>
        <w:ind w:left="780"/>
        <w:spacing w:after="0" w:line="188" w:lineRule="auto"/>
        <w:rPr>
          <w:sz w:val="20"/>
          <w:szCs w:val="20"/>
          <w:color w:val="auto"/>
        </w:rPr>
      </w:pPr>
      <w:r>
        <w:rPr>
          <w:rFonts w:ascii="Arial" w:cs="Arial" w:eastAsia="Arial" w:hAnsi="Arial"/>
          <w:sz w:val="11"/>
          <w:szCs w:val="11"/>
          <w:color w:val="auto"/>
        </w:rPr>
        <w:t>File No. 333-265196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3-Year Annuity</w:t>
      </w:r>
    </w:p>
    <w:p>
      <w:pPr>
        <w:ind w:left="780"/>
        <w:spacing w:after="0" w:line="188" w:lineRule="auto"/>
        <w:rPr>
          <w:sz w:val="20"/>
          <w:szCs w:val="20"/>
          <w:color w:val="auto"/>
        </w:rPr>
      </w:pPr>
      <w:r>
        <w:rPr>
          <w:rFonts w:ascii="Arial" w:cs="Arial" w:eastAsia="Arial" w:hAnsi="Arial"/>
          <w:sz w:val="11"/>
          <w:szCs w:val="11"/>
          <w:color w:val="auto"/>
        </w:rPr>
        <w:t>File No. 333-265199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w:t>
      </w:r>
    </w:p>
    <w:p>
      <w:pPr>
        <w:ind w:left="780"/>
        <w:spacing w:after="0" w:line="188" w:lineRule="auto"/>
        <w:rPr>
          <w:sz w:val="20"/>
          <w:szCs w:val="20"/>
          <w:color w:val="auto"/>
        </w:rPr>
      </w:pPr>
      <w:r>
        <w:rPr>
          <w:rFonts w:ascii="Arial" w:cs="Arial" w:eastAsia="Arial" w:hAnsi="Arial"/>
          <w:sz w:val="11"/>
          <w:szCs w:val="11"/>
          <w:color w:val="auto"/>
        </w:rPr>
        <w:t>File No. 333-259506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 v.3</w:t>
      </w:r>
    </w:p>
    <w:p>
      <w:pPr>
        <w:ind w:left="780"/>
        <w:spacing w:after="0"/>
        <w:rPr>
          <w:sz w:val="20"/>
          <w:szCs w:val="20"/>
          <w:color w:val="auto"/>
        </w:rPr>
      </w:pPr>
      <w:r>
        <w:rPr>
          <w:rFonts w:ascii="Arial" w:cs="Arial" w:eastAsia="Arial" w:hAnsi="Arial"/>
          <w:sz w:val="12"/>
          <w:szCs w:val="12"/>
          <w:color w:val="auto"/>
        </w:rPr>
        <w:t>File No. 333-279315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6-Year Annuity</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And new annuities and life products such as:</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2"/>
          <w:szCs w:val="12"/>
          <w:color w:val="auto"/>
        </w:rPr>
        <w:t>Brighthouse Shield Annuity</w:t>
      </w:r>
    </w:p>
    <w:p>
      <w:pPr>
        <w:ind w:left="780"/>
        <w:spacing w:after="0" w:line="234" w:lineRule="auto"/>
        <w:rPr>
          <w:sz w:val="20"/>
          <w:szCs w:val="20"/>
          <w:color w:val="auto"/>
        </w:rPr>
      </w:pPr>
      <w:r>
        <w:rPr>
          <w:rFonts w:ascii="Arial" w:cs="Arial" w:eastAsia="Arial" w:hAnsi="Arial"/>
          <w:sz w:val="12"/>
          <w:szCs w:val="12"/>
          <w:color w:val="auto"/>
        </w:rPr>
        <w:t>Brighthouse Shield 3-Year Annuity</w:t>
      </w:r>
    </w:p>
    <w:p>
      <w:pPr>
        <w:ind w:left="780"/>
        <w:spacing w:after="0" w:line="235" w:lineRule="auto"/>
        <w:rPr>
          <w:sz w:val="20"/>
          <w:szCs w:val="20"/>
          <w:color w:val="auto"/>
        </w:rPr>
      </w:pPr>
      <w:r>
        <w:rPr>
          <w:rFonts w:ascii="Arial" w:cs="Arial" w:eastAsia="Arial" w:hAnsi="Arial"/>
          <w:sz w:val="12"/>
          <w:szCs w:val="12"/>
          <w:color w:val="auto"/>
        </w:rPr>
        <w:t>Brighthouse Shield 6-Year Annuity</w:t>
      </w:r>
    </w:p>
    <w:p>
      <w:pPr>
        <w:ind w:left="780"/>
        <w:spacing w:after="0"/>
        <w:rPr>
          <w:sz w:val="20"/>
          <w:szCs w:val="20"/>
          <w:color w:val="auto"/>
        </w:rPr>
      </w:pPr>
      <w:r>
        <w:rPr>
          <w:rFonts w:ascii="Arial" w:cs="Arial" w:eastAsia="Arial" w:hAnsi="Arial"/>
          <w:sz w:val="12"/>
          <w:szCs w:val="12"/>
          <w:color w:val="auto"/>
        </w:rPr>
        <w:t>Brighthouse indexed-linked life insurance policy,</w:t>
      </w:r>
    </w:p>
    <w:p>
      <w:pPr>
        <w:spacing w:after="0" w:line="129"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I have hereunto set my hand this 17th day of May 2024.</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David A. Rosenbaum</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David A. Rosenbaum</w:t>
      </w:r>
    </w:p>
    <w:p>
      <w:pPr>
        <w:sectPr>
          <w:pgSz w:w="11900" w:h="16838" w:orient="portrait"/>
          <w:cols w:equalWidth="0" w:num="1">
            <w:col w:w="11040"/>
          </w:cols>
          <w:pgMar w:left="300" w:top="226" w:right="559" w:bottom="1440" w:gutter="0" w:footer="0" w:header="0"/>
        </w:sectPr>
      </w:pPr>
    </w:p>
    <w:bookmarkStart w:id="171" w:name="page172"/>
    <w:bookmarkEnd w:id="171"/>
    <w:p>
      <w:pPr>
        <w:jc w:val="center"/>
        <w:ind w:right="-17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Brighthouse Life Insurance Company of NY</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POWER OF ATTORNEY</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Kendall K. Alley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Director</w:t>
      </w:r>
    </w:p>
    <w:p>
      <w:pPr>
        <w:spacing w:after="0" w:line="129"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KNOW ALL MEN BY THESE PRESENTS, that I, Kendall K. Alley,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ind w:left="660" w:hanging="335"/>
        <w:spacing w:after="0" w:line="222" w:lineRule="auto"/>
        <w:tabs>
          <w:tab w:leader="none" w:pos="660" w:val="left"/>
        </w:tabs>
        <w:numPr>
          <w:ilvl w:val="0"/>
          <w:numId w:val="151"/>
        </w:numPr>
        <w:rPr>
          <w:rFonts w:ascii="Times New Roman" w:cs="Times New Roman" w:eastAsia="Times New Roman" w:hAnsi="Times New Roman"/>
          <w:sz w:val="19"/>
          <w:szCs w:val="19"/>
          <w:color w:val="auto"/>
          <w:vertAlign w:val="superscript"/>
        </w:rPr>
      </w:pPr>
      <w:r>
        <w:rPr>
          <w:rFonts w:ascii="Arial" w:cs="Arial" w:eastAsia="Arial" w:hAnsi="Arial"/>
          <w:sz w:val="12"/>
          <w:szCs w:val="12"/>
          <w:color w:val="auto"/>
        </w:rPr>
        <w:t>  Brighthouse Variable Annuity Account B (811-08306)</w:t>
      </w:r>
    </w:p>
    <w:p>
      <w:pPr>
        <w:ind w:left="780"/>
        <w:spacing w:after="0" w:line="235" w:lineRule="auto"/>
        <w:rPr>
          <w:sz w:val="20"/>
          <w:szCs w:val="20"/>
          <w:color w:val="auto"/>
        </w:rPr>
      </w:pPr>
      <w:r>
        <w:rPr>
          <w:rFonts w:ascii="Arial" w:cs="Arial" w:eastAsia="Arial" w:hAnsi="Arial"/>
          <w:sz w:val="12"/>
          <w:szCs w:val="12"/>
          <w:color w:val="auto"/>
        </w:rPr>
        <w:t>File No. 033-74174 First COVA VA, Custom Select, Russell Select and Class VA, Class AA and Class B</w:t>
      </w:r>
    </w:p>
    <w:p>
      <w:pPr>
        <w:ind w:left="780"/>
        <w:spacing w:after="0" w:line="234" w:lineRule="auto"/>
        <w:rPr>
          <w:sz w:val="20"/>
          <w:szCs w:val="20"/>
          <w:color w:val="auto"/>
        </w:rPr>
      </w:pPr>
      <w:r>
        <w:rPr>
          <w:rFonts w:ascii="Arial" w:cs="Arial" w:eastAsia="Arial" w:hAnsi="Arial"/>
          <w:sz w:val="12"/>
          <w:szCs w:val="12"/>
          <w:color w:val="auto"/>
        </w:rPr>
        <w:t>File No. 333-96773 Class VA (offered between June 15, 2001 and October 7, 2011), Class AA, and Class B</w:t>
      </w:r>
    </w:p>
    <w:p>
      <w:pPr>
        <w:ind w:left="780"/>
        <w:spacing w:after="0" w:line="235" w:lineRule="auto"/>
        <w:rPr>
          <w:sz w:val="20"/>
          <w:szCs w:val="20"/>
          <w:color w:val="auto"/>
        </w:rPr>
      </w:pPr>
      <w:r>
        <w:rPr>
          <w:rFonts w:ascii="Arial" w:cs="Arial" w:eastAsia="Arial" w:hAnsi="Arial"/>
          <w:sz w:val="12"/>
          <w:szCs w:val="12"/>
          <w:color w:val="auto"/>
        </w:rPr>
        <w:t>File No. 333-96775 Class A</w:t>
      </w:r>
    </w:p>
    <w:p>
      <w:pPr>
        <w:ind w:left="780"/>
        <w:spacing w:after="0" w:line="235" w:lineRule="auto"/>
        <w:rPr>
          <w:sz w:val="20"/>
          <w:szCs w:val="20"/>
          <w:color w:val="auto"/>
        </w:rPr>
      </w:pPr>
      <w:r>
        <w:rPr>
          <w:rFonts w:ascii="Arial" w:cs="Arial" w:eastAsia="Arial" w:hAnsi="Arial"/>
          <w:sz w:val="12"/>
          <w:szCs w:val="12"/>
          <w:color w:val="auto"/>
        </w:rPr>
        <w:t>File No. 333-96777 Class XC</w:t>
      </w:r>
    </w:p>
    <w:p>
      <w:pPr>
        <w:ind w:left="780"/>
        <w:spacing w:after="0" w:line="235" w:lineRule="auto"/>
        <w:rPr>
          <w:sz w:val="20"/>
          <w:szCs w:val="20"/>
          <w:color w:val="auto"/>
        </w:rPr>
      </w:pPr>
      <w:r>
        <w:rPr>
          <w:rFonts w:ascii="Arial" w:cs="Arial" w:eastAsia="Arial" w:hAnsi="Arial"/>
          <w:sz w:val="12"/>
          <w:szCs w:val="12"/>
          <w:color w:val="auto"/>
        </w:rPr>
        <w:t>File No. 333-96785 Class L and Class L –4 Year (offered between November 22, 2004 and October 7, 2011)</w:t>
      </w:r>
    </w:p>
    <w:p>
      <w:pPr>
        <w:ind w:left="780"/>
        <w:spacing w:after="0" w:line="235" w:lineRule="auto"/>
        <w:rPr>
          <w:sz w:val="20"/>
          <w:szCs w:val="20"/>
          <w:color w:val="auto"/>
        </w:rPr>
      </w:pPr>
      <w:r>
        <w:rPr>
          <w:rFonts w:ascii="Arial" w:cs="Arial" w:eastAsia="Arial" w:hAnsi="Arial"/>
          <w:sz w:val="12"/>
          <w:szCs w:val="12"/>
          <w:color w:val="auto"/>
        </w:rPr>
        <w:t>File No. 333-96795 Class C (offered between September 4, 2001 and October 7, 2011)</w:t>
      </w:r>
    </w:p>
    <w:p>
      <w:pPr>
        <w:ind w:left="780"/>
        <w:spacing w:after="0" w:line="234" w:lineRule="auto"/>
        <w:rPr>
          <w:sz w:val="20"/>
          <w:szCs w:val="20"/>
          <w:color w:val="auto"/>
        </w:rPr>
      </w:pPr>
      <w:r>
        <w:rPr>
          <w:rFonts w:ascii="Arial" w:cs="Arial" w:eastAsia="Arial" w:hAnsi="Arial"/>
          <w:sz w:val="12"/>
          <w:szCs w:val="12"/>
          <w:color w:val="auto"/>
        </w:rPr>
        <w:t>File No. 333-125613 Vintage L and Vintage XC</w:t>
      </w:r>
    </w:p>
    <w:p>
      <w:pPr>
        <w:ind w:left="780"/>
        <w:spacing w:after="0" w:line="235" w:lineRule="auto"/>
        <w:rPr>
          <w:sz w:val="20"/>
          <w:szCs w:val="20"/>
          <w:color w:val="auto"/>
        </w:rPr>
      </w:pPr>
      <w:r>
        <w:rPr>
          <w:rFonts w:ascii="Arial" w:cs="Arial" w:eastAsia="Arial" w:hAnsi="Arial"/>
          <w:sz w:val="12"/>
          <w:szCs w:val="12"/>
          <w:color w:val="auto"/>
        </w:rPr>
        <w:t>File No. 333-125617 PrimElite III</w:t>
      </w:r>
    </w:p>
    <w:p>
      <w:pPr>
        <w:ind w:left="780"/>
        <w:spacing w:after="0" w:line="235" w:lineRule="auto"/>
        <w:rPr>
          <w:sz w:val="20"/>
          <w:szCs w:val="20"/>
          <w:color w:val="auto"/>
        </w:rPr>
      </w:pPr>
      <w:r>
        <w:rPr>
          <w:rFonts w:ascii="Arial" w:cs="Arial" w:eastAsia="Arial" w:hAnsi="Arial"/>
          <w:sz w:val="12"/>
          <w:szCs w:val="12"/>
          <w:color w:val="auto"/>
        </w:rPr>
        <w:t>File No. 333-125618 Marquis Portfolios (offered between November 7, 2005 and April 30, 2012)</w:t>
      </w:r>
    </w:p>
    <w:p>
      <w:pPr>
        <w:ind w:left="780"/>
        <w:spacing w:after="0" w:line="235" w:lineRule="auto"/>
        <w:rPr>
          <w:sz w:val="20"/>
          <w:szCs w:val="20"/>
          <w:color w:val="auto"/>
        </w:rPr>
      </w:pPr>
      <w:r>
        <w:rPr>
          <w:rFonts w:ascii="Arial" w:cs="Arial" w:eastAsia="Arial" w:hAnsi="Arial"/>
          <w:sz w:val="12"/>
          <w:szCs w:val="12"/>
          <w:color w:val="auto"/>
        </w:rPr>
        <w:t>File No. 333-125619 Protected Equity Portfolio</w:t>
      </w:r>
    </w:p>
    <w:p>
      <w:pPr>
        <w:ind w:left="780"/>
        <w:spacing w:after="0" w:line="235" w:lineRule="auto"/>
        <w:rPr>
          <w:sz w:val="20"/>
          <w:szCs w:val="20"/>
          <w:color w:val="auto"/>
        </w:rPr>
      </w:pPr>
      <w:r>
        <w:rPr>
          <w:rFonts w:ascii="Arial" w:cs="Arial" w:eastAsia="Arial" w:hAnsi="Arial"/>
          <w:sz w:val="12"/>
          <w:szCs w:val="12"/>
          <w:color w:val="auto"/>
        </w:rPr>
        <w:t>File No. 333-137370 Class S and Class S - L Share Option (offered between April 30, 2007 and October 7, 2011)</w:t>
      </w:r>
    </w:p>
    <w:p>
      <w:pPr>
        <w:ind w:left="780"/>
        <w:spacing w:after="0" w:line="234" w:lineRule="auto"/>
        <w:rPr>
          <w:sz w:val="20"/>
          <w:szCs w:val="20"/>
          <w:color w:val="auto"/>
        </w:rPr>
      </w:pPr>
      <w:r>
        <w:rPr>
          <w:rFonts w:ascii="Arial" w:cs="Arial" w:eastAsia="Arial" w:hAnsi="Arial"/>
          <w:sz w:val="12"/>
          <w:szCs w:val="12"/>
          <w:color w:val="auto"/>
        </w:rPr>
        <w:t>File No. 333-137969 PrimElite IV</w:t>
      </w:r>
    </w:p>
    <w:p>
      <w:pPr>
        <w:ind w:left="780"/>
        <w:spacing w:after="0" w:line="235" w:lineRule="auto"/>
        <w:rPr>
          <w:sz w:val="20"/>
          <w:szCs w:val="20"/>
          <w:color w:val="auto"/>
        </w:rPr>
      </w:pPr>
      <w:r>
        <w:rPr>
          <w:rFonts w:ascii="Arial" w:cs="Arial" w:eastAsia="Arial" w:hAnsi="Arial"/>
          <w:sz w:val="12"/>
          <w:szCs w:val="12"/>
          <w:color w:val="auto"/>
        </w:rPr>
        <w:t>File No. 333-148873 Pioneer PRISM</w:t>
      </w:r>
    </w:p>
    <w:p>
      <w:pPr>
        <w:ind w:left="780"/>
        <w:spacing w:after="0" w:line="235" w:lineRule="auto"/>
        <w:rPr>
          <w:sz w:val="20"/>
          <w:szCs w:val="20"/>
          <w:color w:val="auto"/>
        </w:rPr>
      </w:pPr>
      <w:r>
        <w:rPr>
          <w:rFonts w:ascii="Arial" w:cs="Arial" w:eastAsia="Arial" w:hAnsi="Arial"/>
          <w:sz w:val="12"/>
          <w:szCs w:val="12"/>
          <w:color w:val="auto"/>
        </w:rPr>
        <w:t>File No. 333-148874 Pioneer PRISM XC</w:t>
      </w:r>
    </w:p>
    <w:p>
      <w:pPr>
        <w:ind w:left="780"/>
        <w:spacing w:after="0" w:line="235" w:lineRule="auto"/>
        <w:rPr>
          <w:sz w:val="20"/>
          <w:szCs w:val="20"/>
          <w:color w:val="auto"/>
        </w:rPr>
      </w:pPr>
      <w:r>
        <w:rPr>
          <w:rFonts w:ascii="Arial" w:cs="Arial" w:eastAsia="Arial" w:hAnsi="Arial"/>
          <w:sz w:val="12"/>
          <w:szCs w:val="12"/>
          <w:color w:val="auto"/>
        </w:rPr>
        <w:t>File No. 333-148876 Pioneer PRISM L</w:t>
      </w:r>
    </w:p>
    <w:p>
      <w:pPr>
        <w:ind w:left="780"/>
        <w:spacing w:after="0" w:line="235" w:lineRule="auto"/>
        <w:rPr>
          <w:sz w:val="20"/>
          <w:szCs w:val="20"/>
          <w:color w:val="auto"/>
        </w:rPr>
      </w:pPr>
      <w:r>
        <w:rPr>
          <w:rFonts w:ascii="Arial" w:cs="Arial" w:eastAsia="Arial" w:hAnsi="Arial"/>
          <w:sz w:val="12"/>
          <w:szCs w:val="12"/>
          <w:color w:val="auto"/>
        </w:rPr>
        <w:t>File No. 333-152450 Class XTRA</w:t>
      </w:r>
    </w:p>
    <w:p>
      <w:pPr>
        <w:ind w:left="780"/>
        <w:spacing w:after="0" w:line="234" w:lineRule="auto"/>
        <w:rPr>
          <w:sz w:val="20"/>
          <w:szCs w:val="20"/>
          <w:color w:val="auto"/>
        </w:rPr>
      </w:pPr>
      <w:r>
        <w:rPr>
          <w:rFonts w:ascii="Arial" w:cs="Arial" w:eastAsia="Arial" w:hAnsi="Arial"/>
          <w:sz w:val="12"/>
          <w:szCs w:val="12"/>
          <w:color w:val="auto"/>
        </w:rPr>
        <w:t>File No. 333-156646 Class XTRA 6</w:t>
      </w:r>
    </w:p>
    <w:p>
      <w:pPr>
        <w:ind w:left="780"/>
        <w:spacing w:after="0" w:line="188" w:lineRule="auto"/>
        <w:rPr>
          <w:sz w:val="20"/>
          <w:szCs w:val="20"/>
          <w:color w:val="auto"/>
        </w:rPr>
      </w:pPr>
      <w:r>
        <w:rPr>
          <w:rFonts w:ascii="Arial" w:cs="Arial" w:eastAsia="Arial" w:hAnsi="Arial"/>
          <w:sz w:val="11"/>
          <w:szCs w:val="11"/>
          <w:color w:val="auto"/>
        </w:rPr>
        <w:t>File No. 333-158579 Brighthouse Simple Solutions</w:t>
      </w:r>
      <w:r>
        <w:rPr>
          <w:rFonts w:ascii="Arial" w:cs="Arial" w:eastAsia="Arial" w:hAnsi="Arial"/>
          <w:sz w:val="15"/>
          <w:szCs w:val="15"/>
          <w:color w:val="auto"/>
          <w:vertAlign w:val="superscript"/>
        </w:rPr>
        <w:t>SM</w:t>
      </w:r>
    </w:p>
    <w:p>
      <w:pPr>
        <w:ind w:left="780"/>
        <w:spacing w:after="0" w:line="235" w:lineRule="auto"/>
        <w:rPr>
          <w:sz w:val="20"/>
          <w:szCs w:val="20"/>
          <w:color w:val="auto"/>
        </w:rPr>
      </w:pPr>
      <w:r>
        <w:rPr>
          <w:rFonts w:ascii="Arial" w:cs="Arial" w:eastAsia="Arial" w:hAnsi="Arial"/>
          <w:sz w:val="12"/>
          <w:szCs w:val="12"/>
          <w:color w:val="auto"/>
        </w:rPr>
        <w:t>File No. 333-169687 Class VA- 4 (offered between May 1, 2011 and October 7, 2011)</w:t>
      </w:r>
    </w:p>
    <w:p>
      <w:pPr>
        <w:ind w:left="780"/>
        <w:spacing w:after="0" w:line="235" w:lineRule="auto"/>
        <w:rPr>
          <w:sz w:val="20"/>
          <w:szCs w:val="20"/>
          <w:color w:val="auto"/>
        </w:rPr>
      </w:pPr>
      <w:r>
        <w:rPr>
          <w:rFonts w:ascii="Arial" w:cs="Arial" w:eastAsia="Arial" w:hAnsi="Arial"/>
          <w:sz w:val="12"/>
          <w:szCs w:val="12"/>
          <w:color w:val="auto"/>
        </w:rPr>
        <w:t>File No. 333-176679 Class S (offered on and after October 7, 2011) and</w:t>
      </w:r>
    </w:p>
    <w:p>
      <w:pPr>
        <w:ind w:left="1000"/>
        <w:spacing w:after="0" w:line="235" w:lineRule="auto"/>
        <w:rPr>
          <w:sz w:val="20"/>
          <w:szCs w:val="20"/>
          <w:color w:val="auto"/>
        </w:rPr>
      </w:pPr>
      <w:r>
        <w:rPr>
          <w:rFonts w:ascii="Arial" w:cs="Arial" w:eastAsia="Arial" w:hAnsi="Arial"/>
          <w:sz w:val="12"/>
          <w:szCs w:val="12"/>
          <w:color w:val="auto"/>
        </w:rPr>
        <w:t>Class S- L Share Option (offered on and after October 7, 2011)</w:t>
      </w:r>
    </w:p>
    <w:p>
      <w:pPr>
        <w:ind w:left="780"/>
        <w:spacing w:after="0" w:line="234" w:lineRule="auto"/>
        <w:rPr>
          <w:sz w:val="20"/>
          <w:szCs w:val="20"/>
          <w:color w:val="auto"/>
        </w:rPr>
      </w:pPr>
      <w:r>
        <w:rPr>
          <w:rFonts w:ascii="Arial" w:cs="Arial" w:eastAsia="Arial" w:hAnsi="Arial"/>
          <w:sz w:val="12"/>
          <w:szCs w:val="12"/>
          <w:color w:val="auto"/>
        </w:rPr>
        <w:t>File No. 333-176680 Class VA- 4 (offered between October 7, 2011 and May 1, 2016)</w:t>
      </w:r>
    </w:p>
    <w:p>
      <w:pPr>
        <w:ind w:left="780"/>
        <w:spacing w:after="0" w:line="235" w:lineRule="auto"/>
        <w:rPr>
          <w:sz w:val="20"/>
          <w:szCs w:val="20"/>
          <w:color w:val="auto"/>
        </w:rPr>
      </w:pPr>
      <w:r>
        <w:rPr>
          <w:rFonts w:ascii="Arial" w:cs="Arial" w:eastAsia="Arial" w:hAnsi="Arial"/>
          <w:sz w:val="12"/>
          <w:szCs w:val="12"/>
          <w:color w:val="auto"/>
        </w:rPr>
        <w:t>File No. 333-176691 Class VA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333-176692 Class L- 4 Year (offered between October 7, 2011 and April 28, 2013)</w:t>
      </w:r>
    </w:p>
    <w:p>
      <w:pPr>
        <w:ind w:left="780"/>
        <w:spacing w:after="0" w:line="235" w:lineRule="auto"/>
        <w:rPr>
          <w:sz w:val="20"/>
          <w:szCs w:val="20"/>
          <w:color w:val="auto"/>
        </w:rPr>
      </w:pPr>
      <w:r>
        <w:rPr>
          <w:rFonts w:ascii="Arial" w:cs="Arial" w:eastAsia="Arial" w:hAnsi="Arial"/>
          <w:sz w:val="12"/>
          <w:szCs w:val="12"/>
          <w:color w:val="auto"/>
        </w:rPr>
        <w:t>File No. 333-176693 Class C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333-178515 Class O (offered between April 30, 2012 and September 20, 2015)</w:t>
      </w:r>
    </w:p>
    <w:p>
      <w:pPr>
        <w:ind w:left="780"/>
        <w:spacing w:after="0" w:line="234" w:lineRule="auto"/>
        <w:rPr>
          <w:sz w:val="20"/>
          <w:szCs w:val="20"/>
          <w:color w:val="auto"/>
        </w:rPr>
      </w:pPr>
      <w:r>
        <w:rPr>
          <w:rFonts w:ascii="Arial" w:cs="Arial" w:eastAsia="Arial" w:hAnsi="Arial"/>
          <w:sz w:val="12"/>
          <w:szCs w:val="12"/>
          <w:color w:val="auto"/>
        </w:rPr>
        <w:t>File No. 333-179240 Marquis Portfolios (offered on and after April 30, 2012)</w:t>
      </w:r>
    </w:p>
    <w:p>
      <w:pPr>
        <w:ind w:left="780"/>
        <w:spacing w:after="0" w:line="235" w:lineRule="auto"/>
        <w:rPr>
          <w:sz w:val="20"/>
          <w:szCs w:val="20"/>
          <w:color w:val="auto"/>
        </w:rPr>
      </w:pPr>
      <w:r>
        <w:rPr>
          <w:rFonts w:ascii="Arial" w:cs="Arial" w:eastAsia="Arial" w:hAnsi="Arial"/>
          <w:sz w:val="12"/>
          <w:szCs w:val="12"/>
          <w:color w:val="auto"/>
        </w:rPr>
        <w:t>File No. 333-186216 Class L- 4 Year (offered on and after April 29, 2013)</w:t>
      </w:r>
    </w:p>
    <w:p>
      <w:pPr>
        <w:ind w:left="780"/>
        <w:spacing w:after="0" w:line="235" w:lineRule="auto"/>
        <w:rPr>
          <w:sz w:val="20"/>
          <w:szCs w:val="20"/>
          <w:color w:val="auto"/>
        </w:rPr>
      </w:pPr>
      <w:r>
        <w:rPr>
          <w:rFonts w:ascii="Arial" w:cs="Arial" w:eastAsia="Arial" w:hAnsi="Arial"/>
          <w:sz w:val="12"/>
          <w:szCs w:val="12"/>
          <w:color w:val="auto"/>
        </w:rPr>
        <w:t>File No. 333-205137 Class O (offered on and after September 21, 2015)</w:t>
      </w:r>
    </w:p>
    <w:p>
      <w:pPr>
        <w:ind w:left="780"/>
        <w:spacing w:after="0" w:line="235" w:lineRule="auto"/>
        <w:rPr>
          <w:sz w:val="20"/>
          <w:szCs w:val="20"/>
          <w:color w:val="auto"/>
        </w:rPr>
      </w:pPr>
      <w:r>
        <w:rPr>
          <w:rFonts w:ascii="Arial" w:cs="Arial" w:eastAsia="Arial" w:hAnsi="Arial"/>
          <w:sz w:val="12"/>
          <w:szCs w:val="12"/>
          <w:color w:val="auto"/>
        </w:rPr>
        <w:t>File No. 333-209057 Class VA- 4 (offered on and after May 2, 2016)</w:t>
      </w:r>
    </w:p>
    <w:p>
      <w:pPr>
        <w:ind w:left="780"/>
        <w:spacing w:after="0" w:line="235" w:lineRule="auto"/>
        <w:rPr>
          <w:sz w:val="20"/>
          <w:szCs w:val="20"/>
          <w:color w:val="auto"/>
        </w:rPr>
      </w:pPr>
      <w:r>
        <w:rPr>
          <w:rFonts w:ascii="Arial" w:cs="Arial" w:eastAsia="Arial" w:hAnsi="Arial"/>
          <w:sz w:val="12"/>
          <w:szCs w:val="12"/>
          <w:color w:val="auto"/>
        </w:rPr>
        <w:t>File No. 333-209058 Class VA (offered on and after May 2, 2016)</w:t>
      </w:r>
    </w:p>
    <w:p>
      <w:pPr>
        <w:ind w:left="780"/>
        <w:spacing w:after="0" w:line="234" w:lineRule="auto"/>
        <w:rPr>
          <w:sz w:val="20"/>
          <w:szCs w:val="20"/>
          <w:color w:val="auto"/>
        </w:rPr>
      </w:pPr>
      <w:r>
        <w:rPr>
          <w:rFonts w:ascii="Arial" w:cs="Arial" w:eastAsia="Arial" w:hAnsi="Arial"/>
          <w:sz w:val="12"/>
          <w:szCs w:val="12"/>
          <w:color w:val="auto"/>
        </w:rPr>
        <w:t>File No. 333-209059 Class S (offered on and after May 2, 2016) and</w:t>
      </w:r>
    </w:p>
    <w:p>
      <w:pPr>
        <w:ind w:left="1000"/>
        <w:spacing w:after="0" w:line="235" w:lineRule="auto"/>
        <w:rPr>
          <w:sz w:val="20"/>
          <w:szCs w:val="20"/>
          <w:color w:val="auto"/>
        </w:rPr>
      </w:pPr>
      <w:r>
        <w:rPr>
          <w:rFonts w:ascii="Arial" w:cs="Arial" w:eastAsia="Arial" w:hAnsi="Arial"/>
          <w:sz w:val="12"/>
          <w:szCs w:val="12"/>
          <w:color w:val="auto"/>
        </w:rPr>
        <w:t>S- L Share Option (offered on and after May 2, 2016)</w:t>
      </w:r>
    </w:p>
    <w:p>
      <w:pPr>
        <w:ind w:left="780"/>
        <w:spacing w:after="0"/>
        <w:rPr>
          <w:sz w:val="20"/>
          <w:szCs w:val="20"/>
          <w:color w:val="auto"/>
        </w:rPr>
      </w:pPr>
      <w:r>
        <w:rPr>
          <w:rFonts w:ascii="Arial" w:cs="Arial" w:eastAsia="Arial" w:hAnsi="Arial"/>
          <w:sz w:val="12"/>
          <w:szCs w:val="12"/>
          <w:color w:val="auto"/>
        </w:rPr>
        <w:t>File No. 333-216454 Brighthouse Prime Options,</w:t>
      </w:r>
    </w:p>
    <w:p>
      <w:pPr>
        <w:sectPr>
          <w:pgSz w:w="11900" w:h="16838" w:orient="portrait"/>
          <w:cols w:equalWidth="0" w:num="1">
            <w:col w:w="11120"/>
          </w:cols>
          <w:pgMar w:left="300" w:top="226" w:right="479" w:bottom="1440" w:gutter="0" w:footer="0" w:header="0"/>
        </w:sectPr>
      </w:pPr>
    </w:p>
    <w:bookmarkStart w:id="172" w:name="page173"/>
    <w:bookmarkEnd w:id="172"/>
    <w:p>
      <w:pPr>
        <w:ind w:left="5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And pertaining to:</w:t>
      </w:r>
    </w:p>
    <w:p>
      <w:pPr>
        <w:ind w:left="780"/>
        <w:spacing w:after="0" w:line="187" w:lineRule="auto"/>
        <w:rPr>
          <w:sz w:val="20"/>
          <w:szCs w:val="20"/>
          <w:color w:val="auto"/>
        </w:rPr>
      </w:pPr>
      <w:r>
        <w:rPr>
          <w:rFonts w:ascii="Arial" w:cs="Arial" w:eastAsia="Arial" w:hAnsi="Arial"/>
          <w:sz w:val="11"/>
          <w:szCs w:val="11"/>
          <w:color w:val="auto"/>
        </w:rPr>
        <w:t>File No. 333-216452 Brighthouse Shield Level Selector</w:t>
      </w:r>
      <w:r>
        <w:rPr>
          <w:rFonts w:ascii="Arial" w:cs="Arial" w:eastAsia="Arial" w:hAnsi="Arial"/>
          <w:sz w:val="16"/>
          <w:szCs w:val="16"/>
          <w:color w:val="auto"/>
          <w:vertAlign w:val="superscript"/>
        </w:rPr>
        <w:t>®</w:t>
      </w:r>
      <w:r>
        <w:rPr>
          <w:rFonts w:ascii="Arial" w:cs="Arial" w:eastAsia="Arial" w:hAnsi="Arial"/>
          <w:sz w:val="11"/>
          <w:szCs w:val="11"/>
          <w:color w:val="auto"/>
        </w:rPr>
        <w:t xml:space="preserve"> Annuity</w:t>
      </w:r>
    </w:p>
    <w:p>
      <w:pPr>
        <w:ind w:left="780"/>
        <w:spacing w:after="0" w:line="188" w:lineRule="auto"/>
        <w:rPr>
          <w:sz w:val="20"/>
          <w:szCs w:val="20"/>
          <w:color w:val="auto"/>
        </w:rPr>
      </w:pPr>
      <w:r>
        <w:rPr>
          <w:rFonts w:ascii="Arial" w:cs="Arial" w:eastAsia="Arial" w:hAnsi="Arial"/>
          <w:sz w:val="11"/>
          <w:szCs w:val="11"/>
          <w:color w:val="auto"/>
        </w:rPr>
        <w:t>File No. 333-216453 Brighthouse Shield Level Selector</w:t>
      </w:r>
      <w:r>
        <w:rPr>
          <w:rFonts w:ascii="Arial" w:cs="Arial" w:eastAsia="Arial" w:hAnsi="Arial"/>
          <w:sz w:val="15"/>
          <w:szCs w:val="15"/>
          <w:color w:val="auto"/>
          <w:vertAlign w:val="superscript"/>
        </w:rPr>
        <w:t>®</w:t>
      </w:r>
      <w:r>
        <w:rPr>
          <w:rFonts w:ascii="Arial" w:cs="Arial" w:eastAsia="Arial" w:hAnsi="Arial"/>
          <w:sz w:val="11"/>
          <w:szCs w:val="11"/>
          <w:color w:val="auto"/>
        </w:rPr>
        <w:t xml:space="preserve"> 3-Year Annuity</w:t>
      </w:r>
    </w:p>
    <w:p>
      <w:pPr>
        <w:ind w:left="780"/>
        <w:spacing w:after="0" w:line="188" w:lineRule="auto"/>
        <w:rPr>
          <w:sz w:val="20"/>
          <w:szCs w:val="20"/>
          <w:color w:val="auto"/>
        </w:rPr>
      </w:pPr>
      <w:r>
        <w:rPr>
          <w:rFonts w:ascii="Arial" w:cs="Arial" w:eastAsia="Arial" w:hAnsi="Arial"/>
          <w:sz w:val="11"/>
          <w:szCs w:val="11"/>
          <w:color w:val="auto"/>
        </w:rPr>
        <w:t>File No. 333-238214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10 Annuity</w:t>
      </w:r>
    </w:p>
    <w:p>
      <w:pPr>
        <w:ind w:left="780"/>
        <w:spacing w:after="0" w:line="188" w:lineRule="auto"/>
        <w:rPr>
          <w:sz w:val="20"/>
          <w:szCs w:val="20"/>
          <w:color w:val="auto"/>
        </w:rPr>
      </w:pPr>
      <w:r>
        <w:rPr>
          <w:rFonts w:ascii="Arial" w:cs="Arial" w:eastAsia="Arial" w:hAnsi="Arial"/>
          <w:sz w:val="11"/>
          <w:szCs w:val="11"/>
          <w:color w:val="auto"/>
        </w:rPr>
        <w:t>File No. 333-265196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3-Year Annuity</w:t>
      </w:r>
    </w:p>
    <w:p>
      <w:pPr>
        <w:ind w:left="780"/>
        <w:spacing w:after="0" w:line="188" w:lineRule="auto"/>
        <w:rPr>
          <w:sz w:val="20"/>
          <w:szCs w:val="20"/>
          <w:color w:val="auto"/>
        </w:rPr>
      </w:pPr>
      <w:r>
        <w:rPr>
          <w:rFonts w:ascii="Arial" w:cs="Arial" w:eastAsia="Arial" w:hAnsi="Arial"/>
          <w:sz w:val="11"/>
          <w:szCs w:val="11"/>
          <w:color w:val="auto"/>
        </w:rPr>
        <w:t>File No. 333-265199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w:t>
      </w:r>
    </w:p>
    <w:p>
      <w:pPr>
        <w:ind w:left="780"/>
        <w:spacing w:after="0" w:line="188" w:lineRule="auto"/>
        <w:rPr>
          <w:sz w:val="20"/>
          <w:szCs w:val="20"/>
          <w:color w:val="auto"/>
        </w:rPr>
      </w:pPr>
      <w:r>
        <w:rPr>
          <w:rFonts w:ascii="Arial" w:cs="Arial" w:eastAsia="Arial" w:hAnsi="Arial"/>
          <w:sz w:val="11"/>
          <w:szCs w:val="11"/>
          <w:color w:val="auto"/>
        </w:rPr>
        <w:t>File No. 333-259506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 v.3</w:t>
      </w:r>
    </w:p>
    <w:p>
      <w:pPr>
        <w:ind w:left="780"/>
        <w:spacing w:after="0"/>
        <w:rPr>
          <w:sz w:val="20"/>
          <w:szCs w:val="20"/>
          <w:color w:val="auto"/>
        </w:rPr>
      </w:pPr>
      <w:r>
        <w:rPr>
          <w:rFonts w:ascii="Arial" w:cs="Arial" w:eastAsia="Arial" w:hAnsi="Arial"/>
          <w:sz w:val="12"/>
          <w:szCs w:val="12"/>
          <w:color w:val="auto"/>
        </w:rPr>
        <w:t>File No. 333-279315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6-Year Annuity</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And new annuities and life products such as:</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2"/>
          <w:szCs w:val="12"/>
          <w:color w:val="auto"/>
        </w:rPr>
        <w:t>Brighthouse Shield Annuity</w:t>
      </w:r>
    </w:p>
    <w:p>
      <w:pPr>
        <w:ind w:left="780"/>
        <w:spacing w:after="0" w:line="234" w:lineRule="auto"/>
        <w:rPr>
          <w:sz w:val="20"/>
          <w:szCs w:val="20"/>
          <w:color w:val="auto"/>
        </w:rPr>
      </w:pPr>
      <w:r>
        <w:rPr>
          <w:rFonts w:ascii="Arial" w:cs="Arial" w:eastAsia="Arial" w:hAnsi="Arial"/>
          <w:sz w:val="12"/>
          <w:szCs w:val="12"/>
          <w:color w:val="auto"/>
        </w:rPr>
        <w:t>Brighthouse Shield 3-Year Annuity</w:t>
      </w:r>
    </w:p>
    <w:p>
      <w:pPr>
        <w:ind w:left="780"/>
        <w:spacing w:after="0" w:line="235" w:lineRule="auto"/>
        <w:rPr>
          <w:sz w:val="20"/>
          <w:szCs w:val="20"/>
          <w:color w:val="auto"/>
        </w:rPr>
      </w:pPr>
      <w:r>
        <w:rPr>
          <w:rFonts w:ascii="Arial" w:cs="Arial" w:eastAsia="Arial" w:hAnsi="Arial"/>
          <w:sz w:val="12"/>
          <w:szCs w:val="12"/>
          <w:color w:val="auto"/>
        </w:rPr>
        <w:t>Brighthouse Shield 6-Year Annuity</w:t>
      </w:r>
    </w:p>
    <w:p>
      <w:pPr>
        <w:ind w:left="780"/>
        <w:spacing w:after="0"/>
        <w:rPr>
          <w:sz w:val="20"/>
          <w:szCs w:val="20"/>
          <w:color w:val="auto"/>
        </w:rPr>
      </w:pPr>
      <w:r>
        <w:rPr>
          <w:rFonts w:ascii="Arial" w:cs="Arial" w:eastAsia="Arial" w:hAnsi="Arial"/>
          <w:sz w:val="12"/>
          <w:szCs w:val="12"/>
          <w:color w:val="auto"/>
        </w:rPr>
        <w:t>Brighthouse index-linked life insurance policy,</w:t>
      </w:r>
    </w:p>
    <w:p>
      <w:pPr>
        <w:spacing w:after="0" w:line="129"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I have hereunto set my hand this 7th day of June 2024.</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Kendall K. Alley</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Kendall K. Alley</w:t>
      </w:r>
    </w:p>
    <w:p>
      <w:pPr>
        <w:sectPr>
          <w:pgSz w:w="11900" w:h="16838" w:orient="portrait"/>
          <w:cols w:equalWidth="0" w:num="1">
            <w:col w:w="11040"/>
          </w:cols>
          <w:pgMar w:left="300" w:top="226" w:right="559" w:bottom="1440" w:gutter="0" w:footer="0" w:header="0"/>
        </w:sectPr>
      </w:pPr>
    </w:p>
    <w:bookmarkStart w:id="173" w:name="page174"/>
    <w:bookmarkEnd w:id="173"/>
    <w:p>
      <w:pPr>
        <w:jc w:val="center"/>
        <w:ind w:right="-5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Brighthouse Life Insurance Company of NY</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POWER OF ATTORNEY</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Edward C. Kosnik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Director and Vice President</w:t>
      </w:r>
    </w:p>
    <w:p>
      <w:pPr>
        <w:spacing w:after="0" w:line="129"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KNOW ALL MEN BY THESE PRESENTS, that I, Edward C. Kosnik, a Director and Vice President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65" w:lineRule="exact"/>
        <w:rPr>
          <w:sz w:val="20"/>
          <w:szCs w:val="20"/>
          <w:color w:val="auto"/>
        </w:rPr>
      </w:pPr>
    </w:p>
    <w:p>
      <w:pPr>
        <w:ind w:left="660" w:hanging="335"/>
        <w:spacing w:after="0"/>
        <w:tabs>
          <w:tab w:leader="none" w:pos="660" w:val="left"/>
        </w:tabs>
        <w:numPr>
          <w:ilvl w:val="0"/>
          <w:numId w:val="152"/>
        </w:numPr>
        <w:rPr>
          <w:rFonts w:ascii="Times New Roman" w:cs="Times New Roman" w:eastAsia="Times New Roman" w:hAnsi="Times New Roman"/>
          <w:sz w:val="19"/>
          <w:szCs w:val="19"/>
          <w:color w:val="auto"/>
          <w:vertAlign w:val="superscript"/>
        </w:rPr>
      </w:pPr>
      <w:r>
        <w:rPr>
          <w:rFonts w:ascii="Arial" w:cs="Arial" w:eastAsia="Arial" w:hAnsi="Arial"/>
          <w:sz w:val="12"/>
          <w:szCs w:val="12"/>
          <w:color w:val="auto"/>
        </w:rPr>
        <w:t>  Brighthouse Variable Annuity Account B (811-08306)</w:t>
      </w:r>
    </w:p>
    <w:p>
      <w:pPr>
        <w:ind w:left="780"/>
        <w:spacing w:after="0" w:line="234" w:lineRule="auto"/>
        <w:rPr>
          <w:sz w:val="20"/>
          <w:szCs w:val="20"/>
          <w:color w:val="auto"/>
        </w:rPr>
      </w:pPr>
      <w:r>
        <w:rPr>
          <w:rFonts w:ascii="Arial" w:cs="Arial" w:eastAsia="Arial" w:hAnsi="Arial"/>
          <w:sz w:val="12"/>
          <w:szCs w:val="12"/>
          <w:color w:val="auto"/>
        </w:rPr>
        <w:t>File No. 033-74174 First COVA VA, Custom Select, Russell Select and Class VA, Class AA and Class B</w:t>
      </w:r>
    </w:p>
    <w:p>
      <w:pPr>
        <w:ind w:left="780"/>
        <w:spacing w:after="0" w:line="235" w:lineRule="auto"/>
        <w:rPr>
          <w:sz w:val="20"/>
          <w:szCs w:val="20"/>
          <w:color w:val="auto"/>
        </w:rPr>
      </w:pPr>
      <w:r>
        <w:rPr>
          <w:rFonts w:ascii="Arial" w:cs="Arial" w:eastAsia="Arial" w:hAnsi="Arial"/>
          <w:sz w:val="12"/>
          <w:szCs w:val="12"/>
          <w:color w:val="auto"/>
        </w:rPr>
        <w:t>File No. 333-96773 Class VA (offered between June 15, 2001 and October 7, 2011), Class AA, and Class B</w:t>
      </w:r>
    </w:p>
    <w:p>
      <w:pPr>
        <w:ind w:left="780"/>
        <w:spacing w:after="0" w:line="235" w:lineRule="auto"/>
        <w:rPr>
          <w:sz w:val="20"/>
          <w:szCs w:val="20"/>
          <w:color w:val="auto"/>
        </w:rPr>
      </w:pPr>
      <w:r>
        <w:rPr>
          <w:rFonts w:ascii="Arial" w:cs="Arial" w:eastAsia="Arial" w:hAnsi="Arial"/>
          <w:sz w:val="12"/>
          <w:szCs w:val="12"/>
          <w:color w:val="auto"/>
        </w:rPr>
        <w:t>File No. 333-96775 Class A</w:t>
      </w:r>
    </w:p>
    <w:p>
      <w:pPr>
        <w:ind w:left="780"/>
        <w:spacing w:after="0" w:line="235" w:lineRule="auto"/>
        <w:rPr>
          <w:sz w:val="20"/>
          <w:szCs w:val="20"/>
          <w:color w:val="auto"/>
        </w:rPr>
      </w:pPr>
      <w:r>
        <w:rPr>
          <w:rFonts w:ascii="Arial" w:cs="Arial" w:eastAsia="Arial" w:hAnsi="Arial"/>
          <w:sz w:val="12"/>
          <w:szCs w:val="12"/>
          <w:color w:val="auto"/>
        </w:rPr>
        <w:t>File No. 333-96777 Class XC</w:t>
      </w:r>
    </w:p>
    <w:p>
      <w:pPr>
        <w:ind w:left="780"/>
        <w:spacing w:after="0" w:line="234" w:lineRule="auto"/>
        <w:rPr>
          <w:sz w:val="20"/>
          <w:szCs w:val="20"/>
          <w:color w:val="auto"/>
        </w:rPr>
      </w:pPr>
      <w:r>
        <w:rPr>
          <w:rFonts w:ascii="Arial" w:cs="Arial" w:eastAsia="Arial" w:hAnsi="Arial"/>
          <w:sz w:val="12"/>
          <w:szCs w:val="12"/>
          <w:color w:val="auto"/>
        </w:rPr>
        <w:t>File No. 333-96785 Class L and Class L –4 Year (offered between November 22, 2004 and October 7, 2011)</w:t>
      </w:r>
    </w:p>
    <w:p>
      <w:pPr>
        <w:ind w:left="780"/>
        <w:spacing w:after="0" w:line="235" w:lineRule="auto"/>
        <w:rPr>
          <w:sz w:val="20"/>
          <w:szCs w:val="20"/>
          <w:color w:val="auto"/>
        </w:rPr>
      </w:pPr>
      <w:r>
        <w:rPr>
          <w:rFonts w:ascii="Arial" w:cs="Arial" w:eastAsia="Arial" w:hAnsi="Arial"/>
          <w:sz w:val="12"/>
          <w:szCs w:val="12"/>
          <w:color w:val="auto"/>
        </w:rPr>
        <w:t>File No. 333-96795 Class C (offered between September 4, 2001 and October 7, 2011)</w:t>
      </w:r>
    </w:p>
    <w:p>
      <w:pPr>
        <w:ind w:left="780"/>
        <w:spacing w:after="0" w:line="235" w:lineRule="auto"/>
        <w:rPr>
          <w:sz w:val="20"/>
          <w:szCs w:val="20"/>
          <w:color w:val="auto"/>
        </w:rPr>
      </w:pPr>
      <w:r>
        <w:rPr>
          <w:rFonts w:ascii="Arial" w:cs="Arial" w:eastAsia="Arial" w:hAnsi="Arial"/>
          <w:sz w:val="12"/>
          <w:szCs w:val="12"/>
          <w:color w:val="auto"/>
        </w:rPr>
        <w:t>File No. 333-125613 Vintage L and Vintage XC</w:t>
      </w:r>
    </w:p>
    <w:p>
      <w:pPr>
        <w:ind w:left="780"/>
        <w:spacing w:after="0" w:line="235" w:lineRule="auto"/>
        <w:rPr>
          <w:sz w:val="20"/>
          <w:szCs w:val="20"/>
          <w:color w:val="auto"/>
        </w:rPr>
      </w:pPr>
      <w:r>
        <w:rPr>
          <w:rFonts w:ascii="Arial" w:cs="Arial" w:eastAsia="Arial" w:hAnsi="Arial"/>
          <w:sz w:val="12"/>
          <w:szCs w:val="12"/>
          <w:color w:val="auto"/>
        </w:rPr>
        <w:t>File No. 333-125617 PrimElite III</w:t>
      </w:r>
    </w:p>
    <w:p>
      <w:pPr>
        <w:ind w:left="780"/>
        <w:spacing w:after="0" w:line="235" w:lineRule="auto"/>
        <w:rPr>
          <w:sz w:val="20"/>
          <w:szCs w:val="20"/>
          <w:color w:val="auto"/>
        </w:rPr>
      </w:pPr>
      <w:r>
        <w:rPr>
          <w:rFonts w:ascii="Arial" w:cs="Arial" w:eastAsia="Arial" w:hAnsi="Arial"/>
          <w:sz w:val="12"/>
          <w:szCs w:val="12"/>
          <w:color w:val="auto"/>
        </w:rPr>
        <w:t>File No. 333-125618 Marquis Portfolios (offered between November 7, 2005 and April 30, 2012)</w:t>
      </w:r>
    </w:p>
    <w:p>
      <w:pPr>
        <w:ind w:left="780"/>
        <w:spacing w:after="0" w:line="234" w:lineRule="auto"/>
        <w:rPr>
          <w:sz w:val="20"/>
          <w:szCs w:val="20"/>
          <w:color w:val="auto"/>
        </w:rPr>
      </w:pPr>
      <w:r>
        <w:rPr>
          <w:rFonts w:ascii="Arial" w:cs="Arial" w:eastAsia="Arial" w:hAnsi="Arial"/>
          <w:sz w:val="12"/>
          <w:szCs w:val="12"/>
          <w:color w:val="auto"/>
        </w:rPr>
        <w:t>File No. 333-125619 Protected Equity Portfolio</w:t>
      </w:r>
    </w:p>
    <w:p>
      <w:pPr>
        <w:ind w:left="780"/>
        <w:spacing w:after="0" w:line="235" w:lineRule="auto"/>
        <w:rPr>
          <w:sz w:val="20"/>
          <w:szCs w:val="20"/>
          <w:color w:val="auto"/>
        </w:rPr>
      </w:pPr>
      <w:r>
        <w:rPr>
          <w:rFonts w:ascii="Arial" w:cs="Arial" w:eastAsia="Arial" w:hAnsi="Arial"/>
          <w:sz w:val="12"/>
          <w:szCs w:val="12"/>
          <w:color w:val="auto"/>
        </w:rPr>
        <w:t>File No. 333-137370 Class S and Class S - L Share Option (offered between April 30, 2007 and October 7, 2011)</w:t>
      </w:r>
    </w:p>
    <w:p>
      <w:pPr>
        <w:ind w:left="780"/>
        <w:spacing w:after="0" w:line="235" w:lineRule="auto"/>
        <w:rPr>
          <w:sz w:val="20"/>
          <w:szCs w:val="20"/>
          <w:color w:val="auto"/>
        </w:rPr>
      </w:pPr>
      <w:r>
        <w:rPr>
          <w:rFonts w:ascii="Arial" w:cs="Arial" w:eastAsia="Arial" w:hAnsi="Arial"/>
          <w:sz w:val="12"/>
          <w:szCs w:val="12"/>
          <w:color w:val="auto"/>
        </w:rPr>
        <w:t>File No. 333-137969 PrimElite IV</w:t>
      </w:r>
    </w:p>
    <w:p>
      <w:pPr>
        <w:ind w:left="780"/>
        <w:spacing w:after="0" w:line="235" w:lineRule="auto"/>
        <w:rPr>
          <w:sz w:val="20"/>
          <w:szCs w:val="20"/>
          <w:color w:val="auto"/>
        </w:rPr>
      </w:pPr>
      <w:r>
        <w:rPr>
          <w:rFonts w:ascii="Arial" w:cs="Arial" w:eastAsia="Arial" w:hAnsi="Arial"/>
          <w:sz w:val="12"/>
          <w:szCs w:val="12"/>
          <w:color w:val="auto"/>
        </w:rPr>
        <w:t>File No. 333-148873 Pioneer PRISM</w:t>
      </w:r>
    </w:p>
    <w:p>
      <w:pPr>
        <w:ind w:left="780"/>
        <w:spacing w:after="0" w:line="235" w:lineRule="auto"/>
        <w:rPr>
          <w:sz w:val="20"/>
          <w:szCs w:val="20"/>
          <w:color w:val="auto"/>
        </w:rPr>
      </w:pPr>
      <w:r>
        <w:rPr>
          <w:rFonts w:ascii="Arial" w:cs="Arial" w:eastAsia="Arial" w:hAnsi="Arial"/>
          <w:sz w:val="12"/>
          <w:szCs w:val="12"/>
          <w:color w:val="auto"/>
        </w:rPr>
        <w:t>File No. 333-148874 Pioneer PRISM XC</w:t>
      </w:r>
    </w:p>
    <w:p>
      <w:pPr>
        <w:ind w:left="780"/>
        <w:spacing w:after="0" w:line="234" w:lineRule="auto"/>
        <w:rPr>
          <w:sz w:val="20"/>
          <w:szCs w:val="20"/>
          <w:color w:val="auto"/>
        </w:rPr>
      </w:pPr>
      <w:r>
        <w:rPr>
          <w:rFonts w:ascii="Arial" w:cs="Arial" w:eastAsia="Arial" w:hAnsi="Arial"/>
          <w:sz w:val="12"/>
          <w:szCs w:val="12"/>
          <w:color w:val="auto"/>
        </w:rPr>
        <w:t>File No. 333-148876 Pioneer PRISM L</w:t>
      </w:r>
    </w:p>
    <w:p>
      <w:pPr>
        <w:ind w:left="780"/>
        <w:spacing w:after="0" w:line="235" w:lineRule="auto"/>
        <w:rPr>
          <w:sz w:val="20"/>
          <w:szCs w:val="20"/>
          <w:color w:val="auto"/>
        </w:rPr>
      </w:pPr>
      <w:r>
        <w:rPr>
          <w:rFonts w:ascii="Arial" w:cs="Arial" w:eastAsia="Arial" w:hAnsi="Arial"/>
          <w:sz w:val="12"/>
          <w:szCs w:val="12"/>
          <w:color w:val="auto"/>
        </w:rPr>
        <w:t>File No. 333-152450 Class XTRA</w:t>
      </w:r>
    </w:p>
    <w:p>
      <w:pPr>
        <w:ind w:left="780"/>
        <w:spacing w:after="0" w:line="235" w:lineRule="auto"/>
        <w:rPr>
          <w:sz w:val="20"/>
          <w:szCs w:val="20"/>
          <w:color w:val="auto"/>
        </w:rPr>
      </w:pPr>
      <w:r>
        <w:rPr>
          <w:rFonts w:ascii="Arial" w:cs="Arial" w:eastAsia="Arial" w:hAnsi="Arial"/>
          <w:sz w:val="12"/>
          <w:szCs w:val="12"/>
          <w:color w:val="auto"/>
        </w:rPr>
        <w:t>File No. 333-156646 Class XTRA 6</w:t>
      </w:r>
    </w:p>
    <w:p>
      <w:pPr>
        <w:ind w:left="780"/>
        <w:spacing w:after="0" w:line="188" w:lineRule="auto"/>
        <w:rPr>
          <w:sz w:val="20"/>
          <w:szCs w:val="20"/>
          <w:color w:val="auto"/>
        </w:rPr>
      </w:pPr>
      <w:r>
        <w:rPr>
          <w:rFonts w:ascii="Arial" w:cs="Arial" w:eastAsia="Arial" w:hAnsi="Arial"/>
          <w:sz w:val="11"/>
          <w:szCs w:val="11"/>
          <w:color w:val="auto"/>
        </w:rPr>
        <w:t>File No. 333-158579 Brighthouse Simple Solutions</w:t>
      </w:r>
      <w:r>
        <w:rPr>
          <w:rFonts w:ascii="Arial" w:cs="Arial" w:eastAsia="Arial" w:hAnsi="Arial"/>
          <w:sz w:val="15"/>
          <w:szCs w:val="15"/>
          <w:color w:val="auto"/>
          <w:vertAlign w:val="superscript"/>
        </w:rPr>
        <w:t>SM</w:t>
      </w:r>
    </w:p>
    <w:p>
      <w:pPr>
        <w:ind w:left="780"/>
        <w:spacing w:after="0" w:line="235" w:lineRule="auto"/>
        <w:rPr>
          <w:sz w:val="20"/>
          <w:szCs w:val="20"/>
          <w:color w:val="auto"/>
        </w:rPr>
      </w:pPr>
      <w:r>
        <w:rPr>
          <w:rFonts w:ascii="Arial" w:cs="Arial" w:eastAsia="Arial" w:hAnsi="Arial"/>
          <w:sz w:val="12"/>
          <w:szCs w:val="12"/>
          <w:color w:val="auto"/>
        </w:rPr>
        <w:t>File No. 333-169687 Class VA- 4 (offered between May 1, 2011 and October 7, 2011)</w:t>
      </w:r>
    </w:p>
    <w:p>
      <w:pPr>
        <w:ind w:left="780"/>
        <w:spacing w:after="0" w:line="234" w:lineRule="auto"/>
        <w:rPr>
          <w:sz w:val="20"/>
          <w:szCs w:val="20"/>
          <w:color w:val="auto"/>
        </w:rPr>
      </w:pPr>
      <w:r>
        <w:rPr>
          <w:rFonts w:ascii="Arial" w:cs="Arial" w:eastAsia="Arial" w:hAnsi="Arial"/>
          <w:sz w:val="12"/>
          <w:szCs w:val="12"/>
          <w:color w:val="auto"/>
        </w:rPr>
        <w:t>File No. 333-176679 Class S (offered on and after October 7, 2011) and</w:t>
      </w:r>
    </w:p>
    <w:p>
      <w:pPr>
        <w:ind w:left="1000"/>
        <w:spacing w:after="0" w:line="235" w:lineRule="auto"/>
        <w:rPr>
          <w:sz w:val="20"/>
          <w:szCs w:val="20"/>
          <w:color w:val="auto"/>
        </w:rPr>
      </w:pPr>
      <w:r>
        <w:rPr>
          <w:rFonts w:ascii="Arial" w:cs="Arial" w:eastAsia="Arial" w:hAnsi="Arial"/>
          <w:sz w:val="12"/>
          <w:szCs w:val="12"/>
          <w:color w:val="auto"/>
        </w:rPr>
        <w:t>Class S- L Share Option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333-176680 Class VA- 4 (offered between October 7, 2011 and May 1, 2016)</w:t>
      </w:r>
    </w:p>
    <w:p>
      <w:pPr>
        <w:ind w:left="780"/>
        <w:spacing w:after="0" w:line="235" w:lineRule="auto"/>
        <w:rPr>
          <w:sz w:val="20"/>
          <w:szCs w:val="20"/>
          <w:color w:val="auto"/>
        </w:rPr>
      </w:pPr>
      <w:r>
        <w:rPr>
          <w:rFonts w:ascii="Arial" w:cs="Arial" w:eastAsia="Arial" w:hAnsi="Arial"/>
          <w:sz w:val="12"/>
          <w:szCs w:val="12"/>
          <w:color w:val="auto"/>
        </w:rPr>
        <w:t>File No. 333-176691 Class VA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333-176692 Class L- 4 Year (offered between October 7, 2011 and April 28, 2013)</w:t>
      </w:r>
    </w:p>
    <w:p>
      <w:pPr>
        <w:ind w:left="780"/>
        <w:spacing w:after="0" w:line="234" w:lineRule="auto"/>
        <w:rPr>
          <w:sz w:val="20"/>
          <w:szCs w:val="20"/>
          <w:color w:val="auto"/>
        </w:rPr>
      </w:pPr>
      <w:r>
        <w:rPr>
          <w:rFonts w:ascii="Arial" w:cs="Arial" w:eastAsia="Arial" w:hAnsi="Arial"/>
          <w:sz w:val="12"/>
          <w:szCs w:val="12"/>
          <w:color w:val="auto"/>
        </w:rPr>
        <w:t>File No. 333-176693 Class C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333-178515 Class O (offered between April 30, 2012 and September 20, 2015)</w:t>
      </w:r>
    </w:p>
    <w:p>
      <w:pPr>
        <w:ind w:left="780"/>
        <w:spacing w:after="0" w:line="235" w:lineRule="auto"/>
        <w:rPr>
          <w:sz w:val="20"/>
          <w:szCs w:val="20"/>
          <w:color w:val="auto"/>
        </w:rPr>
      </w:pPr>
      <w:r>
        <w:rPr>
          <w:rFonts w:ascii="Arial" w:cs="Arial" w:eastAsia="Arial" w:hAnsi="Arial"/>
          <w:sz w:val="12"/>
          <w:szCs w:val="12"/>
          <w:color w:val="auto"/>
        </w:rPr>
        <w:t>File No. 333-179240 Marquis Portfolios (offered on and after April 30, 2012)</w:t>
      </w:r>
    </w:p>
    <w:p>
      <w:pPr>
        <w:ind w:left="780"/>
        <w:spacing w:after="0" w:line="235" w:lineRule="auto"/>
        <w:rPr>
          <w:sz w:val="20"/>
          <w:szCs w:val="20"/>
          <w:color w:val="auto"/>
        </w:rPr>
      </w:pPr>
      <w:r>
        <w:rPr>
          <w:rFonts w:ascii="Arial" w:cs="Arial" w:eastAsia="Arial" w:hAnsi="Arial"/>
          <w:sz w:val="12"/>
          <w:szCs w:val="12"/>
          <w:color w:val="auto"/>
        </w:rPr>
        <w:t>File No. 333-186216 Class L- 4 Year (offered on and after April 29, 2013)</w:t>
      </w:r>
    </w:p>
    <w:p>
      <w:pPr>
        <w:ind w:left="780"/>
        <w:spacing w:after="0" w:line="235" w:lineRule="auto"/>
        <w:rPr>
          <w:sz w:val="20"/>
          <w:szCs w:val="20"/>
          <w:color w:val="auto"/>
        </w:rPr>
      </w:pPr>
      <w:r>
        <w:rPr>
          <w:rFonts w:ascii="Arial" w:cs="Arial" w:eastAsia="Arial" w:hAnsi="Arial"/>
          <w:sz w:val="12"/>
          <w:szCs w:val="12"/>
          <w:color w:val="auto"/>
        </w:rPr>
        <w:t>File No. 333-205137 Class O (offered on and after September 21, 2015)</w:t>
      </w:r>
    </w:p>
    <w:p>
      <w:pPr>
        <w:ind w:left="780"/>
        <w:spacing w:after="0" w:line="234" w:lineRule="auto"/>
        <w:rPr>
          <w:sz w:val="20"/>
          <w:szCs w:val="20"/>
          <w:color w:val="auto"/>
        </w:rPr>
      </w:pPr>
      <w:r>
        <w:rPr>
          <w:rFonts w:ascii="Arial" w:cs="Arial" w:eastAsia="Arial" w:hAnsi="Arial"/>
          <w:sz w:val="12"/>
          <w:szCs w:val="12"/>
          <w:color w:val="auto"/>
        </w:rPr>
        <w:t>File No. 333-209057 Class VA- 4 (offered on and after May 2, 2016)</w:t>
      </w:r>
    </w:p>
    <w:p>
      <w:pPr>
        <w:ind w:left="780"/>
        <w:spacing w:after="0" w:line="235" w:lineRule="auto"/>
        <w:rPr>
          <w:sz w:val="20"/>
          <w:szCs w:val="20"/>
          <w:color w:val="auto"/>
        </w:rPr>
      </w:pPr>
      <w:r>
        <w:rPr>
          <w:rFonts w:ascii="Arial" w:cs="Arial" w:eastAsia="Arial" w:hAnsi="Arial"/>
          <w:sz w:val="12"/>
          <w:szCs w:val="12"/>
          <w:color w:val="auto"/>
        </w:rPr>
        <w:t>File No. 333-209058 Class VA (offered on and after May 2, 2016)</w:t>
      </w:r>
    </w:p>
    <w:p>
      <w:pPr>
        <w:ind w:left="780"/>
        <w:spacing w:after="0" w:line="235" w:lineRule="auto"/>
        <w:rPr>
          <w:sz w:val="20"/>
          <w:szCs w:val="20"/>
          <w:color w:val="auto"/>
        </w:rPr>
      </w:pPr>
      <w:r>
        <w:rPr>
          <w:rFonts w:ascii="Arial" w:cs="Arial" w:eastAsia="Arial" w:hAnsi="Arial"/>
          <w:sz w:val="12"/>
          <w:szCs w:val="12"/>
          <w:color w:val="auto"/>
        </w:rPr>
        <w:t>File No. 333-209059 Class S (offered on and after May 2, 2016) and</w:t>
      </w:r>
    </w:p>
    <w:p>
      <w:pPr>
        <w:ind w:left="1000"/>
        <w:spacing w:after="0"/>
        <w:rPr>
          <w:sz w:val="20"/>
          <w:szCs w:val="20"/>
          <w:color w:val="auto"/>
        </w:rPr>
      </w:pPr>
      <w:r>
        <w:rPr>
          <w:rFonts w:ascii="Arial" w:cs="Arial" w:eastAsia="Arial" w:hAnsi="Arial"/>
          <w:sz w:val="12"/>
          <w:szCs w:val="12"/>
          <w:color w:val="auto"/>
        </w:rPr>
        <w:t>S- L Share Option (offered on and after May 2, 2016)</w:t>
      </w:r>
    </w:p>
    <w:p>
      <w:pPr>
        <w:sectPr>
          <w:pgSz w:w="11900" w:h="16838" w:orient="portrait"/>
          <w:cols w:equalWidth="0" w:num="1">
            <w:col w:w="11220"/>
          </w:cols>
          <w:pgMar w:left="300" w:top="226" w:right="379" w:bottom="1440" w:gutter="0" w:footer="0" w:header="0"/>
        </w:sectPr>
      </w:pPr>
    </w:p>
    <w:bookmarkStart w:id="174" w:name="page175"/>
    <w:bookmarkEnd w:id="174"/>
    <w:p>
      <w:pPr>
        <w:ind w:left="7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File No. 333-216454 Brighthouse Prime Options,</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And pertaining to:</w:t>
      </w:r>
    </w:p>
    <w:p>
      <w:pPr>
        <w:ind w:left="780"/>
        <w:spacing w:after="0" w:line="187" w:lineRule="auto"/>
        <w:rPr>
          <w:sz w:val="20"/>
          <w:szCs w:val="20"/>
          <w:color w:val="auto"/>
        </w:rPr>
      </w:pPr>
      <w:r>
        <w:rPr>
          <w:rFonts w:ascii="Arial" w:cs="Arial" w:eastAsia="Arial" w:hAnsi="Arial"/>
          <w:sz w:val="11"/>
          <w:szCs w:val="11"/>
          <w:color w:val="auto"/>
        </w:rPr>
        <w:t>File No. 333-216452 Brighthouse Shield Level Selector</w:t>
      </w:r>
      <w:r>
        <w:rPr>
          <w:rFonts w:ascii="Arial" w:cs="Arial" w:eastAsia="Arial" w:hAnsi="Arial"/>
          <w:sz w:val="16"/>
          <w:szCs w:val="16"/>
          <w:color w:val="auto"/>
          <w:vertAlign w:val="superscript"/>
        </w:rPr>
        <w:t>®</w:t>
      </w:r>
      <w:r>
        <w:rPr>
          <w:rFonts w:ascii="Arial" w:cs="Arial" w:eastAsia="Arial" w:hAnsi="Arial"/>
          <w:sz w:val="11"/>
          <w:szCs w:val="11"/>
          <w:color w:val="auto"/>
        </w:rPr>
        <w:t xml:space="preserve"> Annuity</w:t>
      </w:r>
    </w:p>
    <w:p>
      <w:pPr>
        <w:ind w:left="780"/>
        <w:spacing w:after="0" w:line="188" w:lineRule="auto"/>
        <w:rPr>
          <w:sz w:val="20"/>
          <w:szCs w:val="20"/>
          <w:color w:val="auto"/>
        </w:rPr>
      </w:pPr>
      <w:r>
        <w:rPr>
          <w:rFonts w:ascii="Arial" w:cs="Arial" w:eastAsia="Arial" w:hAnsi="Arial"/>
          <w:sz w:val="11"/>
          <w:szCs w:val="11"/>
          <w:color w:val="auto"/>
        </w:rPr>
        <w:t>File No. 333-216453 Brighthouse Shield Level Selector</w:t>
      </w:r>
      <w:r>
        <w:rPr>
          <w:rFonts w:ascii="Arial" w:cs="Arial" w:eastAsia="Arial" w:hAnsi="Arial"/>
          <w:sz w:val="15"/>
          <w:szCs w:val="15"/>
          <w:color w:val="auto"/>
          <w:vertAlign w:val="superscript"/>
        </w:rPr>
        <w:t>®</w:t>
      </w:r>
      <w:r>
        <w:rPr>
          <w:rFonts w:ascii="Arial" w:cs="Arial" w:eastAsia="Arial" w:hAnsi="Arial"/>
          <w:sz w:val="11"/>
          <w:szCs w:val="11"/>
          <w:color w:val="auto"/>
        </w:rPr>
        <w:t xml:space="preserve"> 3-Year Annuity</w:t>
      </w:r>
    </w:p>
    <w:p>
      <w:pPr>
        <w:ind w:left="780"/>
        <w:spacing w:after="0" w:line="188" w:lineRule="auto"/>
        <w:rPr>
          <w:sz w:val="20"/>
          <w:szCs w:val="20"/>
          <w:color w:val="auto"/>
        </w:rPr>
      </w:pPr>
      <w:r>
        <w:rPr>
          <w:rFonts w:ascii="Arial" w:cs="Arial" w:eastAsia="Arial" w:hAnsi="Arial"/>
          <w:sz w:val="11"/>
          <w:szCs w:val="11"/>
          <w:color w:val="auto"/>
        </w:rPr>
        <w:t>File No. 333-238214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10 Annuity</w:t>
      </w:r>
    </w:p>
    <w:p>
      <w:pPr>
        <w:ind w:left="780"/>
        <w:spacing w:after="0" w:line="188" w:lineRule="auto"/>
        <w:rPr>
          <w:sz w:val="20"/>
          <w:szCs w:val="20"/>
          <w:color w:val="auto"/>
        </w:rPr>
      </w:pPr>
      <w:r>
        <w:rPr>
          <w:rFonts w:ascii="Arial" w:cs="Arial" w:eastAsia="Arial" w:hAnsi="Arial"/>
          <w:sz w:val="11"/>
          <w:szCs w:val="11"/>
          <w:color w:val="auto"/>
        </w:rPr>
        <w:t>File No. 333-265196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3-Year Annuity</w:t>
      </w:r>
    </w:p>
    <w:p>
      <w:pPr>
        <w:ind w:left="780"/>
        <w:spacing w:after="0" w:line="188" w:lineRule="auto"/>
        <w:rPr>
          <w:sz w:val="20"/>
          <w:szCs w:val="20"/>
          <w:color w:val="auto"/>
        </w:rPr>
      </w:pPr>
      <w:r>
        <w:rPr>
          <w:rFonts w:ascii="Arial" w:cs="Arial" w:eastAsia="Arial" w:hAnsi="Arial"/>
          <w:sz w:val="11"/>
          <w:szCs w:val="11"/>
          <w:color w:val="auto"/>
        </w:rPr>
        <w:t>File No. 333-265199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w:t>
      </w:r>
    </w:p>
    <w:p>
      <w:pPr>
        <w:ind w:left="780"/>
        <w:spacing w:after="0" w:line="188" w:lineRule="auto"/>
        <w:rPr>
          <w:sz w:val="20"/>
          <w:szCs w:val="20"/>
          <w:color w:val="auto"/>
        </w:rPr>
      </w:pPr>
      <w:r>
        <w:rPr>
          <w:rFonts w:ascii="Arial" w:cs="Arial" w:eastAsia="Arial" w:hAnsi="Arial"/>
          <w:sz w:val="11"/>
          <w:szCs w:val="11"/>
          <w:color w:val="auto"/>
        </w:rPr>
        <w:t>File No. 333-259506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 v.3</w:t>
      </w:r>
    </w:p>
    <w:p>
      <w:pPr>
        <w:ind w:left="780"/>
        <w:spacing w:after="0"/>
        <w:rPr>
          <w:sz w:val="20"/>
          <w:szCs w:val="20"/>
          <w:color w:val="auto"/>
        </w:rPr>
      </w:pPr>
      <w:r>
        <w:rPr>
          <w:rFonts w:ascii="Arial" w:cs="Arial" w:eastAsia="Arial" w:hAnsi="Arial"/>
          <w:sz w:val="12"/>
          <w:szCs w:val="12"/>
          <w:color w:val="auto"/>
        </w:rPr>
        <w:t>File No. 333-279315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6-Year Annuity</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And new annuities and life products such as:</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2"/>
          <w:szCs w:val="12"/>
          <w:color w:val="auto"/>
        </w:rPr>
        <w:t>Brighthouse Shield Annuity</w:t>
      </w:r>
    </w:p>
    <w:p>
      <w:pPr>
        <w:ind w:left="780"/>
        <w:spacing w:after="0" w:line="234" w:lineRule="auto"/>
        <w:rPr>
          <w:sz w:val="20"/>
          <w:szCs w:val="20"/>
          <w:color w:val="auto"/>
        </w:rPr>
      </w:pPr>
      <w:r>
        <w:rPr>
          <w:rFonts w:ascii="Arial" w:cs="Arial" w:eastAsia="Arial" w:hAnsi="Arial"/>
          <w:sz w:val="12"/>
          <w:szCs w:val="12"/>
          <w:color w:val="auto"/>
        </w:rPr>
        <w:t>Brighthouse Shield 3-Year Annuity</w:t>
      </w:r>
    </w:p>
    <w:p>
      <w:pPr>
        <w:ind w:left="780"/>
        <w:spacing w:after="0" w:line="235" w:lineRule="auto"/>
        <w:rPr>
          <w:sz w:val="20"/>
          <w:szCs w:val="20"/>
          <w:color w:val="auto"/>
        </w:rPr>
      </w:pPr>
      <w:r>
        <w:rPr>
          <w:rFonts w:ascii="Arial" w:cs="Arial" w:eastAsia="Arial" w:hAnsi="Arial"/>
          <w:sz w:val="12"/>
          <w:szCs w:val="12"/>
          <w:color w:val="auto"/>
        </w:rPr>
        <w:t>Brighthouse Shield 6-Year Annuity</w:t>
      </w:r>
    </w:p>
    <w:p>
      <w:pPr>
        <w:ind w:left="780"/>
        <w:spacing w:after="0"/>
        <w:rPr>
          <w:sz w:val="20"/>
          <w:szCs w:val="20"/>
          <w:color w:val="auto"/>
        </w:rPr>
      </w:pPr>
      <w:r>
        <w:rPr>
          <w:rFonts w:ascii="Arial" w:cs="Arial" w:eastAsia="Arial" w:hAnsi="Arial"/>
          <w:sz w:val="12"/>
          <w:szCs w:val="12"/>
          <w:color w:val="auto"/>
        </w:rPr>
        <w:t>Brighthouse indexed-linked life insurance policy,</w:t>
      </w:r>
    </w:p>
    <w:p>
      <w:pPr>
        <w:spacing w:after="0" w:line="129"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I have hereunto set my hand this 30th day of May 2024.</w:t>
      </w: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Edward C. Kosnik</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Edward C. Kosnik</w:t>
      </w:r>
    </w:p>
    <w:p>
      <w:pPr>
        <w:sectPr>
          <w:pgSz w:w="11900" w:h="16838" w:orient="portrait"/>
          <w:cols w:equalWidth="0" w:num="1">
            <w:col w:w="11040"/>
          </w:cols>
          <w:pgMar w:left="300" w:top="226" w:right="559" w:bottom="1440" w:gutter="0" w:footer="0" w:header="0"/>
        </w:sectPr>
      </w:pPr>
    </w:p>
    <w:bookmarkStart w:id="175" w:name="page176"/>
    <w:bookmarkEnd w:id="175"/>
    <w:p>
      <w:pPr>
        <w:jc w:val="center"/>
        <w:ind w:right="-17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Brighthouse Life Insurance Company of NY</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POWER OF ATTORNEY</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Mayer Naiman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Director</w:t>
      </w:r>
    </w:p>
    <w:p>
      <w:pPr>
        <w:spacing w:after="0" w:line="129"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KNOW ALL MEN BY THESE PRESENTS, that I, Mayer Naiman,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65" w:lineRule="exact"/>
        <w:rPr>
          <w:sz w:val="20"/>
          <w:szCs w:val="20"/>
          <w:color w:val="auto"/>
        </w:rPr>
      </w:pPr>
    </w:p>
    <w:p>
      <w:pPr>
        <w:ind w:left="660" w:hanging="335"/>
        <w:spacing w:after="0"/>
        <w:tabs>
          <w:tab w:leader="none" w:pos="660" w:val="left"/>
        </w:tabs>
        <w:numPr>
          <w:ilvl w:val="0"/>
          <w:numId w:val="153"/>
        </w:numPr>
        <w:rPr>
          <w:rFonts w:ascii="Times New Roman" w:cs="Times New Roman" w:eastAsia="Times New Roman" w:hAnsi="Times New Roman"/>
          <w:sz w:val="19"/>
          <w:szCs w:val="19"/>
          <w:color w:val="auto"/>
          <w:vertAlign w:val="superscript"/>
        </w:rPr>
      </w:pPr>
      <w:r>
        <w:rPr>
          <w:rFonts w:ascii="Arial" w:cs="Arial" w:eastAsia="Arial" w:hAnsi="Arial"/>
          <w:sz w:val="12"/>
          <w:szCs w:val="12"/>
          <w:color w:val="auto"/>
        </w:rPr>
        <w:t>  Brighthouse Variable Annuity Account B (811-08306)</w:t>
      </w:r>
    </w:p>
    <w:p>
      <w:pPr>
        <w:ind w:left="780"/>
        <w:spacing w:after="0" w:line="234" w:lineRule="auto"/>
        <w:rPr>
          <w:sz w:val="20"/>
          <w:szCs w:val="20"/>
          <w:color w:val="auto"/>
        </w:rPr>
      </w:pPr>
      <w:r>
        <w:rPr>
          <w:rFonts w:ascii="Arial" w:cs="Arial" w:eastAsia="Arial" w:hAnsi="Arial"/>
          <w:sz w:val="12"/>
          <w:szCs w:val="12"/>
          <w:color w:val="auto"/>
        </w:rPr>
        <w:t>File No. 033-74174 First COVA VA, Custom Select, Russell Select and Class VA, Class AA and Class B</w:t>
      </w:r>
    </w:p>
    <w:p>
      <w:pPr>
        <w:ind w:left="780"/>
        <w:spacing w:after="0" w:line="235" w:lineRule="auto"/>
        <w:rPr>
          <w:sz w:val="20"/>
          <w:szCs w:val="20"/>
          <w:color w:val="auto"/>
        </w:rPr>
      </w:pPr>
      <w:r>
        <w:rPr>
          <w:rFonts w:ascii="Arial" w:cs="Arial" w:eastAsia="Arial" w:hAnsi="Arial"/>
          <w:sz w:val="12"/>
          <w:szCs w:val="12"/>
          <w:color w:val="auto"/>
        </w:rPr>
        <w:t>File No. 333-96773 Class VA (offered between June 15, 2001 and October 7, 2011), Class AA, and Class B</w:t>
      </w:r>
    </w:p>
    <w:p>
      <w:pPr>
        <w:ind w:left="780"/>
        <w:spacing w:after="0" w:line="235" w:lineRule="auto"/>
        <w:rPr>
          <w:sz w:val="20"/>
          <w:szCs w:val="20"/>
          <w:color w:val="auto"/>
        </w:rPr>
      </w:pPr>
      <w:r>
        <w:rPr>
          <w:rFonts w:ascii="Arial" w:cs="Arial" w:eastAsia="Arial" w:hAnsi="Arial"/>
          <w:sz w:val="12"/>
          <w:szCs w:val="12"/>
          <w:color w:val="auto"/>
        </w:rPr>
        <w:t>File No. 333-96775 Class A</w:t>
      </w:r>
    </w:p>
    <w:p>
      <w:pPr>
        <w:ind w:left="780"/>
        <w:spacing w:after="0" w:line="235" w:lineRule="auto"/>
        <w:rPr>
          <w:sz w:val="20"/>
          <w:szCs w:val="20"/>
          <w:color w:val="auto"/>
        </w:rPr>
      </w:pPr>
      <w:r>
        <w:rPr>
          <w:rFonts w:ascii="Arial" w:cs="Arial" w:eastAsia="Arial" w:hAnsi="Arial"/>
          <w:sz w:val="12"/>
          <w:szCs w:val="12"/>
          <w:color w:val="auto"/>
        </w:rPr>
        <w:t>File No. 333-96777 Class XC</w:t>
      </w:r>
    </w:p>
    <w:p>
      <w:pPr>
        <w:ind w:left="780"/>
        <w:spacing w:after="0" w:line="234" w:lineRule="auto"/>
        <w:rPr>
          <w:sz w:val="20"/>
          <w:szCs w:val="20"/>
          <w:color w:val="auto"/>
        </w:rPr>
      </w:pPr>
      <w:r>
        <w:rPr>
          <w:rFonts w:ascii="Arial" w:cs="Arial" w:eastAsia="Arial" w:hAnsi="Arial"/>
          <w:sz w:val="12"/>
          <w:szCs w:val="12"/>
          <w:color w:val="auto"/>
        </w:rPr>
        <w:t>File No. 333-96785 Class L and Class L –4 Year (offered between November 22, 2004 and October 7, 2011)</w:t>
      </w:r>
    </w:p>
    <w:p>
      <w:pPr>
        <w:ind w:left="780"/>
        <w:spacing w:after="0" w:line="235" w:lineRule="auto"/>
        <w:rPr>
          <w:sz w:val="20"/>
          <w:szCs w:val="20"/>
          <w:color w:val="auto"/>
        </w:rPr>
      </w:pPr>
      <w:r>
        <w:rPr>
          <w:rFonts w:ascii="Arial" w:cs="Arial" w:eastAsia="Arial" w:hAnsi="Arial"/>
          <w:sz w:val="12"/>
          <w:szCs w:val="12"/>
          <w:color w:val="auto"/>
        </w:rPr>
        <w:t>File No. 333-96795 Class C (offered between September 4, 2001 and October 7, 2011)</w:t>
      </w:r>
    </w:p>
    <w:p>
      <w:pPr>
        <w:ind w:left="780"/>
        <w:spacing w:after="0" w:line="235" w:lineRule="auto"/>
        <w:rPr>
          <w:sz w:val="20"/>
          <w:szCs w:val="20"/>
          <w:color w:val="auto"/>
        </w:rPr>
      </w:pPr>
      <w:r>
        <w:rPr>
          <w:rFonts w:ascii="Arial" w:cs="Arial" w:eastAsia="Arial" w:hAnsi="Arial"/>
          <w:sz w:val="12"/>
          <w:szCs w:val="12"/>
          <w:color w:val="auto"/>
        </w:rPr>
        <w:t>File No. 333-125613 Vintage L and Vintage XC</w:t>
      </w:r>
    </w:p>
    <w:p>
      <w:pPr>
        <w:ind w:left="780"/>
        <w:spacing w:after="0" w:line="235" w:lineRule="auto"/>
        <w:rPr>
          <w:sz w:val="20"/>
          <w:szCs w:val="20"/>
          <w:color w:val="auto"/>
        </w:rPr>
      </w:pPr>
      <w:r>
        <w:rPr>
          <w:rFonts w:ascii="Arial" w:cs="Arial" w:eastAsia="Arial" w:hAnsi="Arial"/>
          <w:sz w:val="12"/>
          <w:szCs w:val="12"/>
          <w:color w:val="auto"/>
        </w:rPr>
        <w:t>File No. 333-125617 PrimElite III</w:t>
      </w:r>
    </w:p>
    <w:p>
      <w:pPr>
        <w:ind w:left="780"/>
        <w:spacing w:after="0" w:line="235" w:lineRule="auto"/>
        <w:rPr>
          <w:sz w:val="20"/>
          <w:szCs w:val="20"/>
          <w:color w:val="auto"/>
        </w:rPr>
      </w:pPr>
      <w:r>
        <w:rPr>
          <w:rFonts w:ascii="Arial" w:cs="Arial" w:eastAsia="Arial" w:hAnsi="Arial"/>
          <w:sz w:val="12"/>
          <w:szCs w:val="12"/>
          <w:color w:val="auto"/>
        </w:rPr>
        <w:t>File No. 333-125618 Marquis Portfolios (offered between November 7, 2005 and April 30, 2012)</w:t>
      </w:r>
    </w:p>
    <w:p>
      <w:pPr>
        <w:ind w:left="780"/>
        <w:spacing w:after="0" w:line="234" w:lineRule="auto"/>
        <w:rPr>
          <w:sz w:val="20"/>
          <w:szCs w:val="20"/>
          <w:color w:val="auto"/>
        </w:rPr>
      </w:pPr>
      <w:r>
        <w:rPr>
          <w:rFonts w:ascii="Arial" w:cs="Arial" w:eastAsia="Arial" w:hAnsi="Arial"/>
          <w:sz w:val="12"/>
          <w:szCs w:val="12"/>
          <w:color w:val="auto"/>
        </w:rPr>
        <w:t>File No. 333-125619 Protected Equity Portfolio</w:t>
      </w:r>
    </w:p>
    <w:p>
      <w:pPr>
        <w:ind w:left="780"/>
        <w:spacing w:after="0" w:line="235" w:lineRule="auto"/>
        <w:rPr>
          <w:sz w:val="20"/>
          <w:szCs w:val="20"/>
          <w:color w:val="auto"/>
        </w:rPr>
      </w:pPr>
      <w:r>
        <w:rPr>
          <w:rFonts w:ascii="Arial" w:cs="Arial" w:eastAsia="Arial" w:hAnsi="Arial"/>
          <w:sz w:val="12"/>
          <w:szCs w:val="12"/>
          <w:color w:val="auto"/>
        </w:rPr>
        <w:t>File No. 333-137370 Class S and Class S - L Share Option (offered between April 30, 2007 and October 7, 2011)</w:t>
      </w:r>
    </w:p>
    <w:p>
      <w:pPr>
        <w:ind w:left="780"/>
        <w:spacing w:after="0" w:line="235" w:lineRule="auto"/>
        <w:rPr>
          <w:sz w:val="20"/>
          <w:szCs w:val="20"/>
          <w:color w:val="auto"/>
        </w:rPr>
      </w:pPr>
      <w:r>
        <w:rPr>
          <w:rFonts w:ascii="Arial" w:cs="Arial" w:eastAsia="Arial" w:hAnsi="Arial"/>
          <w:sz w:val="12"/>
          <w:szCs w:val="12"/>
          <w:color w:val="auto"/>
        </w:rPr>
        <w:t>File No. 333-137969 PrimElite IV</w:t>
      </w:r>
    </w:p>
    <w:p>
      <w:pPr>
        <w:ind w:left="780"/>
        <w:spacing w:after="0" w:line="235" w:lineRule="auto"/>
        <w:rPr>
          <w:sz w:val="20"/>
          <w:szCs w:val="20"/>
          <w:color w:val="auto"/>
        </w:rPr>
      </w:pPr>
      <w:r>
        <w:rPr>
          <w:rFonts w:ascii="Arial" w:cs="Arial" w:eastAsia="Arial" w:hAnsi="Arial"/>
          <w:sz w:val="12"/>
          <w:szCs w:val="12"/>
          <w:color w:val="auto"/>
        </w:rPr>
        <w:t>File No. 333-148873 Pioneer PRISM</w:t>
      </w:r>
    </w:p>
    <w:p>
      <w:pPr>
        <w:ind w:left="780"/>
        <w:spacing w:after="0" w:line="235" w:lineRule="auto"/>
        <w:rPr>
          <w:sz w:val="20"/>
          <w:szCs w:val="20"/>
          <w:color w:val="auto"/>
        </w:rPr>
      </w:pPr>
      <w:r>
        <w:rPr>
          <w:rFonts w:ascii="Arial" w:cs="Arial" w:eastAsia="Arial" w:hAnsi="Arial"/>
          <w:sz w:val="12"/>
          <w:szCs w:val="12"/>
          <w:color w:val="auto"/>
        </w:rPr>
        <w:t>File No. 333-148874 Pioneer PRISM XC</w:t>
      </w:r>
    </w:p>
    <w:p>
      <w:pPr>
        <w:ind w:left="780"/>
        <w:spacing w:after="0" w:line="234" w:lineRule="auto"/>
        <w:rPr>
          <w:sz w:val="20"/>
          <w:szCs w:val="20"/>
          <w:color w:val="auto"/>
        </w:rPr>
      </w:pPr>
      <w:r>
        <w:rPr>
          <w:rFonts w:ascii="Arial" w:cs="Arial" w:eastAsia="Arial" w:hAnsi="Arial"/>
          <w:sz w:val="12"/>
          <w:szCs w:val="12"/>
          <w:color w:val="auto"/>
        </w:rPr>
        <w:t>File No. 333-148876 Pioneer PRISM L</w:t>
      </w:r>
    </w:p>
    <w:p>
      <w:pPr>
        <w:ind w:left="780"/>
        <w:spacing w:after="0" w:line="235" w:lineRule="auto"/>
        <w:rPr>
          <w:sz w:val="20"/>
          <w:szCs w:val="20"/>
          <w:color w:val="auto"/>
        </w:rPr>
      </w:pPr>
      <w:r>
        <w:rPr>
          <w:rFonts w:ascii="Arial" w:cs="Arial" w:eastAsia="Arial" w:hAnsi="Arial"/>
          <w:sz w:val="12"/>
          <w:szCs w:val="12"/>
          <w:color w:val="auto"/>
        </w:rPr>
        <w:t>File No. 333-152450 Class XTRA</w:t>
      </w:r>
    </w:p>
    <w:p>
      <w:pPr>
        <w:ind w:left="780"/>
        <w:spacing w:after="0" w:line="235" w:lineRule="auto"/>
        <w:rPr>
          <w:sz w:val="20"/>
          <w:szCs w:val="20"/>
          <w:color w:val="auto"/>
        </w:rPr>
      </w:pPr>
      <w:r>
        <w:rPr>
          <w:rFonts w:ascii="Arial" w:cs="Arial" w:eastAsia="Arial" w:hAnsi="Arial"/>
          <w:sz w:val="12"/>
          <w:szCs w:val="12"/>
          <w:color w:val="auto"/>
        </w:rPr>
        <w:t>File No. 333-156646 Class XTRA 6</w:t>
      </w:r>
    </w:p>
    <w:p>
      <w:pPr>
        <w:ind w:left="780"/>
        <w:spacing w:after="0" w:line="188" w:lineRule="auto"/>
        <w:rPr>
          <w:sz w:val="20"/>
          <w:szCs w:val="20"/>
          <w:color w:val="auto"/>
        </w:rPr>
      </w:pPr>
      <w:r>
        <w:rPr>
          <w:rFonts w:ascii="Arial" w:cs="Arial" w:eastAsia="Arial" w:hAnsi="Arial"/>
          <w:sz w:val="11"/>
          <w:szCs w:val="11"/>
          <w:color w:val="auto"/>
        </w:rPr>
        <w:t>File No. 333-158579 Brighthouse Simple Solutions</w:t>
      </w:r>
      <w:r>
        <w:rPr>
          <w:rFonts w:ascii="Arial" w:cs="Arial" w:eastAsia="Arial" w:hAnsi="Arial"/>
          <w:sz w:val="15"/>
          <w:szCs w:val="15"/>
          <w:color w:val="auto"/>
          <w:vertAlign w:val="superscript"/>
        </w:rPr>
        <w:t>SM</w:t>
      </w:r>
    </w:p>
    <w:p>
      <w:pPr>
        <w:ind w:left="780"/>
        <w:spacing w:after="0" w:line="235" w:lineRule="auto"/>
        <w:rPr>
          <w:sz w:val="20"/>
          <w:szCs w:val="20"/>
          <w:color w:val="auto"/>
        </w:rPr>
      </w:pPr>
      <w:r>
        <w:rPr>
          <w:rFonts w:ascii="Arial" w:cs="Arial" w:eastAsia="Arial" w:hAnsi="Arial"/>
          <w:sz w:val="12"/>
          <w:szCs w:val="12"/>
          <w:color w:val="auto"/>
        </w:rPr>
        <w:t>File No. 333-169687 Class VA- 4 (offered between May 1, 2011 and October 7, 2011)</w:t>
      </w:r>
    </w:p>
    <w:p>
      <w:pPr>
        <w:ind w:left="780"/>
        <w:spacing w:after="0" w:line="234" w:lineRule="auto"/>
        <w:rPr>
          <w:sz w:val="20"/>
          <w:szCs w:val="20"/>
          <w:color w:val="auto"/>
        </w:rPr>
      </w:pPr>
      <w:r>
        <w:rPr>
          <w:rFonts w:ascii="Arial" w:cs="Arial" w:eastAsia="Arial" w:hAnsi="Arial"/>
          <w:sz w:val="12"/>
          <w:szCs w:val="12"/>
          <w:color w:val="auto"/>
        </w:rPr>
        <w:t>File No. 333-176679 Class S (offered on and after October 7, 2011) and</w:t>
      </w:r>
    </w:p>
    <w:p>
      <w:pPr>
        <w:ind w:left="1000"/>
        <w:spacing w:after="0" w:line="235" w:lineRule="auto"/>
        <w:rPr>
          <w:sz w:val="20"/>
          <w:szCs w:val="20"/>
          <w:color w:val="auto"/>
        </w:rPr>
      </w:pPr>
      <w:r>
        <w:rPr>
          <w:rFonts w:ascii="Arial" w:cs="Arial" w:eastAsia="Arial" w:hAnsi="Arial"/>
          <w:sz w:val="12"/>
          <w:szCs w:val="12"/>
          <w:color w:val="auto"/>
        </w:rPr>
        <w:t>Class S- L Share Option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333-176680 Class VA- 4 (offered between October 7, 2011 and May 1, 2016)</w:t>
      </w:r>
    </w:p>
    <w:p>
      <w:pPr>
        <w:ind w:left="780"/>
        <w:spacing w:after="0" w:line="235" w:lineRule="auto"/>
        <w:rPr>
          <w:sz w:val="20"/>
          <w:szCs w:val="20"/>
          <w:color w:val="auto"/>
        </w:rPr>
      </w:pPr>
      <w:r>
        <w:rPr>
          <w:rFonts w:ascii="Arial" w:cs="Arial" w:eastAsia="Arial" w:hAnsi="Arial"/>
          <w:sz w:val="12"/>
          <w:szCs w:val="12"/>
          <w:color w:val="auto"/>
        </w:rPr>
        <w:t>File No. 333-176691 Class VA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333-176692 Class L- 4 Year (offered between October 7, 2011 and April 28, 2013)</w:t>
      </w:r>
    </w:p>
    <w:p>
      <w:pPr>
        <w:ind w:left="780"/>
        <w:spacing w:after="0" w:line="234" w:lineRule="auto"/>
        <w:rPr>
          <w:sz w:val="20"/>
          <w:szCs w:val="20"/>
          <w:color w:val="auto"/>
        </w:rPr>
      </w:pPr>
      <w:r>
        <w:rPr>
          <w:rFonts w:ascii="Arial" w:cs="Arial" w:eastAsia="Arial" w:hAnsi="Arial"/>
          <w:sz w:val="12"/>
          <w:szCs w:val="12"/>
          <w:color w:val="auto"/>
        </w:rPr>
        <w:t>File No. 333-176693 Class C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333-178515 Class O (offered between April 30, 2012 and September 20, 2015)</w:t>
      </w:r>
    </w:p>
    <w:p>
      <w:pPr>
        <w:ind w:left="780"/>
        <w:spacing w:after="0" w:line="235" w:lineRule="auto"/>
        <w:rPr>
          <w:sz w:val="20"/>
          <w:szCs w:val="20"/>
          <w:color w:val="auto"/>
        </w:rPr>
      </w:pPr>
      <w:r>
        <w:rPr>
          <w:rFonts w:ascii="Arial" w:cs="Arial" w:eastAsia="Arial" w:hAnsi="Arial"/>
          <w:sz w:val="12"/>
          <w:szCs w:val="12"/>
          <w:color w:val="auto"/>
        </w:rPr>
        <w:t>File No. 333-179240 Marquis Portfolios (offered on and after April 30, 2012)</w:t>
      </w:r>
    </w:p>
    <w:p>
      <w:pPr>
        <w:ind w:left="780"/>
        <w:spacing w:after="0" w:line="235" w:lineRule="auto"/>
        <w:rPr>
          <w:sz w:val="20"/>
          <w:szCs w:val="20"/>
          <w:color w:val="auto"/>
        </w:rPr>
      </w:pPr>
      <w:r>
        <w:rPr>
          <w:rFonts w:ascii="Arial" w:cs="Arial" w:eastAsia="Arial" w:hAnsi="Arial"/>
          <w:sz w:val="12"/>
          <w:szCs w:val="12"/>
          <w:color w:val="auto"/>
        </w:rPr>
        <w:t>File No. 333-186216 Class L- 4 Year (offered on and after April 29, 2013)</w:t>
      </w:r>
    </w:p>
    <w:p>
      <w:pPr>
        <w:ind w:left="780"/>
        <w:spacing w:after="0" w:line="235" w:lineRule="auto"/>
        <w:rPr>
          <w:sz w:val="20"/>
          <w:szCs w:val="20"/>
          <w:color w:val="auto"/>
        </w:rPr>
      </w:pPr>
      <w:r>
        <w:rPr>
          <w:rFonts w:ascii="Arial" w:cs="Arial" w:eastAsia="Arial" w:hAnsi="Arial"/>
          <w:sz w:val="12"/>
          <w:szCs w:val="12"/>
          <w:color w:val="auto"/>
        </w:rPr>
        <w:t>File No. 333-205137 Class O (offered on and after September 21, 2015)</w:t>
      </w:r>
    </w:p>
    <w:p>
      <w:pPr>
        <w:ind w:left="780"/>
        <w:spacing w:after="0" w:line="234" w:lineRule="auto"/>
        <w:rPr>
          <w:sz w:val="20"/>
          <w:szCs w:val="20"/>
          <w:color w:val="auto"/>
        </w:rPr>
      </w:pPr>
      <w:r>
        <w:rPr>
          <w:rFonts w:ascii="Arial" w:cs="Arial" w:eastAsia="Arial" w:hAnsi="Arial"/>
          <w:sz w:val="12"/>
          <w:szCs w:val="12"/>
          <w:color w:val="auto"/>
        </w:rPr>
        <w:t>File No. 333-209057 Class VA- 4 (offered on and after May 2, 2016)</w:t>
      </w:r>
    </w:p>
    <w:p>
      <w:pPr>
        <w:ind w:left="780"/>
        <w:spacing w:after="0" w:line="235" w:lineRule="auto"/>
        <w:rPr>
          <w:sz w:val="20"/>
          <w:szCs w:val="20"/>
          <w:color w:val="auto"/>
        </w:rPr>
      </w:pPr>
      <w:r>
        <w:rPr>
          <w:rFonts w:ascii="Arial" w:cs="Arial" w:eastAsia="Arial" w:hAnsi="Arial"/>
          <w:sz w:val="12"/>
          <w:szCs w:val="12"/>
          <w:color w:val="auto"/>
        </w:rPr>
        <w:t>File No. 333-209058 Class VA (offered on and after May 2, 2016)</w:t>
      </w:r>
    </w:p>
    <w:p>
      <w:pPr>
        <w:ind w:left="780"/>
        <w:spacing w:after="0" w:line="235" w:lineRule="auto"/>
        <w:rPr>
          <w:sz w:val="20"/>
          <w:szCs w:val="20"/>
          <w:color w:val="auto"/>
        </w:rPr>
      </w:pPr>
      <w:r>
        <w:rPr>
          <w:rFonts w:ascii="Arial" w:cs="Arial" w:eastAsia="Arial" w:hAnsi="Arial"/>
          <w:sz w:val="12"/>
          <w:szCs w:val="12"/>
          <w:color w:val="auto"/>
        </w:rPr>
        <w:t>File No. 333-209059 Class S (offered on and after May 2, 2016) and</w:t>
      </w:r>
    </w:p>
    <w:p>
      <w:pPr>
        <w:ind w:left="1000"/>
        <w:spacing w:after="0" w:line="235" w:lineRule="auto"/>
        <w:rPr>
          <w:sz w:val="20"/>
          <w:szCs w:val="20"/>
          <w:color w:val="auto"/>
        </w:rPr>
      </w:pPr>
      <w:r>
        <w:rPr>
          <w:rFonts w:ascii="Arial" w:cs="Arial" w:eastAsia="Arial" w:hAnsi="Arial"/>
          <w:sz w:val="12"/>
          <w:szCs w:val="12"/>
          <w:color w:val="auto"/>
        </w:rPr>
        <w:t>S- L Share Option (offered on and after May 2, 2016)</w:t>
      </w:r>
    </w:p>
    <w:p>
      <w:pPr>
        <w:ind w:left="780"/>
        <w:spacing w:after="0"/>
        <w:rPr>
          <w:sz w:val="20"/>
          <w:szCs w:val="20"/>
          <w:color w:val="auto"/>
        </w:rPr>
      </w:pPr>
      <w:r>
        <w:rPr>
          <w:rFonts w:ascii="Arial" w:cs="Arial" w:eastAsia="Arial" w:hAnsi="Arial"/>
          <w:sz w:val="12"/>
          <w:szCs w:val="12"/>
          <w:color w:val="auto"/>
        </w:rPr>
        <w:t>File No. 333-216454 Brighthouse Prime Options,</w:t>
      </w:r>
    </w:p>
    <w:p>
      <w:pPr>
        <w:sectPr>
          <w:pgSz w:w="11900" w:h="16838" w:orient="portrait"/>
          <w:cols w:equalWidth="0" w:num="1">
            <w:col w:w="11120"/>
          </w:cols>
          <w:pgMar w:left="300" w:top="226" w:right="479" w:bottom="1440" w:gutter="0" w:footer="0" w:header="0"/>
        </w:sectPr>
      </w:pPr>
    </w:p>
    <w:bookmarkStart w:id="176" w:name="page177"/>
    <w:bookmarkEnd w:id="176"/>
    <w:p>
      <w:pPr>
        <w:ind w:left="5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And pertaining to:</w:t>
      </w:r>
    </w:p>
    <w:p>
      <w:pPr>
        <w:ind w:left="780"/>
        <w:spacing w:after="0" w:line="187" w:lineRule="auto"/>
        <w:rPr>
          <w:sz w:val="20"/>
          <w:szCs w:val="20"/>
          <w:color w:val="auto"/>
        </w:rPr>
      </w:pPr>
      <w:r>
        <w:rPr>
          <w:rFonts w:ascii="Arial" w:cs="Arial" w:eastAsia="Arial" w:hAnsi="Arial"/>
          <w:sz w:val="11"/>
          <w:szCs w:val="11"/>
          <w:color w:val="auto"/>
        </w:rPr>
        <w:t>File No. 333-216452 Brighthouse Shield Level Selector</w:t>
      </w:r>
      <w:r>
        <w:rPr>
          <w:rFonts w:ascii="Arial" w:cs="Arial" w:eastAsia="Arial" w:hAnsi="Arial"/>
          <w:sz w:val="16"/>
          <w:szCs w:val="16"/>
          <w:color w:val="auto"/>
          <w:vertAlign w:val="superscript"/>
        </w:rPr>
        <w:t>®</w:t>
      </w:r>
      <w:r>
        <w:rPr>
          <w:rFonts w:ascii="Arial" w:cs="Arial" w:eastAsia="Arial" w:hAnsi="Arial"/>
          <w:sz w:val="11"/>
          <w:szCs w:val="11"/>
          <w:color w:val="auto"/>
        </w:rPr>
        <w:t xml:space="preserve"> Annuity</w:t>
      </w:r>
    </w:p>
    <w:p>
      <w:pPr>
        <w:ind w:left="780"/>
        <w:spacing w:after="0" w:line="188" w:lineRule="auto"/>
        <w:rPr>
          <w:sz w:val="20"/>
          <w:szCs w:val="20"/>
          <w:color w:val="auto"/>
        </w:rPr>
      </w:pPr>
      <w:r>
        <w:rPr>
          <w:rFonts w:ascii="Arial" w:cs="Arial" w:eastAsia="Arial" w:hAnsi="Arial"/>
          <w:sz w:val="11"/>
          <w:szCs w:val="11"/>
          <w:color w:val="auto"/>
        </w:rPr>
        <w:t>File No. 333-216453 Brighthouse Shield Level Selector</w:t>
      </w:r>
      <w:r>
        <w:rPr>
          <w:rFonts w:ascii="Arial" w:cs="Arial" w:eastAsia="Arial" w:hAnsi="Arial"/>
          <w:sz w:val="15"/>
          <w:szCs w:val="15"/>
          <w:color w:val="auto"/>
          <w:vertAlign w:val="superscript"/>
        </w:rPr>
        <w:t>®</w:t>
      </w:r>
      <w:r>
        <w:rPr>
          <w:rFonts w:ascii="Arial" w:cs="Arial" w:eastAsia="Arial" w:hAnsi="Arial"/>
          <w:sz w:val="11"/>
          <w:szCs w:val="11"/>
          <w:color w:val="auto"/>
        </w:rPr>
        <w:t xml:space="preserve"> 3-Year Annuity</w:t>
      </w:r>
    </w:p>
    <w:p>
      <w:pPr>
        <w:ind w:left="780"/>
        <w:spacing w:after="0" w:line="188" w:lineRule="auto"/>
        <w:rPr>
          <w:sz w:val="20"/>
          <w:szCs w:val="20"/>
          <w:color w:val="auto"/>
        </w:rPr>
      </w:pPr>
      <w:r>
        <w:rPr>
          <w:rFonts w:ascii="Arial" w:cs="Arial" w:eastAsia="Arial" w:hAnsi="Arial"/>
          <w:sz w:val="11"/>
          <w:szCs w:val="11"/>
          <w:color w:val="auto"/>
        </w:rPr>
        <w:t>File No. 333-238214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10 Annuity</w:t>
      </w:r>
    </w:p>
    <w:p>
      <w:pPr>
        <w:ind w:left="780"/>
        <w:spacing w:after="0" w:line="188" w:lineRule="auto"/>
        <w:rPr>
          <w:sz w:val="20"/>
          <w:szCs w:val="20"/>
          <w:color w:val="auto"/>
        </w:rPr>
      </w:pPr>
      <w:r>
        <w:rPr>
          <w:rFonts w:ascii="Arial" w:cs="Arial" w:eastAsia="Arial" w:hAnsi="Arial"/>
          <w:sz w:val="11"/>
          <w:szCs w:val="11"/>
          <w:color w:val="auto"/>
        </w:rPr>
        <w:t>File No. 333-265196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3-Year Annuity</w:t>
      </w:r>
    </w:p>
    <w:p>
      <w:pPr>
        <w:ind w:left="780"/>
        <w:spacing w:after="0" w:line="188" w:lineRule="auto"/>
        <w:rPr>
          <w:sz w:val="20"/>
          <w:szCs w:val="20"/>
          <w:color w:val="auto"/>
        </w:rPr>
      </w:pPr>
      <w:r>
        <w:rPr>
          <w:rFonts w:ascii="Arial" w:cs="Arial" w:eastAsia="Arial" w:hAnsi="Arial"/>
          <w:sz w:val="11"/>
          <w:szCs w:val="11"/>
          <w:color w:val="auto"/>
        </w:rPr>
        <w:t>File No. 333-265199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w:t>
      </w:r>
    </w:p>
    <w:p>
      <w:pPr>
        <w:ind w:left="780"/>
        <w:spacing w:after="0" w:line="188" w:lineRule="auto"/>
        <w:rPr>
          <w:sz w:val="20"/>
          <w:szCs w:val="20"/>
          <w:color w:val="auto"/>
        </w:rPr>
      </w:pPr>
      <w:r>
        <w:rPr>
          <w:rFonts w:ascii="Arial" w:cs="Arial" w:eastAsia="Arial" w:hAnsi="Arial"/>
          <w:sz w:val="11"/>
          <w:szCs w:val="11"/>
          <w:color w:val="auto"/>
        </w:rPr>
        <w:t>File No. 333-259506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 v.3</w:t>
      </w:r>
    </w:p>
    <w:p>
      <w:pPr>
        <w:ind w:left="780"/>
        <w:spacing w:after="0"/>
        <w:rPr>
          <w:sz w:val="20"/>
          <w:szCs w:val="20"/>
          <w:color w:val="auto"/>
        </w:rPr>
      </w:pPr>
      <w:r>
        <w:rPr>
          <w:rFonts w:ascii="Arial" w:cs="Arial" w:eastAsia="Arial" w:hAnsi="Arial"/>
          <w:sz w:val="12"/>
          <w:szCs w:val="12"/>
          <w:color w:val="auto"/>
        </w:rPr>
        <w:t>File No. 333-279315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6-Year Annuity</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And new annuities and life products such as:</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2"/>
          <w:szCs w:val="12"/>
          <w:color w:val="auto"/>
        </w:rPr>
        <w:t>Brighthouse Shield Annuity</w:t>
      </w:r>
    </w:p>
    <w:p>
      <w:pPr>
        <w:ind w:left="780"/>
        <w:spacing w:after="0" w:line="234" w:lineRule="auto"/>
        <w:rPr>
          <w:sz w:val="20"/>
          <w:szCs w:val="20"/>
          <w:color w:val="auto"/>
        </w:rPr>
      </w:pPr>
      <w:r>
        <w:rPr>
          <w:rFonts w:ascii="Arial" w:cs="Arial" w:eastAsia="Arial" w:hAnsi="Arial"/>
          <w:sz w:val="12"/>
          <w:szCs w:val="12"/>
          <w:color w:val="auto"/>
        </w:rPr>
        <w:t>Brighthouse Shield 3-Year Annuity</w:t>
      </w:r>
    </w:p>
    <w:p>
      <w:pPr>
        <w:ind w:left="780"/>
        <w:spacing w:after="0" w:line="235" w:lineRule="auto"/>
        <w:rPr>
          <w:sz w:val="20"/>
          <w:szCs w:val="20"/>
          <w:color w:val="auto"/>
        </w:rPr>
      </w:pPr>
      <w:r>
        <w:rPr>
          <w:rFonts w:ascii="Arial" w:cs="Arial" w:eastAsia="Arial" w:hAnsi="Arial"/>
          <w:sz w:val="12"/>
          <w:szCs w:val="12"/>
          <w:color w:val="auto"/>
        </w:rPr>
        <w:t>Brighthouse Shield 6-Year Annuity</w:t>
      </w:r>
    </w:p>
    <w:p>
      <w:pPr>
        <w:ind w:left="780"/>
        <w:spacing w:after="0"/>
        <w:rPr>
          <w:sz w:val="20"/>
          <w:szCs w:val="20"/>
          <w:color w:val="auto"/>
        </w:rPr>
      </w:pPr>
      <w:r>
        <w:rPr>
          <w:rFonts w:ascii="Arial" w:cs="Arial" w:eastAsia="Arial" w:hAnsi="Arial"/>
          <w:sz w:val="12"/>
          <w:szCs w:val="12"/>
          <w:color w:val="auto"/>
        </w:rPr>
        <w:t>Brighthouse indexed-linked life insurance policy,</w:t>
      </w:r>
    </w:p>
    <w:p>
      <w:pPr>
        <w:spacing w:after="0" w:line="129"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I have hereunto set my hand this 17th day of May 2024.</w:t>
      </w: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Mayer Naiman</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Mayer Naiman</w:t>
      </w:r>
    </w:p>
    <w:p>
      <w:pPr>
        <w:sectPr>
          <w:pgSz w:w="11900" w:h="16838" w:orient="portrait"/>
          <w:cols w:equalWidth="0" w:num="1">
            <w:col w:w="11040"/>
          </w:cols>
          <w:pgMar w:left="300" w:top="226" w:right="559" w:bottom="1440" w:gutter="0" w:footer="0" w:header="0"/>
        </w:sectPr>
      </w:pPr>
    </w:p>
    <w:bookmarkStart w:id="177" w:name="page178"/>
    <w:bookmarkEnd w:id="177"/>
    <w:p>
      <w:pPr>
        <w:jc w:val="center"/>
        <w:ind w:right="-1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Brighthouse Life Insurance Company of NY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POWER OF ATTORNEY</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Douglas A. Rayvid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Director</w:t>
      </w:r>
    </w:p>
    <w:p>
      <w:pPr>
        <w:spacing w:after="0" w:line="129"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KNOW ALL MEN BY THESE PRESENTS, that I, Douglas A. Rayvid,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ind w:left="660" w:hanging="335"/>
        <w:spacing w:after="0" w:line="222" w:lineRule="auto"/>
        <w:tabs>
          <w:tab w:leader="none" w:pos="660" w:val="left"/>
        </w:tabs>
        <w:numPr>
          <w:ilvl w:val="0"/>
          <w:numId w:val="154"/>
        </w:numPr>
        <w:rPr>
          <w:rFonts w:ascii="Times New Roman" w:cs="Times New Roman" w:eastAsia="Times New Roman" w:hAnsi="Times New Roman"/>
          <w:sz w:val="19"/>
          <w:szCs w:val="19"/>
          <w:color w:val="auto"/>
          <w:vertAlign w:val="superscript"/>
        </w:rPr>
      </w:pPr>
      <w:r>
        <w:rPr>
          <w:rFonts w:ascii="Arial" w:cs="Arial" w:eastAsia="Arial" w:hAnsi="Arial"/>
          <w:sz w:val="12"/>
          <w:szCs w:val="12"/>
          <w:color w:val="auto"/>
        </w:rPr>
        <w:t>  Brighthouse Variable Annuity Account B (811-08306)</w:t>
      </w:r>
    </w:p>
    <w:p>
      <w:pPr>
        <w:ind w:left="780"/>
        <w:spacing w:after="0" w:line="235" w:lineRule="auto"/>
        <w:rPr>
          <w:sz w:val="20"/>
          <w:szCs w:val="20"/>
          <w:color w:val="auto"/>
        </w:rPr>
      </w:pPr>
      <w:r>
        <w:rPr>
          <w:rFonts w:ascii="Arial" w:cs="Arial" w:eastAsia="Arial" w:hAnsi="Arial"/>
          <w:sz w:val="12"/>
          <w:szCs w:val="12"/>
          <w:color w:val="auto"/>
        </w:rPr>
        <w:t>File No. 033-74174 First COVA VA, Custom Select, Russell Select and Class VA, Class AA and Class B</w:t>
      </w:r>
    </w:p>
    <w:p>
      <w:pPr>
        <w:ind w:left="780"/>
        <w:spacing w:after="0" w:line="234" w:lineRule="auto"/>
        <w:rPr>
          <w:sz w:val="20"/>
          <w:szCs w:val="20"/>
          <w:color w:val="auto"/>
        </w:rPr>
      </w:pPr>
      <w:r>
        <w:rPr>
          <w:rFonts w:ascii="Arial" w:cs="Arial" w:eastAsia="Arial" w:hAnsi="Arial"/>
          <w:sz w:val="12"/>
          <w:szCs w:val="12"/>
          <w:color w:val="auto"/>
        </w:rPr>
        <w:t>File No. 333-96773 Class VA (offered between June 15, 2001 and October 7, 2011), Class AA, and Class B</w:t>
      </w:r>
    </w:p>
    <w:p>
      <w:pPr>
        <w:ind w:left="780"/>
        <w:spacing w:after="0" w:line="235" w:lineRule="auto"/>
        <w:rPr>
          <w:sz w:val="20"/>
          <w:szCs w:val="20"/>
          <w:color w:val="auto"/>
        </w:rPr>
      </w:pPr>
      <w:r>
        <w:rPr>
          <w:rFonts w:ascii="Arial" w:cs="Arial" w:eastAsia="Arial" w:hAnsi="Arial"/>
          <w:sz w:val="12"/>
          <w:szCs w:val="12"/>
          <w:color w:val="auto"/>
        </w:rPr>
        <w:t>File No. 333-96775 Class A</w:t>
      </w:r>
    </w:p>
    <w:p>
      <w:pPr>
        <w:ind w:left="780"/>
        <w:spacing w:after="0" w:line="235" w:lineRule="auto"/>
        <w:rPr>
          <w:sz w:val="20"/>
          <w:szCs w:val="20"/>
          <w:color w:val="auto"/>
        </w:rPr>
      </w:pPr>
      <w:r>
        <w:rPr>
          <w:rFonts w:ascii="Arial" w:cs="Arial" w:eastAsia="Arial" w:hAnsi="Arial"/>
          <w:sz w:val="12"/>
          <w:szCs w:val="12"/>
          <w:color w:val="auto"/>
        </w:rPr>
        <w:t>File No. 333-96777 Class XC</w:t>
      </w:r>
    </w:p>
    <w:p>
      <w:pPr>
        <w:ind w:left="780"/>
        <w:spacing w:after="0" w:line="235" w:lineRule="auto"/>
        <w:rPr>
          <w:sz w:val="20"/>
          <w:szCs w:val="20"/>
          <w:color w:val="auto"/>
        </w:rPr>
      </w:pPr>
      <w:r>
        <w:rPr>
          <w:rFonts w:ascii="Arial" w:cs="Arial" w:eastAsia="Arial" w:hAnsi="Arial"/>
          <w:sz w:val="12"/>
          <w:szCs w:val="12"/>
          <w:color w:val="auto"/>
        </w:rPr>
        <w:t>File No. 333-96785 Class L and Class L –4 Year (offered between November 22, 2004 and October 7, 2011)</w:t>
      </w:r>
    </w:p>
    <w:p>
      <w:pPr>
        <w:ind w:left="780"/>
        <w:spacing w:after="0" w:line="235" w:lineRule="auto"/>
        <w:rPr>
          <w:sz w:val="20"/>
          <w:szCs w:val="20"/>
          <w:color w:val="auto"/>
        </w:rPr>
      </w:pPr>
      <w:r>
        <w:rPr>
          <w:rFonts w:ascii="Arial" w:cs="Arial" w:eastAsia="Arial" w:hAnsi="Arial"/>
          <w:sz w:val="12"/>
          <w:szCs w:val="12"/>
          <w:color w:val="auto"/>
        </w:rPr>
        <w:t>File No. 333-96795 Class C (offered between September 4, 2001 and October 7, 2011)</w:t>
      </w:r>
    </w:p>
    <w:p>
      <w:pPr>
        <w:ind w:left="780"/>
        <w:spacing w:after="0" w:line="234" w:lineRule="auto"/>
        <w:rPr>
          <w:sz w:val="20"/>
          <w:szCs w:val="20"/>
          <w:color w:val="auto"/>
        </w:rPr>
      </w:pPr>
      <w:r>
        <w:rPr>
          <w:rFonts w:ascii="Arial" w:cs="Arial" w:eastAsia="Arial" w:hAnsi="Arial"/>
          <w:sz w:val="12"/>
          <w:szCs w:val="12"/>
          <w:color w:val="auto"/>
        </w:rPr>
        <w:t>File No. 333-125613 Vintage L and Vintage XC</w:t>
      </w:r>
    </w:p>
    <w:p>
      <w:pPr>
        <w:ind w:left="780"/>
        <w:spacing w:after="0" w:line="235" w:lineRule="auto"/>
        <w:rPr>
          <w:sz w:val="20"/>
          <w:szCs w:val="20"/>
          <w:color w:val="auto"/>
        </w:rPr>
      </w:pPr>
      <w:r>
        <w:rPr>
          <w:rFonts w:ascii="Arial" w:cs="Arial" w:eastAsia="Arial" w:hAnsi="Arial"/>
          <w:sz w:val="12"/>
          <w:szCs w:val="12"/>
          <w:color w:val="auto"/>
        </w:rPr>
        <w:t>File No. 333-125617 PrimElite III</w:t>
      </w:r>
    </w:p>
    <w:p>
      <w:pPr>
        <w:ind w:left="780"/>
        <w:spacing w:after="0" w:line="235" w:lineRule="auto"/>
        <w:rPr>
          <w:sz w:val="20"/>
          <w:szCs w:val="20"/>
          <w:color w:val="auto"/>
        </w:rPr>
      </w:pPr>
      <w:r>
        <w:rPr>
          <w:rFonts w:ascii="Arial" w:cs="Arial" w:eastAsia="Arial" w:hAnsi="Arial"/>
          <w:sz w:val="12"/>
          <w:szCs w:val="12"/>
          <w:color w:val="auto"/>
        </w:rPr>
        <w:t>File No. 333-125618 Marquis Portfolios (offered between November 7, 2005 and April 30, 2012)</w:t>
      </w:r>
    </w:p>
    <w:p>
      <w:pPr>
        <w:ind w:left="780"/>
        <w:spacing w:after="0" w:line="235" w:lineRule="auto"/>
        <w:rPr>
          <w:sz w:val="20"/>
          <w:szCs w:val="20"/>
          <w:color w:val="auto"/>
        </w:rPr>
      </w:pPr>
      <w:r>
        <w:rPr>
          <w:rFonts w:ascii="Arial" w:cs="Arial" w:eastAsia="Arial" w:hAnsi="Arial"/>
          <w:sz w:val="12"/>
          <w:szCs w:val="12"/>
          <w:color w:val="auto"/>
        </w:rPr>
        <w:t>File No. 333-125619 Protected Equity Portfolio</w:t>
      </w:r>
    </w:p>
    <w:p>
      <w:pPr>
        <w:ind w:left="780"/>
        <w:spacing w:after="0" w:line="235" w:lineRule="auto"/>
        <w:rPr>
          <w:sz w:val="20"/>
          <w:szCs w:val="20"/>
          <w:color w:val="auto"/>
        </w:rPr>
      </w:pPr>
      <w:r>
        <w:rPr>
          <w:rFonts w:ascii="Arial" w:cs="Arial" w:eastAsia="Arial" w:hAnsi="Arial"/>
          <w:sz w:val="12"/>
          <w:szCs w:val="12"/>
          <w:color w:val="auto"/>
        </w:rPr>
        <w:t>File No. 333-137370 Class S and Class S - L Share Option (offered between April 30, 2007 and October 7, 2011)</w:t>
      </w:r>
    </w:p>
    <w:p>
      <w:pPr>
        <w:ind w:left="780"/>
        <w:spacing w:after="0" w:line="234" w:lineRule="auto"/>
        <w:rPr>
          <w:sz w:val="20"/>
          <w:szCs w:val="20"/>
          <w:color w:val="auto"/>
        </w:rPr>
      </w:pPr>
      <w:r>
        <w:rPr>
          <w:rFonts w:ascii="Arial" w:cs="Arial" w:eastAsia="Arial" w:hAnsi="Arial"/>
          <w:sz w:val="12"/>
          <w:szCs w:val="12"/>
          <w:color w:val="auto"/>
        </w:rPr>
        <w:t>File No. 333-137969 PrimElite IV</w:t>
      </w:r>
    </w:p>
    <w:p>
      <w:pPr>
        <w:ind w:left="780"/>
        <w:spacing w:after="0" w:line="235" w:lineRule="auto"/>
        <w:rPr>
          <w:sz w:val="20"/>
          <w:szCs w:val="20"/>
          <w:color w:val="auto"/>
        </w:rPr>
      </w:pPr>
      <w:r>
        <w:rPr>
          <w:rFonts w:ascii="Arial" w:cs="Arial" w:eastAsia="Arial" w:hAnsi="Arial"/>
          <w:sz w:val="12"/>
          <w:szCs w:val="12"/>
          <w:color w:val="auto"/>
        </w:rPr>
        <w:t>File No. 333-148873 Pioneer PRISM</w:t>
      </w:r>
    </w:p>
    <w:p>
      <w:pPr>
        <w:ind w:left="780"/>
        <w:spacing w:after="0" w:line="235" w:lineRule="auto"/>
        <w:rPr>
          <w:sz w:val="20"/>
          <w:szCs w:val="20"/>
          <w:color w:val="auto"/>
        </w:rPr>
      </w:pPr>
      <w:r>
        <w:rPr>
          <w:rFonts w:ascii="Arial" w:cs="Arial" w:eastAsia="Arial" w:hAnsi="Arial"/>
          <w:sz w:val="12"/>
          <w:szCs w:val="12"/>
          <w:color w:val="auto"/>
        </w:rPr>
        <w:t>File No. 333-148874 Pioneer PRISM XC</w:t>
      </w:r>
    </w:p>
    <w:p>
      <w:pPr>
        <w:ind w:left="780"/>
        <w:spacing w:after="0" w:line="235" w:lineRule="auto"/>
        <w:rPr>
          <w:sz w:val="20"/>
          <w:szCs w:val="20"/>
          <w:color w:val="auto"/>
        </w:rPr>
      </w:pPr>
      <w:r>
        <w:rPr>
          <w:rFonts w:ascii="Arial" w:cs="Arial" w:eastAsia="Arial" w:hAnsi="Arial"/>
          <w:sz w:val="12"/>
          <w:szCs w:val="12"/>
          <w:color w:val="auto"/>
        </w:rPr>
        <w:t>File No. 333-148876 Pioneer PRISM L</w:t>
      </w:r>
    </w:p>
    <w:p>
      <w:pPr>
        <w:ind w:left="780"/>
        <w:spacing w:after="0" w:line="235" w:lineRule="auto"/>
        <w:rPr>
          <w:sz w:val="20"/>
          <w:szCs w:val="20"/>
          <w:color w:val="auto"/>
        </w:rPr>
      </w:pPr>
      <w:r>
        <w:rPr>
          <w:rFonts w:ascii="Arial" w:cs="Arial" w:eastAsia="Arial" w:hAnsi="Arial"/>
          <w:sz w:val="12"/>
          <w:szCs w:val="12"/>
          <w:color w:val="auto"/>
        </w:rPr>
        <w:t>File No. 333-152450 Class XTRA</w:t>
      </w:r>
    </w:p>
    <w:p>
      <w:pPr>
        <w:ind w:left="780"/>
        <w:spacing w:after="0" w:line="234" w:lineRule="auto"/>
        <w:rPr>
          <w:sz w:val="20"/>
          <w:szCs w:val="20"/>
          <w:color w:val="auto"/>
        </w:rPr>
      </w:pPr>
      <w:r>
        <w:rPr>
          <w:rFonts w:ascii="Arial" w:cs="Arial" w:eastAsia="Arial" w:hAnsi="Arial"/>
          <w:sz w:val="12"/>
          <w:szCs w:val="12"/>
          <w:color w:val="auto"/>
        </w:rPr>
        <w:t>File No. 333-156646 Class XTRA 6</w:t>
      </w:r>
    </w:p>
    <w:p>
      <w:pPr>
        <w:ind w:left="780"/>
        <w:spacing w:after="0" w:line="188" w:lineRule="auto"/>
        <w:rPr>
          <w:sz w:val="20"/>
          <w:szCs w:val="20"/>
          <w:color w:val="auto"/>
        </w:rPr>
      </w:pPr>
      <w:r>
        <w:rPr>
          <w:rFonts w:ascii="Arial" w:cs="Arial" w:eastAsia="Arial" w:hAnsi="Arial"/>
          <w:sz w:val="11"/>
          <w:szCs w:val="11"/>
          <w:color w:val="auto"/>
        </w:rPr>
        <w:t>File No. 333-158579 Brighthouse Simple Solutions</w:t>
      </w:r>
      <w:r>
        <w:rPr>
          <w:rFonts w:ascii="Arial" w:cs="Arial" w:eastAsia="Arial" w:hAnsi="Arial"/>
          <w:sz w:val="15"/>
          <w:szCs w:val="15"/>
          <w:color w:val="auto"/>
          <w:vertAlign w:val="superscript"/>
        </w:rPr>
        <w:t>SM</w:t>
      </w:r>
    </w:p>
    <w:p>
      <w:pPr>
        <w:ind w:left="780"/>
        <w:spacing w:after="0" w:line="235" w:lineRule="auto"/>
        <w:rPr>
          <w:sz w:val="20"/>
          <w:szCs w:val="20"/>
          <w:color w:val="auto"/>
        </w:rPr>
      </w:pPr>
      <w:r>
        <w:rPr>
          <w:rFonts w:ascii="Arial" w:cs="Arial" w:eastAsia="Arial" w:hAnsi="Arial"/>
          <w:sz w:val="12"/>
          <w:szCs w:val="12"/>
          <w:color w:val="auto"/>
        </w:rPr>
        <w:t>File No. 333-169687 Class VA- 4 (offered between May 1, 2011 and October 7, 2011)</w:t>
      </w:r>
    </w:p>
    <w:p>
      <w:pPr>
        <w:ind w:left="780"/>
        <w:spacing w:after="0" w:line="235" w:lineRule="auto"/>
        <w:rPr>
          <w:sz w:val="20"/>
          <w:szCs w:val="20"/>
          <w:color w:val="auto"/>
        </w:rPr>
      </w:pPr>
      <w:r>
        <w:rPr>
          <w:rFonts w:ascii="Arial" w:cs="Arial" w:eastAsia="Arial" w:hAnsi="Arial"/>
          <w:sz w:val="12"/>
          <w:szCs w:val="12"/>
          <w:color w:val="auto"/>
        </w:rPr>
        <w:t>File No. 333-176679 Class S (offered on and after October 7, 2011) and</w:t>
      </w:r>
    </w:p>
    <w:p>
      <w:pPr>
        <w:ind w:left="1000"/>
        <w:spacing w:after="0" w:line="235" w:lineRule="auto"/>
        <w:rPr>
          <w:sz w:val="20"/>
          <w:szCs w:val="20"/>
          <w:color w:val="auto"/>
        </w:rPr>
      </w:pPr>
      <w:r>
        <w:rPr>
          <w:rFonts w:ascii="Arial" w:cs="Arial" w:eastAsia="Arial" w:hAnsi="Arial"/>
          <w:sz w:val="12"/>
          <w:szCs w:val="12"/>
          <w:color w:val="auto"/>
        </w:rPr>
        <w:t>Class S- L Share Option (offered on and after October 7, 2011)</w:t>
      </w:r>
    </w:p>
    <w:p>
      <w:pPr>
        <w:ind w:left="780"/>
        <w:spacing w:after="0" w:line="234" w:lineRule="auto"/>
        <w:rPr>
          <w:sz w:val="20"/>
          <w:szCs w:val="20"/>
          <w:color w:val="auto"/>
        </w:rPr>
      </w:pPr>
      <w:r>
        <w:rPr>
          <w:rFonts w:ascii="Arial" w:cs="Arial" w:eastAsia="Arial" w:hAnsi="Arial"/>
          <w:sz w:val="12"/>
          <w:szCs w:val="12"/>
          <w:color w:val="auto"/>
        </w:rPr>
        <w:t>File No. 333-176680 Class VA- 4 (offered between October 7, 2011 and May 1, 2016)</w:t>
      </w:r>
    </w:p>
    <w:p>
      <w:pPr>
        <w:ind w:left="780"/>
        <w:spacing w:after="0" w:line="235" w:lineRule="auto"/>
        <w:rPr>
          <w:sz w:val="20"/>
          <w:szCs w:val="20"/>
          <w:color w:val="auto"/>
        </w:rPr>
      </w:pPr>
      <w:r>
        <w:rPr>
          <w:rFonts w:ascii="Arial" w:cs="Arial" w:eastAsia="Arial" w:hAnsi="Arial"/>
          <w:sz w:val="12"/>
          <w:szCs w:val="12"/>
          <w:color w:val="auto"/>
        </w:rPr>
        <w:t>File No. 333-176691 Class VA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333-176692 Class L- 4 Year (offered between October 7, 2011 and April 28, 2013)</w:t>
      </w:r>
    </w:p>
    <w:p>
      <w:pPr>
        <w:ind w:left="780"/>
        <w:spacing w:after="0" w:line="235" w:lineRule="auto"/>
        <w:rPr>
          <w:sz w:val="20"/>
          <w:szCs w:val="20"/>
          <w:color w:val="auto"/>
        </w:rPr>
      </w:pPr>
      <w:r>
        <w:rPr>
          <w:rFonts w:ascii="Arial" w:cs="Arial" w:eastAsia="Arial" w:hAnsi="Arial"/>
          <w:sz w:val="12"/>
          <w:szCs w:val="12"/>
          <w:color w:val="auto"/>
        </w:rPr>
        <w:t>File No. 333-176693 Class C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333-178515 Class O (offered between April 30, 2012 and September 20, 2015)</w:t>
      </w:r>
    </w:p>
    <w:p>
      <w:pPr>
        <w:ind w:left="780"/>
        <w:spacing w:after="0" w:line="234" w:lineRule="auto"/>
        <w:rPr>
          <w:sz w:val="20"/>
          <w:szCs w:val="20"/>
          <w:color w:val="auto"/>
        </w:rPr>
      </w:pPr>
      <w:r>
        <w:rPr>
          <w:rFonts w:ascii="Arial" w:cs="Arial" w:eastAsia="Arial" w:hAnsi="Arial"/>
          <w:sz w:val="12"/>
          <w:szCs w:val="12"/>
          <w:color w:val="auto"/>
        </w:rPr>
        <w:t>File No. 333-179240 Marquis Portfolios (offered on and after April 30, 2012)</w:t>
      </w:r>
    </w:p>
    <w:p>
      <w:pPr>
        <w:ind w:left="780"/>
        <w:spacing w:after="0" w:line="235" w:lineRule="auto"/>
        <w:rPr>
          <w:sz w:val="20"/>
          <w:szCs w:val="20"/>
          <w:color w:val="auto"/>
        </w:rPr>
      </w:pPr>
      <w:r>
        <w:rPr>
          <w:rFonts w:ascii="Arial" w:cs="Arial" w:eastAsia="Arial" w:hAnsi="Arial"/>
          <w:sz w:val="12"/>
          <w:szCs w:val="12"/>
          <w:color w:val="auto"/>
        </w:rPr>
        <w:t>File No. 333-186216 Class L- 4 Year (offered on and after April 29, 2013)</w:t>
      </w:r>
    </w:p>
    <w:p>
      <w:pPr>
        <w:ind w:left="780"/>
        <w:spacing w:after="0" w:line="235" w:lineRule="auto"/>
        <w:rPr>
          <w:sz w:val="20"/>
          <w:szCs w:val="20"/>
          <w:color w:val="auto"/>
        </w:rPr>
      </w:pPr>
      <w:r>
        <w:rPr>
          <w:rFonts w:ascii="Arial" w:cs="Arial" w:eastAsia="Arial" w:hAnsi="Arial"/>
          <w:sz w:val="12"/>
          <w:szCs w:val="12"/>
          <w:color w:val="auto"/>
        </w:rPr>
        <w:t>File No. 333-205137 Class O (offered on and after September 21, 2015)</w:t>
      </w:r>
    </w:p>
    <w:p>
      <w:pPr>
        <w:ind w:left="780"/>
        <w:spacing w:after="0" w:line="235" w:lineRule="auto"/>
        <w:rPr>
          <w:sz w:val="20"/>
          <w:szCs w:val="20"/>
          <w:color w:val="auto"/>
        </w:rPr>
      </w:pPr>
      <w:r>
        <w:rPr>
          <w:rFonts w:ascii="Arial" w:cs="Arial" w:eastAsia="Arial" w:hAnsi="Arial"/>
          <w:sz w:val="12"/>
          <w:szCs w:val="12"/>
          <w:color w:val="auto"/>
        </w:rPr>
        <w:t>File No. 333-209057 Class VA- 4 (offered on and after May 2, 2016)</w:t>
      </w:r>
    </w:p>
    <w:p>
      <w:pPr>
        <w:ind w:left="780"/>
        <w:spacing w:after="0" w:line="235" w:lineRule="auto"/>
        <w:rPr>
          <w:sz w:val="20"/>
          <w:szCs w:val="20"/>
          <w:color w:val="auto"/>
        </w:rPr>
      </w:pPr>
      <w:r>
        <w:rPr>
          <w:rFonts w:ascii="Arial" w:cs="Arial" w:eastAsia="Arial" w:hAnsi="Arial"/>
          <w:sz w:val="12"/>
          <w:szCs w:val="12"/>
          <w:color w:val="auto"/>
        </w:rPr>
        <w:t>File No. 333-209058 Class VA (offered on and after May 2, 2016)</w:t>
      </w:r>
    </w:p>
    <w:p>
      <w:pPr>
        <w:ind w:left="780"/>
        <w:spacing w:after="0" w:line="234" w:lineRule="auto"/>
        <w:rPr>
          <w:sz w:val="20"/>
          <w:szCs w:val="20"/>
          <w:color w:val="auto"/>
        </w:rPr>
      </w:pPr>
      <w:r>
        <w:rPr>
          <w:rFonts w:ascii="Arial" w:cs="Arial" w:eastAsia="Arial" w:hAnsi="Arial"/>
          <w:sz w:val="12"/>
          <w:szCs w:val="12"/>
          <w:color w:val="auto"/>
        </w:rPr>
        <w:t>File No. 333-209059 Class S (offered on and after May 2, 2016) and</w:t>
      </w:r>
    </w:p>
    <w:p>
      <w:pPr>
        <w:ind w:left="1000"/>
        <w:spacing w:after="0" w:line="235" w:lineRule="auto"/>
        <w:rPr>
          <w:sz w:val="20"/>
          <w:szCs w:val="20"/>
          <w:color w:val="auto"/>
        </w:rPr>
      </w:pPr>
      <w:r>
        <w:rPr>
          <w:rFonts w:ascii="Arial" w:cs="Arial" w:eastAsia="Arial" w:hAnsi="Arial"/>
          <w:sz w:val="12"/>
          <w:szCs w:val="12"/>
          <w:color w:val="auto"/>
        </w:rPr>
        <w:t>S- L Share Option (offered on and after May 2, 2016)</w:t>
      </w:r>
    </w:p>
    <w:p>
      <w:pPr>
        <w:ind w:left="780"/>
        <w:spacing w:after="0"/>
        <w:rPr>
          <w:sz w:val="20"/>
          <w:szCs w:val="20"/>
          <w:color w:val="auto"/>
        </w:rPr>
      </w:pPr>
      <w:r>
        <w:rPr>
          <w:rFonts w:ascii="Arial" w:cs="Arial" w:eastAsia="Arial" w:hAnsi="Arial"/>
          <w:sz w:val="12"/>
          <w:szCs w:val="12"/>
          <w:color w:val="auto"/>
        </w:rPr>
        <w:t>File No. 333-216454 Brighthouse Prime Options,</w:t>
      </w:r>
    </w:p>
    <w:p>
      <w:pPr>
        <w:sectPr>
          <w:pgSz w:w="11900" w:h="16838" w:orient="portrait"/>
          <w:cols w:equalWidth="0" w:num="1">
            <w:col w:w="11160"/>
          </w:cols>
          <w:pgMar w:left="300" w:top="226" w:right="439" w:bottom="1440" w:gutter="0" w:footer="0" w:header="0"/>
        </w:sectPr>
      </w:pPr>
    </w:p>
    <w:bookmarkStart w:id="178" w:name="page179"/>
    <w:bookmarkEnd w:id="178"/>
    <w:p>
      <w:pPr>
        <w:ind w:left="5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And pertaining to:</w:t>
      </w:r>
    </w:p>
    <w:p>
      <w:pPr>
        <w:ind w:left="780"/>
        <w:spacing w:after="0" w:line="187" w:lineRule="auto"/>
        <w:rPr>
          <w:sz w:val="20"/>
          <w:szCs w:val="20"/>
          <w:color w:val="auto"/>
        </w:rPr>
      </w:pPr>
      <w:r>
        <w:rPr>
          <w:rFonts w:ascii="Arial" w:cs="Arial" w:eastAsia="Arial" w:hAnsi="Arial"/>
          <w:sz w:val="11"/>
          <w:szCs w:val="11"/>
          <w:color w:val="auto"/>
        </w:rPr>
        <w:t>File No. 333-216452 Brighthouse Shield Level Selector</w:t>
      </w:r>
      <w:r>
        <w:rPr>
          <w:rFonts w:ascii="Arial" w:cs="Arial" w:eastAsia="Arial" w:hAnsi="Arial"/>
          <w:sz w:val="16"/>
          <w:szCs w:val="16"/>
          <w:color w:val="auto"/>
          <w:vertAlign w:val="superscript"/>
        </w:rPr>
        <w:t>®</w:t>
      </w:r>
      <w:r>
        <w:rPr>
          <w:rFonts w:ascii="Arial" w:cs="Arial" w:eastAsia="Arial" w:hAnsi="Arial"/>
          <w:sz w:val="11"/>
          <w:szCs w:val="11"/>
          <w:color w:val="auto"/>
        </w:rPr>
        <w:t xml:space="preserve"> Annuity</w:t>
      </w:r>
    </w:p>
    <w:p>
      <w:pPr>
        <w:ind w:left="780"/>
        <w:spacing w:after="0" w:line="188" w:lineRule="auto"/>
        <w:rPr>
          <w:sz w:val="20"/>
          <w:szCs w:val="20"/>
          <w:color w:val="auto"/>
        </w:rPr>
      </w:pPr>
      <w:r>
        <w:rPr>
          <w:rFonts w:ascii="Arial" w:cs="Arial" w:eastAsia="Arial" w:hAnsi="Arial"/>
          <w:sz w:val="11"/>
          <w:szCs w:val="11"/>
          <w:color w:val="auto"/>
        </w:rPr>
        <w:t>File No. 333-216453 Brighthouse Shield Level Selector</w:t>
      </w:r>
      <w:r>
        <w:rPr>
          <w:rFonts w:ascii="Arial" w:cs="Arial" w:eastAsia="Arial" w:hAnsi="Arial"/>
          <w:sz w:val="15"/>
          <w:szCs w:val="15"/>
          <w:color w:val="auto"/>
          <w:vertAlign w:val="superscript"/>
        </w:rPr>
        <w:t>®</w:t>
      </w:r>
      <w:r>
        <w:rPr>
          <w:rFonts w:ascii="Arial" w:cs="Arial" w:eastAsia="Arial" w:hAnsi="Arial"/>
          <w:sz w:val="11"/>
          <w:szCs w:val="11"/>
          <w:color w:val="auto"/>
        </w:rPr>
        <w:t xml:space="preserve"> 3-Year Annuity</w:t>
      </w:r>
    </w:p>
    <w:p>
      <w:pPr>
        <w:ind w:left="780"/>
        <w:spacing w:after="0" w:line="188" w:lineRule="auto"/>
        <w:rPr>
          <w:sz w:val="20"/>
          <w:szCs w:val="20"/>
          <w:color w:val="auto"/>
        </w:rPr>
      </w:pPr>
      <w:r>
        <w:rPr>
          <w:rFonts w:ascii="Arial" w:cs="Arial" w:eastAsia="Arial" w:hAnsi="Arial"/>
          <w:sz w:val="11"/>
          <w:szCs w:val="11"/>
          <w:color w:val="auto"/>
        </w:rPr>
        <w:t>File No. 333-238214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10 Annuity</w:t>
      </w:r>
    </w:p>
    <w:p>
      <w:pPr>
        <w:ind w:left="780"/>
        <w:spacing w:after="0" w:line="188" w:lineRule="auto"/>
        <w:rPr>
          <w:sz w:val="20"/>
          <w:szCs w:val="20"/>
          <w:color w:val="auto"/>
        </w:rPr>
      </w:pPr>
      <w:r>
        <w:rPr>
          <w:rFonts w:ascii="Arial" w:cs="Arial" w:eastAsia="Arial" w:hAnsi="Arial"/>
          <w:sz w:val="11"/>
          <w:szCs w:val="11"/>
          <w:color w:val="auto"/>
        </w:rPr>
        <w:t>File No. 333-265196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3-Year Annuity</w:t>
      </w:r>
    </w:p>
    <w:p>
      <w:pPr>
        <w:ind w:left="780"/>
        <w:spacing w:after="0" w:line="188" w:lineRule="auto"/>
        <w:rPr>
          <w:sz w:val="20"/>
          <w:szCs w:val="20"/>
          <w:color w:val="auto"/>
        </w:rPr>
      </w:pPr>
      <w:r>
        <w:rPr>
          <w:rFonts w:ascii="Arial" w:cs="Arial" w:eastAsia="Arial" w:hAnsi="Arial"/>
          <w:sz w:val="11"/>
          <w:szCs w:val="11"/>
          <w:color w:val="auto"/>
        </w:rPr>
        <w:t>File No. 333-265199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w:t>
      </w:r>
    </w:p>
    <w:p>
      <w:pPr>
        <w:ind w:left="780"/>
        <w:spacing w:after="0" w:line="188" w:lineRule="auto"/>
        <w:rPr>
          <w:sz w:val="20"/>
          <w:szCs w:val="20"/>
          <w:color w:val="auto"/>
        </w:rPr>
      </w:pPr>
      <w:r>
        <w:rPr>
          <w:rFonts w:ascii="Arial" w:cs="Arial" w:eastAsia="Arial" w:hAnsi="Arial"/>
          <w:sz w:val="11"/>
          <w:szCs w:val="11"/>
          <w:color w:val="auto"/>
        </w:rPr>
        <w:t>File No. 333-259506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 v.3</w:t>
      </w:r>
    </w:p>
    <w:p>
      <w:pPr>
        <w:ind w:left="780"/>
        <w:spacing w:after="0"/>
        <w:rPr>
          <w:sz w:val="20"/>
          <w:szCs w:val="20"/>
          <w:color w:val="auto"/>
        </w:rPr>
      </w:pPr>
      <w:r>
        <w:rPr>
          <w:rFonts w:ascii="Arial" w:cs="Arial" w:eastAsia="Arial" w:hAnsi="Arial"/>
          <w:sz w:val="12"/>
          <w:szCs w:val="12"/>
          <w:color w:val="auto"/>
        </w:rPr>
        <w:t>File No. 333-279315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6-Year Annuity</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And new annuities and life products such as:</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2"/>
          <w:szCs w:val="12"/>
          <w:color w:val="auto"/>
        </w:rPr>
        <w:t>Brighthouse Shield Annuity</w:t>
      </w:r>
    </w:p>
    <w:p>
      <w:pPr>
        <w:ind w:left="780"/>
        <w:spacing w:after="0" w:line="234" w:lineRule="auto"/>
        <w:rPr>
          <w:sz w:val="20"/>
          <w:szCs w:val="20"/>
          <w:color w:val="auto"/>
        </w:rPr>
      </w:pPr>
      <w:r>
        <w:rPr>
          <w:rFonts w:ascii="Arial" w:cs="Arial" w:eastAsia="Arial" w:hAnsi="Arial"/>
          <w:sz w:val="12"/>
          <w:szCs w:val="12"/>
          <w:color w:val="auto"/>
        </w:rPr>
        <w:t>Brighthouse Shield 3-Year Annuity</w:t>
      </w:r>
    </w:p>
    <w:p>
      <w:pPr>
        <w:ind w:left="780"/>
        <w:spacing w:after="0" w:line="235" w:lineRule="auto"/>
        <w:rPr>
          <w:sz w:val="20"/>
          <w:szCs w:val="20"/>
          <w:color w:val="auto"/>
        </w:rPr>
      </w:pPr>
      <w:r>
        <w:rPr>
          <w:rFonts w:ascii="Arial" w:cs="Arial" w:eastAsia="Arial" w:hAnsi="Arial"/>
          <w:sz w:val="12"/>
          <w:szCs w:val="12"/>
          <w:color w:val="auto"/>
        </w:rPr>
        <w:t>Brighthouse Shield 6-Year Annuity</w:t>
      </w:r>
    </w:p>
    <w:p>
      <w:pPr>
        <w:ind w:left="780"/>
        <w:spacing w:after="0"/>
        <w:rPr>
          <w:sz w:val="20"/>
          <w:szCs w:val="20"/>
          <w:color w:val="auto"/>
        </w:rPr>
      </w:pPr>
      <w:r>
        <w:rPr>
          <w:rFonts w:ascii="Arial" w:cs="Arial" w:eastAsia="Arial" w:hAnsi="Arial"/>
          <w:sz w:val="12"/>
          <w:szCs w:val="12"/>
          <w:color w:val="auto"/>
        </w:rPr>
        <w:t>Brighthouse indexed-linked life insurance policy,</w:t>
      </w:r>
    </w:p>
    <w:p>
      <w:pPr>
        <w:spacing w:after="0" w:line="129"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I have hereunto set my hand this 20th day of May 2024.</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Douglas A. Rayvid</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Douglas A. Rayvid</w:t>
      </w:r>
    </w:p>
    <w:p>
      <w:pPr>
        <w:sectPr>
          <w:pgSz w:w="11900" w:h="16838" w:orient="portrait"/>
          <w:cols w:equalWidth="0" w:num="1">
            <w:col w:w="11040"/>
          </w:cols>
          <w:pgMar w:left="300" w:top="226" w:right="559" w:bottom="1440" w:gutter="0" w:footer="0" w:header="0"/>
        </w:sectPr>
      </w:pPr>
    </w:p>
    <w:bookmarkStart w:id="179" w:name="page180"/>
    <w:bookmarkEnd w:id="179"/>
    <w:p>
      <w:pPr>
        <w:jc w:val="center"/>
        <w:ind w:right="-17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Brighthouse Life Insurance Company of NY</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POWER OF ATTORNEY</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Robert A. Semke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Director</w:t>
      </w:r>
    </w:p>
    <w:p>
      <w:pPr>
        <w:spacing w:after="0" w:line="129"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KNOW ALL MEN BY THESE PRESENTS, that I, Robert A. Semke,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65" w:lineRule="exact"/>
        <w:rPr>
          <w:sz w:val="20"/>
          <w:szCs w:val="20"/>
          <w:color w:val="auto"/>
        </w:rPr>
      </w:pPr>
    </w:p>
    <w:p>
      <w:pPr>
        <w:ind w:left="660" w:hanging="335"/>
        <w:spacing w:after="0"/>
        <w:tabs>
          <w:tab w:leader="none" w:pos="660" w:val="left"/>
        </w:tabs>
        <w:numPr>
          <w:ilvl w:val="0"/>
          <w:numId w:val="155"/>
        </w:numPr>
        <w:rPr>
          <w:rFonts w:ascii="Times New Roman" w:cs="Times New Roman" w:eastAsia="Times New Roman" w:hAnsi="Times New Roman"/>
          <w:sz w:val="19"/>
          <w:szCs w:val="19"/>
          <w:color w:val="auto"/>
          <w:vertAlign w:val="superscript"/>
        </w:rPr>
      </w:pPr>
      <w:r>
        <w:rPr>
          <w:rFonts w:ascii="Arial" w:cs="Arial" w:eastAsia="Arial" w:hAnsi="Arial"/>
          <w:sz w:val="12"/>
          <w:szCs w:val="12"/>
          <w:color w:val="auto"/>
        </w:rPr>
        <w:t>  Brighthouse Variable Annuity Account B (811-08306)</w:t>
      </w:r>
    </w:p>
    <w:p>
      <w:pPr>
        <w:ind w:left="780"/>
        <w:spacing w:after="0" w:line="234" w:lineRule="auto"/>
        <w:rPr>
          <w:sz w:val="20"/>
          <w:szCs w:val="20"/>
          <w:color w:val="auto"/>
        </w:rPr>
      </w:pPr>
      <w:r>
        <w:rPr>
          <w:rFonts w:ascii="Arial" w:cs="Arial" w:eastAsia="Arial" w:hAnsi="Arial"/>
          <w:sz w:val="12"/>
          <w:szCs w:val="12"/>
          <w:color w:val="auto"/>
        </w:rPr>
        <w:t>File No. 033-74174 First COVA VA, Custom Select, Russell Select and Class VA, Class AA and Class B</w:t>
      </w:r>
    </w:p>
    <w:p>
      <w:pPr>
        <w:ind w:left="780"/>
        <w:spacing w:after="0" w:line="235" w:lineRule="auto"/>
        <w:rPr>
          <w:sz w:val="20"/>
          <w:szCs w:val="20"/>
          <w:color w:val="auto"/>
        </w:rPr>
      </w:pPr>
      <w:r>
        <w:rPr>
          <w:rFonts w:ascii="Arial" w:cs="Arial" w:eastAsia="Arial" w:hAnsi="Arial"/>
          <w:sz w:val="12"/>
          <w:szCs w:val="12"/>
          <w:color w:val="auto"/>
        </w:rPr>
        <w:t>File No. 333-96773 Class VA (offered between June 15, 2001 and October 7, 2011), Class AA, and Class B</w:t>
      </w:r>
    </w:p>
    <w:p>
      <w:pPr>
        <w:ind w:left="780"/>
        <w:spacing w:after="0" w:line="235" w:lineRule="auto"/>
        <w:rPr>
          <w:sz w:val="20"/>
          <w:szCs w:val="20"/>
          <w:color w:val="auto"/>
        </w:rPr>
      </w:pPr>
      <w:r>
        <w:rPr>
          <w:rFonts w:ascii="Arial" w:cs="Arial" w:eastAsia="Arial" w:hAnsi="Arial"/>
          <w:sz w:val="12"/>
          <w:szCs w:val="12"/>
          <w:color w:val="auto"/>
        </w:rPr>
        <w:t>File No. 333-96775 Class A</w:t>
      </w:r>
    </w:p>
    <w:p>
      <w:pPr>
        <w:ind w:left="780"/>
        <w:spacing w:after="0" w:line="235" w:lineRule="auto"/>
        <w:rPr>
          <w:sz w:val="20"/>
          <w:szCs w:val="20"/>
          <w:color w:val="auto"/>
        </w:rPr>
      </w:pPr>
      <w:r>
        <w:rPr>
          <w:rFonts w:ascii="Arial" w:cs="Arial" w:eastAsia="Arial" w:hAnsi="Arial"/>
          <w:sz w:val="12"/>
          <w:szCs w:val="12"/>
          <w:color w:val="auto"/>
        </w:rPr>
        <w:t>File No. 333-96777 Class XC</w:t>
      </w:r>
    </w:p>
    <w:p>
      <w:pPr>
        <w:ind w:left="780"/>
        <w:spacing w:after="0" w:line="234" w:lineRule="auto"/>
        <w:rPr>
          <w:sz w:val="20"/>
          <w:szCs w:val="20"/>
          <w:color w:val="auto"/>
        </w:rPr>
      </w:pPr>
      <w:r>
        <w:rPr>
          <w:rFonts w:ascii="Arial" w:cs="Arial" w:eastAsia="Arial" w:hAnsi="Arial"/>
          <w:sz w:val="12"/>
          <w:szCs w:val="12"/>
          <w:color w:val="auto"/>
        </w:rPr>
        <w:t>File No. 333-96785 Class L and Class L –4 Year (offered between November 22, 2004 and October 7, 2011)</w:t>
      </w:r>
    </w:p>
    <w:p>
      <w:pPr>
        <w:ind w:left="780"/>
        <w:spacing w:after="0" w:line="235" w:lineRule="auto"/>
        <w:rPr>
          <w:sz w:val="20"/>
          <w:szCs w:val="20"/>
          <w:color w:val="auto"/>
        </w:rPr>
      </w:pPr>
      <w:r>
        <w:rPr>
          <w:rFonts w:ascii="Arial" w:cs="Arial" w:eastAsia="Arial" w:hAnsi="Arial"/>
          <w:sz w:val="12"/>
          <w:szCs w:val="12"/>
          <w:color w:val="auto"/>
        </w:rPr>
        <w:t>File No. 333-96795 Class C (offered between September 4, 2001 and October 7, 2011)</w:t>
      </w:r>
    </w:p>
    <w:p>
      <w:pPr>
        <w:ind w:left="780"/>
        <w:spacing w:after="0" w:line="235" w:lineRule="auto"/>
        <w:rPr>
          <w:sz w:val="20"/>
          <w:szCs w:val="20"/>
          <w:color w:val="auto"/>
        </w:rPr>
      </w:pPr>
      <w:r>
        <w:rPr>
          <w:rFonts w:ascii="Arial" w:cs="Arial" w:eastAsia="Arial" w:hAnsi="Arial"/>
          <w:sz w:val="12"/>
          <w:szCs w:val="12"/>
          <w:color w:val="auto"/>
        </w:rPr>
        <w:t>File No. 333-125613 Vintage L and Vintage XC</w:t>
      </w:r>
    </w:p>
    <w:p>
      <w:pPr>
        <w:ind w:left="780"/>
        <w:spacing w:after="0" w:line="235" w:lineRule="auto"/>
        <w:rPr>
          <w:sz w:val="20"/>
          <w:szCs w:val="20"/>
          <w:color w:val="auto"/>
        </w:rPr>
      </w:pPr>
      <w:r>
        <w:rPr>
          <w:rFonts w:ascii="Arial" w:cs="Arial" w:eastAsia="Arial" w:hAnsi="Arial"/>
          <w:sz w:val="12"/>
          <w:szCs w:val="12"/>
          <w:color w:val="auto"/>
        </w:rPr>
        <w:t>File No. 333-125617 PrimElite III</w:t>
      </w:r>
    </w:p>
    <w:p>
      <w:pPr>
        <w:ind w:left="780"/>
        <w:spacing w:after="0" w:line="235" w:lineRule="auto"/>
        <w:rPr>
          <w:sz w:val="20"/>
          <w:szCs w:val="20"/>
          <w:color w:val="auto"/>
        </w:rPr>
      </w:pPr>
      <w:r>
        <w:rPr>
          <w:rFonts w:ascii="Arial" w:cs="Arial" w:eastAsia="Arial" w:hAnsi="Arial"/>
          <w:sz w:val="12"/>
          <w:szCs w:val="12"/>
          <w:color w:val="auto"/>
        </w:rPr>
        <w:t>File No. 333-125618 Marquis Portfolios (offered between November 7, 2005 and April 30, 2012)</w:t>
      </w:r>
    </w:p>
    <w:p>
      <w:pPr>
        <w:ind w:left="780"/>
        <w:spacing w:after="0" w:line="234" w:lineRule="auto"/>
        <w:rPr>
          <w:sz w:val="20"/>
          <w:szCs w:val="20"/>
          <w:color w:val="auto"/>
        </w:rPr>
      </w:pPr>
      <w:r>
        <w:rPr>
          <w:rFonts w:ascii="Arial" w:cs="Arial" w:eastAsia="Arial" w:hAnsi="Arial"/>
          <w:sz w:val="12"/>
          <w:szCs w:val="12"/>
          <w:color w:val="auto"/>
        </w:rPr>
        <w:t>File No. 333-125619 Protected Equity Portfolio</w:t>
      </w:r>
    </w:p>
    <w:p>
      <w:pPr>
        <w:ind w:left="780"/>
        <w:spacing w:after="0" w:line="235" w:lineRule="auto"/>
        <w:rPr>
          <w:sz w:val="20"/>
          <w:szCs w:val="20"/>
          <w:color w:val="auto"/>
        </w:rPr>
      </w:pPr>
      <w:r>
        <w:rPr>
          <w:rFonts w:ascii="Arial" w:cs="Arial" w:eastAsia="Arial" w:hAnsi="Arial"/>
          <w:sz w:val="12"/>
          <w:szCs w:val="12"/>
          <w:color w:val="auto"/>
        </w:rPr>
        <w:t>File No. 333-137370 Class S and Class S - L Share Option (offered between April 30, 2007 and October 7, 2011)</w:t>
      </w:r>
    </w:p>
    <w:p>
      <w:pPr>
        <w:ind w:left="780"/>
        <w:spacing w:after="0" w:line="235" w:lineRule="auto"/>
        <w:rPr>
          <w:sz w:val="20"/>
          <w:szCs w:val="20"/>
          <w:color w:val="auto"/>
        </w:rPr>
      </w:pPr>
      <w:r>
        <w:rPr>
          <w:rFonts w:ascii="Arial" w:cs="Arial" w:eastAsia="Arial" w:hAnsi="Arial"/>
          <w:sz w:val="12"/>
          <w:szCs w:val="12"/>
          <w:color w:val="auto"/>
        </w:rPr>
        <w:t>File No. 333-137969 PrimElite IV</w:t>
      </w:r>
    </w:p>
    <w:p>
      <w:pPr>
        <w:ind w:left="780"/>
        <w:spacing w:after="0" w:line="235" w:lineRule="auto"/>
        <w:rPr>
          <w:sz w:val="20"/>
          <w:szCs w:val="20"/>
          <w:color w:val="auto"/>
        </w:rPr>
      </w:pPr>
      <w:r>
        <w:rPr>
          <w:rFonts w:ascii="Arial" w:cs="Arial" w:eastAsia="Arial" w:hAnsi="Arial"/>
          <w:sz w:val="12"/>
          <w:szCs w:val="12"/>
          <w:color w:val="auto"/>
        </w:rPr>
        <w:t>File No. 333-148873 Pioneer PRISM</w:t>
      </w:r>
    </w:p>
    <w:p>
      <w:pPr>
        <w:ind w:left="780"/>
        <w:spacing w:after="0" w:line="235" w:lineRule="auto"/>
        <w:rPr>
          <w:sz w:val="20"/>
          <w:szCs w:val="20"/>
          <w:color w:val="auto"/>
        </w:rPr>
      </w:pPr>
      <w:r>
        <w:rPr>
          <w:rFonts w:ascii="Arial" w:cs="Arial" w:eastAsia="Arial" w:hAnsi="Arial"/>
          <w:sz w:val="12"/>
          <w:szCs w:val="12"/>
          <w:color w:val="auto"/>
        </w:rPr>
        <w:t>File No. 333-148874 Pioneer PRISM XC</w:t>
      </w:r>
    </w:p>
    <w:p>
      <w:pPr>
        <w:ind w:left="780"/>
        <w:spacing w:after="0" w:line="234" w:lineRule="auto"/>
        <w:rPr>
          <w:sz w:val="20"/>
          <w:szCs w:val="20"/>
          <w:color w:val="auto"/>
        </w:rPr>
      </w:pPr>
      <w:r>
        <w:rPr>
          <w:rFonts w:ascii="Arial" w:cs="Arial" w:eastAsia="Arial" w:hAnsi="Arial"/>
          <w:sz w:val="12"/>
          <w:szCs w:val="12"/>
          <w:color w:val="auto"/>
        </w:rPr>
        <w:t>File No. 333-148876 Pioneer PRISM L</w:t>
      </w:r>
    </w:p>
    <w:p>
      <w:pPr>
        <w:ind w:left="780"/>
        <w:spacing w:after="0" w:line="235" w:lineRule="auto"/>
        <w:rPr>
          <w:sz w:val="20"/>
          <w:szCs w:val="20"/>
          <w:color w:val="auto"/>
        </w:rPr>
      </w:pPr>
      <w:r>
        <w:rPr>
          <w:rFonts w:ascii="Arial" w:cs="Arial" w:eastAsia="Arial" w:hAnsi="Arial"/>
          <w:sz w:val="12"/>
          <w:szCs w:val="12"/>
          <w:color w:val="auto"/>
        </w:rPr>
        <w:t>File No. 333-152450 Class XTRA</w:t>
      </w:r>
    </w:p>
    <w:p>
      <w:pPr>
        <w:ind w:left="780"/>
        <w:spacing w:after="0" w:line="235" w:lineRule="auto"/>
        <w:rPr>
          <w:sz w:val="20"/>
          <w:szCs w:val="20"/>
          <w:color w:val="auto"/>
        </w:rPr>
      </w:pPr>
      <w:r>
        <w:rPr>
          <w:rFonts w:ascii="Arial" w:cs="Arial" w:eastAsia="Arial" w:hAnsi="Arial"/>
          <w:sz w:val="12"/>
          <w:szCs w:val="12"/>
          <w:color w:val="auto"/>
        </w:rPr>
        <w:t>File No. 333-156646 Class XTRA 6</w:t>
      </w:r>
    </w:p>
    <w:p>
      <w:pPr>
        <w:ind w:left="780"/>
        <w:spacing w:after="0" w:line="188" w:lineRule="auto"/>
        <w:rPr>
          <w:sz w:val="20"/>
          <w:szCs w:val="20"/>
          <w:color w:val="auto"/>
        </w:rPr>
      </w:pPr>
      <w:r>
        <w:rPr>
          <w:rFonts w:ascii="Arial" w:cs="Arial" w:eastAsia="Arial" w:hAnsi="Arial"/>
          <w:sz w:val="11"/>
          <w:szCs w:val="11"/>
          <w:color w:val="auto"/>
        </w:rPr>
        <w:t>File No. 333-158579 Brighthouse Simple Solutions</w:t>
      </w:r>
      <w:r>
        <w:rPr>
          <w:rFonts w:ascii="Arial" w:cs="Arial" w:eastAsia="Arial" w:hAnsi="Arial"/>
          <w:sz w:val="15"/>
          <w:szCs w:val="15"/>
          <w:color w:val="auto"/>
          <w:vertAlign w:val="superscript"/>
        </w:rPr>
        <w:t>SM</w:t>
      </w:r>
    </w:p>
    <w:p>
      <w:pPr>
        <w:ind w:left="780"/>
        <w:spacing w:after="0" w:line="235" w:lineRule="auto"/>
        <w:rPr>
          <w:sz w:val="20"/>
          <w:szCs w:val="20"/>
          <w:color w:val="auto"/>
        </w:rPr>
      </w:pPr>
      <w:r>
        <w:rPr>
          <w:rFonts w:ascii="Arial" w:cs="Arial" w:eastAsia="Arial" w:hAnsi="Arial"/>
          <w:sz w:val="12"/>
          <w:szCs w:val="12"/>
          <w:color w:val="auto"/>
        </w:rPr>
        <w:t>File No. 333-169687 Class VA- 4 (offered between May 1, 2011 and October 7, 2011)</w:t>
      </w:r>
    </w:p>
    <w:p>
      <w:pPr>
        <w:ind w:left="780"/>
        <w:spacing w:after="0" w:line="234" w:lineRule="auto"/>
        <w:rPr>
          <w:sz w:val="20"/>
          <w:szCs w:val="20"/>
          <w:color w:val="auto"/>
        </w:rPr>
      </w:pPr>
      <w:r>
        <w:rPr>
          <w:rFonts w:ascii="Arial" w:cs="Arial" w:eastAsia="Arial" w:hAnsi="Arial"/>
          <w:sz w:val="12"/>
          <w:szCs w:val="12"/>
          <w:color w:val="auto"/>
        </w:rPr>
        <w:t>File No. 333-176679 Class S (offered on and after October 7, 2011) and</w:t>
      </w:r>
    </w:p>
    <w:p>
      <w:pPr>
        <w:ind w:left="1000"/>
        <w:spacing w:after="0" w:line="235" w:lineRule="auto"/>
        <w:rPr>
          <w:sz w:val="20"/>
          <w:szCs w:val="20"/>
          <w:color w:val="auto"/>
        </w:rPr>
      </w:pPr>
      <w:r>
        <w:rPr>
          <w:rFonts w:ascii="Arial" w:cs="Arial" w:eastAsia="Arial" w:hAnsi="Arial"/>
          <w:sz w:val="12"/>
          <w:szCs w:val="12"/>
          <w:color w:val="auto"/>
        </w:rPr>
        <w:t>Class S- L Share Option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333-176680 Class VA- 4 (offered between October 7, 2011 and May 1, 2016)</w:t>
      </w:r>
    </w:p>
    <w:p>
      <w:pPr>
        <w:ind w:left="780"/>
        <w:spacing w:after="0" w:line="235" w:lineRule="auto"/>
        <w:rPr>
          <w:sz w:val="20"/>
          <w:szCs w:val="20"/>
          <w:color w:val="auto"/>
        </w:rPr>
      </w:pPr>
      <w:r>
        <w:rPr>
          <w:rFonts w:ascii="Arial" w:cs="Arial" w:eastAsia="Arial" w:hAnsi="Arial"/>
          <w:sz w:val="12"/>
          <w:szCs w:val="12"/>
          <w:color w:val="auto"/>
        </w:rPr>
        <w:t>File No. 333-176691 Class VA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333-176692 Class L- 4 Year (offered between October 7, 2011 and April 28, 2013)</w:t>
      </w:r>
    </w:p>
    <w:p>
      <w:pPr>
        <w:ind w:left="780"/>
        <w:spacing w:after="0" w:line="234" w:lineRule="auto"/>
        <w:rPr>
          <w:sz w:val="20"/>
          <w:szCs w:val="20"/>
          <w:color w:val="auto"/>
        </w:rPr>
      </w:pPr>
      <w:r>
        <w:rPr>
          <w:rFonts w:ascii="Arial" w:cs="Arial" w:eastAsia="Arial" w:hAnsi="Arial"/>
          <w:sz w:val="12"/>
          <w:szCs w:val="12"/>
          <w:color w:val="auto"/>
        </w:rPr>
        <w:t>File No. 333-176693 Class C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333-178515 Class O (offered between April 30, 2012 and September 20, 2015)</w:t>
      </w:r>
    </w:p>
    <w:p>
      <w:pPr>
        <w:ind w:left="780"/>
        <w:spacing w:after="0" w:line="235" w:lineRule="auto"/>
        <w:rPr>
          <w:sz w:val="20"/>
          <w:szCs w:val="20"/>
          <w:color w:val="auto"/>
        </w:rPr>
      </w:pPr>
      <w:r>
        <w:rPr>
          <w:rFonts w:ascii="Arial" w:cs="Arial" w:eastAsia="Arial" w:hAnsi="Arial"/>
          <w:sz w:val="12"/>
          <w:szCs w:val="12"/>
          <w:color w:val="auto"/>
        </w:rPr>
        <w:t>File No. 333-179240 Marquis Portfolios (offered on and after April 30, 2012)</w:t>
      </w:r>
    </w:p>
    <w:p>
      <w:pPr>
        <w:ind w:left="780"/>
        <w:spacing w:after="0" w:line="235" w:lineRule="auto"/>
        <w:rPr>
          <w:sz w:val="20"/>
          <w:szCs w:val="20"/>
          <w:color w:val="auto"/>
        </w:rPr>
      </w:pPr>
      <w:r>
        <w:rPr>
          <w:rFonts w:ascii="Arial" w:cs="Arial" w:eastAsia="Arial" w:hAnsi="Arial"/>
          <w:sz w:val="12"/>
          <w:szCs w:val="12"/>
          <w:color w:val="auto"/>
        </w:rPr>
        <w:t>File No. 333-186216 Class L- 4 Year (offered on and after April 29, 2013)</w:t>
      </w:r>
    </w:p>
    <w:p>
      <w:pPr>
        <w:ind w:left="780"/>
        <w:spacing w:after="0" w:line="235" w:lineRule="auto"/>
        <w:rPr>
          <w:sz w:val="20"/>
          <w:szCs w:val="20"/>
          <w:color w:val="auto"/>
        </w:rPr>
      </w:pPr>
      <w:r>
        <w:rPr>
          <w:rFonts w:ascii="Arial" w:cs="Arial" w:eastAsia="Arial" w:hAnsi="Arial"/>
          <w:sz w:val="12"/>
          <w:szCs w:val="12"/>
          <w:color w:val="auto"/>
        </w:rPr>
        <w:t>File No. 333-205137 Class O (offered on and after September 21, 2015)</w:t>
      </w:r>
    </w:p>
    <w:p>
      <w:pPr>
        <w:ind w:left="780"/>
        <w:spacing w:after="0" w:line="234" w:lineRule="auto"/>
        <w:rPr>
          <w:sz w:val="20"/>
          <w:szCs w:val="20"/>
          <w:color w:val="auto"/>
        </w:rPr>
      </w:pPr>
      <w:r>
        <w:rPr>
          <w:rFonts w:ascii="Arial" w:cs="Arial" w:eastAsia="Arial" w:hAnsi="Arial"/>
          <w:sz w:val="12"/>
          <w:szCs w:val="12"/>
          <w:color w:val="auto"/>
        </w:rPr>
        <w:t>File No. 333-209057 Class VA- 4 (offered on and after May 2, 2016)</w:t>
      </w:r>
    </w:p>
    <w:p>
      <w:pPr>
        <w:ind w:left="780"/>
        <w:spacing w:after="0" w:line="235" w:lineRule="auto"/>
        <w:rPr>
          <w:sz w:val="20"/>
          <w:szCs w:val="20"/>
          <w:color w:val="auto"/>
        </w:rPr>
      </w:pPr>
      <w:r>
        <w:rPr>
          <w:rFonts w:ascii="Arial" w:cs="Arial" w:eastAsia="Arial" w:hAnsi="Arial"/>
          <w:sz w:val="12"/>
          <w:szCs w:val="12"/>
          <w:color w:val="auto"/>
        </w:rPr>
        <w:t>File No. 333-209058 Class VA (offered on and after May 2, 2016)</w:t>
      </w:r>
    </w:p>
    <w:p>
      <w:pPr>
        <w:ind w:left="780"/>
        <w:spacing w:after="0" w:line="235" w:lineRule="auto"/>
        <w:rPr>
          <w:sz w:val="20"/>
          <w:szCs w:val="20"/>
          <w:color w:val="auto"/>
        </w:rPr>
      </w:pPr>
      <w:r>
        <w:rPr>
          <w:rFonts w:ascii="Arial" w:cs="Arial" w:eastAsia="Arial" w:hAnsi="Arial"/>
          <w:sz w:val="12"/>
          <w:szCs w:val="12"/>
          <w:color w:val="auto"/>
        </w:rPr>
        <w:t>File No. 333-209059 Class S (offered on and after May 2, 2016) and</w:t>
      </w:r>
    </w:p>
    <w:p>
      <w:pPr>
        <w:ind w:left="1000"/>
        <w:spacing w:after="0" w:line="235" w:lineRule="auto"/>
        <w:rPr>
          <w:sz w:val="20"/>
          <w:szCs w:val="20"/>
          <w:color w:val="auto"/>
        </w:rPr>
      </w:pPr>
      <w:r>
        <w:rPr>
          <w:rFonts w:ascii="Arial" w:cs="Arial" w:eastAsia="Arial" w:hAnsi="Arial"/>
          <w:sz w:val="12"/>
          <w:szCs w:val="12"/>
          <w:color w:val="auto"/>
        </w:rPr>
        <w:t>S- L Share Option (offered on and after May 2, 2016)</w:t>
      </w:r>
    </w:p>
    <w:p>
      <w:pPr>
        <w:ind w:left="780"/>
        <w:spacing w:after="0"/>
        <w:rPr>
          <w:sz w:val="20"/>
          <w:szCs w:val="20"/>
          <w:color w:val="auto"/>
        </w:rPr>
      </w:pPr>
      <w:r>
        <w:rPr>
          <w:rFonts w:ascii="Arial" w:cs="Arial" w:eastAsia="Arial" w:hAnsi="Arial"/>
          <w:sz w:val="12"/>
          <w:szCs w:val="12"/>
          <w:color w:val="auto"/>
        </w:rPr>
        <w:t>File No. 333-216454 Brighthouse Prime Options,</w:t>
      </w:r>
    </w:p>
    <w:p>
      <w:pPr>
        <w:sectPr>
          <w:pgSz w:w="11900" w:h="16838" w:orient="portrait"/>
          <w:cols w:equalWidth="0" w:num="1">
            <w:col w:w="11120"/>
          </w:cols>
          <w:pgMar w:left="300" w:top="226" w:right="479" w:bottom="1440" w:gutter="0" w:footer="0" w:header="0"/>
        </w:sectPr>
      </w:pPr>
    </w:p>
    <w:bookmarkStart w:id="180" w:name="page181"/>
    <w:bookmarkEnd w:id="180"/>
    <w:p>
      <w:pPr>
        <w:ind w:left="5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And pertaining to:</w:t>
      </w:r>
    </w:p>
    <w:p>
      <w:pPr>
        <w:ind w:left="780"/>
        <w:spacing w:after="0" w:line="187" w:lineRule="auto"/>
        <w:rPr>
          <w:sz w:val="20"/>
          <w:szCs w:val="20"/>
          <w:color w:val="auto"/>
        </w:rPr>
      </w:pPr>
      <w:r>
        <w:rPr>
          <w:rFonts w:ascii="Arial" w:cs="Arial" w:eastAsia="Arial" w:hAnsi="Arial"/>
          <w:sz w:val="11"/>
          <w:szCs w:val="11"/>
          <w:color w:val="auto"/>
        </w:rPr>
        <w:t>File No. 333-216452 Brighthouse Shield Level Selector</w:t>
      </w:r>
      <w:r>
        <w:rPr>
          <w:rFonts w:ascii="Arial" w:cs="Arial" w:eastAsia="Arial" w:hAnsi="Arial"/>
          <w:sz w:val="16"/>
          <w:szCs w:val="16"/>
          <w:color w:val="auto"/>
          <w:vertAlign w:val="superscript"/>
        </w:rPr>
        <w:t>®</w:t>
      </w:r>
      <w:r>
        <w:rPr>
          <w:rFonts w:ascii="Arial" w:cs="Arial" w:eastAsia="Arial" w:hAnsi="Arial"/>
          <w:sz w:val="11"/>
          <w:szCs w:val="11"/>
          <w:color w:val="auto"/>
        </w:rPr>
        <w:t xml:space="preserve"> Annuity</w:t>
      </w:r>
    </w:p>
    <w:p>
      <w:pPr>
        <w:ind w:left="780"/>
        <w:spacing w:after="0" w:line="188" w:lineRule="auto"/>
        <w:rPr>
          <w:sz w:val="20"/>
          <w:szCs w:val="20"/>
          <w:color w:val="auto"/>
        </w:rPr>
      </w:pPr>
      <w:r>
        <w:rPr>
          <w:rFonts w:ascii="Arial" w:cs="Arial" w:eastAsia="Arial" w:hAnsi="Arial"/>
          <w:sz w:val="11"/>
          <w:szCs w:val="11"/>
          <w:color w:val="auto"/>
        </w:rPr>
        <w:t>File No. 333-216453 Brighthouse Shield Level Selector</w:t>
      </w:r>
      <w:r>
        <w:rPr>
          <w:rFonts w:ascii="Arial" w:cs="Arial" w:eastAsia="Arial" w:hAnsi="Arial"/>
          <w:sz w:val="15"/>
          <w:szCs w:val="15"/>
          <w:color w:val="auto"/>
          <w:vertAlign w:val="superscript"/>
        </w:rPr>
        <w:t>®</w:t>
      </w:r>
      <w:r>
        <w:rPr>
          <w:rFonts w:ascii="Arial" w:cs="Arial" w:eastAsia="Arial" w:hAnsi="Arial"/>
          <w:sz w:val="11"/>
          <w:szCs w:val="11"/>
          <w:color w:val="auto"/>
        </w:rPr>
        <w:t xml:space="preserve"> 3-Year Annuity</w:t>
      </w:r>
    </w:p>
    <w:p>
      <w:pPr>
        <w:ind w:left="780"/>
        <w:spacing w:after="0" w:line="188" w:lineRule="auto"/>
        <w:rPr>
          <w:sz w:val="20"/>
          <w:szCs w:val="20"/>
          <w:color w:val="auto"/>
        </w:rPr>
      </w:pPr>
      <w:r>
        <w:rPr>
          <w:rFonts w:ascii="Arial" w:cs="Arial" w:eastAsia="Arial" w:hAnsi="Arial"/>
          <w:sz w:val="11"/>
          <w:szCs w:val="11"/>
          <w:color w:val="auto"/>
        </w:rPr>
        <w:t>File No. 333-238214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10 Annuity</w:t>
      </w:r>
    </w:p>
    <w:p>
      <w:pPr>
        <w:ind w:left="780"/>
        <w:spacing w:after="0" w:line="188" w:lineRule="auto"/>
        <w:rPr>
          <w:sz w:val="20"/>
          <w:szCs w:val="20"/>
          <w:color w:val="auto"/>
        </w:rPr>
      </w:pPr>
      <w:r>
        <w:rPr>
          <w:rFonts w:ascii="Arial" w:cs="Arial" w:eastAsia="Arial" w:hAnsi="Arial"/>
          <w:sz w:val="11"/>
          <w:szCs w:val="11"/>
          <w:color w:val="auto"/>
        </w:rPr>
        <w:t>File No. 333-265196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3-Year Annuity</w:t>
      </w:r>
    </w:p>
    <w:p>
      <w:pPr>
        <w:ind w:left="780"/>
        <w:spacing w:after="0" w:line="188" w:lineRule="auto"/>
        <w:rPr>
          <w:sz w:val="20"/>
          <w:szCs w:val="20"/>
          <w:color w:val="auto"/>
        </w:rPr>
      </w:pPr>
      <w:r>
        <w:rPr>
          <w:rFonts w:ascii="Arial" w:cs="Arial" w:eastAsia="Arial" w:hAnsi="Arial"/>
          <w:sz w:val="11"/>
          <w:szCs w:val="11"/>
          <w:color w:val="auto"/>
        </w:rPr>
        <w:t>File No. 333-265199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w:t>
      </w:r>
    </w:p>
    <w:p>
      <w:pPr>
        <w:ind w:left="780"/>
        <w:spacing w:after="0" w:line="188" w:lineRule="auto"/>
        <w:rPr>
          <w:sz w:val="20"/>
          <w:szCs w:val="20"/>
          <w:color w:val="auto"/>
        </w:rPr>
      </w:pPr>
      <w:r>
        <w:rPr>
          <w:rFonts w:ascii="Arial" w:cs="Arial" w:eastAsia="Arial" w:hAnsi="Arial"/>
          <w:sz w:val="11"/>
          <w:szCs w:val="11"/>
          <w:color w:val="auto"/>
        </w:rPr>
        <w:t>File No. 333-259506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 v.3</w:t>
      </w:r>
    </w:p>
    <w:p>
      <w:pPr>
        <w:ind w:left="780"/>
        <w:spacing w:after="0"/>
        <w:rPr>
          <w:sz w:val="20"/>
          <w:szCs w:val="20"/>
          <w:color w:val="auto"/>
        </w:rPr>
      </w:pPr>
      <w:r>
        <w:rPr>
          <w:rFonts w:ascii="Arial" w:cs="Arial" w:eastAsia="Arial" w:hAnsi="Arial"/>
          <w:sz w:val="12"/>
          <w:szCs w:val="12"/>
          <w:color w:val="auto"/>
        </w:rPr>
        <w:t>File No. 333-279315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6-Year Annuity</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And new annuities and life products such as:</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2"/>
          <w:szCs w:val="12"/>
          <w:color w:val="auto"/>
        </w:rPr>
        <w:t>Brighthouse Shield Annuity</w:t>
      </w:r>
    </w:p>
    <w:p>
      <w:pPr>
        <w:ind w:left="780"/>
        <w:spacing w:after="0" w:line="234" w:lineRule="auto"/>
        <w:rPr>
          <w:sz w:val="20"/>
          <w:szCs w:val="20"/>
          <w:color w:val="auto"/>
        </w:rPr>
      </w:pPr>
      <w:r>
        <w:rPr>
          <w:rFonts w:ascii="Arial" w:cs="Arial" w:eastAsia="Arial" w:hAnsi="Arial"/>
          <w:sz w:val="12"/>
          <w:szCs w:val="12"/>
          <w:color w:val="auto"/>
        </w:rPr>
        <w:t>Brighthouse Shield 3-Year Annuity</w:t>
      </w:r>
    </w:p>
    <w:p>
      <w:pPr>
        <w:ind w:left="780"/>
        <w:spacing w:after="0" w:line="235" w:lineRule="auto"/>
        <w:rPr>
          <w:sz w:val="20"/>
          <w:szCs w:val="20"/>
          <w:color w:val="auto"/>
        </w:rPr>
      </w:pPr>
      <w:r>
        <w:rPr>
          <w:rFonts w:ascii="Arial" w:cs="Arial" w:eastAsia="Arial" w:hAnsi="Arial"/>
          <w:sz w:val="12"/>
          <w:szCs w:val="12"/>
          <w:color w:val="auto"/>
        </w:rPr>
        <w:t>Brighthouse Shield 6-Year Annuity</w:t>
      </w:r>
    </w:p>
    <w:p>
      <w:pPr>
        <w:ind w:left="780"/>
        <w:spacing w:after="0"/>
        <w:rPr>
          <w:sz w:val="20"/>
          <w:szCs w:val="20"/>
          <w:color w:val="auto"/>
        </w:rPr>
      </w:pPr>
      <w:r>
        <w:rPr>
          <w:rFonts w:ascii="Arial" w:cs="Arial" w:eastAsia="Arial" w:hAnsi="Arial"/>
          <w:sz w:val="12"/>
          <w:szCs w:val="12"/>
          <w:color w:val="auto"/>
        </w:rPr>
        <w:t>Brighthouse indexed-linked life insurance policy,</w:t>
      </w:r>
    </w:p>
    <w:p>
      <w:pPr>
        <w:spacing w:after="0" w:line="129"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I have hereunto set my hand this 21st day of May 2024.</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Robert A. Semke</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Robert A. Semke</w:t>
      </w:r>
    </w:p>
    <w:p>
      <w:pPr>
        <w:sectPr>
          <w:pgSz w:w="11900" w:h="16838" w:orient="portrait"/>
          <w:cols w:equalWidth="0" w:num="1">
            <w:col w:w="11040"/>
          </w:cols>
          <w:pgMar w:left="300" w:top="226" w:right="559" w:bottom="1440" w:gutter="0" w:footer="0" w:header="0"/>
        </w:sectPr>
      </w:pPr>
    </w:p>
    <w:bookmarkStart w:id="181" w:name="page182"/>
    <w:bookmarkEnd w:id="181"/>
    <w:p>
      <w:pPr>
        <w:jc w:val="center"/>
        <w:ind w:right="-9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Brighthouse Life Insurance Company of NY</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POWER OF ATTORNEY</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Kevin White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Director</w:t>
      </w:r>
    </w:p>
    <w:p>
      <w:pPr>
        <w:spacing w:after="0" w:line="129"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KNOW ALL MEN BY THESE PRESENTS, that I, Kevin White, a Director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ind w:left="660" w:hanging="335"/>
        <w:spacing w:after="0" w:line="222" w:lineRule="auto"/>
        <w:tabs>
          <w:tab w:leader="none" w:pos="660" w:val="left"/>
        </w:tabs>
        <w:numPr>
          <w:ilvl w:val="0"/>
          <w:numId w:val="156"/>
        </w:numPr>
        <w:rPr>
          <w:rFonts w:ascii="Times New Roman" w:cs="Times New Roman" w:eastAsia="Times New Roman" w:hAnsi="Times New Roman"/>
          <w:sz w:val="19"/>
          <w:szCs w:val="19"/>
          <w:color w:val="auto"/>
          <w:vertAlign w:val="superscript"/>
        </w:rPr>
      </w:pPr>
      <w:r>
        <w:rPr>
          <w:rFonts w:ascii="Arial" w:cs="Arial" w:eastAsia="Arial" w:hAnsi="Arial"/>
          <w:sz w:val="12"/>
          <w:szCs w:val="12"/>
          <w:color w:val="auto"/>
        </w:rPr>
        <w:t>  Brighthouse Variable Annuity Account B (811-08306)</w:t>
      </w:r>
    </w:p>
    <w:p>
      <w:pPr>
        <w:ind w:left="780"/>
        <w:spacing w:after="0" w:line="235" w:lineRule="auto"/>
        <w:rPr>
          <w:sz w:val="20"/>
          <w:szCs w:val="20"/>
          <w:color w:val="auto"/>
        </w:rPr>
      </w:pPr>
      <w:r>
        <w:rPr>
          <w:rFonts w:ascii="Arial" w:cs="Arial" w:eastAsia="Arial" w:hAnsi="Arial"/>
          <w:sz w:val="12"/>
          <w:szCs w:val="12"/>
          <w:color w:val="auto"/>
        </w:rPr>
        <w:t>File No. 033-74174 First COVA VA, Custom Select, Russell Select and Class VA, Class AA and Class B</w:t>
      </w:r>
    </w:p>
    <w:p>
      <w:pPr>
        <w:ind w:left="780"/>
        <w:spacing w:after="0" w:line="234" w:lineRule="auto"/>
        <w:rPr>
          <w:sz w:val="20"/>
          <w:szCs w:val="20"/>
          <w:color w:val="auto"/>
        </w:rPr>
      </w:pPr>
      <w:r>
        <w:rPr>
          <w:rFonts w:ascii="Arial" w:cs="Arial" w:eastAsia="Arial" w:hAnsi="Arial"/>
          <w:sz w:val="12"/>
          <w:szCs w:val="12"/>
          <w:color w:val="auto"/>
        </w:rPr>
        <w:t>File No. 333-96773 Class VA (offered between June 15, 2001 and October 7, 2011), Class AA, and Class B</w:t>
      </w:r>
    </w:p>
    <w:p>
      <w:pPr>
        <w:ind w:left="780"/>
        <w:spacing w:after="0" w:line="235" w:lineRule="auto"/>
        <w:rPr>
          <w:sz w:val="20"/>
          <w:szCs w:val="20"/>
          <w:color w:val="auto"/>
        </w:rPr>
      </w:pPr>
      <w:r>
        <w:rPr>
          <w:rFonts w:ascii="Arial" w:cs="Arial" w:eastAsia="Arial" w:hAnsi="Arial"/>
          <w:sz w:val="12"/>
          <w:szCs w:val="12"/>
          <w:color w:val="auto"/>
        </w:rPr>
        <w:t>File No. 333-96775 Class A</w:t>
      </w:r>
    </w:p>
    <w:p>
      <w:pPr>
        <w:ind w:left="780"/>
        <w:spacing w:after="0" w:line="235" w:lineRule="auto"/>
        <w:rPr>
          <w:sz w:val="20"/>
          <w:szCs w:val="20"/>
          <w:color w:val="auto"/>
        </w:rPr>
      </w:pPr>
      <w:r>
        <w:rPr>
          <w:rFonts w:ascii="Arial" w:cs="Arial" w:eastAsia="Arial" w:hAnsi="Arial"/>
          <w:sz w:val="12"/>
          <w:szCs w:val="12"/>
          <w:color w:val="auto"/>
        </w:rPr>
        <w:t>File No. 333-96777 Class XC</w:t>
      </w:r>
    </w:p>
    <w:p>
      <w:pPr>
        <w:ind w:left="780"/>
        <w:spacing w:after="0" w:line="235" w:lineRule="auto"/>
        <w:rPr>
          <w:sz w:val="20"/>
          <w:szCs w:val="20"/>
          <w:color w:val="auto"/>
        </w:rPr>
      </w:pPr>
      <w:r>
        <w:rPr>
          <w:rFonts w:ascii="Arial" w:cs="Arial" w:eastAsia="Arial" w:hAnsi="Arial"/>
          <w:sz w:val="12"/>
          <w:szCs w:val="12"/>
          <w:color w:val="auto"/>
        </w:rPr>
        <w:t>File No. 333-96785 Class L and Class L –4 Year (offered between November 22, 2004 and October 7, 2011)</w:t>
      </w:r>
    </w:p>
    <w:p>
      <w:pPr>
        <w:ind w:left="780"/>
        <w:spacing w:after="0" w:line="235" w:lineRule="auto"/>
        <w:rPr>
          <w:sz w:val="20"/>
          <w:szCs w:val="20"/>
          <w:color w:val="auto"/>
        </w:rPr>
      </w:pPr>
      <w:r>
        <w:rPr>
          <w:rFonts w:ascii="Arial" w:cs="Arial" w:eastAsia="Arial" w:hAnsi="Arial"/>
          <w:sz w:val="12"/>
          <w:szCs w:val="12"/>
          <w:color w:val="auto"/>
        </w:rPr>
        <w:t>File No. 333-96795 Class C (offered between September 4, 2001 and October 7, 2011)</w:t>
      </w:r>
    </w:p>
    <w:p>
      <w:pPr>
        <w:ind w:left="780"/>
        <w:spacing w:after="0" w:line="234" w:lineRule="auto"/>
        <w:rPr>
          <w:sz w:val="20"/>
          <w:szCs w:val="20"/>
          <w:color w:val="auto"/>
        </w:rPr>
      </w:pPr>
      <w:r>
        <w:rPr>
          <w:rFonts w:ascii="Arial" w:cs="Arial" w:eastAsia="Arial" w:hAnsi="Arial"/>
          <w:sz w:val="12"/>
          <w:szCs w:val="12"/>
          <w:color w:val="auto"/>
        </w:rPr>
        <w:t>File No. 333-125613 Vintage L and Vintage XC</w:t>
      </w:r>
    </w:p>
    <w:p>
      <w:pPr>
        <w:ind w:left="780"/>
        <w:spacing w:after="0" w:line="235" w:lineRule="auto"/>
        <w:rPr>
          <w:sz w:val="20"/>
          <w:szCs w:val="20"/>
          <w:color w:val="auto"/>
        </w:rPr>
      </w:pPr>
      <w:r>
        <w:rPr>
          <w:rFonts w:ascii="Arial" w:cs="Arial" w:eastAsia="Arial" w:hAnsi="Arial"/>
          <w:sz w:val="12"/>
          <w:szCs w:val="12"/>
          <w:color w:val="auto"/>
        </w:rPr>
        <w:t>File No. 333-125617 PrimElite III</w:t>
      </w:r>
    </w:p>
    <w:p>
      <w:pPr>
        <w:ind w:left="780"/>
        <w:spacing w:after="0" w:line="235" w:lineRule="auto"/>
        <w:rPr>
          <w:sz w:val="20"/>
          <w:szCs w:val="20"/>
          <w:color w:val="auto"/>
        </w:rPr>
      </w:pPr>
      <w:r>
        <w:rPr>
          <w:rFonts w:ascii="Arial" w:cs="Arial" w:eastAsia="Arial" w:hAnsi="Arial"/>
          <w:sz w:val="12"/>
          <w:szCs w:val="12"/>
          <w:color w:val="auto"/>
        </w:rPr>
        <w:t>File No. 333-125618 Marquis Portfolios (offered between November 7, 2005 and April 30, 2012)</w:t>
      </w:r>
    </w:p>
    <w:p>
      <w:pPr>
        <w:ind w:left="780"/>
        <w:spacing w:after="0" w:line="235" w:lineRule="auto"/>
        <w:rPr>
          <w:sz w:val="20"/>
          <w:szCs w:val="20"/>
          <w:color w:val="auto"/>
        </w:rPr>
      </w:pPr>
      <w:r>
        <w:rPr>
          <w:rFonts w:ascii="Arial" w:cs="Arial" w:eastAsia="Arial" w:hAnsi="Arial"/>
          <w:sz w:val="12"/>
          <w:szCs w:val="12"/>
          <w:color w:val="auto"/>
        </w:rPr>
        <w:t>File No. 333-125619 Protected Equity Portfolio</w:t>
      </w:r>
    </w:p>
    <w:p>
      <w:pPr>
        <w:ind w:left="780"/>
        <w:spacing w:after="0" w:line="235" w:lineRule="auto"/>
        <w:rPr>
          <w:sz w:val="20"/>
          <w:szCs w:val="20"/>
          <w:color w:val="auto"/>
        </w:rPr>
      </w:pPr>
      <w:r>
        <w:rPr>
          <w:rFonts w:ascii="Arial" w:cs="Arial" w:eastAsia="Arial" w:hAnsi="Arial"/>
          <w:sz w:val="12"/>
          <w:szCs w:val="12"/>
          <w:color w:val="auto"/>
        </w:rPr>
        <w:t>File No. 333-137370 Class S and Class S - L Share Option (offered between April 30, 2007 and October 7, 2011)</w:t>
      </w:r>
    </w:p>
    <w:p>
      <w:pPr>
        <w:ind w:left="780"/>
        <w:spacing w:after="0" w:line="234" w:lineRule="auto"/>
        <w:rPr>
          <w:sz w:val="20"/>
          <w:szCs w:val="20"/>
          <w:color w:val="auto"/>
        </w:rPr>
      </w:pPr>
      <w:r>
        <w:rPr>
          <w:rFonts w:ascii="Arial" w:cs="Arial" w:eastAsia="Arial" w:hAnsi="Arial"/>
          <w:sz w:val="12"/>
          <w:szCs w:val="12"/>
          <w:color w:val="auto"/>
        </w:rPr>
        <w:t>File No. 333-137969 PrimElite IV</w:t>
      </w:r>
    </w:p>
    <w:p>
      <w:pPr>
        <w:ind w:left="780"/>
        <w:spacing w:after="0" w:line="235" w:lineRule="auto"/>
        <w:rPr>
          <w:sz w:val="20"/>
          <w:szCs w:val="20"/>
          <w:color w:val="auto"/>
        </w:rPr>
      </w:pPr>
      <w:r>
        <w:rPr>
          <w:rFonts w:ascii="Arial" w:cs="Arial" w:eastAsia="Arial" w:hAnsi="Arial"/>
          <w:sz w:val="12"/>
          <w:szCs w:val="12"/>
          <w:color w:val="auto"/>
        </w:rPr>
        <w:t>File No. 333-148873 Pioneer PRISM</w:t>
      </w:r>
    </w:p>
    <w:p>
      <w:pPr>
        <w:ind w:left="780"/>
        <w:spacing w:after="0" w:line="235" w:lineRule="auto"/>
        <w:rPr>
          <w:sz w:val="20"/>
          <w:szCs w:val="20"/>
          <w:color w:val="auto"/>
        </w:rPr>
      </w:pPr>
      <w:r>
        <w:rPr>
          <w:rFonts w:ascii="Arial" w:cs="Arial" w:eastAsia="Arial" w:hAnsi="Arial"/>
          <w:sz w:val="12"/>
          <w:szCs w:val="12"/>
          <w:color w:val="auto"/>
        </w:rPr>
        <w:t>File No. 333-148874 Pioneer PRISM XC</w:t>
      </w:r>
    </w:p>
    <w:p>
      <w:pPr>
        <w:ind w:left="780"/>
        <w:spacing w:after="0" w:line="235" w:lineRule="auto"/>
        <w:rPr>
          <w:sz w:val="20"/>
          <w:szCs w:val="20"/>
          <w:color w:val="auto"/>
        </w:rPr>
      </w:pPr>
      <w:r>
        <w:rPr>
          <w:rFonts w:ascii="Arial" w:cs="Arial" w:eastAsia="Arial" w:hAnsi="Arial"/>
          <w:sz w:val="12"/>
          <w:szCs w:val="12"/>
          <w:color w:val="auto"/>
        </w:rPr>
        <w:t>File No. 333-148876 Pioneer PRISM L</w:t>
      </w:r>
    </w:p>
    <w:p>
      <w:pPr>
        <w:ind w:left="780"/>
        <w:spacing w:after="0" w:line="235" w:lineRule="auto"/>
        <w:rPr>
          <w:sz w:val="20"/>
          <w:szCs w:val="20"/>
          <w:color w:val="auto"/>
        </w:rPr>
      </w:pPr>
      <w:r>
        <w:rPr>
          <w:rFonts w:ascii="Arial" w:cs="Arial" w:eastAsia="Arial" w:hAnsi="Arial"/>
          <w:sz w:val="12"/>
          <w:szCs w:val="12"/>
          <w:color w:val="auto"/>
        </w:rPr>
        <w:t>File No. 333-152450 Class XTRA</w:t>
      </w:r>
    </w:p>
    <w:p>
      <w:pPr>
        <w:ind w:left="780"/>
        <w:spacing w:after="0" w:line="234" w:lineRule="auto"/>
        <w:rPr>
          <w:sz w:val="20"/>
          <w:szCs w:val="20"/>
          <w:color w:val="auto"/>
        </w:rPr>
      </w:pPr>
      <w:r>
        <w:rPr>
          <w:rFonts w:ascii="Arial" w:cs="Arial" w:eastAsia="Arial" w:hAnsi="Arial"/>
          <w:sz w:val="12"/>
          <w:szCs w:val="12"/>
          <w:color w:val="auto"/>
        </w:rPr>
        <w:t>File No. 333-156646 Class XTRA 6</w:t>
      </w:r>
    </w:p>
    <w:p>
      <w:pPr>
        <w:ind w:left="780"/>
        <w:spacing w:after="0" w:line="188" w:lineRule="auto"/>
        <w:rPr>
          <w:sz w:val="20"/>
          <w:szCs w:val="20"/>
          <w:color w:val="auto"/>
        </w:rPr>
      </w:pPr>
      <w:r>
        <w:rPr>
          <w:rFonts w:ascii="Arial" w:cs="Arial" w:eastAsia="Arial" w:hAnsi="Arial"/>
          <w:sz w:val="11"/>
          <w:szCs w:val="11"/>
          <w:color w:val="auto"/>
        </w:rPr>
        <w:t>File No. 333-158579 Brighthouse Simple Solutions</w:t>
      </w:r>
      <w:r>
        <w:rPr>
          <w:rFonts w:ascii="Arial" w:cs="Arial" w:eastAsia="Arial" w:hAnsi="Arial"/>
          <w:sz w:val="15"/>
          <w:szCs w:val="15"/>
          <w:color w:val="auto"/>
          <w:vertAlign w:val="superscript"/>
        </w:rPr>
        <w:t>SM</w:t>
      </w:r>
    </w:p>
    <w:p>
      <w:pPr>
        <w:ind w:left="780"/>
        <w:spacing w:after="0" w:line="235" w:lineRule="auto"/>
        <w:rPr>
          <w:sz w:val="20"/>
          <w:szCs w:val="20"/>
          <w:color w:val="auto"/>
        </w:rPr>
      </w:pPr>
      <w:r>
        <w:rPr>
          <w:rFonts w:ascii="Arial" w:cs="Arial" w:eastAsia="Arial" w:hAnsi="Arial"/>
          <w:sz w:val="12"/>
          <w:szCs w:val="12"/>
          <w:color w:val="auto"/>
        </w:rPr>
        <w:t>File No. 333-169687 Class VA- 4 (offered between May 1, 2011 and October 7, 2011)</w:t>
      </w:r>
    </w:p>
    <w:p>
      <w:pPr>
        <w:ind w:left="780"/>
        <w:spacing w:after="0" w:line="235" w:lineRule="auto"/>
        <w:rPr>
          <w:sz w:val="20"/>
          <w:szCs w:val="20"/>
          <w:color w:val="auto"/>
        </w:rPr>
      </w:pPr>
      <w:r>
        <w:rPr>
          <w:rFonts w:ascii="Arial" w:cs="Arial" w:eastAsia="Arial" w:hAnsi="Arial"/>
          <w:sz w:val="12"/>
          <w:szCs w:val="12"/>
          <w:color w:val="auto"/>
        </w:rPr>
        <w:t>File No. 333-176679 Class S (offered on and after October 7, 2011) and</w:t>
      </w:r>
    </w:p>
    <w:p>
      <w:pPr>
        <w:ind w:left="1000"/>
        <w:spacing w:after="0" w:line="235" w:lineRule="auto"/>
        <w:rPr>
          <w:sz w:val="20"/>
          <w:szCs w:val="20"/>
          <w:color w:val="auto"/>
        </w:rPr>
      </w:pPr>
      <w:r>
        <w:rPr>
          <w:rFonts w:ascii="Arial" w:cs="Arial" w:eastAsia="Arial" w:hAnsi="Arial"/>
          <w:sz w:val="12"/>
          <w:szCs w:val="12"/>
          <w:color w:val="auto"/>
        </w:rPr>
        <w:t>Class S- L Share Option (offered on and after October 7, 2011)</w:t>
      </w:r>
    </w:p>
    <w:p>
      <w:pPr>
        <w:ind w:left="780"/>
        <w:spacing w:after="0" w:line="234" w:lineRule="auto"/>
        <w:rPr>
          <w:sz w:val="20"/>
          <w:szCs w:val="20"/>
          <w:color w:val="auto"/>
        </w:rPr>
      </w:pPr>
      <w:r>
        <w:rPr>
          <w:rFonts w:ascii="Arial" w:cs="Arial" w:eastAsia="Arial" w:hAnsi="Arial"/>
          <w:sz w:val="12"/>
          <w:szCs w:val="12"/>
          <w:color w:val="auto"/>
        </w:rPr>
        <w:t>File No. 333-176680 Class VA- 4 (offered between October 7, 2011 and May 1, 2016)</w:t>
      </w:r>
    </w:p>
    <w:p>
      <w:pPr>
        <w:ind w:left="780"/>
        <w:spacing w:after="0" w:line="235" w:lineRule="auto"/>
        <w:rPr>
          <w:sz w:val="20"/>
          <w:szCs w:val="20"/>
          <w:color w:val="auto"/>
        </w:rPr>
      </w:pPr>
      <w:r>
        <w:rPr>
          <w:rFonts w:ascii="Arial" w:cs="Arial" w:eastAsia="Arial" w:hAnsi="Arial"/>
          <w:sz w:val="12"/>
          <w:szCs w:val="12"/>
          <w:color w:val="auto"/>
        </w:rPr>
        <w:t>File No. 333-176691 Class VA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333-176692 Class L- 4 Year (offered between October 7, 2011 and April 28, 2013)</w:t>
      </w:r>
    </w:p>
    <w:p>
      <w:pPr>
        <w:ind w:left="780"/>
        <w:spacing w:after="0" w:line="235" w:lineRule="auto"/>
        <w:rPr>
          <w:sz w:val="20"/>
          <w:szCs w:val="20"/>
          <w:color w:val="auto"/>
        </w:rPr>
      </w:pPr>
      <w:r>
        <w:rPr>
          <w:rFonts w:ascii="Arial" w:cs="Arial" w:eastAsia="Arial" w:hAnsi="Arial"/>
          <w:sz w:val="12"/>
          <w:szCs w:val="12"/>
          <w:color w:val="auto"/>
        </w:rPr>
        <w:t>File No. 333-176693 Class C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333-178515 Class O (offered between April 30, 2012 and September 20, 2015)</w:t>
      </w:r>
    </w:p>
    <w:p>
      <w:pPr>
        <w:ind w:left="780"/>
        <w:spacing w:after="0" w:line="234" w:lineRule="auto"/>
        <w:rPr>
          <w:sz w:val="20"/>
          <w:szCs w:val="20"/>
          <w:color w:val="auto"/>
        </w:rPr>
      </w:pPr>
      <w:r>
        <w:rPr>
          <w:rFonts w:ascii="Arial" w:cs="Arial" w:eastAsia="Arial" w:hAnsi="Arial"/>
          <w:sz w:val="12"/>
          <w:szCs w:val="12"/>
          <w:color w:val="auto"/>
        </w:rPr>
        <w:t>File No. 333-179240 Marquis Portfolios (offered on and after April 30, 2012)</w:t>
      </w:r>
    </w:p>
    <w:p>
      <w:pPr>
        <w:ind w:left="780"/>
        <w:spacing w:after="0" w:line="235" w:lineRule="auto"/>
        <w:rPr>
          <w:sz w:val="20"/>
          <w:szCs w:val="20"/>
          <w:color w:val="auto"/>
        </w:rPr>
      </w:pPr>
      <w:r>
        <w:rPr>
          <w:rFonts w:ascii="Arial" w:cs="Arial" w:eastAsia="Arial" w:hAnsi="Arial"/>
          <w:sz w:val="12"/>
          <w:szCs w:val="12"/>
          <w:color w:val="auto"/>
        </w:rPr>
        <w:t>File No. 333-186216 Class L- 4 Year (offered on and after April 29, 2013)</w:t>
      </w:r>
    </w:p>
    <w:p>
      <w:pPr>
        <w:ind w:left="780"/>
        <w:spacing w:after="0" w:line="235" w:lineRule="auto"/>
        <w:rPr>
          <w:sz w:val="20"/>
          <w:szCs w:val="20"/>
          <w:color w:val="auto"/>
        </w:rPr>
      </w:pPr>
      <w:r>
        <w:rPr>
          <w:rFonts w:ascii="Arial" w:cs="Arial" w:eastAsia="Arial" w:hAnsi="Arial"/>
          <w:sz w:val="12"/>
          <w:szCs w:val="12"/>
          <w:color w:val="auto"/>
        </w:rPr>
        <w:t>File No. 333-205137 Class O (offered on and after September 21, 2015)</w:t>
      </w:r>
    </w:p>
    <w:p>
      <w:pPr>
        <w:ind w:left="780"/>
        <w:spacing w:after="0" w:line="235" w:lineRule="auto"/>
        <w:rPr>
          <w:sz w:val="20"/>
          <w:szCs w:val="20"/>
          <w:color w:val="auto"/>
        </w:rPr>
      </w:pPr>
      <w:r>
        <w:rPr>
          <w:rFonts w:ascii="Arial" w:cs="Arial" w:eastAsia="Arial" w:hAnsi="Arial"/>
          <w:sz w:val="12"/>
          <w:szCs w:val="12"/>
          <w:color w:val="auto"/>
        </w:rPr>
        <w:t>File No. 333-209057 Class VA- 4 (offered on and after May 2, 2016)</w:t>
      </w:r>
    </w:p>
    <w:p>
      <w:pPr>
        <w:ind w:left="780"/>
        <w:spacing w:after="0" w:line="235" w:lineRule="auto"/>
        <w:rPr>
          <w:sz w:val="20"/>
          <w:szCs w:val="20"/>
          <w:color w:val="auto"/>
        </w:rPr>
      </w:pPr>
      <w:r>
        <w:rPr>
          <w:rFonts w:ascii="Arial" w:cs="Arial" w:eastAsia="Arial" w:hAnsi="Arial"/>
          <w:sz w:val="12"/>
          <w:szCs w:val="12"/>
          <w:color w:val="auto"/>
        </w:rPr>
        <w:t>File No. 333-209058 Class VA (offered on and after May 2, 2016)</w:t>
      </w:r>
    </w:p>
    <w:p>
      <w:pPr>
        <w:ind w:left="780"/>
        <w:spacing w:after="0" w:line="234" w:lineRule="auto"/>
        <w:rPr>
          <w:sz w:val="20"/>
          <w:szCs w:val="20"/>
          <w:color w:val="auto"/>
        </w:rPr>
      </w:pPr>
      <w:r>
        <w:rPr>
          <w:rFonts w:ascii="Arial" w:cs="Arial" w:eastAsia="Arial" w:hAnsi="Arial"/>
          <w:sz w:val="12"/>
          <w:szCs w:val="12"/>
          <w:color w:val="auto"/>
        </w:rPr>
        <w:t>File No. 333-209059 Class S (offered on and after May 2, 2016) and</w:t>
      </w:r>
    </w:p>
    <w:p>
      <w:pPr>
        <w:ind w:left="1000"/>
        <w:spacing w:after="0" w:line="235" w:lineRule="auto"/>
        <w:rPr>
          <w:sz w:val="20"/>
          <w:szCs w:val="20"/>
          <w:color w:val="auto"/>
        </w:rPr>
      </w:pPr>
      <w:r>
        <w:rPr>
          <w:rFonts w:ascii="Arial" w:cs="Arial" w:eastAsia="Arial" w:hAnsi="Arial"/>
          <w:sz w:val="12"/>
          <w:szCs w:val="12"/>
          <w:color w:val="auto"/>
        </w:rPr>
        <w:t>S- L Share Option (offered on and after May 2, 2016)</w:t>
      </w:r>
    </w:p>
    <w:p>
      <w:pPr>
        <w:ind w:left="780"/>
        <w:spacing w:after="0"/>
        <w:rPr>
          <w:sz w:val="20"/>
          <w:szCs w:val="20"/>
          <w:color w:val="auto"/>
        </w:rPr>
      </w:pPr>
      <w:r>
        <w:rPr>
          <w:rFonts w:ascii="Arial" w:cs="Arial" w:eastAsia="Arial" w:hAnsi="Arial"/>
          <w:sz w:val="12"/>
          <w:szCs w:val="12"/>
          <w:color w:val="auto"/>
        </w:rPr>
        <w:t>File No. 333-216454 Brighthouse Prime Options,</w:t>
      </w:r>
    </w:p>
    <w:p>
      <w:pPr>
        <w:sectPr>
          <w:pgSz w:w="11900" w:h="16838" w:orient="portrait"/>
          <w:cols w:equalWidth="0" w:num="1">
            <w:col w:w="11200"/>
          </w:cols>
          <w:pgMar w:left="300" w:top="226" w:right="399" w:bottom="1440" w:gutter="0" w:footer="0" w:header="0"/>
        </w:sectPr>
      </w:pPr>
    </w:p>
    <w:bookmarkStart w:id="182" w:name="page183"/>
    <w:bookmarkEnd w:id="182"/>
    <w:p>
      <w:pPr>
        <w:ind w:left="5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And pertaining to:</w:t>
      </w:r>
    </w:p>
    <w:p>
      <w:pPr>
        <w:ind w:left="780"/>
        <w:spacing w:after="0" w:line="187" w:lineRule="auto"/>
        <w:rPr>
          <w:sz w:val="20"/>
          <w:szCs w:val="20"/>
          <w:color w:val="auto"/>
        </w:rPr>
      </w:pPr>
      <w:r>
        <w:rPr>
          <w:rFonts w:ascii="Arial" w:cs="Arial" w:eastAsia="Arial" w:hAnsi="Arial"/>
          <w:sz w:val="11"/>
          <w:szCs w:val="11"/>
          <w:color w:val="auto"/>
        </w:rPr>
        <w:t>File No. 333-216452 Brighthouse Shield Level Selector</w:t>
      </w:r>
      <w:r>
        <w:rPr>
          <w:rFonts w:ascii="Arial" w:cs="Arial" w:eastAsia="Arial" w:hAnsi="Arial"/>
          <w:sz w:val="16"/>
          <w:szCs w:val="16"/>
          <w:color w:val="auto"/>
          <w:vertAlign w:val="superscript"/>
        </w:rPr>
        <w:t>®</w:t>
      </w:r>
      <w:r>
        <w:rPr>
          <w:rFonts w:ascii="Arial" w:cs="Arial" w:eastAsia="Arial" w:hAnsi="Arial"/>
          <w:sz w:val="11"/>
          <w:szCs w:val="11"/>
          <w:color w:val="auto"/>
        </w:rPr>
        <w:t xml:space="preserve"> Annuity</w:t>
      </w:r>
    </w:p>
    <w:p>
      <w:pPr>
        <w:ind w:left="780"/>
        <w:spacing w:after="0" w:line="188" w:lineRule="auto"/>
        <w:rPr>
          <w:sz w:val="20"/>
          <w:szCs w:val="20"/>
          <w:color w:val="auto"/>
        </w:rPr>
      </w:pPr>
      <w:r>
        <w:rPr>
          <w:rFonts w:ascii="Arial" w:cs="Arial" w:eastAsia="Arial" w:hAnsi="Arial"/>
          <w:sz w:val="11"/>
          <w:szCs w:val="11"/>
          <w:color w:val="auto"/>
        </w:rPr>
        <w:t>File No. 333-216453 Brighthouse Shield Level Selector</w:t>
      </w:r>
      <w:r>
        <w:rPr>
          <w:rFonts w:ascii="Arial" w:cs="Arial" w:eastAsia="Arial" w:hAnsi="Arial"/>
          <w:sz w:val="15"/>
          <w:szCs w:val="15"/>
          <w:color w:val="auto"/>
          <w:vertAlign w:val="superscript"/>
        </w:rPr>
        <w:t>®</w:t>
      </w:r>
      <w:r>
        <w:rPr>
          <w:rFonts w:ascii="Arial" w:cs="Arial" w:eastAsia="Arial" w:hAnsi="Arial"/>
          <w:sz w:val="11"/>
          <w:szCs w:val="11"/>
          <w:color w:val="auto"/>
        </w:rPr>
        <w:t xml:space="preserve"> 3-Year Annuity</w:t>
      </w:r>
    </w:p>
    <w:p>
      <w:pPr>
        <w:ind w:left="780"/>
        <w:spacing w:after="0" w:line="188" w:lineRule="auto"/>
        <w:rPr>
          <w:sz w:val="20"/>
          <w:szCs w:val="20"/>
          <w:color w:val="auto"/>
        </w:rPr>
      </w:pPr>
      <w:r>
        <w:rPr>
          <w:rFonts w:ascii="Arial" w:cs="Arial" w:eastAsia="Arial" w:hAnsi="Arial"/>
          <w:sz w:val="11"/>
          <w:szCs w:val="11"/>
          <w:color w:val="auto"/>
        </w:rPr>
        <w:t>File No. 333-238214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10 Annuity</w:t>
      </w:r>
    </w:p>
    <w:p>
      <w:pPr>
        <w:ind w:left="780"/>
        <w:spacing w:after="0" w:line="188" w:lineRule="auto"/>
        <w:rPr>
          <w:sz w:val="20"/>
          <w:szCs w:val="20"/>
          <w:color w:val="auto"/>
        </w:rPr>
      </w:pPr>
      <w:r>
        <w:rPr>
          <w:rFonts w:ascii="Arial" w:cs="Arial" w:eastAsia="Arial" w:hAnsi="Arial"/>
          <w:sz w:val="11"/>
          <w:szCs w:val="11"/>
          <w:color w:val="auto"/>
        </w:rPr>
        <w:t>File No. 333-265196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3-Year Annuity</w:t>
      </w:r>
    </w:p>
    <w:p>
      <w:pPr>
        <w:ind w:left="780"/>
        <w:spacing w:after="0" w:line="188" w:lineRule="auto"/>
        <w:rPr>
          <w:sz w:val="20"/>
          <w:szCs w:val="20"/>
          <w:color w:val="auto"/>
        </w:rPr>
      </w:pPr>
      <w:r>
        <w:rPr>
          <w:rFonts w:ascii="Arial" w:cs="Arial" w:eastAsia="Arial" w:hAnsi="Arial"/>
          <w:sz w:val="11"/>
          <w:szCs w:val="11"/>
          <w:color w:val="auto"/>
        </w:rPr>
        <w:t>File No. 333-265199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w:t>
      </w:r>
    </w:p>
    <w:p>
      <w:pPr>
        <w:ind w:left="780"/>
        <w:spacing w:after="0" w:line="188" w:lineRule="auto"/>
        <w:rPr>
          <w:sz w:val="20"/>
          <w:szCs w:val="20"/>
          <w:color w:val="auto"/>
        </w:rPr>
      </w:pPr>
      <w:r>
        <w:rPr>
          <w:rFonts w:ascii="Arial" w:cs="Arial" w:eastAsia="Arial" w:hAnsi="Arial"/>
          <w:sz w:val="11"/>
          <w:szCs w:val="11"/>
          <w:color w:val="auto"/>
        </w:rPr>
        <w:t>File No. 333-259506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 v.3</w:t>
      </w:r>
    </w:p>
    <w:p>
      <w:pPr>
        <w:ind w:left="780"/>
        <w:spacing w:after="0"/>
        <w:rPr>
          <w:sz w:val="20"/>
          <w:szCs w:val="20"/>
          <w:color w:val="auto"/>
        </w:rPr>
      </w:pPr>
      <w:r>
        <w:rPr>
          <w:rFonts w:ascii="Arial" w:cs="Arial" w:eastAsia="Arial" w:hAnsi="Arial"/>
          <w:sz w:val="12"/>
          <w:szCs w:val="12"/>
          <w:color w:val="auto"/>
        </w:rPr>
        <w:t>File No. 333-279315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6-Year Annuity</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And new annuities and life products such as:</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2"/>
          <w:szCs w:val="12"/>
          <w:color w:val="auto"/>
        </w:rPr>
        <w:t>Brighthouse Shield Annuity</w:t>
      </w:r>
    </w:p>
    <w:p>
      <w:pPr>
        <w:ind w:left="780"/>
        <w:spacing w:after="0" w:line="234" w:lineRule="auto"/>
        <w:rPr>
          <w:sz w:val="20"/>
          <w:szCs w:val="20"/>
          <w:color w:val="auto"/>
        </w:rPr>
      </w:pPr>
      <w:r>
        <w:rPr>
          <w:rFonts w:ascii="Arial" w:cs="Arial" w:eastAsia="Arial" w:hAnsi="Arial"/>
          <w:sz w:val="12"/>
          <w:szCs w:val="12"/>
          <w:color w:val="auto"/>
        </w:rPr>
        <w:t>Brighthouse Shield 3-Year Annuity</w:t>
      </w:r>
    </w:p>
    <w:p>
      <w:pPr>
        <w:ind w:left="780"/>
        <w:spacing w:after="0" w:line="235" w:lineRule="auto"/>
        <w:rPr>
          <w:sz w:val="20"/>
          <w:szCs w:val="20"/>
          <w:color w:val="auto"/>
        </w:rPr>
      </w:pPr>
      <w:r>
        <w:rPr>
          <w:rFonts w:ascii="Arial" w:cs="Arial" w:eastAsia="Arial" w:hAnsi="Arial"/>
          <w:sz w:val="12"/>
          <w:szCs w:val="12"/>
          <w:color w:val="auto"/>
        </w:rPr>
        <w:t>Brighthouse Shield 6-Year Annuity</w:t>
      </w:r>
    </w:p>
    <w:p>
      <w:pPr>
        <w:ind w:left="780"/>
        <w:spacing w:after="0"/>
        <w:rPr>
          <w:sz w:val="20"/>
          <w:szCs w:val="20"/>
          <w:color w:val="auto"/>
        </w:rPr>
      </w:pPr>
      <w:r>
        <w:rPr>
          <w:rFonts w:ascii="Arial" w:cs="Arial" w:eastAsia="Arial" w:hAnsi="Arial"/>
          <w:sz w:val="12"/>
          <w:szCs w:val="12"/>
          <w:color w:val="auto"/>
        </w:rPr>
        <w:t>Brighthouse indexed-linked life insurance policy,</w:t>
      </w:r>
    </w:p>
    <w:p>
      <w:pPr>
        <w:spacing w:after="0" w:line="129"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I have hereunto set my hand this 17th day of May 2024.</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Kevin White</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Kevin White</w:t>
      </w:r>
    </w:p>
    <w:p>
      <w:pPr>
        <w:sectPr>
          <w:pgSz w:w="11900" w:h="16838" w:orient="portrait"/>
          <w:cols w:equalWidth="0" w:num="1">
            <w:col w:w="11040"/>
          </w:cols>
          <w:pgMar w:left="300" w:top="226" w:right="559" w:bottom="1440" w:gutter="0" w:footer="0" w:header="0"/>
        </w:sectPr>
      </w:pPr>
    </w:p>
    <w:bookmarkStart w:id="183" w:name="page184"/>
    <w:bookmarkEnd w:id="183"/>
    <w:p>
      <w:pPr>
        <w:jc w:val="center"/>
        <w:ind w:right="-9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Brighthouse Life Insurance Company of NY</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POWER OF ATTORNEY</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Melissa B. Pavlovich</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Vice President and Chief Financial Officer</w:t>
      </w:r>
    </w:p>
    <w:p>
      <w:pPr>
        <w:spacing w:after="0" w:line="129"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KNOW ALL MEN BY THESE PRESENTS, that I, Melissa B. Pavlovich, Vice President and Chief Financial Officer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spacing w:after="0" w:line="65" w:lineRule="exact"/>
        <w:rPr>
          <w:sz w:val="20"/>
          <w:szCs w:val="20"/>
          <w:color w:val="auto"/>
        </w:rPr>
      </w:pPr>
    </w:p>
    <w:p>
      <w:pPr>
        <w:ind w:left="660" w:hanging="335"/>
        <w:spacing w:after="0"/>
        <w:tabs>
          <w:tab w:leader="none" w:pos="660" w:val="left"/>
        </w:tabs>
        <w:numPr>
          <w:ilvl w:val="0"/>
          <w:numId w:val="157"/>
        </w:numPr>
        <w:rPr>
          <w:rFonts w:ascii="Times New Roman" w:cs="Times New Roman" w:eastAsia="Times New Roman" w:hAnsi="Times New Roman"/>
          <w:sz w:val="19"/>
          <w:szCs w:val="19"/>
          <w:color w:val="auto"/>
          <w:vertAlign w:val="superscript"/>
        </w:rPr>
      </w:pPr>
      <w:r>
        <w:rPr>
          <w:rFonts w:ascii="Arial" w:cs="Arial" w:eastAsia="Arial" w:hAnsi="Arial"/>
          <w:sz w:val="12"/>
          <w:szCs w:val="12"/>
          <w:color w:val="auto"/>
        </w:rPr>
        <w:t>  Brighthouse Variable Annuity Account B (811-08306)</w:t>
      </w:r>
    </w:p>
    <w:p>
      <w:pPr>
        <w:ind w:left="780"/>
        <w:spacing w:after="0" w:line="234" w:lineRule="auto"/>
        <w:rPr>
          <w:sz w:val="20"/>
          <w:szCs w:val="20"/>
          <w:color w:val="auto"/>
        </w:rPr>
      </w:pPr>
      <w:r>
        <w:rPr>
          <w:rFonts w:ascii="Arial" w:cs="Arial" w:eastAsia="Arial" w:hAnsi="Arial"/>
          <w:sz w:val="12"/>
          <w:szCs w:val="12"/>
          <w:color w:val="auto"/>
        </w:rPr>
        <w:t>File No. 033-74174 First COVA VA, Custom Select, Russell Select and Class VA, Class AA and Class B</w:t>
      </w:r>
    </w:p>
    <w:p>
      <w:pPr>
        <w:ind w:left="780"/>
        <w:spacing w:after="0" w:line="235" w:lineRule="auto"/>
        <w:rPr>
          <w:sz w:val="20"/>
          <w:szCs w:val="20"/>
          <w:color w:val="auto"/>
        </w:rPr>
      </w:pPr>
      <w:r>
        <w:rPr>
          <w:rFonts w:ascii="Arial" w:cs="Arial" w:eastAsia="Arial" w:hAnsi="Arial"/>
          <w:sz w:val="12"/>
          <w:szCs w:val="12"/>
          <w:color w:val="auto"/>
        </w:rPr>
        <w:t>File No. 333-96773 Class VA (offered between June 15, 2001 and October 7, 2011), Class AA, and Class B</w:t>
      </w:r>
    </w:p>
    <w:p>
      <w:pPr>
        <w:ind w:left="780"/>
        <w:spacing w:after="0" w:line="235" w:lineRule="auto"/>
        <w:rPr>
          <w:sz w:val="20"/>
          <w:szCs w:val="20"/>
          <w:color w:val="auto"/>
        </w:rPr>
      </w:pPr>
      <w:r>
        <w:rPr>
          <w:rFonts w:ascii="Arial" w:cs="Arial" w:eastAsia="Arial" w:hAnsi="Arial"/>
          <w:sz w:val="12"/>
          <w:szCs w:val="12"/>
          <w:color w:val="auto"/>
        </w:rPr>
        <w:t>File No. 333-96775 Class A</w:t>
      </w:r>
    </w:p>
    <w:p>
      <w:pPr>
        <w:ind w:left="780"/>
        <w:spacing w:after="0" w:line="235" w:lineRule="auto"/>
        <w:rPr>
          <w:sz w:val="20"/>
          <w:szCs w:val="20"/>
          <w:color w:val="auto"/>
        </w:rPr>
      </w:pPr>
      <w:r>
        <w:rPr>
          <w:rFonts w:ascii="Arial" w:cs="Arial" w:eastAsia="Arial" w:hAnsi="Arial"/>
          <w:sz w:val="12"/>
          <w:szCs w:val="12"/>
          <w:color w:val="auto"/>
        </w:rPr>
        <w:t>File No. 333-96777 Class XC</w:t>
      </w:r>
    </w:p>
    <w:p>
      <w:pPr>
        <w:ind w:left="780"/>
        <w:spacing w:after="0" w:line="234" w:lineRule="auto"/>
        <w:rPr>
          <w:sz w:val="20"/>
          <w:szCs w:val="20"/>
          <w:color w:val="auto"/>
        </w:rPr>
      </w:pPr>
      <w:r>
        <w:rPr>
          <w:rFonts w:ascii="Arial" w:cs="Arial" w:eastAsia="Arial" w:hAnsi="Arial"/>
          <w:sz w:val="12"/>
          <w:szCs w:val="12"/>
          <w:color w:val="auto"/>
        </w:rPr>
        <w:t>File No. 333-96785 Class L and Class L –4 Year (offered between November 22, 2004 and October 7, 2011)</w:t>
      </w:r>
    </w:p>
    <w:p>
      <w:pPr>
        <w:ind w:left="780"/>
        <w:spacing w:after="0" w:line="235" w:lineRule="auto"/>
        <w:rPr>
          <w:sz w:val="20"/>
          <w:szCs w:val="20"/>
          <w:color w:val="auto"/>
        </w:rPr>
      </w:pPr>
      <w:r>
        <w:rPr>
          <w:rFonts w:ascii="Arial" w:cs="Arial" w:eastAsia="Arial" w:hAnsi="Arial"/>
          <w:sz w:val="12"/>
          <w:szCs w:val="12"/>
          <w:color w:val="auto"/>
        </w:rPr>
        <w:t>File No. 333-96795 Class C (offered between September 4, 2001 and October 7, 2011)</w:t>
      </w:r>
    </w:p>
    <w:p>
      <w:pPr>
        <w:ind w:left="780"/>
        <w:spacing w:after="0" w:line="235" w:lineRule="auto"/>
        <w:rPr>
          <w:sz w:val="20"/>
          <w:szCs w:val="20"/>
          <w:color w:val="auto"/>
        </w:rPr>
      </w:pPr>
      <w:r>
        <w:rPr>
          <w:rFonts w:ascii="Arial" w:cs="Arial" w:eastAsia="Arial" w:hAnsi="Arial"/>
          <w:sz w:val="12"/>
          <w:szCs w:val="12"/>
          <w:color w:val="auto"/>
        </w:rPr>
        <w:t>File No. 333-125613 Vintage L and Vintage XC</w:t>
      </w:r>
    </w:p>
    <w:p>
      <w:pPr>
        <w:ind w:left="780"/>
        <w:spacing w:after="0" w:line="235" w:lineRule="auto"/>
        <w:rPr>
          <w:sz w:val="20"/>
          <w:szCs w:val="20"/>
          <w:color w:val="auto"/>
        </w:rPr>
      </w:pPr>
      <w:r>
        <w:rPr>
          <w:rFonts w:ascii="Arial" w:cs="Arial" w:eastAsia="Arial" w:hAnsi="Arial"/>
          <w:sz w:val="12"/>
          <w:szCs w:val="12"/>
          <w:color w:val="auto"/>
        </w:rPr>
        <w:t>File No. 333-125617 PrimElite III</w:t>
      </w:r>
    </w:p>
    <w:p>
      <w:pPr>
        <w:ind w:left="780"/>
        <w:spacing w:after="0" w:line="235" w:lineRule="auto"/>
        <w:rPr>
          <w:sz w:val="20"/>
          <w:szCs w:val="20"/>
          <w:color w:val="auto"/>
        </w:rPr>
      </w:pPr>
      <w:r>
        <w:rPr>
          <w:rFonts w:ascii="Arial" w:cs="Arial" w:eastAsia="Arial" w:hAnsi="Arial"/>
          <w:sz w:val="12"/>
          <w:szCs w:val="12"/>
          <w:color w:val="auto"/>
        </w:rPr>
        <w:t>File No. 333-125618 Marquis Portfolios (offered between November 7, 2005 and April 30, 2012)</w:t>
      </w:r>
    </w:p>
    <w:p>
      <w:pPr>
        <w:ind w:left="780"/>
        <w:spacing w:after="0" w:line="234" w:lineRule="auto"/>
        <w:rPr>
          <w:sz w:val="20"/>
          <w:szCs w:val="20"/>
          <w:color w:val="auto"/>
        </w:rPr>
      </w:pPr>
      <w:r>
        <w:rPr>
          <w:rFonts w:ascii="Arial" w:cs="Arial" w:eastAsia="Arial" w:hAnsi="Arial"/>
          <w:sz w:val="12"/>
          <w:szCs w:val="12"/>
          <w:color w:val="auto"/>
        </w:rPr>
        <w:t>File No. 333-125619 Protected Equity Portfolio</w:t>
      </w:r>
    </w:p>
    <w:p>
      <w:pPr>
        <w:ind w:left="780"/>
        <w:spacing w:after="0" w:line="235" w:lineRule="auto"/>
        <w:rPr>
          <w:sz w:val="20"/>
          <w:szCs w:val="20"/>
          <w:color w:val="auto"/>
        </w:rPr>
      </w:pPr>
      <w:r>
        <w:rPr>
          <w:rFonts w:ascii="Arial" w:cs="Arial" w:eastAsia="Arial" w:hAnsi="Arial"/>
          <w:sz w:val="12"/>
          <w:szCs w:val="12"/>
          <w:color w:val="auto"/>
        </w:rPr>
        <w:t>File No. 333-137370 Class S and Class S - L Share Option (offered between April 30, 2007 and October 7, 2011)</w:t>
      </w:r>
    </w:p>
    <w:p>
      <w:pPr>
        <w:ind w:left="780"/>
        <w:spacing w:after="0" w:line="235" w:lineRule="auto"/>
        <w:rPr>
          <w:sz w:val="20"/>
          <w:szCs w:val="20"/>
          <w:color w:val="auto"/>
        </w:rPr>
      </w:pPr>
      <w:r>
        <w:rPr>
          <w:rFonts w:ascii="Arial" w:cs="Arial" w:eastAsia="Arial" w:hAnsi="Arial"/>
          <w:sz w:val="12"/>
          <w:szCs w:val="12"/>
          <w:color w:val="auto"/>
        </w:rPr>
        <w:t>File No. 333-137969 PrimElite IV</w:t>
      </w:r>
    </w:p>
    <w:p>
      <w:pPr>
        <w:ind w:left="780"/>
        <w:spacing w:after="0" w:line="235" w:lineRule="auto"/>
        <w:rPr>
          <w:sz w:val="20"/>
          <w:szCs w:val="20"/>
          <w:color w:val="auto"/>
        </w:rPr>
      </w:pPr>
      <w:r>
        <w:rPr>
          <w:rFonts w:ascii="Arial" w:cs="Arial" w:eastAsia="Arial" w:hAnsi="Arial"/>
          <w:sz w:val="12"/>
          <w:szCs w:val="12"/>
          <w:color w:val="auto"/>
        </w:rPr>
        <w:t>File No. 333-148873 Pioneer PRISM</w:t>
      </w:r>
    </w:p>
    <w:p>
      <w:pPr>
        <w:ind w:left="780"/>
        <w:spacing w:after="0" w:line="235" w:lineRule="auto"/>
        <w:rPr>
          <w:sz w:val="20"/>
          <w:szCs w:val="20"/>
          <w:color w:val="auto"/>
        </w:rPr>
      </w:pPr>
      <w:r>
        <w:rPr>
          <w:rFonts w:ascii="Arial" w:cs="Arial" w:eastAsia="Arial" w:hAnsi="Arial"/>
          <w:sz w:val="12"/>
          <w:szCs w:val="12"/>
          <w:color w:val="auto"/>
        </w:rPr>
        <w:t>File No. 333-148874 Pioneer PRISM XC</w:t>
      </w:r>
    </w:p>
    <w:p>
      <w:pPr>
        <w:ind w:left="780"/>
        <w:spacing w:after="0" w:line="234" w:lineRule="auto"/>
        <w:rPr>
          <w:sz w:val="20"/>
          <w:szCs w:val="20"/>
          <w:color w:val="auto"/>
        </w:rPr>
      </w:pPr>
      <w:r>
        <w:rPr>
          <w:rFonts w:ascii="Arial" w:cs="Arial" w:eastAsia="Arial" w:hAnsi="Arial"/>
          <w:sz w:val="12"/>
          <w:szCs w:val="12"/>
          <w:color w:val="auto"/>
        </w:rPr>
        <w:t>File No. 333-148876 Pioneer PRISM L</w:t>
      </w:r>
    </w:p>
    <w:p>
      <w:pPr>
        <w:ind w:left="780"/>
        <w:spacing w:after="0" w:line="235" w:lineRule="auto"/>
        <w:rPr>
          <w:sz w:val="20"/>
          <w:szCs w:val="20"/>
          <w:color w:val="auto"/>
        </w:rPr>
      </w:pPr>
      <w:r>
        <w:rPr>
          <w:rFonts w:ascii="Arial" w:cs="Arial" w:eastAsia="Arial" w:hAnsi="Arial"/>
          <w:sz w:val="12"/>
          <w:szCs w:val="12"/>
          <w:color w:val="auto"/>
        </w:rPr>
        <w:t>File No. 333-152450 Class XTRA</w:t>
      </w:r>
    </w:p>
    <w:p>
      <w:pPr>
        <w:ind w:left="780"/>
        <w:spacing w:after="0" w:line="235" w:lineRule="auto"/>
        <w:rPr>
          <w:sz w:val="20"/>
          <w:szCs w:val="20"/>
          <w:color w:val="auto"/>
        </w:rPr>
      </w:pPr>
      <w:r>
        <w:rPr>
          <w:rFonts w:ascii="Arial" w:cs="Arial" w:eastAsia="Arial" w:hAnsi="Arial"/>
          <w:sz w:val="12"/>
          <w:szCs w:val="12"/>
          <w:color w:val="auto"/>
        </w:rPr>
        <w:t>File No. 333-156646 Class XTRA 6</w:t>
      </w:r>
    </w:p>
    <w:p>
      <w:pPr>
        <w:ind w:left="780"/>
        <w:spacing w:after="0" w:line="188" w:lineRule="auto"/>
        <w:rPr>
          <w:sz w:val="20"/>
          <w:szCs w:val="20"/>
          <w:color w:val="auto"/>
        </w:rPr>
      </w:pPr>
      <w:r>
        <w:rPr>
          <w:rFonts w:ascii="Arial" w:cs="Arial" w:eastAsia="Arial" w:hAnsi="Arial"/>
          <w:sz w:val="11"/>
          <w:szCs w:val="11"/>
          <w:color w:val="auto"/>
        </w:rPr>
        <w:t>File No. 333-158579 Brighthouse Simple Solutions</w:t>
      </w:r>
      <w:r>
        <w:rPr>
          <w:rFonts w:ascii="Arial" w:cs="Arial" w:eastAsia="Arial" w:hAnsi="Arial"/>
          <w:sz w:val="15"/>
          <w:szCs w:val="15"/>
          <w:color w:val="auto"/>
          <w:vertAlign w:val="superscript"/>
        </w:rPr>
        <w:t>SM</w:t>
      </w:r>
    </w:p>
    <w:p>
      <w:pPr>
        <w:ind w:left="780"/>
        <w:spacing w:after="0" w:line="235" w:lineRule="auto"/>
        <w:rPr>
          <w:sz w:val="20"/>
          <w:szCs w:val="20"/>
          <w:color w:val="auto"/>
        </w:rPr>
      </w:pPr>
      <w:r>
        <w:rPr>
          <w:rFonts w:ascii="Arial" w:cs="Arial" w:eastAsia="Arial" w:hAnsi="Arial"/>
          <w:sz w:val="12"/>
          <w:szCs w:val="12"/>
          <w:color w:val="auto"/>
        </w:rPr>
        <w:t>File No. 333-169687 Class VA- 4 (offered between May 1, 2011 and October 7, 2011)</w:t>
      </w:r>
    </w:p>
    <w:p>
      <w:pPr>
        <w:ind w:left="780"/>
        <w:spacing w:after="0" w:line="234" w:lineRule="auto"/>
        <w:rPr>
          <w:sz w:val="20"/>
          <w:szCs w:val="20"/>
          <w:color w:val="auto"/>
        </w:rPr>
      </w:pPr>
      <w:r>
        <w:rPr>
          <w:rFonts w:ascii="Arial" w:cs="Arial" w:eastAsia="Arial" w:hAnsi="Arial"/>
          <w:sz w:val="12"/>
          <w:szCs w:val="12"/>
          <w:color w:val="auto"/>
        </w:rPr>
        <w:t>File No. 333-176679 Class S (offered on and after October 7, 2011) and</w:t>
      </w:r>
    </w:p>
    <w:p>
      <w:pPr>
        <w:ind w:left="1000"/>
        <w:spacing w:after="0" w:line="235" w:lineRule="auto"/>
        <w:rPr>
          <w:sz w:val="20"/>
          <w:szCs w:val="20"/>
          <w:color w:val="auto"/>
        </w:rPr>
      </w:pPr>
      <w:r>
        <w:rPr>
          <w:rFonts w:ascii="Arial" w:cs="Arial" w:eastAsia="Arial" w:hAnsi="Arial"/>
          <w:sz w:val="12"/>
          <w:szCs w:val="12"/>
          <w:color w:val="auto"/>
        </w:rPr>
        <w:t>Class S- L Share Option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333-176680 Class VA- 4 (offered between October 7, 2011 and May 1, 2016)</w:t>
      </w:r>
    </w:p>
    <w:p>
      <w:pPr>
        <w:ind w:left="780"/>
        <w:spacing w:after="0" w:line="235" w:lineRule="auto"/>
        <w:rPr>
          <w:sz w:val="20"/>
          <w:szCs w:val="20"/>
          <w:color w:val="auto"/>
        </w:rPr>
      </w:pPr>
      <w:r>
        <w:rPr>
          <w:rFonts w:ascii="Arial" w:cs="Arial" w:eastAsia="Arial" w:hAnsi="Arial"/>
          <w:sz w:val="12"/>
          <w:szCs w:val="12"/>
          <w:color w:val="auto"/>
        </w:rPr>
        <w:t>File No. 333-176691 Class VA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333-176692 Class L- 4 Year (offered between October 7, 2011 and April 28, 2013)</w:t>
      </w:r>
    </w:p>
    <w:p>
      <w:pPr>
        <w:ind w:left="780"/>
        <w:spacing w:after="0" w:line="234" w:lineRule="auto"/>
        <w:rPr>
          <w:sz w:val="20"/>
          <w:szCs w:val="20"/>
          <w:color w:val="auto"/>
        </w:rPr>
      </w:pPr>
      <w:r>
        <w:rPr>
          <w:rFonts w:ascii="Arial" w:cs="Arial" w:eastAsia="Arial" w:hAnsi="Arial"/>
          <w:sz w:val="12"/>
          <w:szCs w:val="12"/>
          <w:color w:val="auto"/>
        </w:rPr>
        <w:t>File No. 333-176693 Class C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333-178515 Class O (offered between April 30, 2012 and September 20, 2015)</w:t>
      </w:r>
    </w:p>
    <w:p>
      <w:pPr>
        <w:ind w:left="780"/>
        <w:spacing w:after="0" w:line="235" w:lineRule="auto"/>
        <w:rPr>
          <w:sz w:val="20"/>
          <w:szCs w:val="20"/>
          <w:color w:val="auto"/>
        </w:rPr>
      </w:pPr>
      <w:r>
        <w:rPr>
          <w:rFonts w:ascii="Arial" w:cs="Arial" w:eastAsia="Arial" w:hAnsi="Arial"/>
          <w:sz w:val="12"/>
          <w:szCs w:val="12"/>
          <w:color w:val="auto"/>
        </w:rPr>
        <w:t>File No. 333-179240 Marquis Portfolios (offered on and after April 30, 2012)</w:t>
      </w:r>
    </w:p>
    <w:p>
      <w:pPr>
        <w:ind w:left="780"/>
        <w:spacing w:after="0" w:line="235" w:lineRule="auto"/>
        <w:rPr>
          <w:sz w:val="20"/>
          <w:szCs w:val="20"/>
          <w:color w:val="auto"/>
        </w:rPr>
      </w:pPr>
      <w:r>
        <w:rPr>
          <w:rFonts w:ascii="Arial" w:cs="Arial" w:eastAsia="Arial" w:hAnsi="Arial"/>
          <w:sz w:val="12"/>
          <w:szCs w:val="12"/>
          <w:color w:val="auto"/>
        </w:rPr>
        <w:t>File No. 333-186216 Class L- 4 Year (offered on and after April 29, 2013)</w:t>
      </w:r>
    </w:p>
    <w:p>
      <w:pPr>
        <w:ind w:left="780"/>
        <w:spacing w:after="0" w:line="235" w:lineRule="auto"/>
        <w:rPr>
          <w:sz w:val="20"/>
          <w:szCs w:val="20"/>
          <w:color w:val="auto"/>
        </w:rPr>
      </w:pPr>
      <w:r>
        <w:rPr>
          <w:rFonts w:ascii="Arial" w:cs="Arial" w:eastAsia="Arial" w:hAnsi="Arial"/>
          <w:sz w:val="12"/>
          <w:szCs w:val="12"/>
          <w:color w:val="auto"/>
        </w:rPr>
        <w:t>File No. 333-205137 Class O (offered on and after September 21, 2015)</w:t>
      </w:r>
    </w:p>
    <w:p>
      <w:pPr>
        <w:ind w:left="780"/>
        <w:spacing w:after="0" w:line="234" w:lineRule="auto"/>
        <w:rPr>
          <w:sz w:val="20"/>
          <w:szCs w:val="20"/>
          <w:color w:val="auto"/>
        </w:rPr>
      </w:pPr>
      <w:r>
        <w:rPr>
          <w:rFonts w:ascii="Arial" w:cs="Arial" w:eastAsia="Arial" w:hAnsi="Arial"/>
          <w:sz w:val="12"/>
          <w:szCs w:val="12"/>
          <w:color w:val="auto"/>
        </w:rPr>
        <w:t>File No. 333-209057 Class VA- 4 (offered on and after May 2, 2016)</w:t>
      </w:r>
    </w:p>
    <w:p>
      <w:pPr>
        <w:ind w:left="780"/>
        <w:spacing w:after="0" w:line="235" w:lineRule="auto"/>
        <w:rPr>
          <w:sz w:val="20"/>
          <w:szCs w:val="20"/>
          <w:color w:val="auto"/>
        </w:rPr>
      </w:pPr>
      <w:r>
        <w:rPr>
          <w:rFonts w:ascii="Arial" w:cs="Arial" w:eastAsia="Arial" w:hAnsi="Arial"/>
          <w:sz w:val="12"/>
          <w:szCs w:val="12"/>
          <w:color w:val="auto"/>
        </w:rPr>
        <w:t>File No. 333-209058 Class VA (offered on and after May 2, 2016)</w:t>
      </w:r>
    </w:p>
    <w:p>
      <w:pPr>
        <w:ind w:left="780"/>
        <w:spacing w:after="0" w:line="235" w:lineRule="auto"/>
        <w:rPr>
          <w:sz w:val="20"/>
          <w:szCs w:val="20"/>
          <w:color w:val="auto"/>
        </w:rPr>
      </w:pPr>
      <w:r>
        <w:rPr>
          <w:rFonts w:ascii="Arial" w:cs="Arial" w:eastAsia="Arial" w:hAnsi="Arial"/>
          <w:sz w:val="12"/>
          <w:szCs w:val="12"/>
          <w:color w:val="auto"/>
        </w:rPr>
        <w:t>File No. 333-209059 Class S (offered on and after May 2, 2016) and</w:t>
      </w:r>
    </w:p>
    <w:p>
      <w:pPr>
        <w:ind w:left="1000"/>
        <w:spacing w:after="0"/>
        <w:rPr>
          <w:sz w:val="20"/>
          <w:szCs w:val="20"/>
          <w:color w:val="auto"/>
        </w:rPr>
      </w:pPr>
      <w:r>
        <w:rPr>
          <w:rFonts w:ascii="Arial" w:cs="Arial" w:eastAsia="Arial" w:hAnsi="Arial"/>
          <w:sz w:val="12"/>
          <w:szCs w:val="12"/>
          <w:color w:val="auto"/>
        </w:rPr>
        <w:t>S- L Share Option (offered on and after May 2, 2016)</w:t>
      </w:r>
    </w:p>
    <w:p>
      <w:pPr>
        <w:sectPr>
          <w:pgSz w:w="11900" w:h="16838" w:orient="portrait"/>
          <w:cols w:equalWidth="0" w:num="1">
            <w:col w:w="11200"/>
          </w:cols>
          <w:pgMar w:left="300" w:top="226" w:right="399" w:bottom="1440" w:gutter="0" w:footer="0" w:header="0"/>
        </w:sectPr>
      </w:pPr>
    </w:p>
    <w:bookmarkStart w:id="184" w:name="page185"/>
    <w:bookmarkEnd w:id="184"/>
    <w:p>
      <w:pPr>
        <w:ind w:left="7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File No. 333-216454 Brighthouse Prime Options,</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And pertaining to:</w:t>
      </w:r>
    </w:p>
    <w:p>
      <w:pPr>
        <w:ind w:left="780"/>
        <w:spacing w:after="0" w:line="187" w:lineRule="auto"/>
        <w:rPr>
          <w:sz w:val="20"/>
          <w:szCs w:val="20"/>
          <w:color w:val="auto"/>
        </w:rPr>
      </w:pPr>
      <w:r>
        <w:rPr>
          <w:rFonts w:ascii="Arial" w:cs="Arial" w:eastAsia="Arial" w:hAnsi="Arial"/>
          <w:sz w:val="11"/>
          <w:szCs w:val="11"/>
          <w:color w:val="auto"/>
        </w:rPr>
        <w:t>File No. 333-216452 Brighthouse Shield Level Selector</w:t>
      </w:r>
      <w:r>
        <w:rPr>
          <w:rFonts w:ascii="Arial" w:cs="Arial" w:eastAsia="Arial" w:hAnsi="Arial"/>
          <w:sz w:val="16"/>
          <w:szCs w:val="16"/>
          <w:color w:val="auto"/>
          <w:vertAlign w:val="superscript"/>
        </w:rPr>
        <w:t>®</w:t>
      </w:r>
      <w:r>
        <w:rPr>
          <w:rFonts w:ascii="Arial" w:cs="Arial" w:eastAsia="Arial" w:hAnsi="Arial"/>
          <w:sz w:val="11"/>
          <w:szCs w:val="11"/>
          <w:color w:val="auto"/>
        </w:rPr>
        <w:t xml:space="preserve"> Annuity</w:t>
      </w:r>
    </w:p>
    <w:p>
      <w:pPr>
        <w:ind w:left="780"/>
        <w:spacing w:after="0" w:line="188" w:lineRule="auto"/>
        <w:rPr>
          <w:sz w:val="20"/>
          <w:szCs w:val="20"/>
          <w:color w:val="auto"/>
        </w:rPr>
      </w:pPr>
      <w:r>
        <w:rPr>
          <w:rFonts w:ascii="Arial" w:cs="Arial" w:eastAsia="Arial" w:hAnsi="Arial"/>
          <w:sz w:val="11"/>
          <w:szCs w:val="11"/>
          <w:color w:val="auto"/>
        </w:rPr>
        <w:t>File No. 333-216453 Brighthouse Shield Level Selector</w:t>
      </w:r>
      <w:r>
        <w:rPr>
          <w:rFonts w:ascii="Arial" w:cs="Arial" w:eastAsia="Arial" w:hAnsi="Arial"/>
          <w:sz w:val="15"/>
          <w:szCs w:val="15"/>
          <w:color w:val="auto"/>
          <w:vertAlign w:val="superscript"/>
        </w:rPr>
        <w:t>®</w:t>
      </w:r>
      <w:r>
        <w:rPr>
          <w:rFonts w:ascii="Arial" w:cs="Arial" w:eastAsia="Arial" w:hAnsi="Arial"/>
          <w:sz w:val="11"/>
          <w:szCs w:val="11"/>
          <w:color w:val="auto"/>
        </w:rPr>
        <w:t xml:space="preserve"> 3-Year Annuity</w:t>
      </w:r>
    </w:p>
    <w:p>
      <w:pPr>
        <w:ind w:left="780"/>
        <w:spacing w:after="0" w:line="188" w:lineRule="auto"/>
        <w:rPr>
          <w:sz w:val="20"/>
          <w:szCs w:val="20"/>
          <w:color w:val="auto"/>
        </w:rPr>
      </w:pPr>
      <w:r>
        <w:rPr>
          <w:rFonts w:ascii="Arial" w:cs="Arial" w:eastAsia="Arial" w:hAnsi="Arial"/>
          <w:sz w:val="11"/>
          <w:szCs w:val="11"/>
          <w:color w:val="auto"/>
        </w:rPr>
        <w:t>File No. 333-238214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10 Annuity</w:t>
      </w:r>
    </w:p>
    <w:p>
      <w:pPr>
        <w:ind w:left="780"/>
        <w:spacing w:after="0" w:line="188" w:lineRule="auto"/>
        <w:rPr>
          <w:sz w:val="20"/>
          <w:szCs w:val="20"/>
          <w:color w:val="auto"/>
        </w:rPr>
      </w:pPr>
      <w:r>
        <w:rPr>
          <w:rFonts w:ascii="Arial" w:cs="Arial" w:eastAsia="Arial" w:hAnsi="Arial"/>
          <w:sz w:val="11"/>
          <w:szCs w:val="11"/>
          <w:color w:val="auto"/>
        </w:rPr>
        <w:t>File No. 333-265196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3-Year Annuity</w:t>
      </w:r>
    </w:p>
    <w:p>
      <w:pPr>
        <w:ind w:left="780"/>
        <w:spacing w:after="0" w:line="188" w:lineRule="auto"/>
        <w:rPr>
          <w:sz w:val="20"/>
          <w:szCs w:val="20"/>
          <w:color w:val="auto"/>
        </w:rPr>
      </w:pPr>
      <w:r>
        <w:rPr>
          <w:rFonts w:ascii="Arial" w:cs="Arial" w:eastAsia="Arial" w:hAnsi="Arial"/>
          <w:sz w:val="11"/>
          <w:szCs w:val="11"/>
          <w:color w:val="auto"/>
        </w:rPr>
        <w:t>File No. 333-265199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w:t>
      </w:r>
    </w:p>
    <w:p>
      <w:pPr>
        <w:ind w:left="780"/>
        <w:spacing w:after="0" w:line="188" w:lineRule="auto"/>
        <w:rPr>
          <w:sz w:val="20"/>
          <w:szCs w:val="20"/>
          <w:color w:val="auto"/>
        </w:rPr>
      </w:pPr>
      <w:r>
        <w:rPr>
          <w:rFonts w:ascii="Arial" w:cs="Arial" w:eastAsia="Arial" w:hAnsi="Arial"/>
          <w:sz w:val="11"/>
          <w:szCs w:val="11"/>
          <w:color w:val="auto"/>
        </w:rPr>
        <w:t>File No. 333-259506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 v.3</w:t>
      </w:r>
    </w:p>
    <w:p>
      <w:pPr>
        <w:ind w:left="780"/>
        <w:spacing w:after="0"/>
        <w:rPr>
          <w:sz w:val="20"/>
          <w:szCs w:val="20"/>
          <w:color w:val="auto"/>
        </w:rPr>
      </w:pPr>
      <w:r>
        <w:rPr>
          <w:rFonts w:ascii="Arial" w:cs="Arial" w:eastAsia="Arial" w:hAnsi="Arial"/>
          <w:sz w:val="12"/>
          <w:szCs w:val="12"/>
          <w:color w:val="auto"/>
        </w:rPr>
        <w:t>File No. 333-279315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6-Year Annuity</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And new annuities and life products such as:</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2"/>
          <w:szCs w:val="12"/>
          <w:color w:val="auto"/>
        </w:rPr>
        <w:t>Brighthouse Shield Annuity</w:t>
      </w:r>
    </w:p>
    <w:p>
      <w:pPr>
        <w:ind w:left="780"/>
        <w:spacing w:after="0" w:line="234" w:lineRule="auto"/>
        <w:rPr>
          <w:sz w:val="20"/>
          <w:szCs w:val="20"/>
          <w:color w:val="auto"/>
        </w:rPr>
      </w:pPr>
      <w:r>
        <w:rPr>
          <w:rFonts w:ascii="Arial" w:cs="Arial" w:eastAsia="Arial" w:hAnsi="Arial"/>
          <w:sz w:val="12"/>
          <w:szCs w:val="12"/>
          <w:color w:val="auto"/>
        </w:rPr>
        <w:t>Brighthouse Shield 3-Year Annuity</w:t>
      </w:r>
    </w:p>
    <w:p>
      <w:pPr>
        <w:ind w:left="780"/>
        <w:spacing w:after="0" w:line="235" w:lineRule="auto"/>
        <w:rPr>
          <w:sz w:val="20"/>
          <w:szCs w:val="20"/>
          <w:color w:val="auto"/>
        </w:rPr>
      </w:pPr>
      <w:r>
        <w:rPr>
          <w:rFonts w:ascii="Arial" w:cs="Arial" w:eastAsia="Arial" w:hAnsi="Arial"/>
          <w:sz w:val="12"/>
          <w:szCs w:val="12"/>
          <w:color w:val="auto"/>
        </w:rPr>
        <w:t>Brighthouse Shield 6-Year Annuity</w:t>
      </w:r>
    </w:p>
    <w:p>
      <w:pPr>
        <w:ind w:left="780"/>
        <w:spacing w:after="0"/>
        <w:rPr>
          <w:sz w:val="20"/>
          <w:szCs w:val="20"/>
          <w:color w:val="auto"/>
        </w:rPr>
      </w:pPr>
      <w:r>
        <w:rPr>
          <w:rFonts w:ascii="Arial" w:cs="Arial" w:eastAsia="Arial" w:hAnsi="Arial"/>
          <w:sz w:val="12"/>
          <w:szCs w:val="12"/>
          <w:color w:val="auto"/>
        </w:rPr>
        <w:t>Brighthouse indexed-linked life insurance policy,</w:t>
      </w:r>
    </w:p>
    <w:p>
      <w:pPr>
        <w:spacing w:after="0" w:line="129"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I have hereunto set my hand this 17th day of March 2026.</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Melissa B. Pavlovich</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Melissa B. Pavlovich</w:t>
      </w:r>
    </w:p>
    <w:p>
      <w:pPr>
        <w:sectPr>
          <w:pgSz w:w="11900" w:h="16838" w:orient="portrait"/>
          <w:cols w:equalWidth="0" w:num="1">
            <w:col w:w="11040"/>
          </w:cols>
          <w:pgMar w:left="300" w:top="226" w:right="559" w:bottom="1440" w:gutter="0" w:footer="0" w:header="0"/>
        </w:sectPr>
      </w:pPr>
    </w:p>
    <w:bookmarkStart w:id="185" w:name="page186"/>
    <w:bookmarkEnd w:id="185"/>
    <w:p>
      <w:pPr>
        <w:jc w:val="center"/>
        <w:ind w:right="-9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Brighthouse Life Insurance Company of NY</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POWER OF ATTORNEY</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Gianna H. Figaro-Sterling</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Vice President and Controller</w:t>
      </w:r>
    </w:p>
    <w:p>
      <w:pPr>
        <w:spacing w:after="0" w:line="156"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KNOW ALL MEN BY THESE PRESENTS, that I, Gianna H. Figaro-Sterling, Vice President and Controller of Brighthouse Life Insurance Company of NY, a New York company (the “Company”), do hereby constitute and appoint Michele H. Abate, Allie Lin, and Alexander Ulianov, as my attorney-in-fact and agent, each of whom may act individually and none of whom is required to act jointly with any of the others, to sign and file on my behalf and to execute and file any instrument or document required to be filed as part of or in connection with or in any way related to, the Registration Statements and any and all amendments thereto filed by the Company under the Securities Act of 1933 and/or the Investment Company Act of 1940, pertaining to:</w:t>
      </w:r>
    </w:p>
    <w:p>
      <w:pPr>
        <w:ind w:left="660" w:hanging="335"/>
        <w:spacing w:after="0" w:line="222" w:lineRule="auto"/>
        <w:tabs>
          <w:tab w:leader="none" w:pos="660" w:val="left"/>
        </w:tabs>
        <w:numPr>
          <w:ilvl w:val="0"/>
          <w:numId w:val="158"/>
        </w:numPr>
        <w:rPr>
          <w:rFonts w:ascii="Times New Roman" w:cs="Times New Roman" w:eastAsia="Times New Roman" w:hAnsi="Times New Roman"/>
          <w:sz w:val="19"/>
          <w:szCs w:val="19"/>
          <w:color w:val="auto"/>
          <w:vertAlign w:val="superscript"/>
        </w:rPr>
      </w:pPr>
      <w:r>
        <w:rPr>
          <w:rFonts w:ascii="Arial" w:cs="Arial" w:eastAsia="Arial" w:hAnsi="Arial"/>
          <w:sz w:val="12"/>
          <w:szCs w:val="12"/>
          <w:color w:val="auto"/>
        </w:rPr>
        <w:t>  Brighthouse Variable Annuity Account B (811-08306)</w:t>
      </w:r>
    </w:p>
    <w:p>
      <w:pPr>
        <w:ind w:left="780"/>
        <w:spacing w:after="0" w:line="235" w:lineRule="auto"/>
        <w:rPr>
          <w:sz w:val="20"/>
          <w:szCs w:val="20"/>
          <w:color w:val="auto"/>
        </w:rPr>
      </w:pPr>
      <w:r>
        <w:rPr>
          <w:rFonts w:ascii="Arial" w:cs="Arial" w:eastAsia="Arial" w:hAnsi="Arial"/>
          <w:sz w:val="12"/>
          <w:szCs w:val="12"/>
          <w:color w:val="auto"/>
        </w:rPr>
        <w:t>File No. 033-74174 First COVA VA, Custom Select, Russell Select and Class VA, Class AA and Class B</w:t>
      </w:r>
    </w:p>
    <w:p>
      <w:pPr>
        <w:ind w:left="780"/>
        <w:spacing w:after="0" w:line="234" w:lineRule="auto"/>
        <w:rPr>
          <w:sz w:val="20"/>
          <w:szCs w:val="20"/>
          <w:color w:val="auto"/>
        </w:rPr>
      </w:pPr>
      <w:r>
        <w:rPr>
          <w:rFonts w:ascii="Arial" w:cs="Arial" w:eastAsia="Arial" w:hAnsi="Arial"/>
          <w:sz w:val="12"/>
          <w:szCs w:val="12"/>
          <w:color w:val="auto"/>
        </w:rPr>
        <w:t>File No. 333-96773 Class VA (offered between June 15, 2001 and October 7, 2011), Class AA, and Class B</w:t>
      </w:r>
    </w:p>
    <w:p>
      <w:pPr>
        <w:ind w:left="780"/>
        <w:spacing w:after="0" w:line="235" w:lineRule="auto"/>
        <w:rPr>
          <w:sz w:val="20"/>
          <w:szCs w:val="20"/>
          <w:color w:val="auto"/>
        </w:rPr>
      </w:pPr>
      <w:r>
        <w:rPr>
          <w:rFonts w:ascii="Arial" w:cs="Arial" w:eastAsia="Arial" w:hAnsi="Arial"/>
          <w:sz w:val="12"/>
          <w:szCs w:val="12"/>
          <w:color w:val="auto"/>
        </w:rPr>
        <w:t>File No. 333-96775 Class A</w:t>
      </w:r>
    </w:p>
    <w:p>
      <w:pPr>
        <w:ind w:left="780"/>
        <w:spacing w:after="0" w:line="235" w:lineRule="auto"/>
        <w:rPr>
          <w:sz w:val="20"/>
          <w:szCs w:val="20"/>
          <w:color w:val="auto"/>
        </w:rPr>
      </w:pPr>
      <w:r>
        <w:rPr>
          <w:rFonts w:ascii="Arial" w:cs="Arial" w:eastAsia="Arial" w:hAnsi="Arial"/>
          <w:sz w:val="12"/>
          <w:szCs w:val="12"/>
          <w:color w:val="auto"/>
        </w:rPr>
        <w:t>File No. 333-96777 Class XC</w:t>
      </w:r>
    </w:p>
    <w:p>
      <w:pPr>
        <w:ind w:left="780"/>
        <w:spacing w:after="0" w:line="235" w:lineRule="auto"/>
        <w:rPr>
          <w:sz w:val="20"/>
          <w:szCs w:val="20"/>
          <w:color w:val="auto"/>
        </w:rPr>
      </w:pPr>
      <w:r>
        <w:rPr>
          <w:rFonts w:ascii="Arial" w:cs="Arial" w:eastAsia="Arial" w:hAnsi="Arial"/>
          <w:sz w:val="12"/>
          <w:szCs w:val="12"/>
          <w:color w:val="auto"/>
        </w:rPr>
        <w:t>File No. 333-96785 Class L and Class L –4 Year (offered between November 22, 2004 and October 7, 2011)</w:t>
      </w:r>
    </w:p>
    <w:p>
      <w:pPr>
        <w:ind w:left="780"/>
        <w:spacing w:after="0" w:line="235" w:lineRule="auto"/>
        <w:rPr>
          <w:sz w:val="20"/>
          <w:szCs w:val="20"/>
          <w:color w:val="auto"/>
        </w:rPr>
      </w:pPr>
      <w:r>
        <w:rPr>
          <w:rFonts w:ascii="Arial" w:cs="Arial" w:eastAsia="Arial" w:hAnsi="Arial"/>
          <w:sz w:val="12"/>
          <w:szCs w:val="12"/>
          <w:color w:val="auto"/>
        </w:rPr>
        <w:t>File No. 333-96795 Class C (offered between September 4, 2001 and October 7, 2011)</w:t>
      </w:r>
    </w:p>
    <w:p>
      <w:pPr>
        <w:ind w:left="780"/>
        <w:spacing w:after="0" w:line="234" w:lineRule="auto"/>
        <w:rPr>
          <w:sz w:val="20"/>
          <w:szCs w:val="20"/>
          <w:color w:val="auto"/>
        </w:rPr>
      </w:pPr>
      <w:r>
        <w:rPr>
          <w:rFonts w:ascii="Arial" w:cs="Arial" w:eastAsia="Arial" w:hAnsi="Arial"/>
          <w:sz w:val="12"/>
          <w:szCs w:val="12"/>
          <w:color w:val="auto"/>
        </w:rPr>
        <w:t>File No. 333-125613 Vintage L and Vintage XC</w:t>
      </w:r>
    </w:p>
    <w:p>
      <w:pPr>
        <w:ind w:left="780"/>
        <w:spacing w:after="0" w:line="235" w:lineRule="auto"/>
        <w:rPr>
          <w:sz w:val="20"/>
          <w:szCs w:val="20"/>
          <w:color w:val="auto"/>
        </w:rPr>
      </w:pPr>
      <w:r>
        <w:rPr>
          <w:rFonts w:ascii="Arial" w:cs="Arial" w:eastAsia="Arial" w:hAnsi="Arial"/>
          <w:sz w:val="12"/>
          <w:szCs w:val="12"/>
          <w:color w:val="auto"/>
        </w:rPr>
        <w:t>File No. 333-125617 PrimElite III</w:t>
      </w:r>
    </w:p>
    <w:p>
      <w:pPr>
        <w:ind w:left="780"/>
        <w:spacing w:after="0" w:line="235" w:lineRule="auto"/>
        <w:rPr>
          <w:sz w:val="20"/>
          <w:szCs w:val="20"/>
          <w:color w:val="auto"/>
        </w:rPr>
      </w:pPr>
      <w:r>
        <w:rPr>
          <w:rFonts w:ascii="Arial" w:cs="Arial" w:eastAsia="Arial" w:hAnsi="Arial"/>
          <w:sz w:val="12"/>
          <w:szCs w:val="12"/>
          <w:color w:val="auto"/>
        </w:rPr>
        <w:t>File No. 333-125618 Marquis Portfolios (offered between November 7, 2005 and April 30, 2012)</w:t>
      </w:r>
    </w:p>
    <w:p>
      <w:pPr>
        <w:ind w:left="780"/>
        <w:spacing w:after="0" w:line="235" w:lineRule="auto"/>
        <w:rPr>
          <w:sz w:val="20"/>
          <w:szCs w:val="20"/>
          <w:color w:val="auto"/>
        </w:rPr>
      </w:pPr>
      <w:r>
        <w:rPr>
          <w:rFonts w:ascii="Arial" w:cs="Arial" w:eastAsia="Arial" w:hAnsi="Arial"/>
          <w:sz w:val="12"/>
          <w:szCs w:val="12"/>
          <w:color w:val="auto"/>
        </w:rPr>
        <w:t>File No. 333-125619 Protected Equity Portfolio</w:t>
      </w:r>
    </w:p>
    <w:p>
      <w:pPr>
        <w:ind w:left="780"/>
        <w:spacing w:after="0" w:line="235" w:lineRule="auto"/>
        <w:rPr>
          <w:sz w:val="20"/>
          <w:szCs w:val="20"/>
          <w:color w:val="auto"/>
        </w:rPr>
      </w:pPr>
      <w:r>
        <w:rPr>
          <w:rFonts w:ascii="Arial" w:cs="Arial" w:eastAsia="Arial" w:hAnsi="Arial"/>
          <w:sz w:val="12"/>
          <w:szCs w:val="12"/>
          <w:color w:val="auto"/>
        </w:rPr>
        <w:t>File No. 333-137370 Class S and Class S - L Share Option (offered between April 30, 2007 and October 7, 2011)</w:t>
      </w:r>
    </w:p>
    <w:p>
      <w:pPr>
        <w:ind w:left="780"/>
        <w:spacing w:after="0" w:line="234" w:lineRule="auto"/>
        <w:rPr>
          <w:sz w:val="20"/>
          <w:szCs w:val="20"/>
          <w:color w:val="auto"/>
        </w:rPr>
      </w:pPr>
      <w:r>
        <w:rPr>
          <w:rFonts w:ascii="Arial" w:cs="Arial" w:eastAsia="Arial" w:hAnsi="Arial"/>
          <w:sz w:val="12"/>
          <w:szCs w:val="12"/>
          <w:color w:val="auto"/>
        </w:rPr>
        <w:t>File No. 333-137969 PrimElite IV</w:t>
      </w:r>
    </w:p>
    <w:p>
      <w:pPr>
        <w:ind w:left="780"/>
        <w:spacing w:after="0" w:line="235" w:lineRule="auto"/>
        <w:rPr>
          <w:sz w:val="20"/>
          <w:szCs w:val="20"/>
          <w:color w:val="auto"/>
        </w:rPr>
      </w:pPr>
      <w:r>
        <w:rPr>
          <w:rFonts w:ascii="Arial" w:cs="Arial" w:eastAsia="Arial" w:hAnsi="Arial"/>
          <w:sz w:val="12"/>
          <w:szCs w:val="12"/>
          <w:color w:val="auto"/>
        </w:rPr>
        <w:t>File No. 333-148873 Pioneer PRISM</w:t>
      </w:r>
    </w:p>
    <w:p>
      <w:pPr>
        <w:ind w:left="780"/>
        <w:spacing w:after="0" w:line="235" w:lineRule="auto"/>
        <w:rPr>
          <w:sz w:val="20"/>
          <w:szCs w:val="20"/>
          <w:color w:val="auto"/>
        </w:rPr>
      </w:pPr>
      <w:r>
        <w:rPr>
          <w:rFonts w:ascii="Arial" w:cs="Arial" w:eastAsia="Arial" w:hAnsi="Arial"/>
          <w:sz w:val="12"/>
          <w:szCs w:val="12"/>
          <w:color w:val="auto"/>
        </w:rPr>
        <w:t>File No. 333-148874 Pioneer PRISM XC</w:t>
      </w:r>
    </w:p>
    <w:p>
      <w:pPr>
        <w:ind w:left="780"/>
        <w:spacing w:after="0" w:line="235" w:lineRule="auto"/>
        <w:rPr>
          <w:sz w:val="20"/>
          <w:szCs w:val="20"/>
          <w:color w:val="auto"/>
        </w:rPr>
      </w:pPr>
      <w:r>
        <w:rPr>
          <w:rFonts w:ascii="Arial" w:cs="Arial" w:eastAsia="Arial" w:hAnsi="Arial"/>
          <w:sz w:val="12"/>
          <w:szCs w:val="12"/>
          <w:color w:val="auto"/>
        </w:rPr>
        <w:t>File No. 333-148876 Pioneer PRISM L</w:t>
      </w:r>
    </w:p>
    <w:p>
      <w:pPr>
        <w:ind w:left="780"/>
        <w:spacing w:after="0" w:line="235" w:lineRule="auto"/>
        <w:rPr>
          <w:sz w:val="20"/>
          <w:szCs w:val="20"/>
          <w:color w:val="auto"/>
        </w:rPr>
      </w:pPr>
      <w:r>
        <w:rPr>
          <w:rFonts w:ascii="Arial" w:cs="Arial" w:eastAsia="Arial" w:hAnsi="Arial"/>
          <w:sz w:val="12"/>
          <w:szCs w:val="12"/>
          <w:color w:val="auto"/>
        </w:rPr>
        <w:t>File No. 333-152450 Class XTRA</w:t>
      </w:r>
    </w:p>
    <w:p>
      <w:pPr>
        <w:ind w:left="780"/>
        <w:spacing w:after="0" w:line="234" w:lineRule="auto"/>
        <w:rPr>
          <w:sz w:val="20"/>
          <w:szCs w:val="20"/>
          <w:color w:val="auto"/>
        </w:rPr>
      </w:pPr>
      <w:r>
        <w:rPr>
          <w:rFonts w:ascii="Arial" w:cs="Arial" w:eastAsia="Arial" w:hAnsi="Arial"/>
          <w:sz w:val="12"/>
          <w:szCs w:val="12"/>
          <w:color w:val="auto"/>
        </w:rPr>
        <w:t>File No. 333-156646 Class XTRA 6</w:t>
      </w:r>
    </w:p>
    <w:p>
      <w:pPr>
        <w:ind w:left="780"/>
        <w:spacing w:after="0" w:line="188" w:lineRule="auto"/>
        <w:rPr>
          <w:sz w:val="20"/>
          <w:szCs w:val="20"/>
          <w:color w:val="auto"/>
        </w:rPr>
      </w:pPr>
      <w:r>
        <w:rPr>
          <w:rFonts w:ascii="Arial" w:cs="Arial" w:eastAsia="Arial" w:hAnsi="Arial"/>
          <w:sz w:val="11"/>
          <w:szCs w:val="11"/>
          <w:color w:val="auto"/>
        </w:rPr>
        <w:t>File No. 333-158579 Brighthouse Simple Solutions</w:t>
      </w:r>
      <w:r>
        <w:rPr>
          <w:rFonts w:ascii="Arial" w:cs="Arial" w:eastAsia="Arial" w:hAnsi="Arial"/>
          <w:sz w:val="15"/>
          <w:szCs w:val="15"/>
          <w:color w:val="auto"/>
          <w:vertAlign w:val="superscript"/>
        </w:rPr>
        <w:t>SM</w:t>
      </w:r>
    </w:p>
    <w:p>
      <w:pPr>
        <w:ind w:left="780"/>
        <w:spacing w:after="0" w:line="235" w:lineRule="auto"/>
        <w:rPr>
          <w:sz w:val="20"/>
          <w:szCs w:val="20"/>
          <w:color w:val="auto"/>
        </w:rPr>
      </w:pPr>
      <w:r>
        <w:rPr>
          <w:rFonts w:ascii="Arial" w:cs="Arial" w:eastAsia="Arial" w:hAnsi="Arial"/>
          <w:sz w:val="12"/>
          <w:szCs w:val="12"/>
          <w:color w:val="auto"/>
        </w:rPr>
        <w:t>File No. 333-169687 Class VA- 4 (offered between May 1, 2011 and October 7, 2011)</w:t>
      </w:r>
    </w:p>
    <w:p>
      <w:pPr>
        <w:ind w:left="780"/>
        <w:spacing w:after="0" w:line="235" w:lineRule="auto"/>
        <w:rPr>
          <w:sz w:val="20"/>
          <w:szCs w:val="20"/>
          <w:color w:val="auto"/>
        </w:rPr>
      </w:pPr>
      <w:r>
        <w:rPr>
          <w:rFonts w:ascii="Arial" w:cs="Arial" w:eastAsia="Arial" w:hAnsi="Arial"/>
          <w:sz w:val="12"/>
          <w:szCs w:val="12"/>
          <w:color w:val="auto"/>
        </w:rPr>
        <w:t>File No. 333-176679 Class S (offered on and after October 7, 2011) and</w:t>
      </w:r>
    </w:p>
    <w:p>
      <w:pPr>
        <w:ind w:left="1000"/>
        <w:spacing w:after="0" w:line="235" w:lineRule="auto"/>
        <w:rPr>
          <w:sz w:val="20"/>
          <w:szCs w:val="20"/>
          <w:color w:val="auto"/>
        </w:rPr>
      </w:pPr>
      <w:r>
        <w:rPr>
          <w:rFonts w:ascii="Arial" w:cs="Arial" w:eastAsia="Arial" w:hAnsi="Arial"/>
          <w:sz w:val="12"/>
          <w:szCs w:val="12"/>
          <w:color w:val="auto"/>
        </w:rPr>
        <w:t>Class S- L Share Option (offered on and after October 7, 2011)</w:t>
      </w:r>
    </w:p>
    <w:p>
      <w:pPr>
        <w:ind w:left="780"/>
        <w:spacing w:after="0" w:line="234" w:lineRule="auto"/>
        <w:rPr>
          <w:sz w:val="20"/>
          <w:szCs w:val="20"/>
          <w:color w:val="auto"/>
        </w:rPr>
      </w:pPr>
      <w:r>
        <w:rPr>
          <w:rFonts w:ascii="Arial" w:cs="Arial" w:eastAsia="Arial" w:hAnsi="Arial"/>
          <w:sz w:val="12"/>
          <w:szCs w:val="12"/>
          <w:color w:val="auto"/>
        </w:rPr>
        <w:t>File No. 333-176680 Class VA- 4 (offered between October 7, 2011 and May 1, 2016)</w:t>
      </w:r>
    </w:p>
    <w:p>
      <w:pPr>
        <w:ind w:left="780"/>
        <w:spacing w:after="0" w:line="235" w:lineRule="auto"/>
        <w:rPr>
          <w:sz w:val="20"/>
          <w:szCs w:val="20"/>
          <w:color w:val="auto"/>
        </w:rPr>
      </w:pPr>
      <w:r>
        <w:rPr>
          <w:rFonts w:ascii="Arial" w:cs="Arial" w:eastAsia="Arial" w:hAnsi="Arial"/>
          <w:sz w:val="12"/>
          <w:szCs w:val="12"/>
          <w:color w:val="auto"/>
        </w:rPr>
        <w:t>File No. 333-176691 Class VA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333-176692 Class L- 4 Year (offered between October 7, 2011 and April 28, 2013)</w:t>
      </w:r>
    </w:p>
    <w:p>
      <w:pPr>
        <w:ind w:left="780"/>
        <w:spacing w:after="0" w:line="235" w:lineRule="auto"/>
        <w:rPr>
          <w:sz w:val="20"/>
          <w:szCs w:val="20"/>
          <w:color w:val="auto"/>
        </w:rPr>
      </w:pPr>
      <w:r>
        <w:rPr>
          <w:rFonts w:ascii="Arial" w:cs="Arial" w:eastAsia="Arial" w:hAnsi="Arial"/>
          <w:sz w:val="12"/>
          <w:szCs w:val="12"/>
          <w:color w:val="auto"/>
        </w:rPr>
        <w:t>File No. 333-176693 Class C (offered on and after October 7, 2011)</w:t>
      </w:r>
    </w:p>
    <w:p>
      <w:pPr>
        <w:ind w:left="780"/>
        <w:spacing w:after="0" w:line="235" w:lineRule="auto"/>
        <w:rPr>
          <w:sz w:val="20"/>
          <w:szCs w:val="20"/>
          <w:color w:val="auto"/>
        </w:rPr>
      </w:pPr>
      <w:r>
        <w:rPr>
          <w:rFonts w:ascii="Arial" w:cs="Arial" w:eastAsia="Arial" w:hAnsi="Arial"/>
          <w:sz w:val="12"/>
          <w:szCs w:val="12"/>
          <w:color w:val="auto"/>
        </w:rPr>
        <w:t>File No. 333-178515 Class O (offered between April 30, 2012 and September 20, 2015)</w:t>
      </w:r>
    </w:p>
    <w:p>
      <w:pPr>
        <w:ind w:left="780"/>
        <w:spacing w:after="0" w:line="234" w:lineRule="auto"/>
        <w:rPr>
          <w:sz w:val="20"/>
          <w:szCs w:val="20"/>
          <w:color w:val="auto"/>
        </w:rPr>
      </w:pPr>
      <w:r>
        <w:rPr>
          <w:rFonts w:ascii="Arial" w:cs="Arial" w:eastAsia="Arial" w:hAnsi="Arial"/>
          <w:sz w:val="12"/>
          <w:szCs w:val="12"/>
          <w:color w:val="auto"/>
        </w:rPr>
        <w:t>File No. 333-179240 Marquis Portfolios (offered on and after April 30, 2012)</w:t>
      </w:r>
    </w:p>
    <w:p>
      <w:pPr>
        <w:ind w:left="780"/>
        <w:spacing w:after="0" w:line="235" w:lineRule="auto"/>
        <w:rPr>
          <w:sz w:val="20"/>
          <w:szCs w:val="20"/>
          <w:color w:val="auto"/>
        </w:rPr>
      </w:pPr>
      <w:r>
        <w:rPr>
          <w:rFonts w:ascii="Arial" w:cs="Arial" w:eastAsia="Arial" w:hAnsi="Arial"/>
          <w:sz w:val="12"/>
          <w:szCs w:val="12"/>
          <w:color w:val="auto"/>
        </w:rPr>
        <w:t>File No. 333-186216 Class L- 4 Year (offered on and after April 29, 2013)</w:t>
      </w:r>
    </w:p>
    <w:p>
      <w:pPr>
        <w:ind w:left="780"/>
        <w:spacing w:after="0" w:line="235" w:lineRule="auto"/>
        <w:rPr>
          <w:sz w:val="20"/>
          <w:szCs w:val="20"/>
          <w:color w:val="auto"/>
        </w:rPr>
      </w:pPr>
      <w:r>
        <w:rPr>
          <w:rFonts w:ascii="Arial" w:cs="Arial" w:eastAsia="Arial" w:hAnsi="Arial"/>
          <w:sz w:val="12"/>
          <w:szCs w:val="12"/>
          <w:color w:val="auto"/>
        </w:rPr>
        <w:t>File No. 333-205137 Class O (offered on and after September 21, 2015)</w:t>
      </w:r>
    </w:p>
    <w:p>
      <w:pPr>
        <w:ind w:left="780"/>
        <w:spacing w:after="0" w:line="235" w:lineRule="auto"/>
        <w:rPr>
          <w:sz w:val="20"/>
          <w:szCs w:val="20"/>
          <w:color w:val="auto"/>
        </w:rPr>
      </w:pPr>
      <w:r>
        <w:rPr>
          <w:rFonts w:ascii="Arial" w:cs="Arial" w:eastAsia="Arial" w:hAnsi="Arial"/>
          <w:sz w:val="12"/>
          <w:szCs w:val="12"/>
          <w:color w:val="auto"/>
        </w:rPr>
        <w:t>File No. 333-209057 Class VA- 4 (offered on and after May 2, 2016)</w:t>
      </w:r>
    </w:p>
    <w:p>
      <w:pPr>
        <w:ind w:left="780"/>
        <w:spacing w:after="0" w:line="235" w:lineRule="auto"/>
        <w:rPr>
          <w:sz w:val="20"/>
          <w:szCs w:val="20"/>
          <w:color w:val="auto"/>
        </w:rPr>
      </w:pPr>
      <w:r>
        <w:rPr>
          <w:rFonts w:ascii="Arial" w:cs="Arial" w:eastAsia="Arial" w:hAnsi="Arial"/>
          <w:sz w:val="12"/>
          <w:szCs w:val="12"/>
          <w:color w:val="auto"/>
        </w:rPr>
        <w:t>File No. 333-209058 Class VA (offered on and after May 2, 2016)</w:t>
      </w:r>
    </w:p>
    <w:p>
      <w:pPr>
        <w:ind w:left="780"/>
        <w:spacing w:after="0" w:line="234" w:lineRule="auto"/>
        <w:rPr>
          <w:sz w:val="20"/>
          <w:szCs w:val="20"/>
          <w:color w:val="auto"/>
        </w:rPr>
      </w:pPr>
      <w:r>
        <w:rPr>
          <w:rFonts w:ascii="Arial" w:cs="Arial" w:eastAsia="Arial" w:hAnsi="Arial"/>
          <w:sz w:val="12"/>
          <w:szCs w:val="12"/>
          <w:color w:val="auto"/>
        </w:rPr>
        <w:t>File No. 333-209059 Class S (offered on and after May 2, 2016) and</w:t>
      </w:r>
    </w:p>
    <w:p>
      <w:pPr>
        <w:ind w:left="1000"/>
        <w:spacing w:after="0"/>
        <w:rPr>
          <w:sz w:val="20"/>
          <w:szCs w:val="20"/>
          <w:color w:val="auto"/>
        </w:rPr>
      </w:pPr>
      <w:r>
        <w:rPr>
          <w:rFonts w:ascii="Arial" w:cs="Arial" w:eastAsia="Arial" w:hAnsi="Arial"/>
          <w:sz w:val="12"/>
          <w:szCs w:val="12"/>
          <w:color w:val="auto"/>
        </w:rPr>
        <w:t>S- L Share Option (offered on and after May 2, 2016)</w:t>
      </w:r>
    </w:p>
    <w:p>
      <w:pPr>
        <w:sectPr>
          <w:pgSz w:w="11900" w:h="16838" w:orient="portrait"/>
          <w:cols w:equalWidth="0" w:num="1">
            <w:col w:w="11200"/>
          </w:cols>
          <w:pgMar w:left="300" w:top="226" w:right="399" w:bottom="1440" w:gutter="0" w:footer="0" w:header="0"/>
        </w:sectPr>
      </w:pPr>
    </w:p>
    <w:bookmarkStart w:id="186" w:name="page187"/>
    <w:bookmarkEnd w:id="186"/>
    <w:p>
      <w:pPr>
        <w:ind w:left="78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File No. 333-216454 Brighthouse Prime Options,</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And pertaining to:</w:t>
      </w:r>
    </w:p>
    <w:p>
      <w:pPr>
        <w:ind w:left="780"/>
        <w:spacing w:after="0" w:line="187" w:lineRule="auto"/>
        <w:rPr>
          <w:sz w:val="20"/>
          <w:szCs w:val="20"/>
          <w:color w:val="auto"/>
        </w:rPr>
      </w:pPr>
      <w:r>
        <w:rPr>
          <w:rFonts w:ascii="Arial" w:cs="Arial" w:eastAsia="Arial" w:hAnsi="Arial"/>
          <w:sz w:val="11"/>
          <w:szCs w:val="11"/>
          <w:color w:val="auto"/>
        </w:rPr>
        <w:t>File No. 333-216452 Brighthouse Shield Level Selector</w:t>
      </w:r>
      <w:r>
        <w:rPr>
          <w:rFonts w:ascii="Arial" w:cs="Arial" w:eastAsia="Arial" w:hAnsi="Arial"/>
          <w:sz w:val="16"/>
          <w:szCs w:val="16"/>
          <w:color w:val="auto"/>
          <w:vertAlign w:val="superscript"/>
        </w:rPr>
        <w:t>®</w:t>
      </w:r>
      <w:r>
        <w:rPr>
          <w:rFonts w:ascii="Arial" w:cs="Arial" w:eastAsia="Arial" w:hAnsi="Arial"/>
          <w:sz w:val="11"/>
          <w:szCs w:val="11"/>
          <w:color w:val="auto"/>
        </w:rPr>
        <w:t xml:space="preserve"> Annuity</w:t>
      </w:r>
    </w:p>
    <w:p>
      <w:pPr>
        <w:ind w:left="780"/>
        <w:spacing w:after="0" w:line="188" w:lineRule="auto"/>
        <w:rPr>
          <w:sz w:val="20"/>
          <w:szCs w:val="20"/>
          <w:color w:val="auto"/>
        </w:rPr>
      </w:pPr>
      <w:r>
        <w:rPr>
          <w:rFonts w:ascii="Arial" w:cs="Arial" w:eastAsia="Arial" w:hAnsi="Arial"/>
          <w:sz w:val="11"/>
          <w:szCs w:val="11"/>
          <w:color w:val="auto"/>
        </w:rPr>
        <w:t>File No. 333-216453 Brighthouse Shield Level Selector</w:t>
      </w:r>
      <w:r>
        <w:rPr>
          <w:rFonts w:ascii="Arial" w:cs="Arial" w:eastAsia="Arial" w:hAnsi="Arial"/>
          <w:sz w:val="15"/>
          <w:szCs w:val="15"/>
          <w:color w:val="auto"/>
          <w:vertAlign w:val="superscript"/>
        </w:rPr>
        <w:t>®</w:t>
      </w:r>
      <w:r>
        <w:rPr>
          <w:rFonts w:ascii="Arial" w:cs="Arial" w:eastAsia="Arial" w:hAnsi="Arial"/>
          <w:sz w:val="11"/>
          <w:szCs w:val="11"/>
          <w:color w:val="auto"/>
        </w:rPr>
        <w:t xml:space="preserve"> 3-Year Annuity</w:t>
      </w:r>
    </w:p>
    <w:p>
      <w:pPr>
        <w:ind w:left="780"/>
        <w:spacing w:after="0" w:line="188" w:lineRule="auto"/>
        <w:rPr>
          <w:sz w:val="20"/>
          <w:szCs w:val="20"/>
          <w:color w:val="auto"/>
        </w:rPr>
      </w:pPr>
      <w:r>
        <w:rPr>
          <w:rFonts w:ascii="Arial" w:cs="Arial" w:eastAsia="Arial" w:hAnsi="Arial"/>
          <w:sz w:val="11"/>
          <w:szCs w:val="11"/>
          <w:color w:val="auto"/>
        </w:rPr>
        <w:t>File No. 333-238214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10 Annuity</w:t>
      </w:r>
    </w:p>
    <w:p>
      <w:pPr>
        <w:ind w:left="780"/>
        <w:spacing w:after="0" w:line="188" w:lineRule="auto"/>
        <w:rPr>
          <w:sz w:val="20"/>
          <w:szCs w:val="20"/>
          <w:color w:val="auto"/>
        </w:rPr>
      </w:pPr>
      <w:r>
        <w:rPr>
          <w:rFonts w:ascii="Arial" w:cs="Arial" w:eastAsia="Arial" w:hAnsi="Arial"/>
          <w:sz w:val="11"/>
          <w:szCs w:val="11"/>
          <w:color w:val="auto"/>
        </w:rPr>
        <w:t>File No. 333-265196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3-Year Annuity</w:t>
      </w:r>
    </w:p>
    <w:p>
      <w:pPr>
        <w:ind w:left="780"/>
        <w:spacing w:after="0" w:line="188" w:lineRule="auto"/>
        <w:rPr>
          <w:sz w:val="20"/>
          <w:szCs w:val="20"/>
          <w:color w:val="auto"/>
        </w:rPr>
      </w:pPr>
      <w:r>
        <w:rPr>
          <w:rFonts w:ascii="Arial" w:cs="Arial" w:eastAsia="Arial" w:hAnsi="Arial"/>
          <w:sz w:val="11"/>
          <w:szCs w:val="11"/>
          <w:color w:val="auto"/>
        </w:rPr>
        <w:t>File No. 333-265199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w:t>
      </w:r>
    </w:p>
    <w:p>
      <w:pPr>
        <w:ind w:left="780"/>
        <w:spacing w:after="0" w:line="188" w:lineRule="auto"/>
        <w:rPr>
          <w:sz w:val="20"/>
          <w:szCs w:val="20"/>
          <w:color w:val="auto"/>
        </w:rPr>
      </w:pPr>
      <w:r>
        <w:rPr>
          <w:rFonts w:ascii="Arial" w:cs="Arial" w:eastAsia="Arial" w:hAnsi="Arial"/>
          <w:sz w:val="11"/>
          <w:szCs w:val="11"/>
          <w:color w:val="auto"/>
        </w:rPr>
        <w:t>File No. 333-259506 Brighthouse Shield</w:t>
      </w:r>
      <w:r>
        <w:rPr>
          <w:rFonts w:ascii="Arial" w:cs="Arial" w:eastAsia="Arial" w:hAnsi="Arial"/>
          <w:sz w:val="15"/>
          <w:szCs w:val="15"/>
          <w:color w:val="auto"/>
          <w:vertAlign w:val="superscript"/>
        </w:rPr>
        <w:t>®</w:t>
      </w:r>
      <w:r>
        <w:rPr>
          <w:rFonts w:ascii="Arial" w:cs="Arial" w:eastAsia="Arial" w:hAnsi="Arial"/>
          <w:sz w:val="11"/>
          <w:szCs w:val="11"/>
          <w:color w:val="auto"/>
        </w:rPr>
        <w:t xml:space="preserve"> Level Select 6-Year Annuity v.3</w:t>
      </w:r>
    </w:p>
    <w:p>
      <w:pPr>
        <w:ind w:left="780"/>
        <w:spacing w:after="0"/>
        <w:rPr>
          <w:sz w:val="20"/>
          <w:szCs w:val="20"/>
          <w:color w:val="auto"/>
        </w:rPr>
      </w:pPr>
      <w:r>
        <w:rPr>
          <w:rFonts w:ascii="Arial" w:cs="Arial" w:eastAsia="Arial" w:hAnsi="Arial"/>
          <w:sz w:val="12"/>
          <w:szCs w:val="12"/>
          <w:color w:val="auto"/>
        </w:rPr>
        <w:t>File No. 333-279315 Brighthouse Shield</w:t>
      </w:r>
      <w:r>
        <w:rPr>
          <w:rFonts w:ascii="Arial" w:cs="Arial" w:eastAsia="Arial" w:hAnsi="Arial"/>
          <w:sz w:val="17"/>
          <w:szCs w:val="17"/>
          <w:color w:val="auto"/>
          <w:vertAlign w:val="superscript"/>
        </w:rPr>
        <w:t>®</w:t>
      </w:r>
      <w:r>
        <w:rPr>
          <w:rFonts w:ascii="Arial" w:cs="Arial" w:eastAsia="Arial" w:hAnsi="Arial"/>
          <w:sz w:val="12"/>
          <w:szCs w:val="12"/>
          <w:color w:val="auto"/>
        </w:rPr>
        <w:t xml:space="preserve"> Level II 6-Year Annuity</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And new annuities and life products such as:</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2"/>
          <w:szCs w:val="12"/>
          <w:color w:val="auto"/>
        </w:rPr>
        <w:t>Brighthouse Shield Annuity</w:t>
      </w:r>
    </w:p>
    <w:p>
      <w:pPr>
        <w:ind w:left="780"/>
        <w:spacing w:after="0" w:line="234" w:lineRule="auto"/>
        <w:rPr>
          <w:sz w:val="20"/>
          <w:szCs w:val="20"/>
          <w:color w:val="auto"/>
        </w:rPr>
      </w:pPr>
      <w:r>
        <w:rPr>
          <w:rFonts w:ascii="Arial" w:cs="Arial" w:eastAsia="Arial" w:hAnsi="Arial"/>
          <w:sz w:val="12"/>
          <w:szCs w:val="12"/>
          <w:color w:val="auto"/>
        </w:rPr>
        <w:t>Brighthouse Shield 3-Year Annuity</w:t>
      </w:r>
    </w:p>
    <w:p>
      <w:pPr>
        <w:ind w:left="780"/>
        <w:spacing w:after="0" w:line="235" w:lineRule="auto"/>
        <w:rPr>
          <w:sz w:val="20"/>
          <w:szCs w:val="20"/>
          <w:color w:val="auto"/>
        </w:rPr>
      </w:pPr>
      <w:r>
        <w:rPr>
          <w:rFonts w:ascii="Arial" w:cs="Arial" w:eastAsia="Arial" w:hAnsi="Arial"/>
          <w:sz w:val="12"/>
          <w:szCs w:val="12"/>
          <w:color w:val="auto"/>
        </w:rPr>
        <w:t>Brighthouse Shield 6-Year Annuity</w:t>
      </w:r>
    </w:p>
    <w:p>
      <w:pPr>
        <w:ind w:left="780"/>
        <w:spacing w:after="0"/>
        <w:rPr>
          <w:sz w:val="20"/>
          <w:szCs w:val="20"/>
          <w:color w:val="auto"/>
        </w:rPr>
      </w:pPr>
      <w:r>
        <w:rPr>
          <w:rFonts w:ascii="Arial" w:cs="Arial" w:eastAsia="Arial" w:hAnsi="Arial"/>
          <w:sz w:val="12"/>
          <w:szCs w:val="12"/>
          <w:color w:val="auto"/>
        </w:rPr>
        <w:t>Brighthouse indexed-linked life insurance policy,</w:t>
      </w:r>
    </w:p>
    <w:p>
      <w:pPr>
        <w:spacing w:after="0" w:line="129"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and to have full power and authority to do or cause to be done in my name, place and stead each and every act and thing necessary or appropriate in order to effectuate the same, as fully to all intents and purposes as I might or could do in person, hereby ratifying and confirming all that said attorneys-in-fact or any of them, may do or cause to be done by virtue hereof. This Power of Attorney does not revoke any prior powers of attorney.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I have hereunto set my hand this 19th day of May 2024.</w:t>
      </w: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Gianna H. Figaro-Sterling</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Gianna H. Figaro-Sterling</w:t>
      </w:r>
    </w:p>
    <w:p>
      <w:pPr>
        <w:sectPr>
          <w:pgSz w:w="11900" w:h="16838" w:orient="portrait"/>
          <w:cols w:equalWidth="0" w:num="1">
            <w:col w:w="11040"/>
          </w:cols>
          <w:pgMar w:left="300" w:top="226" w:right="559" w:bottom="1440" w:gutter="0" w:footer="0" w:header="0"/>
        </w:sectPr>
      </w:pPr>
    </w:p>
    <w:bookmarkStart w:id="187" w:name="page188"/>
    <w:bookmarkEnd w:id="187"/>
    <w:p>
      <w:pPr>
        <w:spacing w:after="0"/>
        <w:rPr>
          <w:sz w:val="20"/>
          <w:szCs w:val="20"/>
          <w:color w:val="auto"/>
        </w:rPr>
      </w:pPr>
      <w:r>
        <w:rPr>
          <w:rFonts w:ascii="Arial" w:cs="Arial" w:eastAsia="Arial" w:hAnsi="Arial"/>
          <w:sz w:val="12"/>
          <w:szCs w:val="12"/>
          <w:b w:val="1"/>
          <w:bCs w:val="1"/>
          <w:color w:val="auto"/>
        </w:rPr>
        <w:t>Brighthouse Shield Level ll 6-Year Annuity</w:t>
      </w:r>
    </w:p>
    <w:p>
      <w:pPr>
        <w:spacing w:after="0" w:line="133" w:lineRule="exact"/>
        <w:rPr>
          <w:sz w:val="20"/>
          <w:szCs w:val="20"/>
          <w:color w:val="auto"/>
        </w:rPr>
      </w:pPr>
    </w:p>
    <w:p>
      <w:pPr>
        <w:ind w:right="1700"/>
        <w:spacing w:after="0" w:line="375" w:lineRule="auto"/>
        <w:rPr>
          <w:sz w:val="20"/>
          <w:szCs w:val="20"/>
          <w:color w:val="auto"/>
        </w:rPr>
      </w:pPr>
      <w:r>
        <w:rPr>
          <w:rFonts w:ascii="Arial" w:cs="Arial" w:eastAsia="Arial" w:hAnsi="Arial"/>
          <w:sz w:val="12"/>
          <w:szCs w:val="12"/>
          <w:b w:val="1"/>
          <w:bCs w:val="1"/>
          <w:color w:val="auto"/>
        </w:rPr>
        <w:t xml:space="preserve">Historical new contract upside crediting rates in effect for each Shield Option offered by the Contract during the period dated January 1, 2025 through December 31, 2025 </w:t>
      </w:r>
      <w:r>
        <w:rPr>
          <w:rFonts w:ascii="Arial" w:cs="Arial" w:eastAsia="Arial" w:hAnsi="Arial"/>
          <w:sz w:val="12"/>
          <w:szCs w:val="12"/>
          <w:color w:val="auto"/>
        </w:rPr>
        <w:t>The following chart shows the historical new contract Cap Rates, Step Rates, and Edge Rates in effect for each of the Shield Options during the stated time period.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 </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8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9"/>
                <w:szCs w:val="9"/>
                <w:b w:val="1"/>
                <w:bCs w:val="1"/>
                <w:color w:val="auto"/>
              </w:rPr>
              <w:t>Shield Option</w:t>
            </w:r>
          </w:p>
        </w:tc>
        <w:tc>
          <w:tcPr>
            <w:tcW w:w="7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9"/>
                <w:szCs w:val="9"/>
                <w:b w:val="1"/>
                <w:bCs w:val="1"/>
                <w:color w:val="auto"/>
              </w:rPr>
              <w:t>January</w:t>
            </w:r>
          </w:p>
        </w:tc>
        <w:tc>
          <w:tcPr>
            <w:tcW w:w="96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9"/>
                <w:szCs w:val="9"/>
                <w:b w:val="1"/>
                <w:bCs w:val="1"/>
                <w:color w:val="auto"/>
              </w:rPr>
              <w:t>February</w:t>
            </w:r>
          </w:p>
        </w:tc>
        <w:tc>
          <w:tcPr>
            <w:tcW w:w="96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9"/>
                <w:szCs w:val="9"/>
                <w:b w:val="1"/>
                <w:bCs w:val="1"/>
                <w:color w:val="auto"/>
              </w:rPr>
              <w:t>March</w:t>
            </w:r>
          </w:p>
        </w:tc>
        <w:tc>
          <w:tcPr>
            <w:tcW w:w="94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9"/>
                <w:szCs w:val="9"/>
                <w:b w:val="1"/>
                <w:bCs w:val="1"/>
                <w:color w:val="auto"/>
              </w:rPr>
              <w:t>April</w:t>
            </w:r>
          </w:p>
        </w:tc>
        <w:tc>
          <w:tcPr>
            <w:tcW w:w="96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9"/>
                <w:szCs w:val="9"/>
                <w:b w:val="1"/>
                <w:bCs w:val="1"/>
                <w:color w:val="auto"/>
              </w:rPr>
              <w:t>May</w:t>
            </w:r>
          </w:p>
        </w:tc>
        <w:tc>
          <w:tcPr>
            <w:tcW w:w="96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9"/>
                <w:szCs w:val="9"/>
                <w:b w:val="1"/>
                <w:bCs w:val="1"/>
                <w:color w:val="auto"/>
              </w:rPr>
              <w:t>June</w:t>
            </w:r>
          </w:p>
        </w:tc>
        <w:tc>
          <w:tcPr>
            <w:tcW w:w="94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9"/>
                <w:szCs w:val="9"/>
                <w:b w:val="1"/>
                <w:bCs w:val="1"/>
                <w:color w:val="auto"/>
              </w:rPr>
              <w:t>July</w:t>
            </w:r>
          </w:p>
        </w:tc>
        <w:tc>
          <w:tcPr>
            <w:tcW w:w="96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9"/>
                <w:szCs w:val="9"/>
                <w:b w:val="1"/>
                <w:bCs w:val="1"/>
                <w:color w:val="auto"/>
              </w:rPr>
              <w:t>August</w:t>
            </w:r>
          </w:p>
        </w:tc>
        <w:tc>
          <w:tcPr>
            <w:tcW w:w="98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9"/>
                <w:szCs w:val="9"/>
                <w:b w:val="1"/>
                <w:bCs w:val="1"/>
                <w:color w:val="auto"/>
              </w:rPr>
              <w:t>September</w:t>
            </w:r>
          </w:p>
        </w:tc>
        <w:tc>
          <w:tcPr>
            <w:tcW w:w="300" w:type="dxa"/>
            <w:vAlign w:val="bottom"/>
            <w:tcBorders>
              <w:bottom w:val="single" w:sz="8" w:color="auto"/>
            </w:tcBorders>
          </w:tcPr>
          <w:p>
            <w:pPr>
              <w:spacing w:after="0"/>
              <w:rPr>
                <w:sz w:val="11"/>
                <w:szCs w:val="11"/>
                <w:color w:val="auto"/>
              </w:rPr>
            </w:pPr>
          </w:p>
        </w:tc>
      </w:tr>
      <w:tr>
        <w:trPr>
          <w:trHeight w:val="137"/>
        </w:trPr>
        <w:tc>
          <w:tcPr>
            <w:tcW w:w="86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w w:val="99"/>
              </w:rPr>
              <w:t>Rate Crediting Type</w:t>
            </w:r>
          </w:p>
        </w:tc>
        <w:tc>
          <w:tcPr>
            <w:tcW w:w="32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Term</w:t>
            </w:r>
          </w:p>
        </w:tc>
        <w:tc>
          <w:tcPr>
            <w:tcW w:w="560" w:type="dxa"/>
            <w:vAlign w:val="bottom"/>
            <w:tcBorders>
              <w:right w:val="single" w:sz="8" w:color="auto"/>
            </w:tcBorders>
          </w:tcPr>
          <w:p>
            <w:pPr>
              <w:jc w:val="right"/>
              <w:ind w:right="12"/>
              <w:spacing w:after="0"/>
              <w:rPr>
                <w:sz w:val="20"/>
                <w:szCs w:val="20"/>
                <w:color w:val="auto"/>
              </w:rPr>
            </w:pPr>
            <w:r>
              <w:rPr>
                <w:rFonts w:ascii="Arial" w:cs="Arial" w:eastAsia="Arial" w:hAnsi="Arial"/>
                <w:sz w:val="9"/>
                <w:szCs w:val="9"/>
                <w:i w:val="1"/>
                <w:iCs w:val="1"/>
                <w:color w:val="auto"/>
              </w:rPr>
              <w:t>Shield Rate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9"/>
                <w:szCs w:val="9"/>
                <w:i w:val="1"/>
                <w:iCs w:val="1"/>
                <w:color w:val="auto"/>
              </w:rPr>
              <w:t>Index</w:t>
            </w: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01/01/25</w:t>
            </w:r>
          </w:p>
        </w:tc>
        <w:tc>
          <w:tcPr>
            <w:tcW w:w="48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01/15/25</w:t>
            </w:r>
          </w:p>
        </w:tc>
        <w:tc>
          <w:tcPr>
            <w:tcW w:w="48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02/01/25</w:t>
            </w:r>
          </w:p>
        </w:tc>
        <w:tc>
          <w:tcPr>
            <w:tcW w:w="48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02/15/25</w:t>
            </w:r>
          </w:p>
        </w:tc>
        <w:tc>
          <w:tcPr>
            <w:tcW w:w="48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03/01/25</w:t>
            </w:r>
          </w:p>
        </w:tc>
        <w:tc>
          <w:tcPr>
            <w:tcW w:w="48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03/15/25</w:t>
            </w: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04/01/25</w:t>
            </w:r>
          </w:p>
        </w:tc>
        <w:tc>
          <w:tcPr>
            <w:tcW w:w="480" w:type="dxa"/>
            <w:vAlign w:val="bottom"/>
            <w:tcBorders>
              <w:right w:val="single" w:sz="8" w:color="auto"/>
            </w:tcBorders>
          </w:tcPr>
          <w:p>
            <w:pPr>
              <w:ind w:left="60"/>
              <w:spacing w:after="0"/>
              <w:rPr>
                <w:sz w:val="20"/>
                <w:szCs w:val="20"/>
                <w:color w:val="auto"/>
              </w:rPr>
            </w:pPr>
            <w:r>
              <w:rPr>
                <w:rFonts w:ascii="Arial" w:cs="Arial" w:eastAsia="Arial" w:hAnsi="Arial"/>
                <w:sz w:val="9"/>
                <w:szCs w:val="9"/>
                <w:i w:val="1"/>
                <w:iCs w:val="1"/>
                <w:color w:val="auto"/>
              </w:rPr>
              <w:t>04/15/25</w:t>
            </w:r>
          </w:p>
        </w:tc>
        <w:tc>
          <w:tcPr>
            <w:tcW w:w="48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05/01/25</w:t>
            </w:r>
          </w:p>
        </w:tc>
        <w:tc>
          <w:tcPr>
            <w:tcW w:w="48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05/15/25</w:t>
            </w:r>
          </w:p>
        </w:tc>
        <w:tc>
          <w:tcPr>
            <w:tcW w:w="48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06/01/25</w:t>
            </w:r>
          </w:p>
        </w:tc>
        <w:tc>
          <w:tcPr>
            <w:tcW w:w="48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06/15/25</w:t>
            </w:r>
          </w:p>
        </w:tc>
        <w:tc>
          <w:tcPr>
            <w:tcW w:w="48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07/01/25</w:t>
            </w: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07/15/25</w:t>
            </w:r>
          </w:p>
        </w:tc>
        <w:tc>
          <w:tcPr>
            <w:tcW w:w="480" w:type="dxa"/>
            <w:vAlign w:val="bottom"/>
            <w:tcBorders>
              <w:right w:val="single" w:sz="8" w:color="auto"/>
            </w:tcBorders>
          </w:tcPr>
          <w:p>
            <w:pPr>
              <w:ind w:left="60"/>
              <w:spacing w:after="0"/>
              <w:rPr>
                <w:sz w:val="20"/>
                <w:szCs w:val="20"/>
                <w:color w:val="auto"/>
              </w:rPr>
            </w:pPr>
            <w:r>
              <w:rPr>
                <w:rFonts w:ascii="Arial" w:cs="Arial" w:eastAsia="Arial" w:hAnsi="Arial"/>
                <w:sz w:val="9"/>
                <w:szCs w:val="9"/>
                <w:i w:val="1"/>
                <w:iCs w:val="1"/>
                <w:color w:val="auto"/>
              </w:rPr>
              <w:t>08/01/25</w:t>
            </w:r>
          </w:p>
        </w:tc>
        <w:tc>
          <w:tcPr>
            <w:tcW w:w="48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08/15/25</w:t>
            </w:r>
          </w:p>
        </w:tc>
        <w:tc>
          <w:tcPr>
            <w:tcW w:w="48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09/01/25</w:t>
            </w:r>
          </w:p>
        </w:tc>
        <w:tc>
          <w:tcPr>
            <w:tcW w:w="500" w:type="dxa"/>
            <w:vAlign w:val="bottom"/>
            <w:tcBorders>
              <w:right w:val="single" w:sz="8" w:color="auto"/>
            </w:tcBorders>
          </w:tcPr>
          <w:p>
            <w:pPr>
              <w:jc w:val="right"/>
              <w:ind w:right="12"/>
              <w:spacing w:after="0"/>
              <w:rPr>
                <w:sz w:val="20"/>
                <w:szCs w:val="20"/>
                <w:color w:val="auto"/>
              </w:rPr>
            </w:pPr>
            <w:r>
              <w:rPr>
                <w:rFonts w:ascii="Arial" w:cs="Arial" w:eastAsia="Arial" w:hAnsi="Arial"/>
                <w:sz w:val="9"/>
                <w:szCs w:val="9"/>
                <w:i w:val="1"/>
                <w:iCs w:val="1"/>
                <w:color w:val="auto"/>
              </w:rPr>
              <w:t>9/15/2025</w:t>
            </w:r>
          </w:p>
        </w:tc>
        <w:tc>
          <w:tcPr>
            <w:tcW w:w="300" w:type="dxa"/>
            <w:vAlign w:val="bottom"/>
          </w:tcPr>
          <w:p>
            <w:pPr>
              <w:jc w:val="right"/>
              <w:spacing w:after="0"/>
              <w:rPr>
                <w:sz w:val="20"/>
                <w:szCs w:val="20"/>
                <w:color w:val="auto"/>
              </w:rPr>
            </w:pPr>
            <w:r>
              <w:rPr>
                <w:rFonts w:ascii="Arial" w:cs="Arial" w:eastAsia="Arial" w:hAnsi="Arial"/>
                <w:sz w:val="9"/>
                <w:szCs w:val="9"/>
                <w:i w:val="1"/>
                <w:iCs w:val="1"/>
                <w:color w:val="auto"/>
              </w:rPr>
              <w:t>10/01/</w:t>
            </w:r>
          </w:p>
        </w:tc>
      </w:tr>
      <w:tr>
        <w:trPr>
          <w:trHeight w:val="24"/>
        </w:trPr>
        <w:tc>
          <w:tcPr>
            <w:tcW w:w="8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60"/>
        </w:trPr>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Cap Rate</w:t>
            </w: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85.00%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75.00%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225.00%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225.00%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145.00%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125.00%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Uncapped</w:t>
            </w:r>
          </w:p>
        </w:tc>
        <w:tc>
          <w:tcPr>
            <w:tcW w:w="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8"/>
              </w:rPr>
              <w:t>Uncapped</w:t>
            </w:r>
          </w:p>
        </w:tc>
        <w:tc>
          <w:tcPr>
            <w:tcW w:w="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8"/>
              </w:rPr>
              <w:t>Uncapped</w:t>
            </w:r>
          </w:p>
        </w:tc>
        <w:tc>
          <w:tcPr>
            <w:tcW w:w="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8"/>
              </w:rPr>
              <w:t>Uncapped</w:t>
            </w:r>
          </w:p>
        </w:tc>
        <w:tc>
          <w:tcPr>
            <w:tcW w:w="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8"/>
              </w:rPr>
              <w:t>Uncapped</w:t>
            </w:r>
          </w:p>
        </w:tc>
        <w:tc>
          <w:tcPr>
            <w:tcW w:w="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8"/>
              </w:rPr>
              <w:t>Uncapped</w:t>
            </w:r>
          </w:p>
        </w:tc>
        <w:tc>
          <w:tcPr>
            <w:tcW w:w="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Uncapped</w:t>
            </w:r>
          </w:p>
        </w:tc>
        <w:tc>
          <w:tcPr>
            <w:tcW w:w="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w w:val="93"/>
              </w:rPr>
              <w:t>Uncapped</w:t>
            </w:r>
          </w:p>
        </w:tc>
        <w:tc>
          <w:tcPr>
            <w:tcW w:w="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8"/>
              </w:rPr>
              <w:t>Uncapped</w:t>
            </w:r>
          </w:p>
        </w:tc>
        <w:tc>
          <w:tcPr>
            <w:tcW w:w="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8"/>
              </w:rPr>
              <w:t>Uncapped</w:t>
            </w:r>
          </w:p>
        </w:tc>
        <w:tc>
          <w:tcPr>
            <w:tcW w:w="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8"/>
              </w:rPr>
              <w:t>Uncapped</w:t>
            </w:r>
          </w:p>
        </w:tc>
        <w:tc>
          <w:tcPr>
            <w:tcW w:w="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8"/>
              </w:rPr>
              <w:t>Uncapped</w:t>
            </w:r>
          </w:p>
        </w:tc>
        <w:tc>
          <w:tcPr>
            <w:tcW w:w="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8"/>
              </w:rPr>
              <w:t>Uncapped</w:t>
            </w:r>
          </w:p>
        </w:tc>
        <w:tc>
          <w:tcPr>
            <w:tcW w:w="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Uncapped</w:t>
            </w:r>
          </w:p>
        </w:tc>
        <w:tc>
          <w:tcPr>
            <w:tcW w:w="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w w:val="93"/>
              </w:rPr>
              <w:t>Uncapped</w:t>
            </w:r>
          </w:p>
        </w:tc>
        <w:tc>
          <w:tcPr>
            <w:tcW w:w="4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8"/>
              </w:rPr>
              <w:t>Uncapped</w:t>
            </w:r>
          </w:p>
        </w:tc>
        <w:tc>
          <w:tcPr>
            <w:tcW w:w="4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w w:val="93"/>
              </w:rPr>
              <w:t>Uncapped</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Uncapped</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Uncap</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75.00%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75.00%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75.00%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75.00%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70.00%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95.00%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95.00%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95.0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125.00%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110.00%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r>
      <w:tr>
        <w:trPr>
          <w:trHeight w:val="134"/>
        </w:trPr>
        <w:tc>
          <w:tcPr>
            <w:tcW w:w="86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72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6"/>
              </w:rPr>
              <w:t>MSCI EAFE</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110.00%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110.00%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110.00%</w:t>
            </w:r>
          </w:p>
        </w:tc>
        <w:tc>
          <w:tcPr>
            <w:tcW w:w="5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110.00%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r>
      <w:tr>
        <w:trPr>
          <w:trHeight w:val="125"/>
        </w:trPr>
        <w:tc>
          <w:tcPr>
            <w:tcW w:w="8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2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6"/>
              </w:rPr>
              <w:t>MSCI EAFE</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200.00%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200.00%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200.00%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200.00%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200.00%</w:t>
            </w:r>
          </w:p>
        </w:tc>
        <w:tc>
          <w:tcPr>
            <w:tcW w:w="5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200.00%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r>
      <w:tr>
        <w:trPr>
          <w:trHeight w:val="125"/>
        </w:trPr>
        <w:tc>
          <w:tcPr>
            <w:tcW w:w="8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2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6"/>
              </w:rPr>
              <w:t>MSCI EAFE</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300.00%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300.00%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300.00%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300.00%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300.00%</w:t>
            </w:r>
          </w:p>
        </w:tc>
        <w:tc>
          <w:tcPr>
            <w:tcW w:w="5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300.00%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300.0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r>
      <w:tr>
        <w:trPr>
          <w:trHeight w:val="160"/>
        </w:trPr>
        <w:tc>
          <w:tcPr>
            <w:tcW w:w="860" w:type="dxa"/>
            <w:vAlign w:val="bottom"/>
            <w:tcBorders>
              <w:right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3-year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70.00%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3-year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3-year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55.00%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55.00%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3-year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3-year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45.00%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45.00%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3-year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55.00%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55.00%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55.0</w:t>
            </w:r>
          </w:p>
        </w:tc>
      </w:tr>
      <w:tr>
        <w:trPr>
          <w:trHeight w:val="134"/>
        </w:trPr>
        <w:tc>
          <w:tcPr>
            <w:tcW w:w="86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3-year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2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6"/>
              </w:rPr>
              <w:t>MSCI EAFE</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80.00%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5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r>
      <w:tr>
        <w:trPr>
          <w:trHeight w:val="125"/>
        </w:trPr>
        <w:tc>
          <w:tcPr>
            <w:tcW w:w="8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3-year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2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6"/>
              </w:rPr>
              <w:t>MSCI EAFE</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130.00%</w:t>
            </w:r>
          </w:p>
        </w:tc>
        <w:tc>
          <w:tcPr>
            <w:tcW w:w="5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r>
      <w:tr>
        <w:trPr>
          <w:trHeight w:val="160"/>
        </w:trPr>
        <w:tc>
          <w:tcPr>
            <w:tcW w:w="860" w:type="dxa"/>
            <w:vAlign w:val="bottom"/>
            <w:tcBorders>
              <w:right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9.75%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9.75%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11.50%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16.25%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10.25%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11.75%</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11.75%</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11.7</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16.50%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19.50%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19.50%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22.00%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22.00%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22.00%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9.25%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13.25%</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13.25%</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13.2</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19.50%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19.50%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17.50%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17.50%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17.5</w:t>
            </w:r>
          </w:p>
        </w:tc>
      </w:tr>
      <w:tr>
        <w:trPr>
          <w:trHeight w:val="134"/>
        </w:trPr>
        <w:tc>
          <w:tcPr>
            <w:tcW w:w="86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72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6"/>
              </w:rPr>
              <w:t>MSCI EAFE</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8.25%</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8.25%</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8.25%</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11.50%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9.75%</w:t>
            </w:r>
          </w:p>
        </w:tc>
        <w:tc>
          <w:tcPr>
            <w:tcW w:w="5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9.75%</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r>
      <w:tr>
        <w:trPr>
          <w:trHeight w:val="125"/>
        </w:trPr>
        <w:tc>
          <w:tcPr>
            <w:tcW w:w="8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20" w:type="dxa"/>
            <w:vAlign w:val="bottom"/>
            <w:tcBorders>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6"/>
              </w:rPr>
              <w:t>MSCI EAFE</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11.50%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15.50%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50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15.50%</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r>
      <w:tr>
        <w:trPr>
          <w:trHeight w:val="129"/>
        </w:trPr>
        <w:tc>
          <w:tcPr>
            <w:tcW w:w="86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2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6"/>
              </w:rPr>
              <w:t>MSCI EAFE</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17.00%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17.00%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21.50%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21.50%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21.50%</w:t>
            </w:r>
          </w:p>
        </w:tc>
        <w:tc>
          <w:tcPr>
            <w:tcW w:w="50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21.50%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w:t>
            </w:r>
          </w:p>
        </w:tc>
      </w:tr>
    </w:tbl>
    <w:p>
      <w:pPr>
        <w:sectPr>
          <w:pgSz w:w="11900" w:h="16838" w:orient="portrait"/>
          <w:cols w:equalWidth="0" w:num="1">
            <w:col w:w="11360"/>
          </w:cols>
          <w:pgMar w:left="300" w:top="118" w:right="239" w:bottom="1440" w:gutter="0" w:footer="0" w:header="0"/>
        </w:sectPr>
      </w:pPr>
    </w:p>
    <w:bookmarkStart w:id="188" w:name="page189"/>
    <w:bookmarkEnd w:id="1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7203440"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6"/>
        </w:trPr>
        <w:tc>
          <w:tcPr>
            <w:tcW w:w="8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9"/>
                <w:szCs w:val="9"/>
                <w:b w:val="1"/>
                <w:bCs w:val="1"/>
                <w:color w:val="auto"/>
              </w:rPr>
              <w:t>Shield Option</w:t>
            </w:r>
          </w:p>
        </w:tc>
        <w:tc>
          <w:tcPr>
            <w:tcW w:w="7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9"/>
                <w:szCs w:val="9"/>
                <w:b w:val="1"/>
                <w:bCs w:val="1"/>
                <w:color w:val="auto"/>
              </w:rPr>
              <w:t>January</w:t>
            </w:r>
          </w:p>
        </w:tc>
        <w:tc>
          <w:tcPr>
            <w:tcW w:w="96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9"/>
                <w:szCs w:val="9"/>
                <w:b w:val="1"/>
                <w:bCs w:val="1"/>
                <w:color w:val="auto"/>
              </w:rPr>
              <w:t>February</w:t>
            </w:r>
          </w:p>
        </w:tc>
        <w:tc>
          <w:tcPr>
            <w:tcW w:w="94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9"/>
                <w:szCs w:val="9"/>
                <w:b w:val="1"/>
                <w:bCs w:val="1"/>
                <w:color w:val="auto"/>
              </w:rPr>
              <w:t>March</w:t>
            </w:r>
          </w:p>
        </w:tc>
        <w:tc>
          <w:tcPr>
            <w:tcW w:w="96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9"/>
                <w:szCs w:val="9"/>
                <w:b w:val="1"/>
                <w:bCs w:val="1"/>
                <w:color w:val="auto"/>
              </w:rPr>
              <w:t>April</w:t>
            </w:r>
          </w:p>
        </w:tc>
        <w:tc>
          <w:tcPr>
            <w:tcW w:w="96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9"/>
                <w:szCs w:val="9"/>
                <w:b w:val="1"/>
                <w:bCs w:val="1"/>
                <w:color w:val="auto"/>
              </w:rPr>
              <w:t>May</w:t>
            </w:r>
          </w:p>
        </w:tc>
        <w:tc>
          <w:tcPr>
            <w:tcW w:w="96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9"/>
                <w:szCs w:val="9"/>
                <w:b w:val="1"/>
                <w:bCs w:val="1"/>
                <w:color w:val="auto"/>
              </w:rPr>
              <w:t>June</w:t>
            </w:r>
          </w:p>
        </w:tc>
        <w:tc>
          <w:tcPr>
            <w:tcW w:w="94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9"/>
                <w:szCs w:val="9"/>
                <w:b w:val="1"/>
                <w:bCs w:val="1"/>
                <w:color w:val="auto"/>
              </w:rPr>
              <w:t>July</w:t>
            </w:r>
          </w:p>
        </w:tc>
        <w:tc>
          <w:tcPr>
            <w:tcW w:w="96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9"/>
                <w:szCs w:val="9"/>
                <w:b w:val="1"/>
                <w:bCs w:val="1"/>
                <w:color w:val="auto"/>
              </w:rPr>
              <w:t>August</w:t>
            </w:r>
          </w:p>
        </w:tc>
        <w:tc>
          <w:tcPr>
            <w:tcW w:w="96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9"/>
                <w:szCs w:val="9"/>
                <w:b w:val="1"/>
                <w:bCs w:val="1"/>
                <w:color w:val="auto"/>
              </w:rPr>
              <w:t>September</w:t>
            </w:r>
          </w:p>
        </w:tc>
        <w:tc>
          <w:tcPr>
            <w:tcW w:w="280" w:type="dxa"/>
            <w:vAlign w:val="bottom"/>
            <w:tcBorders>
              <w:bottom w:val="single" w:sz="8" w:color="auto"/>
            </w:tcBorders>
          </w:tcPr>
          <w:p>
            <w:pPr>
              <w:spacing w:after="0"/>
              <w:rPr>
                <w:sz w:val="11"/>
                <w:szCs w:val="11"/>
                <w:color w:val="auto"/>
              </w:rPr>
            </w:pPr>
          </w:p>
        </w:tc>
      </w:tr>
      <w:tr>
        <w:trPr>
          <w:trHeight w:val="138"/>
        </w:trPr>
        <w:tc>
          <w:tcPr>
            <w:tcW w:w="86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w w:val="99"/>
              </w:rPr>
              <w:t>Rate Crediting Type</w:t>
            </w: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9"/>
                <w:szCs w:val="9"/>
                <w:i w:val="1"/>
                <w:iCs w:val="1"/>
                <w:color w:val="auto"/>
              </w:rPr>
              <w:t>Term</w:t>
            </w:r>
          </w:p>
        </w:tc>
        <w:tc>
          <w:tcPr>
            <w:tcW w:w="560" w:type="dxa"/>
            <w:vAlign w:val="bottom"/>
            <w:tcBorders>
              <w:right w:val="single" w:sz="8" w:color="auto"/>
            </w:tcBorders>
          </w:tcPr>
          <w:p>
            <w:pPr>
              <w:jc w:val="right"/>
              <w:ind w:right="12"/>
              <w:spacing w:after="0"/>
              <w:rPr>
                <w:sz w:val="20"/>
                <w:szCs w:val="20"/>
                <w:color w:val="auto"/>
              </w:rPr>
            </w:pPr>
            <w:r>
              <w:rPr>
                <w:rFonts w:ascii="Arial" w:cs="Arial" w:eastAsia="Arial" w:hAnsi="Arial"/>
                <w:sz w:val="9"/>
                <w:szCs w:val="9"/>
                <w:i w:val="1"/>
                <w:iCs w:val="1"/>
                <w:color w:val="auto"/>
              </w:rPr>
              <w:t>Shield Rate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9"/>
                <w:szCs w:val="9"/>
                <w:i w:val="1"/>
                <w:iCs w:val="1"/>
                <w:color w:val="auto"/>
                <w:w w:val="99"/>
              </w:rPr>
              <w:t>Index</w:t>
            </w:r>
          </w:p>
        </w:tc>
        <w:tc>
          <w:tcPr>
            <w:tcW w:w="480" w:type="dxa"/>
            <w:vAlign w:val="bottom"/>
            <w:tcBorders>
              <w:right w:val="single" w:sz="8" w:color="auto"/>
            </w:tcBorders>
          </w:tcPr>
          <w:p>
            <w:pPr>
              <w:jc w:val="right"/>
              <w:ind w:right="12"/>
              <w:spacing w:after="0"/>
              <w:rPr>
                <w:sz w:val="20"/>
                <w:szCs w:val="20"/>
                <w:color w:val="auto"/>
              </w:rPr>
            </w:pPr>
            <w:r>
              <w:rPr>
                <w:rFonts w:ascii="Arial" w:cs="Arial" w:eastAsia="Arial" w:hAnsi="Arial"/>
                <w:sz w:val="9"/>
                <w:szCs w:val="9"/>
                <w:i w:val="1"/>
                <w:iCs w:val="1"/>
                <w:color w:val="auto"/>
              </w:rPr>
              <w:t>01/01/25</w:t>
            </w:r>
          </w:p>
        </w:tc>
        <w:tc>
          <w:tcPr>
            <w:tcW w:w="480" w:type="dxa"/>
            <w:vAlign w:val="bottom"/>
            <w:tcBorders>
              <w:right w:val="single" w:sz="8" w:color="auto"/>
            </w:tcBorders>
          </w:tcPr>
          <w:p>
            <w:pPr>
              <w:jc w:val="right"/>
              <w:ind w:right="32"/>
              <w:spacing w:after="0"/>
              <w:rPr>
                <w:sz w:val="20"/>
                <w:szCs w:val="20"/>
                <w:color w:val="auto"/>
              </w:rPr>
            </w:pPr>
            <w:r>
              <w:rPr>
                <w:rFonts w:ascii="Arial" w:cs="Arial" w:eastAsia="Arial" w:hAnsi="Arial"/>
                <w:sz w:val="9"/>
                <w:szCs w:val="9"/>
                <w:i w:val="1"/>
                <w:iCs w:val="1"/>
                <w:color w:val="auto"/>
              </w:rPr>
              <w:t>01/15/25</w:t>
            </w:r>
          </w:p>
        </w:tc>
        <w:tc>
          <w:tcPr>
            <w:tcW w:w="480" w:type="dxa"/>
            <w:vAlign w:val="bottom"/>
            <w:tcBorders>
              <w:right w:val="single" w:sz="8" w:color="auto"/>
            </w:tcBorders>
          </w:tcPr>
          <w:p>
            <w:pPr>
              <w:jc w:val="right"/>
              <w:ind w:right="32"/>
              <w:spacing w:after="0"/>
              <w:rPr>
                <w:sz w:val="20"/>
                <w:szCs w:val="20"/>
                <w:color w:val="auto"/>
              </w:rPr>
            </w:pPr>
            <w:r>
              <w:rPr>
                <w:rFonts w:ascii="Arial" w:cs="Arial" w:eastAsia="Arial" w:hAnsi="Arial"/>
                <w:sz w:val="9"/>
                <w:szCs w:val="9"/>
                <w:i w:val="1"/>
                <w:iCs w:val="1"/>
                <w:color w:val="auto"/>
              </w:rPr>
              <w:t>02/01/25</w:t>
            </w:r>
          </w:p>
        </w:tc>
        <w:tc>
          <w:tcPr>
            <w:tcW w:w="480" w:type="dxa"/>
            <w:vAlign w:val="bottom"/>
            <w:tcBorders>
              <w:right w:val="single" w:sz="8" w:color="auto"/>
            </w:tcBorders>
          </w:tcPr>
          <w:p>
            <w:pPr>
              <w:jc w:val="right"/>
              <w:ind w:right="32"/>
              <w:spacing w:after="0"/>
              <w:rPr>
                <w:sz w:val="20"/>
                <w:szCs w:val="20"/>
                <w:color w:val="auto"/>
              </w:rPr>
            </w:pPr>
            <w:r>
              <w:rPr>
                <w:rFonts w:ascii="Arial" w:cs="Arial" w:eastAsia="Arial" w:hAnsi="Arial"/>
                <w:sz w:val="9"/>
                <w:szCs w:val="9"/>
                <w:i w:val="1"/>
                <w:iCs w:val="1"/>
                <w:color w:val="auto"/>
              </w:rPr>
              <w:t>02/15/25</w:t>
            </w:r>
          </w:p>
        </w:tc>
        <w:tc>
          <w:tcPr>
            <w:tcW w:w="480" w:type="dxa"/>
            <w:vAlign w:val="bottom"/>
            <w:tcBorders>
              <w:right w:val="single" w:sz="8" w:color="auto"/>
            </w:tcBorders>
          </w:tcPr>
          <w:p>
            <w:pPr>
              <w:jc w:val="right"/>
              <w:ind w:right="32"/>
              <w:spacing w:after="0"/>
              <w:rPr>
                <w:sz w:val="20"/>
                <w:szCs w:val="20"/>
                <w:color w:val="auto"/>
              </w:rPr>
            </w:pPr>
            <w:r>
              <w:rPr>
                <w:rFonts w:ascii="Arial" w:cs="Arial" w:eastAsia="Arial" w:hAnsi="Arial"/>
                <w:sz w:val="9"/>
                <w:szCs w:val="9"/>
                <w:i w:val="1"/>
                <w:iCs w:val="1"/>
                <w:color w:val="auto"/>
              </w:rPr>
              <w:t>03/01/25</w:t>
            </w: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9"/>
                <w:szCs w:val="9"/>
                <w:i w:val="1"/>
                <w:iCs w:val="1"/>
                <w:color w:val="auto"/>
              </w:rPr>
              <w:t>03/15/25</w:t>
            </w:r>
          </w:p>
        </w:tc>
        <w:tc>
          <w:tcPr>
            <w:tcW w:w="480" w:type="dxa"/>
            <w:vAlign w:val="bottom"/>
            <w:tcBorders>
              <w:right w:val="single" w:sz="8" w:color="auto"/>
            </w:tcBorders>
          </w:tcPr>
          <w:p>
            <w:pPr>
              <w:jc w:val="right"/>
              <w:ind w:right="12"/>
              <w:spacing w:after="0"/>
              <w:rPr>
                <w:sz w:val="20"/>
                <w:szCs w:val="20"/>
                <w:color w:val="auto"/>
              </w:rPr>
            </w:pPr>
            <w:r>
              <w:rPr>
                <w:rFonts w:ascii="Arial" w:cs="Arial" w:eastAsia="Arial" w:hAnsi="Arial"/>
                <w:sz w:val="9"/>
                <w:szCs w:val="9"/>
                <w:i w:val="1"/>
                <w:iCs w:val="1"/>
                <w:color w:val="auto"/>
              </w:rPr>
              <w:t>04/01/25</w:t>
            </w:r>
          </w:p>
        </w:tc>
        <w:tc>
          <w:tcPr>
            <w:tcW w:w="480" w:type="dxa"/>
            <w:vAlign w:val="bottom"/>
            <w:tcBorders>
              <w:right w:val="single" w:sz="8" w:color="auto"/>
            </w:tcBorders>
          </w:tcPr>
          <w:p>
            <w:pPr>
              <w:jc w:val="right"/>
              <w:ind w:right="12"/>
              <w:spacing w:after="0"/>
              <w:rPr>
                <w:sz w:val="20"/>
                <w:szCs w:val="20"/>
                <w:color w:val="auto"/>
              </w:rPr>
            </w:pPr>
            <w:r>
              <w:rPr>
                <w:rFonts w:ascii="Arial" w:cs="Arial" w:eastAsia="Arial" w:hAnsi="Arial"/>
                <w:sz w:val="9"/>
                <w:szCs w:val="9"/>
                <w:i w:val="1"/>
                <w:iCs w:val="1"/>
                <w:color w:val="auto"/>
              </w:rPr>
              <w:t>04/15/25</w:t>
            </w:r>
          </w:p>
        </w:tc>
        <w:tc>
          <w:tcPr>
            <w:tcW w:w="480" w:type="dxa"/>
            <w:vAlign w:val="bottom"/>
            <w:tcBorders>
              <w:right w:val="single" w:sz="8" w:color="auto"/>
            </w:tcBorders>
          </w:tcPr>
          <w:p>
            <w:pPr>
              <w:jc w:val="right"/>
              <w:ind w:right="32"/>
              <w:spacing w:after="0"/>
              <w:rPr>
                <w:sz w:val="20"/>
                <w:szCs w:val="20"/>
                <w:color w:val="auto"/>
              </w:rPr>
            </w:pPr>
            <w:r>
              <w:rPr>
                <w:rFonts w:ascii="Arial" w:cs="Arial" w:eastAsia="Arial" w:hAnsi="Arial"/>
                <w:sz w:val="9"/>
                <w:szCs w:val="9"/>
                <w:i w:val="1"/>
                <w:iCs w:val="1"/>
                <w:color w:val="auto"/>
              </w:rPr>
              <w:t>05/01/25</w:t>
            </w:r>
          </w:p>
        </w:tc>
        <w:tc>
          <w:tcPr>
            <w:tcW w:w="480" w:type="dxa"/>
            <w:vAlign w:val="bottom"/>
            <w:tcBorders>
              <w:right w:val="single" w:sz="8" w:color="auto"/>
            </w:tcBorders>
          </w:tcPr>
          <w:p>
            <w:pPr>
              <w:jc w:val="right"/>
              <w:ind w:right="32"/>
              <w:spacing w:after="0"/>
              <w:rPr>
                <w:sz w:val="20"/>
                <w:szCs w:val="20"/>
                <w:color w:val="auto"/>
              </w:rPr>
            </w:pPr>
            <w:r>
              <w:rPr>
                <w:rFonts w:ascii="Arial" w:cs="Arial" w:eastAsia="Arial" w:hAnsi="Arial"/>
                <w:sz w:val="9"/>
                <w:szCs w:val="9"/>
                <w:i w:val="1"/>
                <w:iCs w:val="1"/>
                <w:color w:val="auto"/>
              </w:rPr>
              <w:t>05/15/25</w:t>
            </w:r>
          </w:p>
        </w:tc>
        <w:tc>
          <w:tcPr>
            <w:tcW w:w="480" w:type="dxa"/>
            <w:vAlign w:val="bottom"/>
            <w:tcBorders>
              <w:right w:val="single" w:sz="8" w:color="auto"/>
            </w:tcBorders>
          </w:tcPr>
          <w:p>
            <w:pPr>
              <w:jc w:val="right"/>
              <w:ind w:right="32"/>
              <w:spacing w:after="0"/>
              <w:rPr>
                <w:sz w:val="20"/>
                <w:szCs w:val="20"/>
                <w:color w:val="auto"/>
              </w:rPr>
            </w:pPr>
            <w:r>
              <w:rPr>
                <w:rFonts w:ascii="Arial" w:cs="Arial" w:eastAsia="Arial" w:hAnsi="Arial"/>
                <w:sz w:val="9"/>
                <w:szCs w:val="9"/>
                <w:i w:val="1"/>
                <w:iCs w:val="1"/>
                <w:color w:val="auto"/>
              </w:rPr>
              <w:t>06/01/25</w:t>
            </w:r>
          </w:p>
        </w:tc>
        <w:tc>
          <w:tcPr>
            <w:tcW w:w="480" w:type="dxa"/>
            <w:vAlign w:val="bottom"/>
            <w:tcBorders>
              <w:right w:val="single" w:sz="8" w:color="auto"/>
            </w:tcBorders>
          </w:tcPr>
          <w:p>
            <w:pPr>
              <w:jc w:val="right"/>
              <w:ind w:right="32"/>
              <w:spacing w:after="0"/>
              <w:rPr>
                <w:sz w:val="20"/>
                <w:szCs w:val="20"/>
                <w:color w:val="auto"/>
              </w:rPr>
            </w:pPr>
            <w:r>
              <w:rPr>
                <w:rFonts w:ascii="Arial" w:cs="Arial" w:eastAsia="Arial" w:hAnsi="Arial"/>
                <w:sz w:val="9"/>
                <w:szCs w:val="9"/>
                <w:i w:val="1"/>
                <w:iCs w:val="1"/>
                <w:color w:val="auto"/>
              </w:rPr>
              <w:t>06/15/25</w:t>
            </w: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9"/>
                <w:szCs w:val="9"/>
                <w:i w:val="1"/>
                <w:iCs w:val="1"/>
                <w:color w:val="auto"/>
              </w:rPr>
              <w:t>07/01/25</w:t>
            </w:r>
          </w:p>
        </w:tc>
        <w:tc>
          <w:tcPr>
            <w:tcW w:w="480" w:type="dxa"/>
            <w:vAlign w:val="bottom"/>
            <w:tcBorders>
              <w:right w:val="single" w:sz="8" w:color="auto"/>
            </w:tcBorders>
          </w:tcPr>
          <w:p>
            <w:pPr>
              <w:jc w:val="right"/>
              <w:ind w:right="12"/>
              <w:spacing w:after="0"/>
              <w:rPr>
                <w:sz w:val="20"/>
                <w:szCs w:val="20"/>
                <w:color w:val="auto"/>
              </w:rPr>
            </w:pPr>
            <w:r>
              <w:rPr>
                <w:rFonts w:ascii="Arial" w:cs="Arial" w:eastAsia="Arial" w:hAnsi="Arial"/>
                <w:sz w:val="9"/>
                <w:szCs w:val="9"/>
                <w:i w:val="1"/>
                <w:iCs w:val="1"/>
                <w:color w:val="auto"/>
              </w:rPr>
              <w:t>07/15/25</w:t>
            </w:r>
          </w:p>
        </w:tc>
        <w:tc>
          <w:tcPr>
            <w:tcW w:w="480" w:type="dxa"/>
            <w:vAlign w:val="bottom"/>
            <w:tcBorders>
              <w:right w:val="single" w:sz="8" w:color="auto"/>
            </w:tcBorders>
          </w:tcPr>
          <w:p>
            <w:pPr>
              <w:jc w:val="right"/>
              <w:ind w:right="12"/>
              <w:spacing w:after="0"/>
              <w:rPr>
                <w:sz w:val="20"/>
                <w:szCs w:val="20"/>
                <w:color w:val="auto"/>
              </w:rPr>
            </w:pPr>
            <w:r>
              <w:rPr>
                <w:rFonts w:ascii="Arial" w:cs="Arial" w:eastAsia="Arial" w:hAnsi="Arial"/>
                <w:sz w:val="9"/>
                <w:szCs w:val="9"/>
                <w:i w:val="1"/>
                <w:iCs w:val="1"/>
                <w:color w:val="auto"/>
              </w:rPr>
              <w:t>08/01/25</w:t>
            </w:r>
          </w:p>
        </w:tc>
        <w:tc>
          <w:tcPr>
            <w:tcW w:w="480" w:type="dxa"/>
            <w:vAlign w:val="bottom"/>
            <w:tcBorders>
              <w:right w:val="single" w:sz="8" w:color="auto"/>
            </w:tcBorders>
          </w:tcPr>
          <w:p>
            <w:pPr>
              <w:jc w:val="right"/>
              <w:ind w:right="32"/>
              <w:spacing w:after="0"/>
              <w:rPr>
                <w:sz w:val="20"/>
                <w:szCs w:val="20"/>
                <w:color w:val="auto"/>
              </w:rPr>
            </w:pPr>
            <w:r>
              <w:rPr>
                <w:rFonts w:ascii="Arial" w:cs="Arial" w:eastAsia="Arial" w:hAnsi="Arial"/>
                <w:sz w:val="9"/>
                <w:szCs w:val="9"/>
                <w:i w:val="1"/>
                <w:iCs w:val="1"/>
                <w:color w:val="auto"/>
              </w:rPr>
              <w:t>08/15/25</w:t>
            </w:r>
          </w:p>
        </w:tc>
        <w:tc>
          <w:tcPr>
            <w:tcW w:w="480" w:type="dxa"/>
            <w:vAlign w:val="bottom"/>
            <w:tcBorders>
              <w:right w:val="single" w:sz="8" w:color="auto"/>
            </w:tcBorders>
          </w:tcPr>
          <w:p>
            <w:pPr>
              <w:jc w:val="right"/>
              <w:ind w:right="32"/>
              <w:spacing w:after="0"/>
              <w:rPr>
                <w:sz w:val="20"/>
                <w:szCs w:val="20"/>
                <w:color w:val="auto"/>
              </w:rPr>
            </w:pPr>
            <w:r>
              <w:rPr>
                <w:rFonts w:ascii="Arial" w:cs="Arial" w:eastAsia="Arial" w:hAnsi="Arial"/>
                <w:sz w:val="9"/>
                <w:szCs w:val="9"/>
                <w:i w:val="1"/>
                <w:iCs w:val="1"/>
                <w:color w:val="auto"/>
              </w:rPr>
              <w:t>09/01/25</w:t>
            </w: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rPr>
              <w:t>9/15/2025</w:t>
            </w:r>
          </w:p>
        </w:tc>
        <w:tc>
          <w:tcPr>
            <w:tcW w:w="280" w:type="dxa"/>
            <w:vAlign w:val="bottom"/>
          </w:tcPr>
          <w:p>
            <w:pPr>
              <w:jc w:val="right"/>
              <w:spacing w:after="0"/>
              <w:rPr>
                <w:sz w:val="20"/>
                <w:szCs w:val="20"/>
                <w:color w:val="auto"/>
              </w:rPr>
            </w:pPr>
            <w:r>
              <w:rPr>
                <w:rFonts w:ascii="Arial" w:cs="Arial" w:eastAsia="Arial" w:hAnsi="Arial"/>
                <w:sz w:val="9"/>
                <w:szCs w:val="9"/>
                <w:i w:val="1"/>
                <w:iCs w:val="1"/>
                <w:color w:val="auto"/>
              </w:rPr>
              <w:t>10/01</w:t>
            </w:r>
          </w:p>
        </w:tc>
      </w:tr>
      <w:tr>
        <w:trPr>
          <w:trHeight w:val="24"/>
        </w:trPr>
        <w:tc>
          <w:tcPr>
            <w:tcW w:w="8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65"/>
        </w:trPr>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Step Rate Edge</w:t>
            </w: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12.25%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13.75%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13.75%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14.25%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16.25%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18.50%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16.25%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16.25%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w:t>
            </w:r>
          </w:p>
        </w:tc>
      </w:tr>
      <w:tr>
        <w:trPr>
          <w:trHeight w:val="129"/>
        </w:trPr>
        <w:tc>
          <w:tcPr>
            <w:tcW w:w="86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11.00%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125"/>
        </w:trPr>
        <w:tc>
          <w:tcPr>
            <w:tcW w:w="8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13.50%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14.50%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165"/>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6.25%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7.25%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7.25%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10.25%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7.25%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8.75%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8.75%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w:t>
            </w:r>
          </w:p>
        </w:tc>
      </w:tr>
      <w:tr>
        <w:trPr>
          <w:trHeight w:val="129"/>
        </w:trPr>
        <w:tc>
          <w:tcPr>
            <w:tcW w:w="86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5.75%</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5.75%</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5.75%</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6.75%</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6.75%</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6.75%</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6.75%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6.75%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6.75%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6.75%</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6.25%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6.25%</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125"/>
        </w:trPr>
        <w:tc>
          <w:tcPr>
            <w:tcW w:w="8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7.25%</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8.00%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7.75%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7.75%</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r>
      <w:tr>
        <w:trPr>
          <w:trHeight w:val="35"/>
        </w:trPr>
        <w:tc>
          <w:tcPr>
            <w:tcW w:w="86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165"/>
        </w:trPr>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Step Rate</w:t>
            </w: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14.75%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14.75%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17.00%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16.75%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16.75%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16.75%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19.00%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19.00%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18.25%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21.50%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21.50%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21.50%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17.00%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17.00%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17.50%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17.50%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20.50%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20.50%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w:t>
            </w:r>
          </w:p>
        </w:tc>
      </w:tr>
      <w:tr>
        <w:trPr>
          <w:trHeight w:val="129"/>
        </w:trPr>
        <w:tc>
          <w:tcPr>
            <w:tcW w:w="86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13.50%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14.50%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14.50%</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125"/>
        </w:trPr>
        <w:tc>
          <w:tcPr>
            <w:tcW w:w="8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15.50%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16.50%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165"/>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9.75%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9.75%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8.75%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8.75%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11.25%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9.50%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10.25%</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10.25%</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10.25%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10.75%</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10.75%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w:t>
            </w:r>
          </w:p>
        </w:tc>
      </w:tr>
      <w:tr>
        <w:trPr>
          <w:trHeight w:val="129"/>
        </w:trPr>
        <w:tc>
          <w:tcPr>
            <w:tcW w:w="86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7.75%</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7.75%</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7.75%</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8.75%</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8.75%</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125"/>
        </w:trPr>
        <w:tc>
          <w:tcPr>
            <w:tcW w:w="8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8.50%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10.00%</w:t>
            </w:r>
          </w:p>
        </w:tc>
        <w:tc>
          <w:tcPr>
            <w:tcW w:w="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48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9.50%</w:t>
            </w:r>
          </w:p>
        </w:tc>
        <w:tc>
          <w:tcPr>
            <w:tcW w:w="4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9.50%</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r>
      <w:tr>
        <w:trPr>
          <w:trHeight w:val="35"/>
        </w:trPr>
        <w:tc>
          <w:tcPr>
            <w:tcW w:w="86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129"/>
        </w:trPr>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Fixed Account</w:t>
            </w: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N/A</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7"/>
              </w:rPr>
              <w:t>Fixed Account</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3.50%</w:t>
            </w:r>
          </w:p>
        </w:tc>
        <w:tc>
          <w:tcPr>
            <w:tcW w:w="4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4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3.50%</w:t>
            </w:r>
          </w:p>
        </w:tc>
        <w:tc>
          <w:tcPr>
            <w:tcW w:w="4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w:t>
            </w:r>
          </w:p>
        </w:tc>
      </w:tr>
    </w:tbl>
    <w:p>
      <w:pPr>
        <w:sectPr>
          <w:pgSz w:w="11900" w:h="16838" w:orient="portrait"/>
          <w:cols w:equalWidth="0" w:num="1">
            <w:col w:w="11360"/>
          </w:cols>
          <w:pgMar w:left="300" w:top="686" w:right="239" w:bottom="1440" w:gutter="0" w:footer="0" w:header="0"/>
        </w:sectPr>
      </w:pPr>
    </w:p>
    <w:bookmarkStart w:id="189" w:name="page190"/>
    <w:bookmarkEnd w:id="189"/>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7203440"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t>Brighthouse Shield Level ll 6-Year Annuity</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Historical renewal upside crediting rates in effect for each Shield Option offered by the Contract dated July 1, 2025 through December 31, 2025 for Contracts issued in 2024*</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color w:val="auto"/>
        </w:rPr>
        <w:t>* Renewal upside crediting rates were not available before July 1, 2025.</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chart shows the historical new contract Cap Rates, Step Rates, and Edge Rates in effect for each of the Shield Options during the stated time period.</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 </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rPr>
              <w:t>Shield Option</w:t>
            </w:r>
          </w:p>
        </w:tc>
        <w:tc>
          <w:tcPr>
            <w:tcW w:w="6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2"/>
              <w:spacing w:after="0"/>
              <w:rPr>
                <w:sz w:val="20"/>
                <w:szCs w:val="20"/>
                <w:color w:val="auto"/>
              </w:rPr>
            </w:pPr>
            <w:r>
              <w:rPr>
                <w:rFonts w:ascii="Arial" w:cs="Arial" w:eastAsia="Arial" w:hAnsi="Arial"/>
                <w:sz w:val="9"/>
                <w:szCs w:val="9"/>
                <w:b w:val="1"/>
                <w:bCs w:val="1"/>
                <w:color w:val="auto"/>
              </w:rPr>
              <w:t>July</w:t>
            </w: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9"/>
                <w:szCs w:val="9"/>
                <w:b w:val="1"/>
                <w:bCs w:val="1"/>
                <w:color w:val="auto"/>
              </w:rPr>
              <w:t>August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September</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October</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November</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December</w:t>
            </w:r>
          </w:p>
        </w:tc>
      </w:tr>
      <w:tr>
        <w:trPr>
          <w:trHeight w:val="138"/>
        </w:trPr>
        <w:tc>
          <w:tcPr>
            <w:tcW w:w="86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w w:val="99"/>
              </w:rPr>
              <w:t>Rate Crediting Type</w:t>
            </w:r>
          </w:p>
        </w:tc>
        <w:tc>
          <w:tcPr>
            <w:tcW w:w="320" w:type="dxa"/>
            <w:vAlign w:val="bottom"/>
            <w:tcBorders>
              <w:right w:val="single" w:sz="8" w:color="auto"/>
            </w:tcBorders>
          </w:tcPr>
          <w:p>
            <w:pPr>
              <w:ind w:left="40"/>
              <w:spacing w:after="0"/>
              <w:rPr>
                <w:sz w:val="20"/>
                <w:szCs w:val="20"/>
                <w:color w:val="auto"/>
              </w:rPr>
            </w:pPr>
            <w:r>
              <w:rPr>
                <w:rFonts w:ascii="Arial" w:cs="Arial" w:eastAsia="Arial" w:hAnsi="Arial"/>
                <w:sz w:val="9"/>
                <w:szCs w:val="9"/>
                <w:i w:val="1"/>
                <w:iCs w:val="1"/>
                <w:color w:val="auto"/>
              </w:rPr>
              <w:t>Term</w:t>
            </w:r>
          </w:p>
        </w:tc>
        <w:tc>
          <w:tcPr>
            <w:tcW w:w="560" w:type="dxa"/>
            <w:vAlign w:val="bottom"/>
            <w:tcBorders>
              <w:right w:val="single" w:sz="8" w:color="auto"/>
            </w:tcBorders>
          </w:tcPr>
          <w:p>
            <w:pPr>
              <w:jc w:val="right"/>
              <w:ind w:right="12"/>
              <w:spacing w:after="0"/>
              <w:rPr>
                <w:sz w:val="20"/>
                <w:szCs w:val="20"/>
                <w:color w:val="auto"/>
              </w:rPr>
            </w:pPr>
            <w:r>
              <w:rPr>
                <w:rFonts w:ascii="Arial" w:cs="Arial" w:eastAsia="Arial" w:hAnsi="Arial"/>
                <w:sz w:val="9"/>
                <w:szCs w:val="9"/>
                <w:i w:val="1"/>
                <w:iCs w:val="1"/>
                <w:color w:val="auto"/>
              </w:rPr>
              <w:t>Shield Rate</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9"/>
                <w:szCs w:val="9"/>
                <w:i w:val="1"/>
                <w:iCs w:val="1"/>
                <w:color w:val="auto"/>
              </w:rPr>
              <w:t>Index</w:t>
            </w: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9"/>
                <w:szCs w:val="9"/>
                <w:i w:val="1"/>
                <w:iCs w:val="1"/>
                <w:color w:val="auto"/>
              </w:rPr>
              <w:t>07/01/25</w:t>
            </w: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9"/>
                <w:szCs w:val="9"/>
                <w:i w:val="1"/>
                <w:iCs w:val="1"/>
                <w:color w:val="auto"/>
              </w:rPr>
              <w:t>08/01/25</w:t>
            </w: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9"/>
                <w:szCs w:val="9"/>
                <w:i w:val="1"/>
                <w:iCs w:val="1"/>
                <w:color w:val="auto"/>
              </w:rPr>
              <w:t>09/01/25</w:t>
            </w: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rPr>
              <w:t>10/01/25</w:t>
            </w:r>
          </w:p>
        </w:tc>
        <w:tc>
          <w:tcPr>
            <w:tcW w:w="520" w:type="dxa"/>
            <w:vAlign w:val="bottom"/>
            <w:tcBorders>
              <w:right w:val="single" w:sz="8" w:color="auto"/>
            </w:tcBorders>
          </w:tcPr>
          <w:p>
            <w:pPr>
              <w:jc w:val="right"/>
              <w:ind w:right="52"/>
              <w:spacing w:after="0"/>
              <w:rPr>
                <w:sz w:val="20"/>
                <w:szCs w:val="20"/>
                <w:color w:val="auto"/>
              </w:rPr>
            </w:pPr>
            <w:r>
              <w:rPr>
                <w:rFonts w:ascii="Arial" w:cs="Arial" w:eastAsia="Arial" w:hAnsi="Arial"/>
                <w:sz w:val="9"/>
                <w:szCs w:val="9"/>
                <w:i w:val="1"/>
                <w:iCs w:val="1"/>
                <w:color w:val="auto"/>
              </w:rPr>
              <w:t>11/01/25</w:t>
            </w:r>
          </w:p>
        </w:tc>
        <w:tc>
          <w:tcPr>
            <w:tcW w:w="480" w:type="dxa"/>
            <w:vAlign w:val="bottom"/>
          </w:tcPr>
          <w:p>
            <w:pPr>
              <w:jc w:val="right"/>
              <w:ind w:right="12"/>
              <w:spacing w:after="0"/>
              <w:rPr>
                <w:sz w:val="20"/>
                <w:szCs w:val="20"/>
                <w:color w:val="auto"/>
              </w:rPr>
            </w:pPr>
            <w:r>
              <w:rPr>
                <w:rFonts w:ascii="Arial" w:cs="Arial" w:eastAsia="Arial" w:hAnsi="Arial"/>
                <w:sz w:val="9"/>
                <w:szCs w:val="9"/>
                <w:i w:val="1"/>
                <w:iCs w:val="1"/>
                <w:color w:val="auto"/>
              </w:rPr>
              <w:t>12/01/25</w:t>
            </w:r>
          </w:p>
        </w:tc>
      </w:tr>
      <w:tr>
        <w:trPr>
          <w:trHeight w:val="24"/>
        </w:trPr>
        <w:tc>
          <w:tcPr>
            <w:tcW w:w="8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60"/>
        </w:trPr>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Cap Rate</w:t>
            </w: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91.00%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96.00%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94.00%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79.00%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84.00%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161.00%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420.00%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253.00%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157.00%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163.00%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92"/>
              </w:rPr>
              <w:t>1000.00%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259.00%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159.00%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77.00%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79.00%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77.00%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94.00%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122.00%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124.00%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123.00%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124.00%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Nasdaq-100</w:t>
            </w:r>
            <w:r>
              <w:rPr>
                <w:rFonts w:ascii="Arial" w:cs="Arial" w:eastAsia="Arial" w:hAnsi="Arial"/>
                <w:sz w:val="11"/>
                <w:szCs w:val="11"/>
                <w:color w:val="auto"/>
                <w:w w:val="96"/>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76.00%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80.00%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79.00%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73.00%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76.00%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Nasdaq-100</w:t>
            </w:r>
            <w:r>
              <w:rPr>
                <w:rFonts w:ascii="Arial" w:cs="Arial" w:eastAsia="Arial" w:hAnsi="Arial"/>
                <w:sz w:val="11"/>
                <w:szCs w:val="11"/>
                <w:color w:val="auto"/>
                <w:w w:val="96"/>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95.00%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100.00%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99.00%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95.00%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93.00%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Nasdaq-100</w:t>
            </w:r>
            <w:r>
              <w:rPr>
                <w:rFonts w:ascii="Arial" w:cs="Arial" w:eastAsia="Arial" w:hAnsi="Arial"/>
                <w:sz w:val="11"/>
                <w:szCs w:val="11"/>
                <w:color w:val="auto"/>
                <w:w w:val="96"/>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120.00%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128.00%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118.00%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128.00%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125.00%</w:t>
            </w:r>
          </w:p>
        </w:tc>
      </w:tr>
      <w:tr>
        <w:trPr>
          <w:trHeight w:val="134"/>
        </w:trPr>
        <w:tc>
          <w:tcPr>
            <w:tcW w:w="86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129.00%</w:t>
            </w:r>
          </w:p>
        </w:tc>
        <w:tc>
          <w:tcPr>
            <w:tcW w:w="4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195.00%</w:t>
            </w:r>
          </w:p>
        </w:tc>
        <w:tc>
          <w:tcPr>
            <w:tcW w:w="5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195.00%</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195.00%</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195.00%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195.00%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25"/>
        </w:trPr>
        <w:tc>
          <w:tcPr>
            <w:tcW w:w="8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240.00%</w:t>
            </w:r>
          </w:p>
        </w:tc>
        <w:tc>
          <w:tcPr>
            <w:tcW w:w="4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240.00%</w:t>
            </w:r>
          </w:p>
        </w:tc>
        <w:tc>
          <w:tcPr>
            <w:tcW w:w="5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240.00%</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240.00%</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240.00%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240.00%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25"/>
        </w:trPr>
        <w:tc>
          <w:tcPr>
            <w:tcW w:w="8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6-year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360.00%</w:t>
            </w:r>
          </w:p>
        </w:tc>
        <w:tc>
          <w:tcPr>
            <w:tcW w:w="4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360.00%</w:t>
            </w:r>
          </w:p>
        </w:tc>
        <w:tc>
          <w:tcPr>
            <w:tcW w:w="5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360.00%</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360.00%</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360.00%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360.00%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60"/>
        </w:trPr>
        <w:tc>
          <w:tcPr>
            <w:tcW w:w="860" w:type="dxa"/>
            <w:vAlign w:val="bottom"/>
            <w:tcBorders>
              <w:right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3-year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84.00%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84.00%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84.00%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58.00%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3-year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150.00%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150.00%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150.00%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3-year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63.50%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66.00%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66.00%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56.50%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59.50%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58.00%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3-year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108.00%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108.00%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108.00%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104.50%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108.00%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108.00%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3-year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Nasdaq-100</w:t>
            </w:r>
            <w:r>
              <w:rPr>
                <w:rFonts w:ascii="Arial" w:cs="Arial" w:eastAsia="Arial" w:hAnsi="Arial"/>
                <w:sz w:val="11"/>
                <w:szCs w:val="11"/>
                <w:color w:val="auto"/>
                <w:w w:val="96"/>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42.00%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44.50%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44.00%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43.50%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44.50%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3-year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Nasdaq-100</w:t>
            </w:r>
            <w:r>
              <w:rPr>
                <w:rFonts w:ascii="Arial" w:cs="Arial" w:eastAsia="Arial" w:hAnsi="Arial"/>
                <w:sz w:val="11"/>
                <w:szCs w:val="11"/>
                <w:color w:val="auto"/>
                <w:w w:val="96"/>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57.00%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63.00%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61.50%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54.50%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58.00%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54.50%</w:t>
            </w:r>
          </w:p>
        </w:tc>
      </w:tr>
      <w:tr>
        <w:trPr>
          <w:trHeight w:val="134"/>
        </w:trPr>
        <w:tc>
          <w:tcPr>
            <w:tcW w:w="86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3-year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96.00%</w:t>
            </w:r>
          </w:p>
        </w:tc>
        <w:tc>
          <w:tcPr>
            <w:tcW w:w="4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96.00%</w:t>
            </w:r>
          </w:p>
        </w:tc>
        <w:tc>
          <w:tcPr>
            <w:tcW w:w="5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96.00%</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96.00%</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96.00%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96.00%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25"/>
        </w:trPr>
        <w:tc>
          <w:tcPr>
            <w:tcW w:w="8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3-year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150.00%</w:t>
            </w:r>
          </w:p>
        </w:tc>
        <w:tc>
          <w:tcPr>
            <w:tcW w:w="4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150.00%</w:t>
            </w:r>
          </w:p>
        </w:tc>
        <w:tc>
          <w:tcPr>
            <w:tcW w:w="5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150.00%</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150.00%</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150.00%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60"/>
        </w:trPr>
        <w:tc>
          <w:tcPr>
            <w:tcW w:w="860" w:type="dxa"/>
            <w:vAlign w:val="bottom"/>
            <w:tcBorders>
              <w:right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8.70%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9.20%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8.90%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8.30%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8.10%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12.20%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12.50%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12.50%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11.40%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17.20%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17.50%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17.50%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15.20%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14.60%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12.10%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12.60%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12.20%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10.90%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17.60%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18.10%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15.60%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15.90%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15.80%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24.00%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24.40%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24.40%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21.20%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21.80%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21.40%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Nasdaq-100</w:t>
            </w:r>
            <w:r>
              <w:rPr>
                <w:rFonts w:ascii="Arial" w:cs="Arial" w:eastAsia="Arial" w:hAnsi="Arial"/>
                <w:sz w:val="11"/>
                <w:szCs w:val="11"/>
                <w:color w:val="auto"/>
                <w:w w:val="96"/>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10.20%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10.50%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10.30%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9.30%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9.50%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Nasdaq-100</w:t>
            </w:r>
            <w:r>
              <w:rPr>
                <w:rFonts w:ascii="Arial" w:cs="Arial" w:eastAsia="Arial" w:hAnsi="Arial"/>
                <w:sz w:val="11"/>
                <w:szCs w:val="11"/>
                <w:color w:val="auto"/>
                <w:w w:val="96"/>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14.30%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14.80%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14.40%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13.30%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12.60%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12.80%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Nasdaq-100</w:t>
            </w:r>
            <w:r>
              <w:rPr>
                <w:rFonts w:ascii="Arial" w:cs="Arial" w:eastAsia="Arial" w:hAnsi="Arial"/>
                <w:sz w:val="11"/>
                <w:szCs w:val="11"/>
                <w:color w:val="auto"/>
                <w:w w:val="96"/>
                <w:vertAlign w:val="superscript"/>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18.30%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19.20%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18.60%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15.60%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15.90%</w:t>
            </w:r>
          </w:p>
        </w:tc>
      </w:tr>
      <w:tr>
        <w:trPr>
          <w:trHeight w:val="134"/>
        </w:trPr>
        <w:tc>
          <w:tcPr>
            <w:tcW w:w="86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7.90%</w:t>
            </w:r>
          </w:p>
        </w:tc>
        <w:tc>
          <w:tcPr>
            <w:tcW w:w="4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8.20%</w:t>
            </w:r>
          </w:p>
        </w:tc>
        <w:tc>
          <w:tcPr>
            <w:tcW w:w="5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8.20%</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8.80%</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8.60%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25"/>
        </w:trPr>
        <w:tc>
          <w:tcPr>
            <w:tcW w:w="8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11.50%</w:t>
            </w:r>
          </w:p>
        </w:tc>
        <w:tc>
          <w:tcPr>
            <w:tcW w:w="4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12.10%</w:t>
            </w:r>
          </w:p>
        </w:tc>
        <w:tc>
          <w:tcPr>
            <w:tcW w:w="5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12.10%</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12.80%</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11.70%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29"/>
        </w:trPr>
        <w:tc>
          <w:tcPr>
            <w:tcW w:w="86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17.70%</w:t>
            </w:r>
          </w:p>
        </w:tc>
        <w:tc>
          <w:tcPr>
            <w:tcW w:w="4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18.80%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19.10%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20.30%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16.60%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17.70%</w:t>
            </w:r>
          </w:p>
        </w:tc>
      </w:tr>
    </w:tbl>
    <w:p>
      <w:pPr>
        <w:sectPr>
          <w:pgSz w:w="11900" w:h="16838" w:orient="portrait"/>
          <w:cols w:equalWidth="0" w:num="1">
            <w:col w:w="10159"/>
          </w:cols>
          <w:pgMar w:left="300" w:top="649" w:right="1440" w:bottom="1440" w:gutter="0" w:footer="0" w:header="0"/>
        </w:sectPr>
      </w:pPr>
    </w:p>
    <w:bookmarkStart w:id="190" w:name="page191"/>
    <w:bookmarkEnd w:id="1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7203440"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6"/>
        </w:trPr>
        <w:tc>
          <w:tcPr>
            <w:tcW w:w="8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9"/>
                <w:szCs w:val="9"/>
                <w:b w:val="1"/>
                <w:bCs w:val="1"/>
                <w:color w:val="auto"/>
                <w:w w:val="99"/>
              </w:rPr>
              <w:t>Shield Option</w:t>
            </w:r>
          </w:p>
        </w:tc>
        <w:tc>
          <w:tcPr>
            <w:tcW w:w="6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92"/>
              <w:spacing w:after="0"/>
              <w:rPr>
                <w:sz w:val="20"/>
                <w:szCs w:val="20"/>
                <w:color w:val="auto"/>
              </w:rPr>
            </w:pPr>
            <w:r>
              <w:rPr>
                <w:rFonts w:ascii="Arial" w:cs="Arial" w:eastAsia="Arial" w:hAnsi="Arial"/>
                <w:sz w:val="9"/>
                <w:szCs w:val="9"/>
                <w:b w:val="1"/>
                <w:bCs w:val="1"/>
                <w:color w:val="auto"/>
              </w:rPr>
              <w:t>July</w:t>
            </w: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9"/>
                <w:szCs w:val="9"/>
                <w:b w:val="1"/>
                <w:bCs w:val="1"/>
                <w:color w:val="auto"/>
              </w:rPr>
              <w:t>August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September</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October</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November</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December</w:t>
            </w:r>
          </w:p>
        </w:tc>
      </w:tr>
      <w:tr>
        <w:trPr>
          <w:trHeight w:val="138"/>
        </w:trPr>
        <w:tc>
          <w:tcPr>
            <w:tcW w:w="86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w w:val="99"/>
              </w:rPr>
              <w:t>Rate Crediting Type</w:t>
            </w:r>
          </w:p>
        </w:tc>
        <w:tc>
          <w:tcPr>
            <w:tcW w:w="320" w:type="dxa"/>
            <w:vAlign w:val="bottom"/>
            <w:tcBorders>
              <w:right w:val="single" w:sz="8" w:color="auto"/>
            </w:tcBorders>
          </w:tcPr>
          <w:p>
            <w:pPr>
              <w:jc w:val="center"/>
              <w:spacing w:after="0"/>
              <w:rPr>
                <w:sz w:val="20"/>
                <w:szCs w:val="20"/>
                <w:color w:val="auto"/>
              </w:rPr>
            </w:pPr>
            <w:r>
              <w:rPr>
                <w:rFonts w:ascii="Arial" w:cs="Arial" w:eastAsia="Arial" w:hAnsi="Arial"/>
                <w:sz w:val="9"/>
                <w:szCs w:val="9"/>
                <w:i w:val="1"/>
                <w:iCs w:val="1"/>
                <w:color w:val="auto"/>
              </w:rPr>
              <w:t>Term</w:t>
            </w:r>
          </w:p>
        </w:tc>
        <w:tc>
          <w:tcPr>
            <w:tcW w:w="560" w:type="dxa"/>
            <w:vAlign w:val="bottom"/>
            <w:tcBorders>
              <w:right w:val="single" w:sz="8" w:color="auto"/>
            </w:tcBorders>
          </w:tcPr>
          <w:p>
            <w:pPr>
              <w:jc w:val="right"/>
              <w:ind w:right="12"/>
              <w:spacing w:after="0"/>
              <w:rPr>
                <w:sz w:val="20"/>
                <w:szCs w:val="20"/>
                <w:color w:val="auto"/>
              </w:rPr>
            </w:pPr>
            <w:r>
              <w:rPr>
                <w:rFonts w:ascii="Arial" w:cs="Arial" w:eastAsia="Arial" w:hAnsi="Arial"/>
                <w:sz w:val="9"/>
                <w:szCs w:val="9"/>
                <w:i w:val="1"/>
                <w:iCs w:val="1"/>
                <w:color w:val="auto"/>
              </w:rPr>
              <w:t>Shield Rate</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9"/>
                <w:szCs w:val="9"/>
                <w:i w:val="1"/>
                <w:iCs w:val="1"/>
                <w:color w:val="auto"/>
                <w:w w:val="99"/>
              </w:rPr>
              <w:t>Index</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rPr>
              <w:t>07/01/25</w:t>
            </w: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9"/>
                <w:szCs w:val="9"/>
                <w:i w:val="1"/>
                <w:iCs w:val="1"/>
                <w:color w:val="auto"/>
              </w:rPr>
              <w:t>08/01/25</w:t>
            </w:r>
          </w:p>
        </w:tc>
        <w:tc>
          <w:tcPr>
            <w:tcW w:w="540" w:type="dxa"/>
            <w:vAlign w:val="bottom"/>
            <w:tcBorders>
              <w:right w:val="single" w:sz="8" w:color="auto"/>
            </w:tcBorders>
          </w:tcPr>
          <w:p>
            <w:pPr>
              <w:jc w:val="right"/>
              <w:ind w:right="52"/>
              <w:spacing w:after="0"/>
              <w:rPr>
                <w:sz w:val="20"/>
                <w:szCs w:val="20"/>
                <w:color w:val="auto"/>
              </w:rPr>
            </w:pPr>
            <w:r>
              <w:rPr>
                <w:rFonts w:ascii="Arial" w:cs="Arial" w:eastAsia="Arial" w:hAnsi="Arial"/>
                <w:sz w:val="9"/>
                <w:szCs w:val="9"/>
                <w:i w:val="1"/>
                <w:iCs w:val="1"/>
                <w:color w:val="auto"/>
              </w:rPr>
              <w:t>09/01/25</w:t>
            </w: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9"/>
                <w:szCs w:val="9"/>
                <w:i w:val="1"/>
                <w:iCs w:val="1"/>
                <w:color w:val="auto"/>
              </w:rPr>
              <w:t>10/01/25</w:t>
            </w:r>
          </w:p>
        </w:tc>
        <w:tc>
          <w:tcPr>
            <w:tcW w:w="520" w:type="dxa"/>
            <w:vAlign w:val="bottom"/>
            <w:tcBorders>
              <w:right w:val="single" w:sz="8" w:color="auto"/>
            </w:tcBorders>
          </w:tcPr>
          <w:p>
            <w:pPr>
              <w:jc w:val="right"/>
              <w:ind w:right="52"/>
              <w:spacing w:after="0"/>
              <w:rPr>
                <w:sz w:val="20"/>
                <w:szCs w:val="20"/>
                <w:color w:val="auto"/>
              </w:rPr>
            </w:pPr>
            <w:r>
              <w:rPr>
                <w:rFonts w:ascii="Arial" w:cs="Arial" w:eastAsia="Arial" w:hAnsi="Arial"/>
                <w:sz w:val="9"/>
                <w:szCs w:val="9"/>
                <w:i w:val="1"/>
                <w:iCs w:val="1"/>
                <w:color w:val="auto"/>
              </w:rPr>
              <w:t>11/01/25</w:t>
            </w:r>
          </w:p>
        </w:tc>
        <w:tc>
          <w:tcPr>
            <w:tcW w:w="480" w:type="dxa"/>
            <w:vAlign w:val="bottom"/>
          </w:tcPr>
          <w:p>
            <w:pPr>
              <w:jc w:val="right"/>
              <w:ind w:right="12"/>
              <w:spacing w:after="0"/>
              <w:rPr>
                <w:sz w:val="20"/>
                <w:szCs w:val="20"/>
                <w:color w:val="auto"/>
              </w:rPr>
            </w:pPr>
            <w:r>
              <w:rPr>
                <w:rFonts w:ascii="Arial" w:cs="Arial" w:eastAsia="Arial" w:hAnsi="Arial"/>
                <w:sz w:val="9"/>
                <w:szCs w:val="9"/>
                <w:i w:val="1"/>
                <w:iCs w:val="1"/>
                <w:color w:val="auto"/>
              </w:rPr>
              <w:t>12/01/25</w:t>
            </w:r>
          </w:p>
        </w:tc>
      </w:tr>
      <w:tr>
        <w:trPr>
          <w:trHeight w:val="24"/>
        </w:trPr>
        <w:tc>
          <w:tcPr>
            <w:tcW w:w="8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65"/>
        </w:trPr>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Step Rate Edge</w:t>
            </w: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17.00%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20.00%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21.00%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20.00%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22.00%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23.00%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22.00%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19.00%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19.00%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19.00%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21.00%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21.00%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21.00%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r>
      <w:tr>
        <w:trPr>
          <w:trHeight w:val="129"/>
        </w:trPr>
        <w:tc>
          <w:tcPr>
            <w:tcW w:w="86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4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14.00%</w:t>
            </w:r>
          </w:p>
        </w:tc>
        <w:tc>
          <w:tcPr>
            <w:tcW w:w="5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14.00%</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25"/>
        </w:trPr>
        <w:tc>
          <w:tcPr>
            <w:tcW w:w="8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4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16.00%</w:t>
            </w:r>
          </w:p>
        </w:tc>
        <w:tc>
          <w:tcPr>
            <w:tcW w:w="5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16.00%</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65"/>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9.40%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9.60%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9.30%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7.80%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10.80%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10.90%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10.50%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8.60%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8.30%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8.40%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11.20%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11.20%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9.90%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9.90%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13.50%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13.50%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11.30%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11.30%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10.90%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11.20%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10.70%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8.40%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7.90%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12.30%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12.60%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9.60%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9.10%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9.20%</w:t>
            </w:r>
          </w:p>
        </w:tc>
      </w:tr>
      <w:tr>
        <w:trPr>
          <w:trHeight w:val="129"/>
        </w:trPr>
        <w:tc>
          <w:tcPr>
            <w:tcW w:w="86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7.60%</w:t>
            </w:r>
          </w:p>
        </w:tc>
        <w:tc>
          <w:tcPr>
            <w:tcW w:w="4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7.70%</w:t>
            </w:r>
          </w:p>
        </w:tc>
        <w:tc>
          <w:tcPr>
            <w:tcW w:w="5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7.40%</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6.80%</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6.70%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25"/>
        </w:trPr>
        <w:tc>
          <w:tcPr>
            <w:tcW w:w="8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8.60%</w:t>
            </w:r>
          </w:p>
        </w:tc>
        <w:tc>
          <w:tcPr>
            <w:tcW w:w="4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8.70%</w:t>
            </w:r>
          </w:p>
        </w:tc>
        <w:tc>
          <w:tcPr>
            <w:tcW w:w="5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8.30%</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7.40%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7.40%</w:t>
            </w:r>
          </w:p>
        </w:tc>
      </w:tr>
      <w:tr>
        <w:trPr>
          <w:trHeight w:val="35"/>
        </w:trPr>
        <w:tc>
          <w:tcPr>
            <w:tcW w:w="86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65"/>
        </w:trPr>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Step Rate</w:t>
            </w: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17.00%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19.00%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20.00%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19.00%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22.00%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23.00%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22.00%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24.00%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25.00%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24.00%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21.00%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21.00%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21.00%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23.00%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23.00%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23.00%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19.00%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19.00%</w:t>
            </w:r>
          </w:p>
        </w:tc>
      </w:tr>
      <w:tr>
        <w:trPr>
          <w:trHeight w:val="129"/>
        </w:trPr>
        <w:tc>
          <w:tcPr>
            <w:tcW w:w="86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16.00%</w:t>
            </w:r>
          </w:p>
        </w:tc>
        <w:tc>
          <w:tcPr>
            <w:tcW w:w="4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16.00%</w:t>
            </w:r>
          </w:p>
        </w:tc>
        <w:tc>
          <w:tcPr>
            <w:tcW w:w="5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16.00%</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25"/>
        </w:trPr>
        <w:tc>
          <w:tcPr>
            <w:tcW w:w="8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2-year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4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18.00%</w:t>
            </w:r>
          </w:p>
        </w:tc>
        <w:tc>
          <w:tcPr>
            <w:tcW w:w="5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18.00%</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65"/>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10.40%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10.60%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10.30%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8.80%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S&amp;P 500</w:t>
            </w:r>
            <w:r>
              <w:rPr>
                <w:rFonts w:ascii="Arial" w:cs="Arial" w:eastAsia="Arial" w:hAnsi="Arial"/>
                <w:sz w:val="11"/>
                <w:szCs w:val="11"/>
                <w:color w:val="auto"/>
                <w:w w:val="95"/>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11.80%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11.90%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11.50%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9.60%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9.30%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9.40%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12.80%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12.80%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12.80%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11.00%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10.90%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10.90%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Russell 2000</w:t>
            </w:r>
            <w:r>
              <w:rPr>
                <w:rFonts w:ascii="Arial" w:cs="Arial" w:eastAsia="Arial" w:hAnsi="Arial"/>
                <w:sz w:val="11"/>
                <w:szCs w:val="11"/>
                <w:color w:val="auto"/>
                <w:w w:val="94"/>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14.70%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14.70%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12.30%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12.20%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12.30%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11.90%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12.20%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11.70%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9.40%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9.00%</w:t>
            </w:r>
          </w:p>
        </w:tc>
      </w:tr>
      <w:tr>
        <w:trPr>
          <w:trHeight w:val="169"/>
        </w:trPr>
        <w:tc>
          <w:tcPr>
            <w:tcW w:w="860" w:type="dxa"/>
            <w:vAlign w:val="bottom"/>
            <w:tcBorders>
              <w:right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2"/>
              </w:rPr>
              <w:t>Nasdaq-100</w:t>
            </w:r>
            <w:r>
              <w:rPr>
                <w:rFonts w:ascii="Arial" w:cs="Arial" w:eastAsia="Arial" w:hAnsi="Arial"/>
                <w:sz w:val="11"/>
                <w:szCs w:val="11"/>
                <w:color w:val="auto"/>
                <w:w w:val="92"/>
                <w:vertAlign w:val="superscript"/>
              </w:rPr>
              <w: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13.30%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13.60%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10.60%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10.10%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10.20%</w:t>
            </w:r>
          </w:p>
        </w:tc>
      </w:tr>
      <w:tr>
        <w:trPr>
          <w:trHeight w:val="129"/>
        </w:trPr>
        <w:tc>
          <w:tcPr>
            <w:tcW w:w="86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15%</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8.60%</w:t>
            </w:r>
          </w:p>
        </w:tc>
        <w:tc>
          <w:tcPr>
            <w:tcW w:w="4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8.70%</w:t>
            </w:r>
          </w:p>
        </w:tc>
        <w:tc>
          <w:tcPr>
            <w:tcW w:w="5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8.40%</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7.80%</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7.70%</w:t>
            </w:r>
          </w:p>
        </w:tc>
      </w:tr>
      <w:tr>
        <w:trPr>
          <w:trHeight w:val="35"/>
        </w:trPr>
        <w:tc>
          <w:tcPr>
            <w:tcW w:w="860" w:type="dxa"/>
            <w:vAlign w:val="bottom"/>
            <w:tcBorders>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25"/>
        </w:trPr>
        <w:tc>
          <w:tcPr>
            <w:tcW w:w="86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6"/>
              </w:rPr>
              <w:t>MSCI EAFE</w:t>
            </w:r>
          </w:p>
        </w:tc>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9.60%</w:t>
            </w:r>
          </w:p>
        </w:tc>
        <w:tc>
          <w:tcPr>
            <w:tcW w:w="4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9.70%</w:t>
            </w:r>
          </w:p>
        </w:tc>
        <w:tc>
          <w:tcPr>
            <w:tcW w:w="540" w:type="dxa"/>
            <w:vAlign w:val="bottom"/>
            <w:tcBorders>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9.30%</w:t>
            </w:r>
          </w:p>
        </w:tc>
        <w:tc>
          <w:tcPr>
            <w:tcW w:w="4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8.50%</w:t>
            </w:r>
          </w:p>
        </w:tc>
        <w:tc>
          <w:tcPr>
            <w:tcW w:w="5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8.40%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8.40%</w:t>
            </w:r>
          </w:p>
        </w:tc>
      </w:tr>
      <w:tr>
        <w:trPr>
          <w:trHeight w:val="35"/>
        </w:trPr>
        <w:tc>
          <w:tcPr>
            <w:tcW w:w="86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129"/>
        </w:trPr>
        <w:tc>
          <w:tcPr>
            <w:tcW w:w="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Fixed Account</w:t>
            </w: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1-year</w:t>
            </w:r>
          </w:p>
        </w:tc>
        <w:tc>
          <w:tcPr>
            <w:tcW w:w="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N/A</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Fixed Account</w:t>
            </w:r>
          </w:p>
        </w:tc>
        <w:tc>
          <w:tcPr>
            <w:tcW w:w="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3.50%</w:t>
            </w:r>
          </w:p>
        </w:tc>
        <w:tc>
          <w:tcPr>
            <w:tcW w:w="54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3.50%</w:t>
            </w:r>
          </w:p>
        </w:tc>
        <w:tc>
          <w:tcPr>
            <w:tcW w:w="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3.50%</w:t>
            </w:r>
          </w:p>
        </w:tc>
      </w:tr>
    </w:tbl>
    <w:p>
      <w:pPr>
        <w:sectPr>
          <w:pgSz w:w="11900" w:h="16838" w:orient="portrait"/>
          <w:cols w:equalWidth="0" w:num="1">
            <w:col w:w="10159"/>
          </w:cols>
          <w:pgMar w:left="300" w:top="686" w:right="1440" w:bottom="1440" w:gutter="0" w:footer="0" w:header="0"/>
        </w:sectPr>
      </w:pPr>
    </w:p>
    <w:bookmarkStart w:id="191" w:name="page192"/>
    <w:bookmarkEnd w:id="19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379095</wp:posOffset>
            </wp:positionV>
            <wp:extent cx="7203440"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
      <w:numFmt w:val="bullet"/>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1)"/>
      <w:numFmt w:val="lowerRoman"/>
      <w:start w:val="2"/>
    </w:lvl>
  </w:abstractNum>
  <w:abstractNum w:abstractNumId="5">
    <w:nsid w:val="14330624"/>
    <w:multiLevelType w:val="hybridMultilevel"/>
    <w:lvl w:ilvl="0">
      <w:lvlJc w:val="left"/>
      <w:lvlText w:val="•"/>
      <w:numFmt w:val="bullet"/>
      <w:start w:val="1"/>
    </w:lvl>
  </w:abstractNum>
  <w:abstractNum w:abstractNumId="6">
    <w:nsid w:val="7FFFCA11"/>
    <w:multiLevelType w:val="hybridMultilevel"/>
    <w:lvl w:ilvl="0">
      <w:lvlJc w:val="left"/>
      <w:lvlText w:val="•"/>
      <w:numFmt w:val="bullet"/>
      <w:start w:val="1"/>
    </w:lvl>
  </w:abstractNum>
  <w:abstractNum w:abstractNumId="7">
    <w:nsid w:val="1A27709E"/>
    <w:multiLevelType w:val="hybridMultilevel"/>
    <w:lvl w:ilvl="0">
      <w:lvlJc w:val="left"/>
      <w:lvlText w:val="•"/>
      <w:numFmt w:val="bullet"/>
      <w:start w:val="1"/>
    </w:lvl>
    <w:lvl w:ilvl="1">
      <w:lvlJc w:val="left"/>
      <w:lvlText w:val="○"/>
      <w:numFmt w:val="bullet"/>
      <w:start w:val="1"/>
    </w:lvl>
  </w:abstractNum>
  <w:abstractNum w:abstractNumId="8">
    <w:nsid w:val="71EA1109"/>
    <w:multiLevelType w:val="hybridMultilevel"/>
    <w:lvl w:ilvl="0">
      <w:lvlJc w:val="left"/>
      <w:lvlText w:val="•"/>
      <w:numFmt w:val="bullet"/>
      <w:start w:val="1"/>
    </w:lvl>
  </w:abstractNum>
  <w:abstractNum w:abstractNumId="9">
    <w:nsid w:val="100F59DC"/>
    <w:multiLevelType w:val="hybridMultilevel"/>
    <w:lvl w:ilvl="0">
      <w:lvlJc w:val="left"/>
      <w:lvlText w:val="•"/>
      <w:numFmt w:val="bullet"/>
      <w:start w:val="1"/>
    </w:lvl>
  </w:abstractNum>
  <w:abstractNum w:abstractNumId="10">
    <w:nsid w:val="7FB7E0AA"/>
    <w:multiLevelType w:val="hybridMultilevel"/>
    <w:lvl w:ilvl="0">
      <w:lvlJc w:val="left"/>
      <w:lvlText w:val="%1."/>
      <w:numFmt w:val="decimal"/>
      <w:start w:val="1"/>
    </w:lvl>
  </w:abstractNum>
  <w:abstractNum w:abstractNumId="11">
    <w:nsid w:val="6EB5BD4"/>
    <w:multiLevelType w:val="hybridMultilevel"/>
    <w:lvl w:ilvl="0">
      <w:lvlJc w:val="left"/>
      <w:lvlText w:val="*"/>
      <w:numFmt w:val="bullet"/>
      <w:start w:val="1"/>
    </w:lvl>
  </w:abstractNum>
  <w:abstractNum w:abstractNumId="12">
    <w:nsid w:val="6F6DD9AC"/>
    <w:multiLevelType w:val="hybridMultilevel"/>
    <w:lvl w:ilvl="0">
      <w:lvlJc w:val="left"/>
      <w:lvlText w:val="*"/>
      <w:numFmt w:val="bullet"/>
      <w:start w:val="1"/>
    </w:lvl>
  </w:abstractNum>
  <w:abstractNum w:abstractNumId="13">
    <w:nsid w:val="94211F2"/>
    <w:multiLevelType w:val="hybridMultilevel"/>
    <w:lvl w:ilvl="0">
      <w:lvlJc w:val="left"/>
      <w:lvlText w:val="*"/>
      <w:numFmt w:val="bullet"/>
      <w:start w:val="1"/>
    </w:lvl>
  </w:abstractNum>
  <w:abstractNum w:abstractNumId="14">
    <w:nsid w:val="885E1B"/>
    <w:multiLevelType w:val="hybridMultilevel"/>
    <w:lvl w:ilvl="0">
      <w:lvlJc w:val="left"/>
      <w:lvlText w:val="*"/>
      <w:numFmt w:val="bullet"/>
      <w:start w:val="1"/>
    </w:lvl>
  </w:abstractNum>
  <w:abstractNum w:abstractNumId="15">
    <w:nsid w:val="76272110"/>
    <w:multiLevelType w:val="hybridMultilevel"/>
    <w:lvl w:ilvl="0">
      <w:lvlJc w:val="left"/>
      <w:lvlText w:val="(%1)"/>
      <w:numFmt w:val="decimal"/>
      <w:start w:val="1"/>
    </w:lvl>
  </w:abstractNum>
  <w:abstractNum w:abstractNumId="16">
    <w:nsid w:val="4C04A8AF"/>
    <w:multiLevelType w:val="hybridMultilevel"/>
    <w:lvl w:ilvl="0">
      <w:lvlJc w:val="left"/>
      <w:lvlText w:val="(%1)"/>
      <w:numFmt w:val="decimal"/>
      <w:start w:val="2"/>
    </w:lvl>
  </w:abstractNum>
  <w:abstractNum w:abstractNumId="17">
    <w:nsid w:val="1716703B"/>
    <w:multiLevelType w:val="hybridMultilevel"/>
    <w:lvl w:ilvl="0">
      <w:lvlJc w:val="left"/>
      <w:lvlText w:val="÷"/>
      <w:numFmt w:val="bullet"/>
      <w:start w:val="1"/>
    </w:lvl>
  </w:abstractNum>
  <w:abstractNum w:abstractNumId="18">
    <w:nsid w:val="14E17E33"/>
    <w:multiLevelType w:val="hybridMultilevel"/>
    <w:lvl w:ilvl="0">
      <w:lvlJc w:val="left"/>
      <w:lvlText w:val="(%1)"/>
      <w:numFmt w:val="decimal"/>
      <w:start w:val="4"/>
    </w:lvl>
  </w:abstractNum>
  <w:abstractNum w:abstractNumId="19">
    <w:nsid w:val="3222E7CD"/>
    <w:multiLevelType w:val="hybridMultilevel"/>
    <w:lvl w:ilvl="0">
      <w:lvlJc w:val="left"/>
      <w:lvlText w:val="(%1)"/>
      <w:numFmt w:val="decimal"/>
      <w:start w:val="5"/>
    </w:lvl>
  </w:abstractNum>
  <w:abstractNum w:abstractNumId="20">
    <w:nsid w:val="74DE0EE3"/>
    <w:multiLevelType w:val="hybridMultilevel"/>
    <w:lvl w:ilvl="0">
      <w:lvlJc w:val="left"/>
      <w:lvlText w:val="(%1)"/>
      <w:numFmt w:val="decimal"/>
      <w:start w:val="2"/>
    </w:lvl>
    <w:lvl w:ilvl="1">
      <w:lvlJc w:val="left"/>
      <w:lvlText w:val="÷"/>
      <w:numFmt w:val="bullet"/>
      <w:start w:val="1"/>
    </w:lvl>
  </w:abstractNum>
  <w:abstractNum w:abstractNumId="21">
    <w:nsid w:val="68EBC550"/>
    <w:multiLevelType w:val="hybridMultilevel"/>
    <w:lvl w:ilvl="0">
      <w:lvlJc w:val="left"/>
      <w:lvlText w:val="(%1)"/>
      <w:numFmt w:val="decimal"/>
      <w:start w:val="5"/>
    </w:lvl>
  </w:abstractNum>
  <w:abstractNum w:abstractNumId="22">
    <w:nsid w:val="2DF6D648"/>
    <w:multiLevelType w:val="hybridMultilevel"/>
    <w:lvl w:ilvl="0">
      <w:lvlJc w:val="left"/>
      <w:lvlText w:val="(%1)"/>
      <w:numFmt w:val="decimal"/>
      <w:start w:val="4"/>
    </w:lvl>
  </w:abstractNum>
  <w:abstractNum w:abstractNumId="23">
    <w:nsid w:val="46B7D447"/>
    <w:multiLevelType w:val="hybridMultilevel"/>
    <w:lvl w:ilvl="0">
      <w:lvlJc w:val="left"/>
      <w:lvlText w:val=" "/>
      <w:numFmt w:val="bullet"/>
      <w:start w:val="1"/>
    </w:lvl>
    <w:lvl w:ilvl="1">
      <w:lvlJc w:val="left"/>
      <w:lvlText w:val="%2."/>
      <w:numFmt w:val="decimal"/>
      <w:start w:val="1"/>
    </w:lvl>
  </w:abstractNum>
  <w:abstractNum w:abstractNumId="24">
    <w:nsid w:val="4A2AC315"/>
    <w:multiLevelType w:val="hybridMultilevel"/>
    <w:lvl w:ilvl="0">
      <w:lvlJc w:val="left"/>
      <w:lvlText w:val="%1."/>
      <w:numFmt w:val="decimal"/>
      <w:start w:val="2"/>
    </w:lvl>
  </w:abstractNum>
  <w:abstractNum w:abstractNumId="25">
    <w:nsid w:val="39EE015C"/>
    <w:multiLevelType w:val="hybridMultilevel"/>
    <w:lvl w:ilvl="0">
      <w:lvlJc w:val="left"/>
      <w:lvlText w:val="(%1)"/>
      <w:numFmt w:val="lowerRoman"/>
      <w:start w:val="1"/>
    </w:lvl>
  </w:abstractNum>
  <w:abstractNum w:abstractNumId="26">
    <w:nsid w:val="57FC4FBB"/>
    <w:multiLevelType w:val="hybridMultilevel"/>
    <w:lvl w:ilvl="0">
      <w:lvlJc w:val="left"/>
      <w:lvlText w:val="(%1)"/>
      <w:numFmt w:val="lowerRoman"/>
      <w:start w:val="5"/>
    </w:lvl>
  </w:abstractNum>
  <w:abstractNum w:abstractNumId="27">
    <w:nsid w:val="CC1016F"/>
    <w:multiLevelType w:val="hybridMultilevel"/>
    <w:lvl w:ilvl="0">
      <w:lvlJc w:val="left"/>
      <w:lvlText w:val="(%1)"/>
      <w:numFmt w:val="lowerRoman"/>
      <w:start w:val="6"/>
    </w:lvl>
  </w:abstractNum>
  <w:abstractNum w:abstractNumId="28">
    <w:nsid w:val="43F18422"/>
    <w:multiLevelType w:val="hybridMultilevel"/>
    <w:lvl w:ilvl="0">
      <w:lvlJc w:val="left"/>
      <w:lvlText w:val="(%1)"/>
      <w:numFmt w:val="lowerRoman"/>
      <w:start w:val="7"/>
    </w:lvl>
  </w:abstractNum>
  <w:abstractNum w:abstractNumId="29">
    <w:nsid w:val="60EF0119"/>
    <w:multiLevelType w:val="hybridMultilevel"/>
    <w:lvl w:ilvl="0">
      <w:lvlJc w:val="left"/>
      <w:lvlText w:val="•"/>
      <w:numFmt w:val="bullet"/>
      <w:start w:val="1"/>
    </w:lvl>
  </w:abstractNum>
  <w:abstractNum w:abstractNumId="30">
    <w:nsid w:val="26F324BA"/>
    <w:multiLevelType w:val="hybridMultilevel"/>
    <w:lvl w:ilvl="0">
      <w:lvlJc w:val="left"/>
      <w:lvlText w:val="(%1)"/>
      <w:numFmt w:val="decimal"/>
      <w:start w:val="5"/>
    </w:lvl>
    <w:lvl w:ilvl="1">
      <w:lvlJc w:val="left"/>
      <w:lvlText w:val="÷"/>
      <w:numFmt w:val="bullet"/>
      <w:start w:val="1"/>
    </w:lvl>
  </w:abstractNum>
  <w:abstractNum w:abstractNumId="31">
    <w:nsid w:val="7F01579B"/>
    <w:multiLevelType w:val="hybridMultilevel"/>
    <w:lvl w:ilvl="0">
      <w:lvlJc w:val="left"/>
      <w:lvlText w:val="+"/>
      <w:numFmt w:val="bullet"/>
      <w:start w:val="1"/>
    </w:lvl>
  </w:abstractNum>
  <w:abstractNum w:abstractNumId="32">
    <w:nsid w:val="49DA307D"/>
    <w:multiLevelType w:val="hybridMultilevel"/>
    <w:lvl w:ilvl="0">
      <w:lvlJc w:val="left"/>
      <w:lvlText w:val="÷"/>
      <w:numFmt w:val="bullet"/>
      <w:start w:val="1"/>
    </w:lvl>
  </w:abstractNum>
  <w:abstractNum w:abstractNumId="33">
    <w:nsid w:val="7055A5F5"/>
    <w:multiLevelType w:val="hybridMultilevel"/>
    <w:lvl w:ilvl="0">
      <w:lvlJc w:val="left"/>
      <w:lvlText w:val="(%1)"/>
      <w:numFmt w:val="decimal"/>
      <w:start w:val="4"/>
    </w:lvl>
  </w:abstractNum>
  <w:abstractNum w:abstractNumId="34">
    <w:nsid w:val="5FB8370B"/>
    <w:multiLevelType w:val="hybridMultilevel"/>
    <w:lvl w:ilvl="0">
      <w:lvlJc w:val="left"/>
      <w:lvlText w:val="(%1)"/>
      <w:numFmt w:val="decimal"/>
      <w:start w:val="6"/>
    </w:lvl>
  </w:abstractNum>
  <w:abstractNum w:abstractNumId="35">
    <w:nsid w:val="50801EE1"/>
    <w:multiLevelType w:val="hybridMultilevel"/>
    <w:lvl w:ilvl="0">
      <w:lvlJc w:val="left"/>
      <w:lvlText w:val="(%1)"/>
      <w:numFmt w:val="decimal"/>
      <w:start w:val="10"/>
    </w:lvl>
  </w:abstractNum>
  <w:abstractNum w:abstractNumId="36">
    <w:nsid w:val="488AC1A"/>
    <w:multiLevelType w:val="hybridMultilevel"/>
    <w:lvl w:ilvl="0">
      <w:lvlJc w:val="left"/>
      <w:lvlText w:val="(%1)"/>
      <w:numFmt w:val="decimal"/>
      <w:start w:val="1"/>
    </w:lvl>
    <w:lvl w:ilvl="1">
      <w:lvlJc w:val="left"/>
      <w:lvlText w:val="÷"/>
      <w:numFmt w:val="bullet"/>
      <w:start w:val="1"/>
    </w:lvl>
  </w:abstractNum>
  <w:abstractNum w:abstractNumId="37">
    <w:nsid w:val="5FB8011C"/>
    <w:multiLevelType w:val="hybridMultilevel"/>
    <w:lvl w:ilvl="0">
      <w:lvlJc w:val="left"/>
      <w:lvlText w:val="(%1)"/>
      <w:numFmt w:val="decimal"/>
      <w:start w:val="4"/>
    </w:lvl>
  </w:abstractNum>
  <w:abstractNum w:abstractNumId="38">
    <w:nsid w:val="6AA78F7F"/>
    <w:multiLevelType w:val="hybridMultilevel"/>
    <w:lvl w:ilvl="0">
      <w:lvlJc w:val="left"/>
      <w:lvlText w:val="(%1)"/>
      <w:numFmt w:val="decimal"/>
      <w:start w:val="1"/>
    </w:lvl>
  </w:abstractNum>
  <w:abstractNum w:abstractNumId="39">
    <w:nsid w:val="7672BD23"/>
    <w:multiLevelType w:val="hybridMultilevel"/>
    <w:lvl w:ilvl="0">
      <w:lvlJc w:val="left"/>
      <w:lvlText w:val="(%1)"/>
      <w:numFmt w:val="decimal"/>
      <w:start w:val="2"/>
    </w:lvl>
    <w:lvl w:ilvl="1">
      <w:lvlJc w:val="left"/>
      <w:lvlText w:val="="/>
      <w:numFmt w:val="bullet"/>
      <w:start w:val="1"/>
    </w:lvl>
  </w:abstractNum>
  <w:abstractNum w:abstractNumId="40">
    <w:nsid w:val="6FC75AF8"/>
    <w:multiLevelType w:val="hybridMultilevel"/>
    <w:lvl w:ilvl="0">
      <w:lvlJc w:val="left"/>
      <w:lvlText w:val="="/>
      <w:numFmt w:val="bullet"/>
      <w:start w:val="1"/>
    </w:lvl>
  </w:abstractNum>
  <w:abstractNum w:abstractNumId="41">
    <w:nsid w:val="6A5F7029"/>
    <w:multiLevelType w:val="hybridMultilevel"/>
    <w:lvl w:ilvl="0">
      <w:lvlJc w:val="left"/>
      <w:lvlText w:val="(%1)"/>
      <w:numFmt w:val="decimal"/>
      <w:start w:val="1"/>
    </w:lvl>
  </w:abstractNum>
  <w:abstractNum w:abstractNumId="42">
    <w:nsid w:val="7D5E18F8"/>
    <w:multiLevelType w:val="hybridMultilevel"/>
    <w:lvl w:ilvl="0">
      <w:lvlJc w:val="left"/>
      <w:lvlText w:val="(%1)"/>
      <w:numFmt w:val="lowerLetter"/>
      <w:start w:val="1"/>
    </w:lvl>
  </w:abstractNum>
  <w:abstractNum w:abstractNumId="43">
    <w:nsid w:val="5F3534A4"/>
    <w:multiLevelType w:val="hybridMultilevel"/>
    <w:lvl w:ilvl="0">
      <w:lvlJc w:val="left"/>
      <w:lvlText w:val="(%1)"/>
      <w:numFmt w:val="lowerLetter"/>
      <w:start w:val="1"/>
    </w:lvl>
  </w:abstractNum>
  <w:abstractNum w:abstractNumId="44">
    <w:nsid w:val="73A1821B"/>
    <w:multiLevelType w:val="hybridMultilevel"/>
    <w:lvl w:ilvl="0">
      <w:lvlJc w:val="left"/>
      <w:lvlText w:val="(%1)"/>
      <w:numFmt w:val="lowerLetter"/>
      <w:start w:val="3"/>
    </w:lvl>
  </w:abstractNum>
  <w:abstractNum w:abstractNumId="45">
    <w:nsid w:val="7DE67713"/>
    <w:multiLevelType w:val="hybridMultilevel"/>
    <w:lvl w:ilvl="0">
      <w:lvlJc w:val="left"/>
      <w:lvlText w:val="(%1)"/>
      <w:numFmt w:val="decimal"/>
      <w:start w:val="5"/>
    </w:lvl>
  </w:abstractNum>
  <w:abstractNum w:abstractNumId="46">
    <w:nsid w:val="555C55B5"/>
    <w:multiLevelType w:val="hybridMultilevel"/>
    <w:lvl w:ilvl="0">
      <w:lvlJc w:val="left"/>
      <w:lvlText w:val="(%1)"/>
      <w:numFmt w:val="decimal"/>
      <w:start w:val="1"/>
    </w:lvl>
  </w:abstractNum>
  <w:abstractNum w:abstractNumId="47">
    <w:nsid w:val="3FA62ACA"/>
    <w:multiLevelType w:val="hybridMultilevel"/>
    <w:lvl w:ilvl="0">
      <w:lvlJc w:val="left"/>
      <w:lvlText w:val="(%1)"/>
      <w:numFmt w:val="decimal"/>
      <w:start w:val="2"/>
    </w:lvl>
  </w:abstractNum>
  <w:abstractNum w:abstractNumId="48">
    <w:nsid w:val="14FCE74E"/>
    <w:multiLevelType w:val="hybridMultilevel"/>
    <w:lvl w:ilvl="0">
      <w:lvlJc w:val="left"/>
      <w:lvlText w:val="(%1)"/>
      <w:numFmt w:val="lowerLetter"/>
      <w:start w:val="1"/>
    </w:lvl>
  </w:abstractNum>
  <w:abstractNum w:abstractNumId="49">
    <w:nsid w:val="6A3DD3E8"/>
    <w:multiLevelType w:val="hybridMultilevel"/>
    <w:lvl w:ilvl="0">
      <w:lvlJc w:val="left"/>
      <w:lvlText w:val="(%1)"/>
      <w:numFmt w:val="lowerLetter"/>
      <w:start w:val="2"/>
    </w:lvl>
  </w:abstractNum>
  <w:abstractNum w:abstractNumId="50">
    <w:nsid w:val="71C91298"/>
    <w:multiLevelType w:val="hybridMultilevel"/>
    <w:lvl w:ilvl="0">
      <w:lvlJc w:val="left"/>
      <w:lvlText w:val="(%1)"/>
      <w:numFmt w:val="lowerLetter"/>
      <w:start w:val="3"/>
    </w:lvl>
  </w:abstractNum>
  <w:abstractNum w:abstractNumId="51">
    <w:nsid w:val="9DAF632"/>
    <w:multiLevelType w:val="hybridMultilevel"/>
    <w:lvl w:ilvl="0">
      <w:lvlJc w:val="left"/>
      <w:lvlText w:val="(%1)"/>
      <w:numFmt w:val="lowerLetter"/>
      <w:start w:val="5"/>
    </w:lvl>
  </w:abstractNum>
  <w:abstractNum w:abstractNumId="52">
    <w:nsid w:val="53299938"/>
    <w:multiLevelType w:val="hybridMultilevel"/>
    <w:lvl w:ilvl="0">
      <w:lvlJc w:val="left"/>
      <w:lvlText w:val="(%1)"/>
      <w:numFmt w:val="lowerLetter"/>
      <w:start w:val="1"/>
    </w:lvl>
  </w:abstractNum>
  <w:abstractNum w:abstractNumId="53">
    <w:nsid w:val="1FBFE8E0"/>
    <w:multiLevelType w:val="hybridMultilevel"/>
    <w:lvl w:ilvl="0">
      <w:lvlJc w:val="left"/>
      <w:lvlText w:val="(%1)"/>
      <w:numFmt w:val="lowerLetter"/>
      <w:start w:val="1"/>
    </w:lvl>
  </w:abstractNum>
  <w:abstractNum w:abstractNumId="54">
    <w:nsid w:val="5092CA79"/>
    <w:multiLevelType w:val="hybridMultilevel"/>
    <w:lvl w:ilvl="0">
      <w:lvlJc w:val="left"/>
      <w:lvlText w:val="(%1)"/>
      <w:numFmt w:val="lowerLetter"/>
      <w:start w:val="1"/>
    </w:lvl>
  </w:abstractNum>
  <w:abstractNum w:abstractNumId="55">
    <w:nsid w:val="1D545C4D"/>
    <w:multiLevelType w:val="hybridMultilevel"/>
    <w:lvl w:ilvl="0">
      <w:lvlJc w:val="left"/>
      <w:lvlText w:val="(%1)"/>
      <w:numFmt w:val="lowerRoman"/>
      <w:start w:val="1"/>
    </w:lvl>
  </w:abstractNum>
  <w:abstractNum w:abstractNumId="56">
    <w:nsid w:val="59ADEA3D"/>
    <w:multiLevelType w:val="hybridMultilevel"/>
    <w:lvl w:ilvl="0">
      <w:lvlJc w:val="left"/>
      <w:lvlText w:val="(%1)"/>
      <w:numFmt w:val="lowerRoman"/>
      <w:start w:val="1"/>
    </w:lvl>
  </w:abstractNum>
  <w:abstractNum w:abstractNumId="57">
    <w:nsid w:val="288F1A34"/>
    <w:multiLevelType w:val="hybridMultilevel"/>
    <w:lvl w:ilvl="0">
      <w:lvlJc w:val="left"/>
      <w:lvlText w:val="1"/>
      <w:numFmt w:val="bullet"/>
      <w:start w:val="1"/>
    </w:lvl>
  </w:abstractNum>
  <w:abstractNum w:abstractNumId="58">
    <w:nsid w:val="2A155DBC"/>
    <w:multiLevelType w:val="hybridMultilevel"/>
    <w:lvl w:ilvl="0">
      <w:lvlJc w:val="left"/>
      <w:lvlText w:val="2"/>
      <w:numFmt w:val="bullet"/>
      <w:start w:val="1"/>
    </w:lvl>
  </w:abstractNum>
  <w:abstractNum w:abstractNumId="59">
    <w:nsid w:val="1D9F6E5F"/>
    <w:multiLevelType w:val="hybridMultilevel"/>
    <w:lvl w:ilvl="0">
      <w:lvlJc w:val="left"/>
      <w:lvlText w:val="(%1)"/>
      <w:numFmt w:val="decimal"/>
      <w:start w:val="1"/>
    </w:lvl>
    <w:lvl w:ilvl="1">
      <w:lvlJc w:val="left"/>
      <w:lvlText w:val="÷"/>
      <w:numFmt w:val="bullet"/>
      <w:start w:val="1"/>
    </w:lvl>
  </w:abstractNum>
  <w:abstractNum w:abstractNumId="60">
    <w:nsid w:val="97E1B4E"/>
    <w:multiLevelType w:val="hybridMultilevel"/>
    <w:lvl w:ilvl="0">
      <w:lvlJc w:val="left"/>
      <w:lvlText w:val="(%1)"/>
      <w:numFmt w:val="decimal"/>
      <w:start w:val="2"/>
    </w:lvl>
    <w:lvl w:ilvl="1">
      <w:lvlJc w:val="left"/>
      <w:lvlText w:val="÷"/>
      <w:numFmt w:val="bullet"/>
      <w:start w:val="1"/>
    </w:lvl>
  </w:abstractNum>
  <w:abstractNum w:abstractNumId="61">
    <w:nsid w:val="51088277"/>
    <w:multiLevelType w:val="hybridMultilevel"/>
    <w:lvl w:ilvl="0">
      <w:lvlJc w:val="left"/>
      <w:lvlText w:val="(%1)"/>
      <w:numFmt w:val="decimal"/>
      <w:start w:val="888"/>
    </w:lvl>
  </w:abstractNum>
  <w:abstractNum w:abstractNumId="62">
    <w:nsid w:val="1CA0C5FA"/>
    <w:multiLevelType w:val="hybridMultilevel"/>
    <w:lvl w:ilvl="0">
      <w:lvlJc w:val="left"/>
      <w:lvlText w:val="(%1)"/>
      <w:numFmt w:val="decimal"/>
      <w:start w:val="1"/>
    </w:lvl>
    <w:lvl w:ilvl="1">
      <w:lvlJc w:val="left"/>
      <w:lvlText w:val="%2."/>
      <w:numFmt w:val="upperLetter"/>
      <w:start w:val="1"/>
    </w:lvl>
  </w:abstractNum>
  <w:abstractNum w:abstractNumId="63">
    <w:nsid w:val="53584BCB"/>
    <w:multiLevelType w:val="hybridMultilevel"/>
    <w:lvl w:ilvl="0">
      <w:lvlJc w:val="left"/>
      <w:lvlText w:val="•"/>
      <w:numFmt w:val="bullet"/>
      <w:start w:val="1"/>
    </w:lvl>
  </w:abstractNum>
  <w:abstractNum w:abstractNumId="64">
    <w:nsid w:val="415E286C"/>
    <w:multiLevelType w:val="hybridMultilevel"/>
    <w:lvl w:ilvl="0">
      <w:lvlJc w:val="left"/>
      <w:lvlText w:val="%1)"/>
      <w:numFmt w:val="decimal"/>
      <w:start w:val="1"/>
    </w:lvl>
  </w:abstractNum>
  <w:abstractNum w:abstractNumId="65">
    <w:nsid w:val="7C58FD05"/>
    <w:multiLevelType w:val="hybridMultilevel"/>
    <w:lvl w:ilvl="0">
      <w:lvlJc w:val="left"/>
      <w:lvlText w:val="(%1)"/>
      <w:numFmt w:val="decimal"/>
      <w:start w:val="1"/>
    </w:lvl>
  </w:abstractNum>
  <w:abstractNum w:abstractNumId="66">
    <w:nsid w:val="23D86AAC"/>
    <w:multiLevelType w:val="hybridMultilevel"/>
    <w:lvl w:ilvl="0">
      <w:lvlJc w:val="left"/>
      <w:lvlText w:val="(%1)"/>
      <w:numFmt w:val="decimal"/>
      <w:start w:val="1"/>
    </w:lvl>
    <w:lvl w:ilvl="1">
      <w:lvlJc w:val="left"/>
      <w:lvlText w:val="÷"/>
      <w:numFmt w:val="bullet"/>
      <w:start w:val="1"/>
    </w:lvl>
  </w:abstractNum>
  <w:abstractNum w:abstractNumId="67">
    <w:nsid w:val="45E6D486"/>
    <w:multiLevelType w:val="hybridMultilevel"/>
    <w:lvl w:ilvl="0">
      <w:lvlJc w:val="left"/>
      <w:lvlText w:val="*"/>
      <w:numFmt w:val="bullet"/>
      <w:start w:val="1"/>
    </w:lvl>
  </w:abstractNum>
  <w:abstractNum w:abstractNumId="68">
    <w:nsid w:val="5C10FE21"/>
    <w:multiLevelType w:val="hybridMultilevel"/>
    <w:lvl w:ilvl="0">
      <w:lvlJc w:val="left"/>
      <w:lvlText w:val="(%1)"/>
      <w:numFmt w:val="lowerRoman"/>
      <w:start w:val="1"/>
    </w:lvl>
  </w:abstractNum>
  <w:abstractNum w:abstractNumId="69">
    <w:nsid w:val="E7FFA2B"/>
    <w:multiLevelType w:val="hybridMultilevel"/>
    <w:lvl w:ilvl="0">
      <w:lvlJc w:val="left"/>
      <w:lvlText w:val="(%1)"/>
      <w:numFmt w:val="lowerLetter"/>
      <w:start w:val="2"/>
    </w:lvl>
  </w:abstractNum>
  <w:abstractNum w:abstractNumId="70">
    <w:nsid w:val="3C5991AA"/>
    <w:multiLevelType w:val="hybridMultilevel"/>
    <w:lvl w:ilvl="0">
      <w:lvlJc w:val="left"/>
      <w:lvlText w:val="(%1)"/>
      <w:numFmt w:val="lowerLetter"/>
      <w:start w:val="4"/>
    </w:lvl>
  </w:abstractNum>
  <w:abstractNum w:abstractNumId="71">
    <w:nsid w:val="4BD8591A"/>
    <w:multiLevelType w:val="hybridMultilevel"/>
    <w:lvl w:ilvl="0">
      <w:lvlJc w:val="left"/>
      <w:lvlText w:val="(%1)"/>
      <w:numFmt w:val="lowerRoman"/>
      <w:start w:val="2"/>
    </w:lvl>
  </w:abstractNum>
  <w:abstractNum w:abstractNumId="72">
    <w:nsid w:val="78DF6A55"/>
    <w:multiLevelType w:val="hybridMultilevel"/>
    <w:lvl w:ilvl="0">
      <w:lvlJc w:val="left"/>
      <w:lvlText w:val="(%1)"/>
      <w:numFmt w:val="lowerLetter"/>
      <w:start w:val="5"/>
    </w:lvl>
  </w:abstractNum>
  <w:abstractNum w:abstractNumId="73">
    <w:nsid w:val="39B7AAA2"/>
    <w:multiLevelType w:val="hybridMultilevel"/>
    <w:lvl w:ilvl="0">
      <w:lvlJc w:val="left"/>
      <w:lvlText w:val="(%1)"/>
      <w:numFmt w:val="lowerLetter"/>
      <w:start w:val="6"/>
    </w:lvl>
  </w:abstractNum>
  <w:abstractNum w:abstractNumId="74">
    <w:nsid w:val="2B0D8DBE"/>
    <w:multiLevelType w:val="hybridMultilevel"/>
    <w:lvl w:ilvl="0">
      <w:lvlJc w:val="left"/>
      <w:lvlText w:val=" "/>
      <w:numFmt w:val="bullet"/>
      <w:start w:val="1"/>
    </w:lvl>
  </w:abstractNum>
  <w:abstractNum w:abstractNumId="75">
    <w:nsid w:val="6C80EC70"/>
    <w:multiLevelType w:val="hybridMultilevel"/>
    <w:lvl w:ilvl="0">
      <w:lvlJc w:val="left"/>
      <w:lvlText w:val=" "/>
      <w:numFmt w:val="bullet"/>
      <w:start w:val="1"/>
    </w:lvl>
  </w:abstractNum>
  <w:abstractNum w:abstractNumId="76">
    <w:nsid w:val="379E21B5"/>
    <w:multiLevelType w:val="hybridMultilevel"/>
    <w:lvl w:ilvl="0">
      <w:lvlJc w:val="left"/>
      <w:lvlText w:val="(%1)"/>
      <w:numFmt w:val="lowerLetter"/>
      <w:start w:val="7"/>
    </w:lvl>
  </w:abstractNum>
  <w:abstractNum w:abstractNumId="77">
    <w:nsid w:val="69E37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78">
    <w:nsid w:val="2C27173B"/>
    <w:multiLevelType w:val="hybridMultilevel"/>
    <w:lvl w:ilvl="0">
      <w:lvlJc w:val="left"/>
      <w:lvlText w:val="%1."/>
      <w:numFmt w:val="lowerLetter"/>
      <w:start w:val="3"/>
    </w:lvl>
  </w:abstractNum>
  <w:abstractNum w:abstractNumId="79">
    <w:nsid w:val="4C9B0904"/>
    <w:multiLevelType w:val="hybridMultilevel"/>
    <w:lvl w:ilvl="0">
      <w:lvlJc w:val="left"/>
      <w:lvlText w:val="f"/>
      <w:numFmt w:val="bullet"/>
      <w:start w:val="1"/>
    </w:lvl>
  </w:abstractNum>
  <w:abstractNum w:abstractNumId="80">
    <w:nsid w:val="6AA7B75C"/>
    <w:multiLevelType w:val="hybridMultilevel"/>
    <w:lvl w:ilvl="0">
      <w:lvlJc w:val="left"/>
      <w:lvlText w:val="%1."/>
      <w:numFmt w:val="lowerLetter"/>
      <w:start w:val="7"/>
    </w:lvl>
  </w:abstractNum>
  <w:abstractNum w:abstractNumId="81">
    <w:nsid w:val="1DF029D3"/>
    <w:multiLevelType w:val="hybridMultilevel"/>
    <w:lvl w:ilvl="0">
      <w:lvlJc w:val="left"/>
      <w:lvlText w:val="%1."/>
      <w:numFmt w:val="decimal"/>
      <w:start w:val="3"/>
    </w:lvl>
  </w:abstractNum>
  <w:abstractNum w:abstractNumId="82">
    <w:nsid w:val="5675FF36"/>
    <w:multiLevelType w:val="hybridMultilevel"/>
    <w:lvl w:ilvl="0">
      <w:lvlJc w:val="left"/>
      <w:lvlText w:val="(%1)"/>
      <w:numFmt w:val="lowerLetter"/>
      <w:start w:val="1"/>
    </w:lvl>
  </w:abstractNum>
  <w:abstractNum w:abstractNumId="83">
    <w:nsid w:val="3DD15094"/>
    <w:multiLevelType w:val="hybridMultilevel"/>
    <w:lvl w:ilvl="0">
      <w:lvlJc w:val="left"/>
      <w:lvlText w:val="(%1)"/>
      <w:numFmt w:val="lowerLetter"/>
      <w:start w:val="2"/>
    </w:lvl>
  </w:abstractNum>
  <w:abstractNum w:abstractNumId="84">
    <w:nsid w:val="3DB012B3"/>
    <w:multiLevelType w:val="hybridMultilevel"/>
    <w:lvl w:ilvl="0">
      <w:lvlJc w:val="left"/>
      <w:lvlText w:val="(%1)"/>
      <w:numFmt w:val="lowerLetter"/>
      <w:start w:val="3"/>
    </w:lvl>
  </w:abstractNum>
  <w:abstractNum w:abstractNumId="85">
    <w:nsid w:val="2708C9AF"/>
    <w:multiLevelType w:val="hybridMultilevel"/>
    <w:lvl w:ilvl="0">
      <w:lvlJc w:val="left"/>
      <w:lvlText w:val="(%1)"/>
      <w:numFmt w:val="lowerLetter"/>
      <w:start w:val="1"/>
    </w:lvl>
  </w:abstractNum>
  <w:abstractNum w:abstractNumId="86">
    <w:nsid w:val="5B25ACE2"/>
    <w:multiLevelType w:val="hybridMultilevel"/>
    <w:lvl w:ilvl="0">
      <w:lvlJc w:val="left"/>
      <w:lvlText w:val="(%1)"/>
      <w:numFmt w:val="lowerLetter"/>
      <w:start w:val="2"/>
    </w:lvl>
  </w:abstractNum>
  <w:abstractNum w:abstractNumId="87">
    <w:nsid w:val="175DFCF0"/>
    <w:multiLevelType w:val="hybridMultilevel"/>
    <w:lvl w:ilvl="0">
      <w:lvlJc w:val="left"/>
      <w:lvlText w:val=" "/>
      <w:numFmt w:val="bullet"/>
      <w:start w:val="1"/>
    </w:lvl>
  </w:abstractNum>
  <w:abstractNum w:abstractNumId="88">
    <w:nsid w:val="4F97E3E4"/>
    <w:multiLevelType w:val="hybridMultilevel"/>
    <w:lvl w:ilvl="0">
      <w:lvlJc w:val="left"/>
      <w:lvlText w:val="(%1)"/>
      <w:numFmt w:val="lowerLetter"/>
      <w:start w:val="7"/>
    </w:lvl>
  </w:abstractNum>
  <w:abstractNum w:abstractNumId="89">
    <w:nsid w:val="53B0A9E"/>
    <w:multiLevelType w:val="hybridMultilevel"/>
    <w:lvl w:ilvl="0">
      <w:lvlJc w:val="left"/>
      <w:lvlText w:val="(%1)"/>
      <w:numFmt w:val="lowerLetter"/>
      <w:start w:val="12"/>
    </w:lvl>
  </w:abstractNum>
  <w:abstractNum w:abstractNumId="90">
    <w:nsid w:val="34FD6B4F"/>
    <w:multiLevelType w:val="hybridMultilevel"/>
    <w:lvl w:ilvl="0">
      <w:lvlJc w:val="left"/>
      <w:lvlText w:val="(%1)"/>
      <w:numFmt w:val="lowerLetter"/>
      <w:start w:val="16"/>
    </w:lvl>
  </w:abstractNum>
  <w:abstractNum w:abstractNumId="91">
    <w:nsid w:val="5915FF32"/>
    <w:multiLevelType w:val="hybridMultilevel"/>
    <w:lvl w:ilvl="0">
      <w:lvlJc w:val="left"/>
      <w:lvlText w:val="(%1)"/>
      <w:numFmt w:val="lowerLetter"/>
      <w:start w:val="18"/>
    </w:lvl>
  </w:abstractNum>
  <w:abstractNum w:abstractNumId="92">
    <w:nsid w:val="56438D15"/>
    <w:multiLevelType w:val="hybridMultilevel"/>
    <w:lvl w:ilvl="0">
      <w:lvlJc w:val="left"/>
      <w:lvlText w:val="%1."/>
      <w:numFmt w:val="decimal"/>
      <w:start w:val="1"/>
    </w:lvl>
  </w:abstractNum>
  <w:abstractNum w:abstractNumId="93">
    <w:nsid w:val="519E3149"/>
    <w:multiLevelType w:val="hybridMultilevel"/>
    <w:lvl w:ilvl="0">
      <w:lvlJc w:val="left"/>
      <w:lvlText w:val="%1."/>
      <w:numFmt w:val="decimal"/>
      <w:start w:val="1"/>
    </w:lvl>
  </w:abstractNum>
  <w:abstractNum w:abstractNumId="94">
    <w:nsid w:val="2C6E4AF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5">
    <w:nsid w:val="17A1B5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6">
    <w:nsid w:val="4DF72E4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97">
    <w:nsid w:val="5046B5A9"/>
    <w:multiLevelType w:val="hybridMultilevel"/>
    <w:lvl w:ilvl="0">
      <w:lvlJc w:val="left"/>
      <w:lvlText w:val="%1."/>
      <w:numFmt w:val="decimal"/>
      <w:start w:val="1"/>
    </w:lvl>
  </w:abstractNum>
  <w:abstractNum w:abstractNumId="98">
    <w:nsid w:val="5D888A08"/>
    <w:multiLevelType w:val="hybridMultilevel"/>
    <w:lvl w:ilvl="0">
      <w:lvlJc w:val="left"/>
      <w:lvlText w:val="%1"/>
      <w:numFmt w:val="decimal"/>
      <w:start w:val="1"/>
    </w:lvl>
    <w:lvl w:ilvl="1">
      <w:lvlJc w:val="left"/>
      <w:lvlText w:val="(%2)"/>
      <w:numFmt w:val="lowerLetter"/>
      <w:start w:val="1"/>
    </w:lvl>
  </w:abstractNum>
  <w:abstractNum w:abstractNumId="99">
    <w:nsid w:val="2A082C70"/>
    <w:multiLevelType w:val="hybridMultilevel"/>
    <w:lvl w:ilvl="0">
      <w:lvlJc w:val="left"/>
      <w:lvlText w:val="%1."/>
      <w:numFmt w:val="decimal"/>
      <w:start w:val="2"/>
    </w:lvl>
    <w:lvl w:ilvl="1">
      <w:lvlJc w:val="left"/>
      <w:lvlText w:val="%2"/>
      <w:numFmt w:val="lowerLetter"/>
      <w:start w:val="1"/>
    </w:lvl>
  </w:abstractNum>
  <w:abstractNum w:abstractNumId="100">
    <w:nsid w:val="5EC6AFD4"/>
    <w:multiLevelType w:val="hybridMultilevel"/>
    <w:lvl w:ilvl="0">
      <w:lvlJc w:val="left"/>
      <w:lvlText w:val="%1."/>
      <w:numFmt w:val="decimal"/>
      <w:start w:val="1"/>
    </w:lvl>
  </w:abstractNum>
  <w:abstractNum w:abstractNumId="101">
    <w:nsid w:val="19E21BB2"/>
    <w:multiLevelType w:val="hybridMultilevel"/>
    <w:lvl w:ilvl="0">
      <w:lvlJc w:val="left"/>
      <w:lvlText w:val="(%1)"/>
      <w:numFmt w:val="lowerLetter"/>
      <w:start w:val="1"/>
    </w:lvl>
  </w:abstractNum>
  <w:abstractNum w:abstractNumId="102">
    <w:nsid w:val="75E0858A"/>
    <w:multiLevelType w:val="hybridMultilevel"/>
    <w:lvl w:ilvl="0">
      <w:lvlJc w:val="left"/>
      <w:lvlText w:val=" "/>
      <w:numFmt w:val="bullet"/>
      <w:start w:val="1"/>
    </w:lvl>
  </w:abstractNum>
  <w:abstractNum w:abstractNumId="103">
    <w:nsid w:val="57A61A29"/>
    <w:multiLevelType w:val="hybridMultilevel"/>
    <w:lvl w:ilvl="0">
      <w:lvlJc w:val="left"/>
      <w:lvlText w:val="(%1)"/>
      <w:numFmt w:val="lowerLetter"/>
      <w:start w:val="3"/>
    </w:lvl>
  </w:abstractNum>
  <w:abstractNum w:abstractNumId="104">
    <w:nsid w:val="5399C654"/>
    <w:multiLevelType w:val="hybridMultilevel"/>
    <w:lvl w:ilvl="0">
      <w:lvlJc w:val="left"/>
      <w:lvlText w:val="%1."/>
      <w:numFmt w:val="decimal"/>
      <w:start w:val="3"/>
    </w:lvl>
  </w:abstractNum>
  <w:abstractNum w:abstractNumId="105">
    <w:nsid w:val="20EE1348"/>
    <w:multiLevelType w:val="hybridMultilevel"/>
    <w:lvl w:ilvl="0">
      <w:lvlJc w:val="left"/>
      <w:lvlText w:val="%1."/>
      <w:numFmt w:val="decimal"/>
      <w:start w:val="1"/>
    </w:lvl>
  </w:abstractNum>
  <w:abstractNum w:abstractNumId="106">
    <w:nsid w:val="4427069A"/>
    <w:multiLevelType w:val="hybridMultilevel"/>
    <w:lvl w:ilvl="0">
      <w:lvlJc w:val="left"/>
      <w:lvlText w:val="(%1)"/>
      <w:numFmt w:val="lowerLetter"/>
      <w:start w:val="1"/>
    </w:lvl>
    <w:lvl w:ilvl="1">
      <w:lvlJc w:val="left"/>
      <w:lvlText w:val="(%2)"/>
      <w:numFmt w:val="lowerRoman"/>
      <w:start w:val="1"/>
    </w:lvl>
  </w:abstractNum>
  <w:abstractNum w:abstractNumId="107">
    <w:nsid w:val="B37E80A"/>
    <w:multiLevelType w:val="hybridMultilevel"/>
    <w:lvl w:ilvl="0">
      <w:lvlJc w:val="left"/>
      <w:lvlText w:val=" "/>
      <w:numFmt w:val="bullet"/>
      <w:start w:val="1"/>
    </w:lvl>
  </w:abstractNum>
  <w:abstractNum w:abstractNumId="108">
    <w:nsid w:val="2157F6BC"/>
    <w:multiLevelType w:val="hybridMultilevel"/>
    <w:lvl w:ilvl="0">
      <w:lvlJc w:val="left"/>
      <w:lvlText w:val="(%1)"/>
      <w:numFmt w:val="lowerRoman"/>
      <w:start w:val="2"/>
    </w:lvl>
  </w:abstractNum>
  <w:abstractNum w:abstractNumId="109">
    <w:nsid w:val="704E1DD5"/>
    <w:multiLevelType w:val="hybridMultilevel"/>
    <w:lvl w:ilvl="0">
      <w:lvlJc w:val="left"/>
      <w:lvlText w:val="%1"/>
      <w:numFmt w:val="decimal"/>
      <w:start w:val="1"/>
    </w:lvl>
    <w:lvl w:ilvl="1">
      <w:lvlJc w:val="left"/>
      <w:lvlText w:val="(%2)"/>
      <w:numFmt w:val="lowerRoman"/>
      <w:start w:val="3"/>
    </w:lvl>
  </w:abstractNum>
  <w:abstractNum w:abstractNumId="110">
    <w:nsid w:val="57D2F10E"/>
    <w:multiLevelType w:val="hybridMultilevel"/>
    <w:lvl w:ilvl="0">
      <w:lvlJc w:val="left"/>
      <w:lvlText w:val="%1."/>
      <w:numFmt w:val="decimal"/>
      <w:start w:val="4"/>
    </w:lvl>
    <w:lvl w:ilvl="1">
      <w:lvlJc w:val="left"/>
      <w:lvlText w:val="%2"/>
      <w:numFmt w:val="lowerRoman"/>
      <w:start w:val="1"/>
    </w:lvl>
  </w:abstractNum>
  <w:abstractNum w:abstractNumId="111">
    <w:nsid w:val="BFFAE18"/>
    <w:multiLevelType w:val="hybridMultilevel"/>
    <w:lvl w:ilvl="0">
      <w:lvlJc w:val="left"/>
      <w:lvlText w:val="%1."/>
      <w:numFmt w:val="upperLetter"/>
      <w:start w:val="1"/>
    </w:lvl>
    <w:lvl w:ilvl="1">
      <w:lvlJc w:val="left"/>
      <w:lvlText w:val="%2."/>
      <w:numFmt w:val="decimal"/>
      <w:start w:val="1"/>
    </w:lvl>
    <w:lvl w:ilvl="2">
      <w:lvlJc w:val="left"/>
      <w:lvlText w:val="(%3)"/>
      <w:numFmt w:val="decimal"/>
      <w:start w:val="30"/>
    </w:lvl>
  </w:abstractNum>
  <w:abstractNum w:abstractNumId="112">
    <w:nsid w:val="E3E47A8"/>
    <w:multiLevelType w:val="hybridMultilevel"/>
    <w:lvl w:ilvl="0">
      <w:lvlJc w:val="left"/>
      <w:lvlText w:val="%1."/>
      <w:numFmt w:val="decimal"/>
      <w:start w:val="1"/>
    </w:lvl>
  </w:abstractNum>
  <w:abstractNum w:abstractNumId="113">
    <w:nsid w:val="2E48F044"/>
    <w:multiLevelType w:val="hybridMultilevel"/>
    <w:lvl w:ilvl="0">
      <w:lvlJc w:val="left"/>
      <w:lvlText w:val="%1."/>
      <w:numFmt w:val="decimal"/>
      <w:start w:val="6"/>
    </w:lvl>
  </w:abstractNum>
  <w:abstractNum w:abstractNumId="114">
    <w:nsid w:val="49D0FEAC"/>
    <w:multiLevelType w:val="hybridMultilevel"/>
    <w:lvl w:ilvl="0">
      <w:lvlJc w:val="left"/>
      <w:lvlText w:val="%1."/>
      <w:numFmt w:val="decimal"/>
      <w:start w:val="1"/>
    </w:lvl>
  </w:abstractNum>
  <w:abstractNum w:abstractNumId="115">
    <w:nsid w:val="4BEE5A5B"/>
    <w:multiLevelType w:val="hybridMultilevel"/>
    <w:lvl w:ilvl="0">
      <w:lvlJc w:val="left"/>
      <w:lvlText w:val="%1."/>
      <w:numFmt w:val="decimal"/>
      <w:start w:val="1"/>
    </w:lvl>
  </w:abstractNum>
  <w:abstractNum w:abstractNumId="116">
    <w:nsid w:val="5551B9F3"/>
    <w:multiLevelType w:val="hybridMultilevel"/>
    <w:lvl w:ilvl="0">
      <w:lvlJc w:val="left"/>
      <w:lvlText w:val="%1."/>
      <w:numFmt w:val="decimal"/>
      <w:start w:val="1"/>
    </w:lvl>
  </w:abstractNum>
  <w:abstractNum w:abstractNumId="117">
    <w:nsid w:val="24F6AB8E"/>
    <w:multiLevelType w:val="hybridMultilevel"/>
    <w:lvl w:ilvl="0">
      <w:lvlJc w:val="left"/>
      <w:lvlText w:val="%1."/>
      <w:numFmt w:val="upperLetter"/>
      <w:start w:val="1"/>
    </w:lvl>
  </w:abstractNum>
  <w:abstractNum w:abstractNumId="118">
    <w:nsid w:val="634C574C"/>
    <w:multiLevelType w:val="hybridMultilevel"/>
    <w:lvl w:ilvl="0">
      <w:lvlJc w:val="left"/>
      <w:lvlText w:val="%1."/>
      <w:numFmt w:val="upperLetter"/>
      <w:start w:val="5"/>
    </w:lvl>
  </w:abstractNum>
  <w:abstractNum w:abstractNumId="119">
    <w:nsid w:val="24E99DD7"/>
    <w:multiLevelType w:val="hybridMultilevel"/>
    <w:lvl w:ilvl="0">
      <w:lvlJc w:val="left"/>
      <w:lvlText w:val="%1."/>
      <w:numFmt w:val="upperLetter"/>
      <w:start w:val="7"/>
    </w:lvl>
  </w:abstractNum>
  <w:abstractNum w:abstractNumId="120">
    <w:nsid w:val="2A31B62D"/>
    <w:multiLevelType w:val="hybridMultilevel"/>
    <w:lvl w:ilvl="0">
      <w:lvlJc w:val="left"/>
      <w:lvlText w:val="%1."/>
      <w:numFmt w:val="upperLetter"/>
      <w:start w:val="1"/>
    </w:lvl>
    <w:lvl w:ilvl="1">
      <w:lvlJc w:val="left"/>
      <w:lvlText w:val="%2."/>
      <w:numFmt w:val="lowerLetter"/>
      <w:start w:val="1"/>
    </w:lvl>
  </w:abstractNum>
  <w:abstractNum w:abstractNumId="121">
    <w:nsid w:val="1849C29B"/>
    <w:multiLevelType w:val="hybridMultilevel"/>
    <w:lvl w:ilvl="0">
      <w:lvlJc w:val="left"/>
      <w:lvlText w:val="%1."/>
      <w:numFmt w:val="upperLetter"/>
      <w:start w:val="5"/>
    </w:lvl>
  </w:abstractNum>
  <w:abstractNum w:abstractNumId="122">
    <w:nsid w:val="7DFF9D09"/>
    <w:multiLevelType w:val="hybridMultilevel"/>
    <w:lvl w:ilvl="0">
      <w:lvlJc w:val="left"/>
      <w:lvlText w:val="%1."/>
      <w:numFmt w:val="decimal"/>
      <w:start w:val="1"/>
    </w:lvl>
  </w:abstractNum>
  <w:abstractNum w:abstractNumId="123">
    <w:nsid w:val="754342"/>
    <w:multiLevelType w:val="hybridMultilevel"/>
    <w:lvl w:ilvl="0">
      <w:lvlJc w:val="left"/>
      <w:lvlText w:val="%1."/>
      <w:numFmt w:val="decimal"/>
      <w:start w:val="5"/>
    </w:lvl>
  </w:abstractNum>
  <w:abstractNum w:abstractNumId="124">
    <w:nsid w:val="69E7F3E5"/>
    <w:multiLevelType w:val="hybridMultilevel"/>
    <w:lvl w:ilvl="0">
      <w:lvlJc w:val="left"/>
      <w:lvlText w:val="%1."/>
      <w:numFmt w:val="decimal"/>
      <w:start w:val="10"/>
    </w:lvl>
    <w:lvl w:ilvl="1">
      <w:lvlJc w:val="left"/>
      <w:lvlText w:val="(%2)"/>
      <w:numFmt w:val="lowerLetter"/>
      <w:start w:val="1"/>
    </w:lvl>
  </w:abstractNum>
  <w:abstractNum w:abstractNumId="125">
    <w:nsid w:val="2A6DE806"/>
    <w:multiLevelType w:val="hybridMultilevel"/>
    <w:lvl w:ilvl="0">
      <w:lvlJc w:val="left"/>
      <w:lvlText w:val="%1."/>
      <w:numFmt w:val="decimal"/>
      <w:start w:val="12"/>
    </w:lvl>
  </w:abstractNum>
  <w:abstractNum w:abstractNumId="126">
    <w:nsid w:val="1816F8C4"/>
    <w:multiLevelType w:val="hybridMultilevel"/>
    <w:lvl w:ilvl="0">
      <w:lvlJc w:val="left"/>
      <w:lvlText w:val="%1."/>
      <w:numFmt w:val="decimal"/>
      <w:start w:val="16"/>
    </w:lvl>
  </w:abstractNum>
  <w:abstractNum w:abstractNumId="127">
    <w:nsid w:val="37DF2233"/>
    <w:multiLevelType w:val="hybridMultilevel"/>
    <w:lvl w:ilvl="0">
      <w:lvlJc w:val="left"/>
      <w:lvlText w:val="%1."/>
      <w:numFmt w:val="upperLetter"/>
      <w:start w:val="1"/>
    </w:lvl>
    <w:lvl w:ilvl="1">
      <w:lvlJc w:val="left"/>
      <w:lvlText w:val="%2."/>
      <w:numFmt w:val="decimal"/>
      <w:start w:val="1"/>
    </w:lvl>
  </w:abstractNum>
  <w:abstractNum w:abstractNumId="128">
    <w:nsid w:val="7AB49DAF"/>
    <w:multiLevelType w:val="hybridMultilevel"/>
    <w:lvl w:ilvl="0">
      <w:lvlJc w:val="left"/>
      <w:lvlText w:val="%1."/>
      <w:numFmt w:val="decimal"/>
      <w:start w:val="5"/>
    </w:lvl>
    <w:lvl w:ilvl="1">
      <w:lvlJc w:val="left"/>
      <w:lvlText w:val="%2."/>
      <w:numFmt w:val="lowerRoman"/>
      <w:start w:val="1"/>
    </w:lvl>
  </w:abstractNum>
  <w:abstractNum w:abstractNumId="129">
    <w:nsid w:val="759F82CD"/>
    <w:multiLevelType w:val="hybridMultilevel"/>
    <w:lvl w:ilvl="0">
      <w:lvlJc w:val="left"/>
      <w:lvlText w:val="%1"/>
      <w:numFmt w:val="upperLetter"/>
      <w:start w:val="1"/>
    </w:lvl>
    <w:lvl w:ilvl="1">
      <w:lvlJc w:val="left"/>
      <w:lvlText w:val="%2."/>
      <w:numFmt w:val="decimal"/>
      <w:start w:val="7"/>
    </w:lvl>
    <w:lvl w:ilvl="2">
      <w:lvlJc w:val="left"/>
      <w:lvlText w:val="%3"/>
      <w:numFmt w:val="lowerRoman"/>
      <w:start w:val="1"/>
    </w:lvl>
  </w:abstractNum>
  <w:abstractNum w:abstractNumId="130">
    <w:nsid w:val="61E74EA3"/>
    <w:multiLevelType w:val="hybridMultilevel"/>
    <w:lvl w:ilvl="0">
      <w:lvlJc w:val="left"/>
      <w:lvlText w:val="%1."/>
      <w:numFmt w:val="upperLetter"/>
      <w:start w:val="3"/>
    </w:lvl>
    <w:lvl w:ilvl="1">
      <w:lvlJc w:val="left"/>
      <w:lvlText w:val="%2."/>
      <w:numFmt w:val="decimal"/>
      <w:start w:val="1"/>
    </w:lvl>
    <w:lvl w:ilvl="2">
      <w:lvlJc w:val="left"/>
      <w:lvlText w:val="%3."/>
      <w:numFmt w:val="lowerRoman"/>
      <w:start w:val="1"/>
    </w:lvl>
  </w:abstractNum>
  <w:abstractNum w:abstractNumId="131">
    <w:nsid w:val="597B4D8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4"/>
    </w:lvl>
  </w:abstractNum>
  <w:abstractNum w:abstractNumId="132">
    <w:nsid w:val="F819E7F"/>
    <w:multiLevelType w:val="hybridMultilevel"/>
    <w:lvl w:ilvl="0">
      <w:lvlJc w:val="left"/>
      <w:lvlText w:val="%1"/>
      <w:numFmt w:val="upperLetter"/>
      <w:start w:val="1"/>
    </w:lvl>
    <w:lvl w:ilvl="1">
      <w:lvlJc w:val="left"/>
      <w:lvlText w:val="%2."/>
      <w:numFmt w:val="decimal"/>
      <w:start w:val="4"/>
    </w:lvl>
    <w:lvl w:ilvl="2">
      <w:lvlJc w:val="left"/>
      <w:lvlText w:val="%3"/>
      <w:numFmt w:val="lowerRoman"/>
      <w:start w:val="1"/>
    </w:lvl>
  </w:abstractNum>
  <w:abstractNum w:abstractNumId="133">
    <w:nsid w:val="57C7D42D"/>
    <w:multiLevelType w:val="hybridMultilevel"/>
    <w:lvl w:ilvl="0">
      <w:lvlJc w:val="left"/>
      <w:lvlText w:val="%1."/>
      <w:numFmt w:val="upperLetter"/>
      <w:start w:val="4"/>
    </w:lvl>
    <w:lvl w:ilvl="1">
      <w:lvlJc w:val="left"/>
      <w:lvlText w:val="%2"/>
      <w:numFmt w:val="decimal"/>
      <w:start w:val="1"/>
    </w:lvl>
    <w:lvl w:ilvl="2">
      <w:lvlJc w:val="left"/>
      <w:lvlText w:val="%3"/>
      <w:numFmt w:val="lowerRoman"/>
      <w:start w:val="1"/>
    </w:lvl>
  </w:abstractNum>
  <w:abstractNum w:abstractNumId="134">
    <w:nsid w:val="312167AD"/>
    <w:multiLevelType w:val="hybridMultilevel"/>
    <w:lvl w:ilvl="0">
      <w:lvlJc w:val="left"/>
      <w:lvlText w:val="%1."/>
      <w:numFmt w:val="decimal"/>
      <w:start w:val="1"/>
    </w:lvl>
  </w:abstractNum>
  <w:abstractNum w:abstractNumId="135">
    <w:nsid w:val="631B64D4"/>
    <w:multiLevelType w:val="hybridMultilevel"/>
    <w:lvl w:ilvl="0">
      <w:lvlJc w:val="left"/>
      <w:lvlText w:val="%1."/>
      <w:numFmt w:val="decimal"/>
      <w:start w:val="1"/>
    </w:lvl>
  </w:abstractNum>
  <w:abstractNum w:abstractNumId="136">
    <w:nsid w:val="78B5E776"/>
    <w:multiLevelType w:val="hybridMultilevel"/>
    <w:lvl w:ilvl="0">
      <w:lvlJc w:val="left"/>
      <w:lvlText w:val="%1."/>
      <w:numFmt w:val="decimal"/>
      <w:start w:val="1"/>
    </w:lvl>
  </w:abstractNum>
  <w:abstractNum w:abstractNumId="137">
    <w:nsid w:val="75486E47"/>
    <w:multiLevelType w:val="hybridMultilevel"/>
    <w:lvl w:ilvl="0">
      <w:lvlJc w:val="left"/>
      <w:lvlText w:val="1"/>
      <w:numFmt w:val="bullet"/>
      <w:start w:val="1"/>
    </w:lvl>
    <w:lvl w:ilvl="1">
      <w:lvlJc w:val="left"/>
      <w:lvlText w:val="(%2)"/>
      <w:numFmt w:val="lowerLetter"/>
      <w:start w:val="1"/>
    </w:lvl>
  </w:abstractNum>
  <w:abstractNum w:abstractNumId="138">
    <w:nsid w:val="6E534CDE"/>
    <w:multiLevelType w:val="hybridMultilevel"/>
    <w:lvl w:ilvl="0">
      <w:lvlJc w:val="left"/>
      <w:lvlText w:val="2"/>
      <w:numFmt w:val="bullet"/>
      <w:start w:val="1"/>
    </w:lvl>
    <w:lvl w:ilvl="1">
      <w:lvlJc w:val="left"/>
      <w:lvlText w:val="(%2)"/>
      <w:numFmt w:val="lowerLetter"/>
      <w:start w:val="1"/>
    </w:lvl>
  </w:abstractNum>
  <w:abstractNum w:abstractNumId="139">
    <w:nsid w:val="1A0DDE32"/>
    <w:multiLevelType w:val="hybridMultilevel"/>
    <w:lvl w:ilvl="0">
      <w:lvlJc w:val="left"/>
      <w:lvlText w:val="3"/>
      <w:numFmt w:val="bullet"/>
      <w:start w:val="1"/>
    </w:lvl>
  </w:abstractNum>
  <w:abstractNum w:abstractNumId="140">
    <w:nsid w:val="65968C1C"/>
    <w:multiLevelType w:val="hybridMultilevel"/>
    <w:lvl w:ilvl="0">
      <w:lvlJc w:val="left"/>
      <w:lvlText w:val="(%1)"/>
      <w:numFmt w:val="decimal"/>
      <w:start w:val="1"/>
    </w:lvl>
  </w:abstractNum>
  <w:abstractNum w:abstractNumId="141">
    <w:nsid w:val="46263DEC"/>
    <w:multiLevelType w:val="hybridMultilevel"/>
    <w:lvl w:ilvl="0">
      <w:lvlJc w:val="left"/>
      <w:lvlText w:val="%1."/>
      <w:numFmt w:val="decimal"/>
      <w:start w:val="1"/>
    </w:lvl>
    <w:lvl w:ilvl="1">
      <w:lvlJc w:val="left"/>
      <w:lvlText w:val="(%2)"/>
      <w:numFmt w:val="lowerLetter"/>
      <w:start w:val="1"/>
    </w:lvl>
  </w:abstractNum>
  <w:abstractNum w:abstractNumId="142">
    <w:nsid w:val="260D8C4A"/>
    <w:multiLevelType w:val="hybridMultilevel"/>
    <w:lvl w:ilvl="0">
      <w:lvlJc w:val="left"/>
      <w:lvlText w:val="1"/>
      <w:numFmt w:val="bullet"/>
      <w:start w:val="1"/>
    </w:lvl>
    <w:lvl w:ilvl="1">
      <w:lvlJc w:val="left"/>
      <w:lvlText w:val="(%2)"/>
      <w:numFmt w:val="lowerLetter"/>
      <w:start w:val="1"/>
    </w:lvl>
    <w:lvl w:ilvl="2">
      <w:lvlJc w:val="left"/>
      <w:lvlText w:val="(%3)"/>
      <w:numFmt w:val="lowerLetter"/>
      <w:start w:val="1"/>
    </w:lvl>
  </w:abstractNum>
  <w:abstractNum w:abstractNumId="143">
    <w:nsid w:val="73D4D3C4"/>
    <w:multiLevelType w:val="hybridMultilevel"/>
    <w:lvl w:ilvl="0">
      <w:lvlJc w:val="left"/>
      <w:lvlText w:val="2"/>
      <w:numFmt w:val="bullet"/>
      <w:start w:val="1"/>
    </w:lvl>
    <w:lvl w:ilvl="1">
      <w:lvlJc w:val="left"/>
      <w:lvlText w:val="(%2)"/>
      <w:numFmt w:val="lowerLetter"/>
      <w:start w:val="1"/>
    </w:lvl>
  </w:abstractNum>
  <w:abstractNum w:abstractNumId="144">
    <w:nsid w:val="746F2E30"/>
    <w:multiLevelType w:val="hybridMultilevel"/>
    <w:lvl w:ilvl="0">
      <w:lvlJc w:val="left"/>
      <w:lvlText w:val="3"/>
      <w:numFmt w:val="bullet"/>
      <w:start w:val="1"/>
    </w:lvl>
  </w:abstractNum>
  <w:abstractNum w:abstractNumId="145">
    <w:nsid w:val="6FDE8AF6"/>
    <w:multiLevelType w:val="hybridMultilevel"/>
    <w:lvl w:ilvl="0">
      <w:lvlJc w:val="left"/>
      <w:lvlText w:val="1"/>
      <w:numFmt w:val="bullet"/>
      <w:start w:val="1"/>
    </w:lvl>
    <w:lvl w:ilvl="1">
      <w:lvlJc w:val="left"/>
      <w:lvlText w:val="(%2)"/>
      <w:numFmt w:val="lowerLetter"/>
      <w:start w:val="1"/>
    </w:lvl>
    <w:lvl w:ilvl="2">
      <w:lvlJc w:val="left"/>
      <w:lvlText w:val="(%3)"/>
      <w:numFmt w:val="lowerLetter"/>
      <w:start w:val="1"/>
    </w:lvl>
  </w:abstractNum>
  <w:abstractNum w:abstractNumId="146">
    <w:nsid w:val="3FC32E20"/>
    <w:multiLevelType w:val="hybridMultilevel"/>
    <w:lvl w:ilvl="0">
      <w:lvlJc w:val="left"/>
      <w:lvlText w:val="(%1)"/>
      <w:numFmt w:val="lowerLetter"/>
      <w:start w:val="2"/>
    </w:lvl>
  </w:abstractNum>
  <w:abstractNum w:abstractNumId="147">
    <w:nsid w:val="49C0E823"/>
    <w:multiLevelType w:val="hybridMultilevel"/>
    <w:lvl w:ilvl="0">
      <w:lvlJc w:val="left"/>
      <w:lvlText w:val="2"/>
      <w:numFmt w:val="bullet"/>
      <w:start w:val="1"/>
    </w:lvl>
    <w:lvl w:ilvl="1">
      <w:lvlJc w:val="left"/>
      <w:lvlText w:val="(%2)"/>
      <w:numFmt w:val="lowerLetter"/>
      <w:start w:val="1"/>
    </w:lvl>
  </w:abstractNum>
  <w:abstractNum w:abstractNumId="148">
    <w:nsid w:val="14D53685"/>
    <w:multiLevelType w:val="hybridMultilevel"/>
    <w:lvl w:ilvl="0">
      <w:lvlJc w:val="left"/>
      <w:lvlText w:val="3"/>
      <w:numFmt w:val="bullet"/>
      <w:start w:val="1"/>
    </w:lvl>
  </w:abstractNum>
  <w:abstractNum w:abstractNumId="149">
    <w:nsid w:val="230F856C"/>
    <w:multiLevelType w:val="hybridMultilevel"/>
    <w:lvl w:ilvl="0">
      <w:lvlJc w:val="left"/>
      <w:lvlText w:val="•"/>
      <w:numFmt w:val="bullet"/>
      <w:start w:val="1"/>
    </w:lvl>
  </w:abstractNum>
  <w:abstractNum w:abstractNumId="150">
    <w:nsid w:val="6EAA85FB"/>
    <w:multiLevelType w:val="hybridMultilevel"/>
    <w:lvl w:ilvl="0">
      <w:lvlJc w:val="left"/>
      <w:lvlText w:val="•"/>
      <w:numFmt w:val="bullet"/>
      <w:start w:val="1"/>
    </w:lvl>
  </w:abstractNum>
  <w:abstractNum w:abstractNumId="151">
    <w:nsid w:val="3F06ECB2"/>
    <w:multiLevelType w:val="hybridMultilevel"/>
    <w:lvl w:ilvl="0">
      <w:lvlJc w:val="left"/>
      <w:lvlText w:val="•"/>
      <w:numFmt w:val="bullet"/>
      <w:start w:val="1"/>
    </w:lvl>
  </w:abstractNum>
  <w:abstractNum w:abstractNumId="152">
    <w:nsid w:val="3B594807"/>
    <w:multiLevelType w:val="hybridMultilevel"/>
    <w:lvl w:ilvl="0">
      <w:lvlJc w:val="left"/>
      <w:lvlText w:val="•"/>
      <w:numFmt w:val="bullet"/>
      <w:start w:val="1"/>
    </w:lvl>
  </w:abstractNum>
  <w:abstractNum w:abstractNumId="153">
    <w:nsid w:val="6CAA2304"/>
    <w:multiLevelType w:val="hybridMultilevel"/>
    <w:lvl w:ilvl="0">
      <w:lvlJc w:val="left"/>
      <w:lvlText w:val="•"/>
      <w:numFmt w:val="bullet"/>
      <w:start w:val="1"/>
    </w:lvl>
  </w:abstractNum>
  <w:abstractNum w:abstractNumId="154">
    <w:nsid w:val="3F7C2FF4"/>
    <w:multiLevelType w:val="hybridMultilevel"/>
    <w:lvl w:ilvl="0">
      <w:lvlJc w:val="left"/>
      <w:lvlText w:val="•"/>
      <w:numFmt w:val="bullet"/>
      <w:start w:val="1"/>
    </w:lvl>
  </w:abstractNum>
  <w:abstractNum w:abstractNumId="155">
    <w:nsid w:val="25413BEC"/>
    <w:multiLevelType w:val="hybridMultilevel"/>
    <w:lvl w:ilvl="0">
      <w:lvlJc w:val="left"/>
      <w:lvlText w:val="•"/>
      <w:numFmt w:val="bullet"/>
      <w:start w:val="1"/>
    </w:lvl>
  </w:abstractNum>
  <w:abstractNum w:abstractNumId="156">
    <w:nsid w:val="17180B0B"/>
    <w:multiLevelType w:val="hybridMultilevel"/>
    <w:lvl w:ilvl="0">
      <w:lvlJc w:val="left"/>
      <w:lvlText w:val="•"/>
      <w:numFmt w:val="bullet"/>
      <w:start w:val="1"/>
    </w:lvl>
  </w:abstractNum>
  <w:abstractNum w:abstractNumId="157">
    <w:nsid w:val="579328B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9" Type="http://schemas.openxmlformats.org/officeDocument/2006/relationships/image" Target="media/image150.png"/><Relationship Id="rId174"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pn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275" Type="http://schemas.openxmlformats.org/officeDocument/2006/relationships/image" Target="media/image248.png"/><Relationship Id="rId276" Type="http://schemas.openxmlformats.org/officeDocument/2006/relationships/image" Target="media/image249.png"/><Relationship Id="rId277" Type="http://schemas.openxmlformats.org/officeDocument/2006/relationships/image" Target="media/image250.png"/><Relationship Id="rId278" Type="http://schemas.openxmlformats.org/officeDocument/2006/relationships/image" Target="media/image251.png"/><Relationship Id="rId279" Type="http://schemas.openxmlformats.org/officeDocument/2006/relationships/image" Target="media/image252.png"/><Relationship Id="rId280" Type="http://schemas.openxmlformats.org/officeDocument/2006/relationships/image" Target="media/image253.png"/><Relationship Id="rId281" Type="http://schemas.openxmlformats.org/officeDocument/2006/relationships/image" Target="media/image254.png"/><Relationship Id="rId282" Type="http://schemas.openxmlformats.org/officeDocument/2006/relationships/image" Target="media/image255.png"/><Relationship Id="rId283" Type="http://schemas.openxmlformats.org/officeDocument/2006/relationships/image" Target="media/image256.png"/><Relationship Id="rId284" Type="http://schemas.openxmlformats.org/officeDocument/2006/relationships/image" Target="media/image257.png"/><Relationship Id="rId285" Type="http://schemas.openxmlformats.org/officeDocument/2006/relationships/image" Target="media/image258.png"/><Relationship Id="rId286" Type="http://schemas.openxmlformats.org/officeDocument/2006/relationships/image" Target="media/image259.png"/><Relationship Id="rId157" Type="http://schemas.openxmlformats.org/officeDocument/2006/relationships/hyperlink" Target="https://www.sec.gov/Archives/edgar/data/1167609/000110465926040804/tm262597d8_nvpfs.htm" TargetMode="External"/><Relationship Id="rId158" Type="http://schemas.openxmlformats.org/officeDocument/2006/relationships/hyperlink" Target="https://www.sec.gov/Archives/edgar/data/1167609/000119312517143398/d360947dex1a.htm" TargetMode="External"/><Relationship Id="rId160" Type="http://schemas.openxmlformats.org/officeDocument/2006/relationships/hyperlink" Target="https://www.sec.gov/Archives/edgar/data/1167609/000119312523095549/d422492dex991bii.htm" TargetMode="External"/><Relationship Id="rId161" Type="http://schemas.openxmlformats.org/officeDocument/2006/relationships/hyperlink" Target="https://www.sec.gov/Archives/edgar/data/1167609/000119312524136095/d725623dex994a.htm" TargetMode="External"/><Relationship Id="rId162" Type="http://schemas.openxmlformats.org/officeDocument/2006/relationships/hyperlink" Target="https://www.sec.gov/Archives/edgar/data/1167609/000119312524136095/d725623dex994b.htm" TargetMode="External"/><Relationship Id="rId163" Type="http://schemas.openxmlformats.org/officeDocument/2006/relationships/hyperlink" Target="https://www.sec.gov/Archives/edgar/data/1167609/000119312524136095/d725623dex994c.htm" TargetMode="External"/><Relationship Id="rId164" Type="http://schemas.openxmlformats.org/officeDocument/2006/relationships/hyperlink" Target="https://www.sec.gov/Archives/edgar/data/1167609/000119312517143398/d360947dex4d.htm" TargetMode="External"/><Relationship Id="rId165" Type="http://schemas.openxmlformats.org/officeDocument/2006/relationships/hyperlink" Target="https://www.sec.gov/Archives/edgar/data/1167609/000119312517143398/d360947dex4e.htm" TargetMode="External"/><Relationship Id="rId166" Type="http://schemas.openxmlformats.org/officeDocument/2006/relationships/hyperlink" Target="https://www.sec.gov/Archives/edgar/data/1167609/000119312524136095/d725623dex994f.htm" TargetMode="External"/><Relationship Id="rId167" Type="http://schemas.openxmlformats.org/officeDocument/2006/relationships/hyperlink" Target="https://www.sec.gov/Archives/edgar/data/1167609/000119312524136095/d725623dex994g.htm" TargetMode="External"/><Relationship Id="rId168" Type="http://schemas.openxmlformats.org/officeDocument/2006/relationships/hyperlink" Target="https://www.sec.gov/Archives/edgar/data/1167609/000119312517143398/d360947dex4h.htm" TargetMode="External"/><Relationship Id="rId169" Type="http://schemas.openxmlformats.org/officeDocument/2006/relationships/hyperlink" Target="https://www.sec.gov/Archives/edgar/data/1167609/000119312517143398/d360947dex4i.htm" TargetMode="External"/><Relationship Id="rId170" Type="http://schemas.openxmlformats.org/officeDocument/2006/relationships/hyperlink" Target="https://www.sec.gov/Archives/edgar/data/1167609/000119312524136095/d725623dex994j.htm" TargetMode="External"/><Relationship Id="rId171" Type="http://schemas.openxmlformats.org/officeDocument/2006/relationships/hyperlink" Target="https://www.sec.gov/Archives/edgar/data/1167609/000119312524136095/d725623dex994k.htm" TargetMode="External"/><Relationship Id="rId172" Type="http://schemas.openxmlformats.org/officeDocument/2006/relationships/hyperlink" Target="https://www.sec.gov/Archives/edgar/data/1167609/000119312524136095/d725623dex994l.htm" TargetMode="External"/><Relationship Id="rId173" Type="http://schemas.openxmlformats.org/officeDocument/2006/relationships/hyperlink" Target="https://www.sec.gov/Archives/edgar/data/1167609/000119312525086902/d915395dex99e.htm" TargetMode="External"/><Relationship Id="rId175" Type="http://schemas.openxmlformats.org/officeDocument/2006/relationships/hyperlink" Target="http://www.sec.gov/Archives/edgar/data/1167609/000119312517071686/d353762dex31.htm" TargetMode="External"/><Relationship Id="rId176" Type="http://schemas.openxmlformats.org/officeDocument/2006/relationships/hyperlink" Target="http://www.sec.gov/Archives/edgar/data/1167609/000119312517071686/d353762dex32.htm" TargetMode="External"/><Relationship Id="rId177" Type="http://schemas.openxmlformats.org/officeDocument/2006/relationships/hyperlink" Target="https://www.sec.gov/Archives/edgar/data/1167609/000119312525086902/d915395dex99k.htm" TargetMode="External"/><Relationship Id="rId178" Type="http://schemas.openxmlformats.org/officeDocument/2006/relationships/hyperlink" Target="https://www.sec.gov/Archives/edgar/data/1167609/000119312525086902/d915395dex99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2026-04-20T13:07:45Z</dcterms:created>
  <dcterms:modified xsi:type="dcterms:W3CDTF">2026-04-20T13:07:45Z</dcterms:modified>
</cp:coreProperties>
</file>